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DA0" w:rsidRDefault="0010365E">
      <w:pPr>
        <w:pBdr>
          <w:top w:val="nil"/>
          <w:left w:val="nil"/>
          <w:bottom w:val="nil"/>
          <w:right w:val="nil"/>
          <w:between w:val="nil"/>
        </w:pBdr>
        <w:ind w:left="4392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839873" cy="828675"/>
            <wp:effectExtent l="0" t="0" r="0" b="0"/>
            <wp:docPr id="6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9873" cy="8286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D7DA0" w:rsidRDefault="00ED7DA0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</w:rPr>
      </w:pPr>
    </w:p>
    <w:p w:rsidR="00ED7DA0" w:rsidRDefault="0010365E">
      <w:pPr>
        <w:pBdr>
          <w:top w:val="nil"/>
          <w:left w:val="nil"/>
          <w:bottom w:val="nil"/>
          <w:right w:val="nil"/>
          <w:between w:val="nil"/>
        </w:pBdr>
        <w:spacing w:before="90" w:line="482" w:lineRule="auto"/>
        <w:ind w:left="991" w:right="989" w:firstLine="991"/>
        <w:jc w:val="center"/>
        <w:rPr>
          <w:b/>
          <w:color w:val="000000"/>
        </w:rPr>
      </w:pPr>
      <w:r>
        <w:rPr>
          <w:b/>
          <w:color w:val="000000"/>
        </w:rPr>
        <w:t>TRIBUNAL REGIONAL ELEITORAL DE SÃO PAULO ESTUDO TÉCNICO PRELIMINAR (ETP)</w:t>
      </w:r>
    </w:p>
    <w:p w:rsidR="00ED7DA0" w:rsidRDefault="0010365E">
      <w:pPr>
        <w:spacing w:line="316" w:lineRule="auto"/>
        <w:ind w:left="991" w:right="992"/>
        <w:jc w:val="center"/>
        <w:rPr>
          <w:b/>
        </w:rPr>
      </w:pPr>
      <w:r>
        <w:rPr>
          <w:b/>
        </w:rPr>
        <w:t>Fonte normativa: art. 18, inciso I, § § 1º e 2º, da Lei n. 14.133/2021</w:t>
      </w:r>
    </w:p>
    <w:p w:rsidR="00ED7DA0" w:rsidRDefault="00ED7DA0">
      <w:pPr>
        <w:spacing w:line="316" w:lineRule="auto"/>
        <w:ind w:left="991" w:right="992"/>
        <w:jc w:val="center"/>
        <w:rPr>
          <w:b/>
        </w:rPr>
      </w:pPr>
    </w:p>
    <w:p w:rsidR="00ED7DA0" w:rsidRDefault="00ED7DA0">
      <w:pPr>
        <w:jc w:val="both"/>
        <w:rPr>
          <w:sz w:val="20"/>
          <w:szCs w:val="20"/>
        </w:rPr>
      </w:pPr>
    </w:p>
    <w:p w:rsidR="00ED7DA0" w:rsidRDefault="0010365E">
      <w:pPr>
        <w:pBdr>
          <w:top w:val="nil"/>
          <w:left w:val="nil"/>
          <w:bottom w:val="nil"/>
          <w:right w:val="nil"/>
          <w:between w:val="nil"/>
        </w:pBdr>
        <w:spacing w:before="94"/>
        <w:ind w:left="132"/>
        <w:rPr>
          <w:b/>
          <w:color w:val="000000"/>
          <w:highlight w:val="yellow"/>
        </w:rPr>
      </w:pPr>
      <w:bookmarkStart w:id="0" w:name="_heading=h.njp4e6nb1ad0" w:colFirst="0" w:colLast="0"/>
      <w:bookmarkEnd w:id="0"/>
      <w:r>
        <w:rPr>
          <w:b/>
          <w:color w:val="000000"/>
        </w:rPr>
        <w:t xml:space="preserve">SEI </w:t>
      </w:r>
      <w:r w:rsidRPr="008E12AA">
        <w:rPr>
          <w:b/>
        </w:rPr>
        <w:t>0031556-73.2025.6.26.8000</w:t>
      </w:r>
    </w:p>
    <w:p w:rsidR="00ED7DA0" w:rsidRDefault="00ED7DA0">
      <w:pPr>
        <w:pBdr>
          <w:top w:val="nil"/>
          <w:left w:val="nil"/>
          <w:bottom w:val="nil"/>
          <w:right w:val="nil"/>
          <w:between w:val="nil"/>
        </w:pBdr>
        <w:spacing w:before="94"/>
        <w:ind w:left="132"/>
        <w:rPr>
          <w:b/>
          <w:color w:val="000000"/>
        </w:rPr>
      </w:pPr>
    </w:p>
    <w:p w:rsidR="00ED7DA0" w:rsidRDefault="00ED7DA0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b/>
        </w:rPr>
      </w:pPr>
    </w:p>
    <w:p w:rsidR="00ED7DA0" w:rsidRDefault="0010365E">
      <w:pPr>
        <w:pBdr>
          <w:top w:val="nil"/>
          <w:left w:val="nil"/>
          <w:bottom w:val="nil"/>
          <w:right w:val="nil"/>
          <w:between w:val="nil"/>
        </w:pBdr>
        <w:ind w:left="132"/>
        <w:jc w:val="both"/>
      </w:pPr>
      <w:r>
        <w:rPr>
          <w:b/>
        </w:rPr>
        <w:t xml:space="preserve">OBJETO: </w:t>
      </w:r>
      <w:r>
        <w:t xml:space="preserve">Estudo realizado para identificação de solução apta a suprir o fornecimento de café em grão para consumo nos gabinetes das autoridades do TRE-SP – Presidência, </w:t>
      </w:r>
      <w:proofErr w:type="gramStart"/>
      <w:r>
        <w:t>Corregedoria,  Diretoria</w:t>
      </w:r>
      <w:proofErr w:type="gramEnd"/>
      <w:r>
        <w:t>-Geral e Plenário.</w:t>
      </w:r>
    </w:p>
    <w:p w:rsidR="00ED7DA0" w:rsidRDefault="00ED7DA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:rsidR="00ED7DA0" w:rsidRDefault="00ED7DA0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b/>
        </w:rPr>
      </w:pPr>
    </w:p>
    <w:p w:rsidR="00ED7DA0" w:rsidRDefault="0010365E">
      <w:pPr>
        <w:pBdr>
          <w:top w:val="nil"/>
          <w:left w:val="nil"/>
          <w:bottom w:val="nil"/>
          <w:right w:val="nil"/>
          <w:between w:val="nil"/>
        </w:pBdr>
        <w:tabs>
          <w:tab w:val="left" w:pos="9799"/>
        </w:tabs>
        <w:spacing w:before="93"/>
        <w:ind w:left="103"/>
        <w:rPr>
          <w:b/>
        </w:rPr>
      </w:pPr>
      <w:r>
        <w:rPr>
          <w:shd w:val="clear" w:color="auto" w:fill="BFBFBF"/>
        </w:rPr>
        <w:t xml:space="preserve"> </w:t>
      </w:r>
      <w:r>
        <w:rPr>
          <w:b/>
          <w:shd w:val="clear" w:color="auto" w:fill="BFBFBF"/>
        </w:rPr>
        <w:t>IDENTIFICAÇÃO DA UNIDADE SOLICITANTE</w:t>
      </w:r>
      <w:r>
        <w:rPr>
          <w:b/>
          <w:shd w:val="clear" w:color="auto" w:fill="BFBFBF"/>
        </w:rPr>
        <w:tab/>
      </w:r>
    </w:p>
    <w:p w:rsidR="00ED7DA0" w:rsidRDefault="00ED7DA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:rsidR="00ED7DA0" w:rsidRDefault="0010365E">
      <w:pPr>
        <w:tabs>
          <w:tab w:val="left" w:pos="5373"/>
          <w:tab w:val="left" w:pos="5501"/>
          <w:tab w:val="left" w:pos="5569"/>
        </w:tabs>
        <w:spacing w:line="360" w:lineRule="auto"/>
        <w:ind w:left="132" w:right="4334"/>
      </w:pPr>
      <w:r>
        <w:t>Seção Requisitante: Seção de Zeladoria</w:t>
      </w:r>
    </w:p>
    <w:p w:rsidR="00ED7DA0" w:rsidRDefault="0010365E">
      <w:pPr>
        <w:tabs>
          <w:tab w:val="left" w:pos="5569"/>
        </w:tabs>
        <w:spacing w:line="360" w:lineRule="auto"/>
        <w:ind w:left="132" w:right="4334"/>
      </w:pPr>
      <w:r>
        <w:t>Coordenadoria: Coordenadoria de Serviços Secretaria/Assessoria: Secretaria de Gestão de Serviços</w:t>
      </w:r>
    </w:p>
    <w:p w:rsidR="00ED7DA0" w:rsidRDefault="0010365E">
      <w:pPr>
        <w:tabs>
          <w:tab w:val="left" w:pos="3835"/>
          <w:tab w:val="left" w:pos="3870"/>
        </w:tabs>
        <w:spacing w:before="2" w:line="360" w:lineRule="auto"/>
        <w:ind w:left="132" w:right="6002"/>
        <w:jc w:val="both"/>
      </w:pPr>
      <w:r>
        <w:t>E-mail: sezel@tre-sp.jus.br</w:t>
      </w:r>
    </w:p>
    <w:p w:rsidR="00ED7DA0" w:rsidRDefault="0010365E">
      <w:pPr>
        <w:tabs>
          <w:tab w:val="left" w:pos="3835"/>
          <w:tab w:val="left" w:pos="3870"/>
        </w:tabs>
        <w:spacing w:before="2" w:line="360" w:lineRule="auto"/>
        <w:ind w:left="132" w:right="6002"/>
        <w:jc w:val="both"/>
      </w:pPr>
      <w:r>
        <w:t>Ramal: 2206/2216</w:t>
      </w:r>
    </w:p>
    <w:p w:rsidR="00ED7DA0" w:rsidRDefault="0010365E">
      <w:pPr>
        <w:spacing w:before="2" w:line="360" w:lineRule="auto"/>
        <w:ind w:left="132" w:right="5232"/>
        <w:jc w:val="both"/>
      </w:pPr>
      <w:r>
        <w:t xml:space="preserve">Responsável: Taís Fernanda </w:t>
      </w:r>
      <w:proofErr w:type="spellStart"/>
      <w:r>
        <w:t>Egea</w:t>
      </w:r>
      <w:proofErr w:type="spellEnd"/>
      <w:r>
        <w:t xml:space="preserve"> Moreira</w:t>
      </w:r>
    </w:p>
    <w:p w:rsidR="00ED7DA0" w:rsidRDefault="0010365E">
      <w:pPr>
        <w:tabs>
          <w:tab w:val="left" w:pos="1911"/>
          <w:tab w:val="left" w:pos="3404"/>
        </w:tabs>
        <w:spacing w:line="252" w:lineRule="auto"/>
        <w:ind w:left="132"/>
      </w:pPr>
      <w:r>
        <w:rPr>
          <w:b/>
        </w:rPr>
        <w:t xml:space="preserve">PAC 2025: </w:t>
      </w:r>
      <w:r>
        <w:t xml:space="preserve">contrato 3510 do PCA 2025 (X) ou </w:t>
      </w:r>
      <w:proofErr w:type="gramStart"/>
      <w:r>
        <w:t>( )</w:t>
      </w:r>
      <w:proofErr w:type="gramEnd"/>
      <w:r>
        <w:t xml:space="preserve"> não previsto no PAC 2025</w:t>
      </w:r>
    </w:p>
    <w:p w:rsidR="00ED7DA0" w:rsidRDefault="0010365E">
      <w:pPr>
        <w:spacing w:before="126" w:line="360" w:lineRule="auto"/>
        <w:ind w:left="132" w:right="685"/>
      </w:pPr>
      <w:r>
        <w:t>(Fundamento: inciso II do artigo 18 da Lei n. 14.133/2021. Necessidade de alinhamento da contratação pretendida ao planejamento)</w:t>
      </w:r>
    </w:p>
    <w:p w:rsidR="00ED7DA0" w:rsidRDefault="0010365E">
      <w:pPr>
        <w:pBdr>
          <w:top w:val="nil"/>
          <w:left w:val="nil"/>
          <w:bottom w:val="nil"/>
          <w:right w:val="nil"/>
          <w:between w:val="nil"/>
        </w:pBdr>
        <w:tabs>
          <w:tab w:val="left" w:pos="3907"/>
          <w:tab w:val="left" w:pos="4408"/>
          <w:tab w:val="left" w:pos="4965"/>
        </w:tabs>
        <w:spacing w:line="252" w:lineRule="auto"/>
        <w:ind w:left="132"/>
        <w:rPr>
          <w:highlight w:val="yellow"/>
        </w:rPr>
      </w:pPr>
      <w:r>
        <w:rPr>
          <w:b/>
        </w:rPr>
        <w:t>Previsão de recebimento do objeto</w:t>
      </w:r>
      <w:r>
        <w:t>:</w:t>
      </w:r>
      <w:r>
        <w:rPr>
          <w:b/>
        </w:rPr>
        <w:t xml:space="preserve"> </w:t>
      </w:r>
      <w:bookmarkStart w:id="1" w:name="_GoBack"/>
      <w:bookmarkEnd w:id="1"/>
      <w:r w:rsidRPr="008E12AA">
        <w:t>03/09/2025</w:t>
      </w:r>
    </w:p>
    <w:p w:rsidR="00ED7DA0" w:rsidRDefault="0010365E">
      <w:pPr>
        <w:tabs>
          <w:tab w:val="left" w:pos="7934"/>
        </w:tabs>
        <w:spacing w:before="128" w:line="360" w:lineRule="auto"/>
        <w:ind w:left="132" w:right="448"/>
      </w:pPr>
      <w:r>
        <w:t>Fonte de recursos orçamentários. Valor previsto na proposta orçamentária (R$ 1.437,</w:t>
      </w:r>
      <w:proofErr w:type="gramStart"/>
      <w:r>
        <w:t>00)  ou</w:t>
      </w:r>
      <w:proofErr w:type="gramEnd"/>
      <w:r>
        <w:t xml:space="preserve"> indicação do  modo de atendimento (remanejamento, sobras orçamentárias </w:t>
      </w:r>
      <w:proofErr w:type="spellStart"/>
      <w:r>
        <w:t>etc</w:t>
      </w:r>
      <w:proofErr w:type="spellEnd"/>
      <w:r>
        <w:t>).</w:t>
      </w:r>
    </w:p>
    <w:p w:rsidR="00ED7DA0" w:rsidRDefault="0010365E">
      <w:pPr>
        <w:tabs>
          <w:tab w:val="left" w:pos="7800"/>
        </w:tabs>
        <w:spacing w:line="252" w:lineRule="auto"/>
        <w:ind w:left="132"/>
      </w:pPr>
      <w:r>
        <w:rPr>
          <w:b/>
        </w:rPr>
        <w:t xml:space="preserve">Critério de sustentabilidade: </w:t>
      </w:r>
      <w:r>
        <w:t xml:space="preserve">(x) Sim ou </w:t>
      </w:r>
      <w:proofErr w:type="gramStart"/>
      <w:r>
        <w:t>( )</w:t>
      </w:r>
      <w:proofErr w:type="gramEnd"/>
      <w:r>
        <w:t xml:space="preserve"> Não, porque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D7DA0" w:rsidRDefault="0010365E">
      <w:pPr>
        <w:spacing w:before="124"/>
        <w:ind w:left="132"/>
      </w:pPr>
      <w:r>
        <w:rPr>
          <w:b/>
        </w:rPr>
        <w:t xml:space="preserve">Critério de Acessibilidade: </w:t>
      </w:r>
      <w:proofErr w:type="gramStart"/>
      <w:r>
        <w:t>( )</w:t>
      </w:r>
      <w:proofErr w:type="gramEnd"/>
      <w:r>
        <w:t xml:space="preserve"> Sim ou (x) Não</w:t>
      </w:r>
    </w:p>
    <w:p w:rsidR="00ED7DA0" w:rsidRDefault="00ED7DA0">
      <w:pPr>
        <w:spacing w:before="124"/>
        <w:ind w:left="132"/>
      </w:pPr>
    </w:p>
    <w:p w:rsidR="00ED7DA0" w:rsidRDefault="00ED7DA0">
      <w:pPr>
        <w:spacing w:before="124"/>
        <w:ind w:left="132"/>
      </w:pPr>
    </w:p>
    <w:p w:rsidR="00ED7DA0" w:rsidRDefault="00ED7DA0">
      <w:pPr>
        <w:pBdr>
          <w:top w:val="nil"/>
          <w:left w:val="nil"/>
          <w:bottom w:val="nil"/>
          <w:right w:val="nil"/>
          <w:between w:val="nil"/>
        </w:pBdr>
      </w:pPr>
    </w:p>
    <w:p w:rsidR="00ED7DA0" w:rsidRDefault="0010365E">
      <w:pPr>
        <w:pBdr>
          <w:top w:val="nil"/>
          <w:left w:val="nil"/>
          <w:bottom w:val="nil"/>
          <w:right w:val="nil"/>
          <w:between w:val="nil"/>
        </w:pBdr>
        <w:tabs>
          <w:tab w:val="left" w:pos="9799"/>
        </w:tabs>
        <w:spacing w:before="94"/>
        <w:ind w:left="103"/>
        <w:rPr>
          <w:b/>
        </w:rPr>
      </w:pPr>
      <w:r>
        <w:rPr>
          <w:b/>
          <w:shd w:val="clear" w:color="auto" w:fill="BFBFBF"/>
        </w:rPr>
        <w:t>1 – VISÃO GERAL</w:t>
      </w:r>
      <w:r>
        <w:rPr>
          <w:b/>
          <w:shd w:val="clear" w:color="auto" w:fill="BFBFBF"/>
        </w:rPr>
        <w:tab/>
      </w:r>
    </w:p>
    <w:p w:rsidR="00ED7DA0" w:rsidRDefault="0010365E">
      <w:pPr>
        <w:widowControl/>
        <w:pBdr>
          <w:top w:val="nil"/>
          <w:left w:val="nil"/>
          <w:bottom w:val="nil"/>
          <w:right w:val="nil"/>
          <w:between w:val="nil"/>
        </w:pBdr>
        <w:spacing w:after="119"/>
        <w:ind w:left="142"/>
        <w:jc w:val="both"/>
      </w:pPr>
      <w:r>
        <w:rPr>
          <w:b/>
        </w:rPr>
        <w:t>1.1 –</w:t>
      </w:r>
      <w:r>
        <w:t xml:space="preserve"> O presente estudo foi elaborado por esta unidade técnica requisitante visando subsidiar a identificação e escolha de solução apta para a aquisição de café em grão pelo Tribunal Regional Eleitoral do Estado de São Paulo, bem como </w:t>
      </w:r>
      <w:proofErr w:type="spellStart"/>
      <w:r>
        <w:t>fornecer</w:t>
      </w:r>
      <w:proofErr w:type="spellEnd"/>
      <w:r>
        <w:t xml:space="preserve"> os elementos essenciais que servirão para compor o respectivo Termo de Referência, caso se conclua pela viabilidade da contratação. </w:t>
      </w:r>
    </w:p>
    <w:p w:rsidR="00ED7DA0" w:rsidRDefault="0010365E">
      <w:pPr>
        <w:widowControl/>
        <w:pBdr>
          <w:top w:val="nil"/>
          <w:left w:val="nil"/>
          <w:bottom w:val="nil"/>
          <w:right w:val="nil"/>
          <w:between w:val="nil"/>
        </w:pBdr>
        <w:spacing w:after="119"/>
        <w:ind w:left="142"/>
        <w:jc w:val="both"/>
      </w:pPr>
      <w:r>
        <w:rPr>
          <w:b/>
        </w:rPr>
        <w:t xml:space="preserve">1.2 – </w:t>
      </w:r>
      <w:r>
        <w:t xml:space="preserve"> A solução anteriormente empregada no Tribunal foi a aquisição de café em grão oriunda do Pregão Eletrônico nº 35/2023, com aplicação do Sistema de Registro de Preços, cuja vigência foi </w:t>
      </w:r>
      <w:r>
        <w:lastRenderedPageBreak/>
        <w:t>encerrada em 10/05/2024. Ao final da vigência da Ata, considerada a existência de saldo a adquirir e a longa validade do produto, foi formado estoque para abastecimento até meados de 2025.</w:t>
      </w:r>
    </w:p>
    <w:p w:rsidR="00ED7DA0" w:rsidRDefault="0010365E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b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0" behindDoc="0" locked="0" layoutInCell="1" hidden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6204585" cy="369570"/>
                <wp:effectExtent l="0" t="0" r="0" b="0"/>
                <wp:wrapTopAndBottom distT="0" distB="0"/>
                <wp:docPr id="62" name="Retângulo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67520" y="3619028"/>
                          <a:ext cx="6156960" cy="32194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ED7DA0" w:rsidRDefault="0010365E">
                            <w:pPr>
                              <w:ind w:left="27" w:firstLine="108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2 –  DESCRIÇÃO DA NECESSIDADE DA CONTRATAÇÃO (fundamento: inciso I do artigo 18 da Lei n. 14.133/2021)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6204585" cy="369570"/>
                <wp:effectExtent b="0" l="0" r="0" t="0"/>
                <wp:wrapTopAndBottom distB="0" distT="0"/>
                <wp:docPr id="6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04585" cy="36957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ED7DA0" w:rsidRDefault="0010365E">
      <w:pPr>
        <w:ind w:left="142"/>
        <w:jc w:val="both"/>
      </w:pPr>
      <w:r>
        <w:rPr>
          <w:b/>
        </w:rPr>
        <w:t xml:space="preserve">2.1 – </w:t>
      </w:r>
      <w:r>
        <w:t>Assegurar o abastecimento e preparo da bebida em máquinas de café expresso, instaladas nos gabinetes das autoridades do TRE-SP – Presidência, Corregedoria, Diretoria-Geral e Plenário. As quantidades estimadas destinam-se ao atendimento do consumo das unidades do TRE-SP pelo período de 12 (doze) meses, baseando-se em consumos anteriores; a quantidade efetivamente adquirida poderá eventualmente ser menor que o total registrado, uma vez que o consumo futuro não necessariamente refletirá o consumo passado.</w:t>
      </w:r>
    </w:p>
    <w:p w:rsidR="00ED7DA0" w:rsidRDefault="00ED7DA0">
      <w:pPr>
        <w:ind w:left="142"/>
        <w:jc w:val="both"/>
      </w:pPr>
    </w:p>
    <w:p w:rsidR="00ED7DA0" w:rsidRDefault="00ED7DA0">
      <w:pPr>
        <w:jc w:val="both"/>
      </w:pPr>
    </w:p>
    <w:p w:rsidR="00ED7DA0" w:rsidRDefault="0010365E">
      <w:pPr>
        <w:ind w:left="142"/>
        <w:jc w:val="both"/>
      </w:pPr>
      <w:r>
        <w:rPr>
          <w:b/>
          <w:noProof/>
        </w:rPr>
        <mc:AlternateContent>
          <mc:Choice Requires="wpg">
            <w:drawing>
              <wp:inline distT="0" distB="0" distL="0" distR="0">
                <wp:extent cx="6176010" cy="381000"/>
                <wp:effectExtent l="0" t="0" r="0" b="0"/>
                <wp:docPr id="61" name="Retângulo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67520" y="3599025"/>
                          <a:ext cx="6156960" cy="3619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ED7DA0" w:rsidRDefault="0010365E">
                            <w:pPr>
                              <w:ind w:left="27" w:firstLine="108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3 –  REQUISITOS NECESSÁRIOS PARA A CONTRATAÇÃO (fundamento: inciso III do artigo 18 da Lei n. 14.133/2021)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<w:drawing>
              <wp:inline distB="0" distT="0" distL="0" distR="0">
                <wp:extent cx="6176010" cy="381000"/>
                <wp:effectExtent b="0" l="0" r="0" t="0"/>
                <wp:docPr id="6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76010" cy="3810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</w:p>
    <w:p w:rsidR="00ED7DA0" w:rsidRDefault="00ED7DA0">
      <w:pPr>
        <w:widowControl/>
        <w:pBdr>
          <w:top w:val="nil"/>
          <w:left w:val="nil"/>
          <w:bottom w:val="nil"/>
          <w:right w:val="nil"/>
          <w:between w:val="nil"/>
        </w:pBdr>
        <w:spacing w:after="119"/>
        <w:ind w:left="142"/>
        <w:jc w:val="both"/>
        <w:rPr>
          <w:b/>
        </w:rPr>
      </w:pPr>
    </w:p>
    <w:p w:rsidR="00ED7DA0" w:rsidRDefault="0010365E">
      <w:pPr>
        <w:widowControl/>
        <w:pBdr>
          <w:top w:val="nil"/>
          <w:left w:val="nil"/>
          <w:bottom w:val="nil"/>
          <w:right w:val="nil"/>
          <w:between w:val="nil"/>
        </w:pBdr>
        <w:spacing w:after="119"/>
        <w:ind w:left="142"/>
        <w:jc w:val="both"/>
      </w:pPr>
      <w:r>
        <w:rPr>
          <w:b/>
        </w:rPr>
        <w:t>3.1 –</w:t>
      </w:r>
      <w:r>
        <w:t xml:space="preserve"> O fabricante esteja regularmente registrado no Cadastro Técnico Federal de Atividades Potencialmente Poluidoras ou Utilizadoras de Recursos Ambientais – CTF/APP, sob administração do Instituto Brasileiro do Meio Ambiente e dos Recursos Naturais Renováveis – IBAMA, acompanhado do respectivo Certificado de Regularidade válido com Chave de Autenticação, nos termos do artigo 17, inciso II, da Lei n° 6.938, de 31 de agosto de 1981, e da Instrução Normativa IBAMA n° 13, de 23 de agosto de 2021 e Instrução Normativa IBAMA nº.6, de 27 de janeiro de 2022. </w:t>
      </w:r>
    </w:p>
    <w:p w:rsidR="00ED7DA0" w:rsidRDefault="0010365E">
      <w:pPr>
        <w:widowControl/>
        <w:pBdr>
          <w:top w:val="nil"/>
          <w:left w:val="nil"/>
          <w:bottom w:val="nil"/>
          <w:right w:val="nil"/>
          <w:between w:val="nil"/>
        </w:pBdr>
        <w:spacing w:after="119"/>
        <w:ind w:left="142"/>
        <w:jc w:val="both"/>
      </w:pPr>
      <w:r>
        <w:rPr>
          <w:b/>
        </w:rPr>
        <w:t xml:space="preserve">3.2 – </w:t>
      </w:r>
      <w:r>
        <w:t xml:space="preserve">Para verificação da regularidade cadastral do fabricante no CTF/APP será efetuada consulta ao site do Instituto Brasileiro do Meio Ambiente e dos Recursos Naturais Renováveis – IBAMA no endereço: https://servicos.ibama.gov.br/ctf/publico/certificado_regularidade_consulta.php. </w:t>
      </w:r>
    </w:p>
    <w:p w:rsidR="00ED7DA0" w:rsidRDefault="0010365E">
      <w:pPr>
        <w:widowControl/>
        <w:pBdr>
          <w:top w:val="nil"/>
          <w:left w:val="nil"/>
          <w:bottom w:val="nil"/>
          <w:right w:val="nil"/>
          <w:between w:val="nil"/>
        </w:pBdr>
        <w:spacing w:after="119"/>
        <w:ind w:left="142"/>
        <w:jc w:val="both"/>
      </w:pPr>
      <w:r>
        <w:rPr>
          <w:b/>
        </w:rPr>
        <w:t xml:space="preserve">3.3 – </w:t>
      </w:r>
      <w:r>
        <w:t xml:space="preserve">Caso o fabricante seja dispensado de tal registro, por força de dispositivo legal, o licitante deverá apresentar o documento comprobatório ou declaração correspondente, sob as penas da lei. </w:t>
      </w:r>
    </w:p>
    <w:p w:rsidR="00ED7DA0" w:rsidRDefault="0010365E">
      <w:pPr>
        <w:widowControl/>
        <w:pBdr>
          <w:top w:val="nil"/>
          <w:left w:val="nil"/>
          <w:bottom w:val="nil"/>
          <w:right w:val="nil"/>
          <w:between w:val="nil"/>
        </w:pBdr>
        <w:spacing w:after="119"/>
        <w:ind w:left="142"/>
        <w:jc w:val="both"/>
      </w:pPr>
      <w:r>
        <w:rPr>
          <w:b/>
        </w:rPr>
        <w:t xml:space="preserve">3.4 – </w:t>
      </w:r>
      <w:proofErr w:type="gramStart"/>
      <w:r>
        <w:t>Características, aspecto, cor, odor e sabor</w:t>
      </w:r>
      <w:proofErr w:type="gramEnd"/>
      <w:r>
        <w:t xml:space="preserve"> próprios, conforme o que estabelece a Resolução nº 716, de 01/07/2022, da ANVISA – Agência Nacional de Vigilância Sanitária, a Instrução Normativa nº 8 de 11/06/2003, do Ministério da Agricultura, Pecuária e Abastecimento, Resolução SAA – 31, de 22/06/2007 e, complementarmente, a Norma de Qualidade Recomendável ABIC/PQC.</w:t>
      </w:r>
    </w:p>
    <w:p w:rsidR="00ED7DA0" w:rsidRDefault="0010365E">
      <w:pPr>
        <w:widowControl/>
        <w:pBdr>
          <w:top w:val="nil"/>
          <w:left w:val="nil"/>
          <w:bottom w:val="nil"/>
          <w:right w:val="nil"/>
          <w:between w:val="nil"/>
        </w:pBdr>
        <w:spacing w:after="119"/>
        <w:ind w:left="142"/>
        <w:jc w:val="both"/>
      </w:pPr>
      <w:r>
        <w:rPr>
          <w:b/>
        </w:rPr>
        <w:t>3.5 –</w:t>
      </w:r>
      <w:r>
        <w:t xml:space="preserve"> Durante a vigência da Ata de Registro de Preços, o café em grão poderá ser submetido a laudo de avaliação da qualidade, emitido nos </w:t>
      </w:r>
      <w:proofErr w:type="gramStart"/>
      <w:r>
        <w:t>termos  das</w:t>
      </w:r>
      <w:proofErr w:type="gramEnd"/>
      <w:r>
        <w:t xml:space="preserve"> Resoluções SAA – 31, de 22/06/2007, e Resolução SAA – 19, de 05/04/2010, da Secretaria de Agricultura e Abastecimento do Estado de São Paulo, às expensas da empresa detentora, para comprovar o atendimento às exigências descritas nas especificações do referido produto.</w:t>
      </w:r>
    </w:p>
    <w:p w:rsidR="00ED7DA0" w:rsidRDefault="0010365E">
      <w:pPr>
        <w:widowControl/>
        <w:pBdr>
          <w:top w:val="nil"/>
          <w:left w:val="nil"/>
          <w:bottom w:val="nil"/>
          <w:right w:val="nil"/>
          <w:between w:val="nil"/>
        </w:pBdr>
        <w:spacing w:after="119"/>
        <w:ind w:left="142"/>
        <w:jc w:val="both"/>
      </w:pPr>
      <w:r>
        <w:rPr>
          <w:b/>
        </w:rPr>
        <w:t>3.6 –</w:t>
      </w:r>
      <w:r>
        <w:t xml:space="preserve"> O fornecimento deve ser realizado de acordo com as condições, especificações e quantidades a serem consignadas no Termo de Referência, de modo a não causar descontinuidade no fornecimento regular de café em grão para o Tribunal Regional Eleitoral do Estado de São Paulo. </w:t>
      </w:r>
    </w:p>
    <w:p w:rsidR="00ED7DA0" w:rsidRDefault="0010365E">
      <w:pPr>
        <w:pBdr>
          <w:top w:val="nil"/>
          <w:left w:val="nil"/>
          <w:bottom w:val="nil"/>
          <w:right w:val="nil"/>
          <w:between w:val="nil"/>
        </w:pBdr>
        <w:tabs>
          <w:tab w:val="left" w:pos="737"/>
        </w:tabs>
        <w:spacing w:before="280" w:line="230" w:lineRule="auto"/>
        <w:ind w:left="142" w:right="128"/>
        <w:jc w:val="both"/>
      </w:pPr>
      <w:r>
        <w:rPr>
          <w:b/>
        </w:rPr>
        <w:t xml:space="preserve">3.7 – </w:t>
      </w:r>
      <w:r>
        <w:t>O produto deverá ser entregue acondicionado em embalagem valvulada de 1kg, devendo constar da embalagem, de forma legível, data de fabricação e prazo de validade.</w:t>
      </w:r>
    </w:p>
    <w:p w:rsidR="00ED7DA0" w:rsidRDefault="00ED7DA0">
      <w:pPr>
        <w:pBdr>
          <w:top w:val="nil"/>
          <w:left w:val="nil"/>
          <w:bottom w:val="nil"/>
          <w:right w:val="nil"/>
          <w:between w:val="nil"/>
        </w:pBdr>
        <w:tabs>
          <w:tab w:val="left" w:pos="737"/>
        </w:tabs>
        <w:spacing w:line="230" w:lineRule="auto"/>
        <w:ind w:left="142" w:right="128"/>
        <w:jc w:val="both"/>
      </w:pPr>
    </w:p>
    <w:p w:rsidR="00ED7DA0" w:rsidRDefault="0010365E">
      <w:pPr>
        <w:pBdr>
          <w:top w:val="nil"/>
          <w:left w:val="nil"/>
          <w:bottom w:val="nil"/>
          <w:right w:val="nil"/>
          <w:between w:val="nil"/>
        </w:pBdr>
        <w:tabs>
          <w:tab w:val="left" w:pos="737"/>
        </w:tabs>
        <w:spacing w:line="230" w:lineRule="auto"/>
        <w:ind w:left="142" w:right="128"/>
        <w:jc w:val="both"/>
      </w:pPr>
      <w:r>
        <w:rPr>
          <w:b/>
        </w:rPr>
        <w:t xml:space="preserve">Observação 1: </w:t>
      </w:r>
      <w:r>
        <w:t>na entrega, somente serão aceitos produtos fabricados há, no máximo, 30 (trinta) dias corridos.</w:t>
      </w:r>
    </w:p>
    <w:p w:rsidR="00ED7DA0" w:rsidRDefault="00ED7DA0">
      <w:pPr>
        <w:pBdr>
          <w:top w:val="nil"/>
          <w:left w:val="nil"/>
          <w:bottom w:val="nil"/>
          <w:right w:val="nil"/>
          <w:between w:val="nil"/>
        </w:pBdr>
        <w:tabs>
          <w:tab w:val="left" w:pos="737"/>
        </w:tabs>
        <w:spacing w:line="230" w:lineRule="auto"/>
        <w:ind w:left="142" w:right="128"/>
        <w:jc w:val="both"/>
      </w:pPr>
    </w:p>
    <w:p w:rsidR="00ED7DA0" w:rsidRDefault="0010365E">
      <w:pPr>
        <w:pBdr>
          <w:top w:val="nil"/>
          <w:left w:val="nil"/>
          <w:bottom w:val="nil"/>
          <w:right w:val="nil"/>
          <w:between w:val="nil"/>
        </w:pBdr>
        <w:tabs>
          <w:tab w:val="left" w:pos="737"/>
        </w:tabs>
        <w:spacing w:line="230" w:lineRule="auto"/>
        <w:ind w:left="142" w:right="128"/>
        <w:jc w:val="both"/>
      </w:pPr>
      <w:r>
        <w:rPr>
          <w:b/>
        </w:rPr>
        <w:t>3.8 –</w:t>
      </w:r>
      <w:r>
        <w:t xml:space="preserve"> A quantidade mínima que poderá ser solicitada em cada Nota de Empenho será de 25% do total registrado, com o intuito de auxiliar o fornecedor no cálculo do frete. No caso de solicitação do saldo final, esta poderá eventualmente ser inferior à quantidade mínima. </w:t>
      </w:r>
    </w:p>
    <w:p w:rsidR="00ED7DA0" w:rsidRDefault="00ED7DA0">
      <w:pPr>
        <w:pBdr>
          <w:top w:val="nil"/>
          <w:left w:val="nil"/>
          <w:bottom w:val="nil"/>
          <w:right w:val="nil"/>
          <w:between w:val="nil"/>
        </w:pBdr>
        <w:tabs>
          <w:tab w:val="left" w:pos="737"/>
        </w:tabs>
        <w:spacing w:line="230" w:lineRule="auto"/>
        <w:ind w:right="128"/>
        <w:jc w:val="both"/>
      </w:pPr>
    </w:p>
    <w:p w:rsidR="00ED7DA0" w:rsidRDefault="0010365E">
      <w:pPr>
        <w:widowControl/>
        <w:pBdr>
          <w:top w:val="nil"/>
          <w:left w:val="nil"/>
          <w:bottom w:val="nil"/>
          <w:right w:val="nil"/>
          <w:between w:val="nil"/>
        </w:pBdr>
        <w:spacing w:after="119"/>
        <w:ind w:left="142"/>
        <w:jc w:val="both"/>
      </w:pPr>
      <w:r>
        <w:rPr>
          <w:b/>
        </w:rPr>
        <w:t xml:space="preserve">3.9 – </w:t>
      </w:r>
      <w:r>
        <w:t>Prazo de entrega: máximo de 30 (trinta) dias corridos, contados do recebimento da notificação formal à Detentora da Ata pelo Órgão Gerenciador, acompanhada da Nota de Empenho.</w:t>
      </w:r>
    </w:p>
    <w:p w:rsidR="00ED7DA0" w:rsidRDefault="0010365E">
      <w:pPr>
        <w:widowControl/>
        <w:pBdr>
          <w:top w:val="nil"/>
          <w:left w:val="nil"/>
          <w:bottom w:val="nil"/>
          <w:right w:val="nil"/>
          <w:between w:val="nil"/>
        </w:pBdr>
        <w:spacing w:after="119"/>
        <w:ind w:left="142"/>
        <w:jc w:val="both"/>
      </w:pPr>
      <w:r>
        <w:rPr>
          <w:b/>
        </w:rPr>
        <w:t xml:space="preserve">3.10 – </w:t>
      </w:r>
      <w:r>
        <w:t xml:space="preserve">Local de entrega: A entrega deverá ser feita na Seção de Acompanhamento das Aquisições do TRE/SP, localizada na Rua General Júlio Marcondes Salgado, nº 199, Santa Cecília, CEP 01201-020, São Paulo/SP, telefone (11) 3822-2066 ramal 2694, de segunda a sexta-feira, dias úteis, das 09 </w:t>
      </w:r>
      <w:r>
        <w:lastRenderedPageBreak/>
        <w:t xml:space="preserve">às 18 horas, mediante agendamento prévio, com 2 (dois) dias úteis de antecedência, pelo e-mail </w:t>
      </w:r>
      <w:hyperlink r:id="rId9">
        <w:r>
          <w:rPr>
            <w:u w:val="single"/>
          </w:rPr>
          <w:t>recebimento@tre-sp.jus.br</w:t>
        </w:r>
      </w:hyperlink>
      <w:r>
        <w:t xml:space="preserve">. </w:t>
      </w:r>
    </w:p>
    <w:p w:rsidR="00ED7DA0" w:rsidRDefault="0010365E">
      <w:pPr>
        <w:widowControl/>
        <w:pBdr>
          <w:top w:val="nil"/>
          <w:left w:val="nil"/>
          <w:bottom w:val="nil"/>
          <w:right w:val="nil"/>
          <w:between w:val="nil"/>
        </w:pBdr>
        <w:spacing w:after="119"/>
        <w:ind w:left="142"/>
        <w:jc w:val="both"/>
      </w:pPr>
      <w:r>
        <w:rPr>
          <w:b/>
        </w:rPr>
        <w:t xml:space="preserve">3.11 – </w:t>
      </w:r>
      <w:r>
        <w:t>Prazo de validade: Mínimo de 4 (quatro) meses, impresso na embalagem, contado da data efetiva de entrega dos produtos.</w:t>
      </w:r>
    </w:p>
    <w:p w:rsidR="00ED7DA0" w:rsidRDefault="0010365E">
      <w:pPr>
        <w:widowControl/>
        <w:pBdr>
          <w:top w:val="nil"/>
          <w:left w:val="nil"/>
          <w:bottom w:val="nil"/>
          <w:right w:val="nil"/>
          <w:between w:val="nil"/>
        </w:pBdr>
        <w:spacing w:after="119"/>
        <w:ind w:left="142"/>
        <w:jc w:val="both"/>
      </w:pPr>
      <w:r>
        <w:rPr>
          <w:b/>
        </w:rPr>
        <w:t xml:space="preserve">3.12 – </w:t>
      </w:r>
      <w:r>
        <w:t xml:space="preserve">A marca do produto entregue deverá estar indicada no próprio produto ou em sua embalagem, visto que a ausência de identificação ocasionará a rejeição dos itens quando da sua entrega. </w:t>
      </w:r>
    </w:p>
    <w:p w:rsidR="00ED7DA0" w:rsidRDefault="00ED7DA0"/>
    <w:p w:rsidR="00ED7DA0" w:rsidRDefault="0010365E">
      <w:pPr>
        <w:widowControl/>
        <w:shd w:val="clear" w:color="auto" w:fill="BFBFBF"/>
        <w:ind w:hanging="2"/>
        <w:jc w:val="both"/>
      </w:pPr>
      <w:r>
        <w:rPr>
          <w:b/>
        </w:rPr>
        <w:t>4 –</w:t>
      </w:r>
      <w:r>
        <w:t xml:space="preserve">  </w:t>
      </w:r>
      <w:r>
        <w:rPr>
          <w:b/>
        </w:rPr>
        <w:t>ESTIMATIVAS DAS QUANTIDADES (fundamento: inciso IV do artigo 18 da Lei n. 14.133/2021)</w:t>
      </w:r>
    </w:p>
    <w:p w:rsidR="00ED7DA0" w:rsidRDefault="00ED7DA0">
      <w:pPr>
        <w:widowControl/>
        <w:shd w:val="clear" w:color="auto" w:fill="BFBFBF"/>
        <w:ind w:hanging="2"/>
        <w:jc w:val="both"/>
        <w:rPr>
          <w:highlight w:val="green"/>
        </w:rPr>
      </w:pPr>
    </w:p>
    <w:p w:rsidR="00ED7DA0" w:rsidRDefault="0010365E">
      <w:pPr>
        <w:widowControl/>
        <w:spacing w:before="280" w:after="119"/>
        <w:jc w:val="both"/>
      </w:pPr>
      <w:r>
        <w:rPr>
          <w:b/>
        </w:rPr>
        <w:t xml:space="preserve">4.1 – </w:t>
      </w:r>
      <w:r>
        <w:t>O consumo médio mensal estimado de café em grão nas unidades do TRE-SP é de aproximadamente 9 (nove) quilogramas, distribuídos da seguinte forma, de acordo com o histórico de consumo:</w:t>
      </w:r>
    </w:p>
    <w:p w:rsidR="00ED7DA0" w:rsidRDefault="0010365E">
      <w:pPr>
        <w:widowControl/>
        <w:spacing w:before="280" w:after="119"/>
        <w:ind w:hanging="2"/>
        <w:jc w:val="both"/>
      </w:pPr>
      <w:r>
        <w:t>Histórico de consumo de café em grão em quilogramas por mês de cada unidade:</w:t>
      </w:r>
    </w:p>
    <w:p w:rsidR="00ED7DA0" w:rsidRDefault="00ED7DA0">
      <w:pPr>
        <w:widowControl/>
        <w:spacing w:before="280" w:after="119"/>
        <w:ind w:hanging="2"/>
        <w:jc w:val="both"/>
      </w:pPr>
    </w:p>
    <w:tbl>
      <w:tblPr>
        <w:tblStyle w:val="af0"/>
        <w:tblW w:w="991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265"/>
        <w:gridCol w:w="570"/>
        <w:gridCol w:w="615"/>
        <w:gridCol w:w="735"/>
        <w:gridCol w:w="615"/>
        <w:gridCol w:w="690"/>
        <w:gridCol w:w="615"/>
        <w:gridCol w:w="525"/>
        <w:gridCol w:w="690"/>
        <w:gridCol w:w="615"/>
        <w:gridCol w:w="660"/>
        <w:gridCol w:w="660"/>
        <w:gridCol w:w="660"/>
      </w:tblGrid>
      <w:tr w:rsidR="00ED7DA0">
        <w:trPr>
          <w:trHeight w:val="300"/>
          <w:jc w:val="center"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ED7DA0">
            <w:pPr>
              <w:widowControl/>
              <w:ind w:hanging="2"/>
              <w:jc w:val="center"/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proofErr w:type="spellStart"/>
            <w:r>
              <w:t>jan</w:t>
            </w:r>
            <w:proofErr w:type="spellEnd"/>
            <w:r>
              <w:t>/24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proofErr w:type="spellStart"/>
            <w:r>
              <w:t>fev</w:t>
            </w:r>
            <w:proofErr w:type="spellEnd"/>
            <w:r>
              <w:t>/24</w:t>
            </w:r>
          </w:p>
        </w:tc>
        <w:tc>
          <w:tcPr>
            <w:tcW w:w="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mar/24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proofErr w:type="spellStart"/>
            <w:r>
              <w:t>abr</w:t>
            </w:r>
            <w:proofErr w:type="spellEnd"/>
            <w:r>
              <w:t>/24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proofErr w:type="spellStart"/>
            <w:r>
              <w:t>mai</w:t>
            </w:r>
            <w:proofErr w:type="spellEnd"/>
            <w:r>
              <w:t>/24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proofErr w:type="spellStart"/>
            <w:r>
              <w:t>jun</w:t>
            </w:r>
            <w:proofErr w:type="spellEnd"/>
            <w:r>
              <w:t>/24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proofErr w:type="spellStart"/>
            <w:r>
              <w:t>jul</w:t>
            </w:r>
            <w:proofErr w:type="spellEnd"/>
            <w:r>
              <w:t>/24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proofErr w:type="spellStart"/>
            <w:r>
              <w:t>ago</w:t>
            </w:r>
            <w:proofErr w:type="spellEnd"/>
            <w:r>
              <w:t>/24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set/24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out/24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proofErr w:type="spellStart"/>
            <w:r>
              <w:t>nov</w:t>
            </w:r>
            <w:proofErr w:type="spellEnd"/>
            <w:r>
              <w:t>/24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dez/24</w:t>
            </w:r>
          </w:p>
        </w:tc>
      </w:tr>
      <w:tr w:rsidR="00ED7DA0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PRESIDÊNCIA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tabs>
                <w:tab w:val="center" w:pos="253"/>
              </w:tabs>
              <w:ind w:hanging="2"/>
              <w:jc w:val="center"/>
            </w:pPr>
            <w: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2</w:t>
            </w:r>
          </w:p>
        </w:tc>
      </w:tr>
      <w:tr w:rsidR="00ED7DA0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CORREGEDORIA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tabs>
                <w:tab w:val="center" w:pos="293"/>
              </w:tabs>
              <w:ind w:hanging="2"/>
              <w:jc w:val="center"/>
            </w:pPr>
            <w: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1</w:t>
            </w:r>
          </w:p>
        </w:tc>
      </w:tr>
      <w:tr w:rsidR="00ED7DA0">
        <w:trPr>
          <w:trHeight w:val="300"/>
          <w:jc w:val="center"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DIRETORIA-GERAL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4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3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6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1</w:t>
            </w:r>
          </w:p>
        </w:tc>
      </w:tr>
      <w:tr w:rsidR="00ED7DA0">
        <w:trPr>
          <w:trHeight w:val="300"/>
          <w:jc w:val="center"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MACKENZIE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0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0</w:t>
            </w:r>
          </w:p>
        </w:tc>
      </w:tr>
      <w:tr w:rsidR="00ED7DA0">
        <w:trPr>
          <w:trHeight w:val="300"/>
          <w:jc w:val="center"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PLENÁRIO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0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2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</w:pPr>
            <w:r>
              <w:t>2</w:t>
            </w:r>
          </w:p>
        </w:tc>
      </w:tr>
      <w:tr w:rsidR="00ED7DA0">
        <w:trPr>
          <w:trHeight w:val="300"/>
          <w:jc w:val="center"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  <w:rPr>
                <w:b/>
              </w:rPr>
            </w:pPr>
            <w:r>
              <w:rPr>
                <w:b/>
              </w:rPr>
              <w:t>TOTAL MENSAL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D7DA0">
        <w:trPr>
          <w:trHeight w:val="300"/>
          <w:jc w:val="center"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  <w:rPr>
                <w:b/>
              </w:rPr>
            </w:pPr>
            <w:r>
              <w:rPr>
                <w:b/>
              </w:rPr>
              <w:t>TOTAL ANUAL</w:t>
            </w:r>
          </w:p>
        </w:tc>
        <w:tc>
          <w:tcPr>
            <w:tcW w:w="76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  <w:rPr>
                <w:b/>
              </w:rPr>
            </w:pPr>
            <w:r>
              <w:rPr>
                <w:b/>
              </w:rPr>
              <w:t>112</w:t>
            </w:r>
          </w:p>
        </w:tc>
      </w:tr>
      <w:tr w:rsidR="00ED7DA0">
        <w:trPr>
          <w:trHeight w:val="300"/>
          <w:jc w:val="center"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  <w:rPr>
                <w:b/>
              </w:rPr>
            </w:pPr>
            <w:r>
              <w:rPr>
                <w:b/>
              </w:rPr>
              <w:t>MÉDIA MENSAL</w:t>
            </w:r>
          </w:p>
        </w:tc>
        <w:tc>
          <w:tcPr>
            <w:tcW w:w="76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A0" w:rsidRDefault="0010365E">
            <w:pPr>
              <w:widowControl/>
              <w:ind w:hanging="2"/>
              <w:jc w:val="center"/>
              <w:rPr>
                <w:b/>
              </w:rPr>
            </w:pPr>
            <w:r>
              <w:rPr>
                <w:b/>
              </w:rPr>
              <w:t>9,33</w:t>
            </w:r>
          </w:p>
        </w:tc>
      </w:tr>
    </w:tbl>
    <w:p w:rsidR="00ED7DA0" w:rsidRDefault="0010365E">
      <w:pPr>
        <w:widowControl/>
        <w:spacing w:before="280" w:after="119"/>
        <w:ind w:hanging="2"/>
        <w:jc w:val="both"/>
      </w:pPr>
      <w:r>
        <w:t>Para a expectativa de consumo da próxima Ata foi utilizado como base o consumo registrado no ano de 2024, nos termos acima, acrescido de uma margem de segurança de aproximadamente 40%, para fazer frente à tendência de crescimento do consumo, face à recente aquisição e utilização de novas máquinas de café expresso.</w:t>
      </w:r>
    </w:p>
    <w:p w:rsidR="00ED7DA0" w:rsidRDefault="0010365E">
      <w:pPr>
        <w:ind w:hanging="2"/>
        <w:jc w:val="both"/>
      </w:pPr>
      <w:r>
        <w:t>Dessa forma, considerado o histórico de consumo, a projeção adicional de segurança, chega-se à seguinte expectativa de consumo para os próximos 12 (doze) meses de contratação:</w:t>
      </w:r>
    </w:p>
    <w:p w:rsidR="00ED7DA0" w:rsidRDefault="00ED7DA0">
      <w:pPr>
        <w:ind w:hanging="2"/>
        <w:jc w:val="both"/>
      </w:pPr>
    </w:p>
    <w:p w:rsidR="00ED7DA0" w:rsidRDefault="00ED7DA0">
      <w:pPr>
        <w:ind w:hanging="2"/>
        <w:jc w:val="both"/>
      </w:pPr>
    </w:p>
    <w:sdt>
      <w:sdtPr>
        <w:tag w:val="goog_rdk_0"/>
        <w:id w:val="1549020012"/>
        <w:lock w:val="contentLocked"/>
      </w:sdtPr>
      <w:sdtEndPr/>
      <w:sdtContent>
        <w:tbl>
          <w:tblPr>
            <w:tblStyle w:val="af1"/>
            <w:tblW w:w="9910" w:type="dxa"/>
            <w:tblInd w:w="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4955"/>
            <w:gridCol w:w="4955"/>
          </w:tblGrid>
          <w:tr w:rsidR="00ED7DA0">
            <w:tc>
              <w:tcPr>
                <w:tcW w:w="495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D7DA0" w:rsidRDefault="0010365E">
                <w:pPr>
                  <w:spacing w:line="276" w:lineRule="auto"/>
                  <w:rPr>
                    <w:b/>
                  </w:rPr>
                </w:pPr>
                <w:r>
                  <w:t xml:space="preserve">CONSUMO ESTIMADO COM BASE NA MÉDIA MENSAL DO CONSUMO EM 2024 </w:t>
                </w:r>
                <w:r>
                  <w:rPr>
                    <w:b/>
                  </w:rPr>
                  <w:t>(A)</w:t>
                </w:r>
              </w:p>
              <w:p w:rsidR="00ED7DA0" w:rsidRDefault="00ED7DA0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</w:pPr>
              </w:p>
            </w:tc>
            <w:tc>
              <w:tcPr>
                <w:tcW w:w="495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D7DA0" w:rsidRDefault="0010365E">
                <w:pPr>
                  <w:spacing w:line="276" w:lineRule="auto"/>
                  <w:rPr>
                    <w:b/>
                  </w:rPr>
                </w:pPr>
                <w:r>
                  <w:t xml:space="preserve">9,33 * 12 =  111,96 = </w:t>
                </w:r>
                <w:r>
                  <w:rPr>
                    <w:b/>
                  </w:rPr>
                  <w:t>112</w:t>
                </w:r>
              </w:p>
            </w:tc>
          </w:tr>
          <w:tr w:rsidR="00ED7DA0">
            <w:tc>
              <w:tcPr>
                <w:tcW w:w="495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D7DA0" w:rsidRDefault="0010365E">
                <w:pPr>
                  <w:ind w:hanging="2"/>
                  <w:jc w:val="both"/>
                  <w:rPr>
                    <w:b/>
                  </w:rPr>
                </w:pPr>
                <w:r>
                  <w:t xml:space="preserve">MARGEM DE SEGURANÇA </w:t>
                </w:r>
                <w:r>
                  <w:rPr>
                    <w:b/>
                  </w:rPr>
                  <w:t>(B)</w:t>
                </w:r>
              </w:p>
            </w:tc>
            <w:tc>
              <w:tcPr>
                <w:tcW w:w="495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D7DA0" w:rsidRDefault="0010365E">
                <w:pPr>
                  <w:ind w:hanging="2"/>
                  <w:jc w:val="both"/>
                  <w:rPr>
                    <w:b/>
                  </w:rPr>
                </w:pPr>
                <w:r>
                  <w:t xml:space="preserve">112*40% = 44,8 = </w:t>
                </w:r>
                <w:r>
                  <w:rPr>
                    <w:b/>
                  </w:rPr>
                  <w:t>45</w:t>
                </w:r>
              </w:p>
            </w:tc>
          </w:tr>
          <w:tr w:rsidR="00ED7DA0">
            <w:tc>
              <w:tcPr>
                <w:tcW w:w="495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D7DA0" w:rsidRDefault="0010365E">
                <w:pPr>
                  <w:spacing w:line="276" w:lineRule="auto"/>
                  <w:rPr>
                    <w:b/>
                  </w:rPr>
                </w:pPr>
                <w:r>
                  <w:t xml:space="preserve">ESTIMATIVA  TOTAL </w:t>
                </w:r>
                <w:r>
                  <w:rPr>
                    <w:b/>
                  </w:rPr>
                  <w:t>(C = A + B)</w:t>
                </w:r>
              </w:p>
            </w:tc>
            <w:tc>
              <w:tcPr>
                <w:tcW w:w="495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D7DA0" w:rsidRDefault="0010365E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rPr>
                    <w:b/>
                  </w:rPr>
                </w:pPr>
                <w:r>
                  <w:t>112 + 45 = 157 =</w:t>
                </w:r>
                <w:r>
                  <w:rPr>
                    <w:b/>
                  </w:rPr>
                  <w:t xml:space="preserve"> 160 (ARREDONDADA)</w:t>
                </w:r>
              </w:p>
            </w:tc>
          </w:tr>
        </w:tbl>
      </w:sdtContent>
    </w:sdt>
    <w:p w:rsidR="00ED7DA0" w:rsidRDefault="00ED7DA0">
      <w:pPr>
        <w:ind w:hanging="2"/>
        <w:jc w:val="both"/>
      </w:pPr>
    </w:p>
    <w:p w:rsidR="00ED7DA0" w:rsidRDefault="00ED7DA0"/>
    <w:p w:rsidR="00ED7DA0" w:rsidRDefault="00ED7DA0"/>
    <w:p w:rsidR="00ED7DA0" w:rsidRDefault="0010365E">
      <w:pPr>
        <w:widowControl/>
        <w:shd w:val="clear" w:color="auto" w:fill="BFBFBF"/>
        <w:ind w:hanging="2"/>
        <w:jc w:val="both"/>
      </w:pPr>
      <w:r>
        <w:rPr>
          <w:b/>
        </w:rPr>
        <w:t>5 –</w:t>
      </w:r>
      <w:r>
        <w:t xml:space="preserve"> </w:t>
      </w:r>
      <w:r>
        <w:rPr>
          <w:b/>
        </w:rPr>
        <w:t>LEVANTAMENTO DE MERCADO E JUSTIFICATIVA DA ESCOLHA DO TIPO E SOLUÇÃO A CONTRATAR (fundamento: inciso V do artigo 18 da Lei n. 14.133/2021)</w:t>
      </w:r>
    </w:p>
    <w:p w:rsidR="00ED7DA0" w:rsidRDefault="00ED7DA0">
      <w:pPr>
        <w:widowControl/>
        <w:shd w:val="clear" w:color="auto" w:fill="BFBFBF"/>
        <w:ind w:hanging="2"/>
        <w:jc w:val="both"/>
      </w:pPr>
    </w:p>
    <w:p w:rsidR="00ED7DA0" w:rsidRDefault="00ED7DA0">
      <w:pPr>
        <w:widowControl/>
        <w:shd w:val="clear" w:color="auto" w:fill="FFFFFF"/>
        <w:ind w:hanging="2"/>
        <w:jc w:val="both"/>
      </w:pPr>
    </w:p>
    <w:p w:rsidR="00ED7DA0" w:rsidRDefault="0010365E">
      <w:pPr>
        <w:widowControl/>
        <w:ind w:hanging="2"/>
        <w:jc w:val="both"/>
      </w:pPr>
      <w:r>
        <w:rPr>
          <w:b/>
        </w:rPr>
        <w:t>5.1 –</w:t>
      </w:r>
      <w:r>
        <w:t xml:space="preserve"> Foram consideradas as seguintes alternativas para atender à demanda de café no órgão/entidade:</w:t>
      </w:r>
    </w:p>
    <w:p w:rsidR="00ED7DA0" w:rsidRDefault="00ED7DA0">
      <w:pPr>
        <w:widowControl/>
        <w:ind w:hanging="2"/>
        <w:jc w:val="both"/>
      </w:pPr>
    </w:p>
    <w:p w:rsidR="00ED7DA0" w:rsidRDefault="0010365E">
      <w:pPr>
        <w:widowControl/>
        <w:spacing w:before="120"/>
        <w:ind w:left="-2"/>
        <w:jc w:val="both"/>
      </w:pPr>
      <w:r>
        <w:rPr>
          <w:b/>
        </w:rPr>
        <w:lastRenderedPageBreak/>
        <w:t>a)</w:t>
      </w:r>
      <w:r>
        <w:t xml:space="preserve"> Aquisição de café em grão: </w:t>
      </w:r>
    </w:p>
    <w:p w:rsidR="00ED7DA0" w:rsidRDefault="0010365E">
      <w:pPr>
        <w:widowControl/>
        <w:spacing w:before="120"/>
        <w:jc w:val="both"/>
      </w:pPr>
      <w:r>
        <w:t>Esta alternativa foi escolhida em função de sua praticidade e economicidade. Visto que, com um único clique na máquina de café é possível servir um café de qualidade. Além disso, como o café é servido de forma individualizada, reduz o desperdício.</w:t>
      </w:r>
    </w:p>
    <w:p w:rsidR="00ED7DA0" w:rsidRDefault="00ED7DA0">
      <w:pPr>
        <w:widowControl/>
        <w:spacing w:before="120"/>
        <w:jc w:val="both"/>
      </w:pPr>
    </w:p>
    <w:p w:rsidR="00ED7DA0" w:rsidRDefault="0010365E">
      <w:pPr>
        <w:widowControl/>
        <w:spacing w:before="120"/>
        <w:ind w:hanging="2"/>
        <w:jc w:val="both"/>
      </w:pPr>
      <w:r>
        <w:rPr>
          <w:b/>
        </w:rPr>
        <w:t xml:space="preserve">b) </w:t>
      </w:r>
      <w:r>
        <w:t xml:space="preserve">Aquisição de café em pó: </w:t>
      </w:r>
    </w:p>
    <w:p w:rsidR="00ED7DA0" w:rsidRDefault="0010365E">
      <w:pPr>
        <w:widowControl/>
        <w:spacing w:before="120"/>
        <w:ind w:hanging="2"/>
        <w:jc w:val="both"/>
      </w:pPr>
      <w:r>
        <w:t>Esta alternativa foi considerada, porém apresenta a desvantagem de não garantir a mesma qualidade e frescor do café produzido na hora, já que o café seria pré-preparado e mantido em garrafas térmicas, podendo comprometer o sabor e aroma da bebida. O público alvo abordado neste ETP consumirá a bebida em momentos variados e imprevisíveis, de modo que a disponibilidade para preparo imediato é condição necessária, razão do descarte desta alternativa.</w:t>
      </w:r>
    </w:p>
    <w:p w:rsidR="00ED7DA0" w:rsidRDefault="00ED7DA0">
      <w:pPr>
        <w:widowControl/>
        <w:spacing w:before="120"/>
        <w:ind w:hanging="2"/>
        <w:jc w:val="both"/>
      </w:pPr>
    </w:p>
    <w:p w:rsidR="00ED7DA0" w:rsidRDefault="0010365E">
      <w:pPr>
        <w:widowControl/>
        <w:spacing w:before="120"/>
        <w:ind w:left="-2"/>
        <w:jc w:val="both"/>
      </w:pPr>
      <w:r>
        <w:rPr>
          <w:b/>
        </w:rPr>
        <w:t>c)</w:t>
      </w:r>
      <w:r>
        <w:t xml:space="preserve"> Aquisição de café em cápsula:</w:t>
      </w:r>
    </w:p>
    <w:p w:rsidR="00ED7DA0" w:rsidRDefault="0010365E">
      <w:pPr>
        <w:widowControl/>
        <w:spacing w:before="120"/>
        <w:ind w:left="-2"/>
      </w:pPr>
      <w:r>
        <w:t xml:space="preserve">Esta opção não se mostra vantajosa, uma vez que, além de ter o custo elevado, as cápsulas geram maior emissão de lixo do que outros tipos de café. </w:t>
      </w:r>
    </w:p>
    <w:p w:rsidR="00ED7DA0" w:rsidRDefault="0010365E">
      <w:pPr>
        <w:widowControl/>
        <w:spacing w:before="120"/>
        <w:ind w:left="-2"/>
        <w:jc w:val="both"/>
      </w:pPr>
      <w:r>
        <w:t>Dessa forma, a alternativa A apresenta a melhor solução para o objeto pretendido e já está consagrada no âmbito do TRE-SP, considerando inclusive que houve recente renovação do acervo de máquinas de café expresso, para o preparo da bebida a partir de grãos.</w:t>
      </w:r>
    </w:p>
    <w:p w:rsidR="00ED7DA0" w:rsidRDefault="00ED7DA0">
      <w:pPr>
        <w:widowControl/>
        <w:spacing w:before="120"/>
        <w:ind w:left="-2"/>
        <w:jc w:val="both"/>
      </w:pPr>
    </w:p>
    <w:p w:rsidR="00ED7DA0" w:rsidRDefault="00ED7DA0">
      <w:pPr>
        <w:widowControl/>
        <w:shd w:val="clear" w:color="auto" w:fill="FFFFFF"/>
        <w:ind w:hanging="2"/>
        <w:jc w:val="both"/>
        <w:rPr>
          <w:highlight w:val="yellow"/>
        </w:rPr>
      </w:pPr>
    </w:p>
    <w:p w:rsidR="00ED7DA0" w:rsidRDefault="0010365E">
      <w:pPr>
        <w:widowControl/>
        <w:shd w:val="clear" w:color="auto" w:fill="BFBFBF"/>
        <w:ind w:hanging="2"/>
        <w:jc w:val="both"/>
      </w:pPr>
      <w:r>
        <w:rPr>
          <w:b/>
        </w:rPr>
        <w:t>6 –</w:t>
      </w:r>
      <w:r>
        <w:t xml:space="preserve"> </w:t>
      </w:r>
      <w:r>
        <w:rPr>
          <w:b/>
        </w:rPr>
        <w:t>ESTIMATIVA DO VALOR DA CONTRATAÇÃO (fundamento: inciso VI do artigo 18 da Lei n. 14.133/2021)</w:t>
      </w:r>
    </w:p>
    <w:p w:rsidR="00ED7DA0" w:rsidRDefault="00ED7DA0">
      <w:pPr>
        <w:widowControl/>
        <w:shd w:val="clear" w:color="auto" w:fill="BFBFBF"/>
        <w:ind w:hanging="2"/>
        <w:jc w:val="both"/>
      </w:pPr>
    </w:p>
    <w:p w:rsidR="00ED7DA0" w:rsidRDefault="0010365E">
      <w:pPr>
        <w:widowControl/>
        <w:spacing w:before="280" w:after="119"/>
        <w:ind w:hanging="2"/>
        <w:jc w:val="both"/>
      </w:pPr>
      <w:r>
        <w:rPr>
          <w:b/>
        </w:rPr>
        <w:t>6.1 –</w:t>
      </w:r>
      <w:r>
        <w:t xml:space="preserve"> De um lado, a estimativa de gastos considera a projeção de consumo para o novo ciclo anual indicada no subitem 4.1 - </w:t>
      </w:r>
      <w:proofErr w:type="gramStart"/>
      <w:r>
        <w:rPr>
          <w:u w:val="single"/>
        </w:rPr>
        <w:t>160  pacotes</w:t>
      </w:r>
      <w:proofErr w:type="gramEnd"/>
      <w:r>
        <w:rPr>
          <w:u w:val="single"/>
        </w:rPr>
        <w:t xml:space="preserve"> com 1 kg (quilograma) de café em grão</w:t>
      </w:r>
      <w:r>
        <w:t>.</w:t>
      </w:r>
    </w:p>
    <w:p w:rsidR="00ED7DA0" w:rsidRDefault="0010365E">
      <w:pPr>
        <w:widowControl/>
        <w:spacing w:before="280" w:after="119"/>
        <w:ind w:hanging="2"/>
        <w:jc w:val="both"/>
      </w:pPr>
      <w:r>
        <w:rPr>
          <w:b/>
        </w:rPr>
        <w:t xml:space="preserve">6.2 – </w:t>
      </w:r>
      <w:r>
        <w:t>Por outro lado, para efeito de estimativa de valor, foi considerado o preço registrado na Ata de Registro de Preços nº 24/2023, celebrada junto à “</w:t>
      </w:r>
      <w:proofErr w:type="spellStart"/>
      <w:r>
        <w:t>Doac</w:t>
      </w:r>
      <w:proofErr w:type="spellEnd"/>
      <w:r>
        <w:t xml:space="preserve"> Comércio e Serviços LTDA</w:t>
      </w:r>
      <w:proofErr w:type="gramStart"/>
      <w:r>
        <w:t>”,  de</w:t>
      </w:r>
      <w:proofErr w:type="gramEnd"/>
      <w:r>
        <w:t xml:space="preserve"> R$ 54,55  por unidade (pacote com 1 kg), ofertado na sessão pública de 27/04/2023, porém, atualizado a R$72,55, pela variação de aproximadamente 33%, em função da alta do preço do café que está ocorrendo atualmente, conforme noticiado em:</w:t>
      </w:r>
    </w:p>
    <w:p w:rsidR="00ED7DA0" w:rsidRDefault="008E12AA">
      <w:pPr>
        <w:widowControl/>
        <w:spacing w:before="280" w:after="119"/>
        <w:ind w:hanging="2"/>
        <w:jc w:val="both"/>
      </w:pPr>
      <w:hyperlink r:id="rId10">
        <w:r w:rsidR="0010365E">
          <w:rPr>
            <w:u w:val="single"/>
          </w:rPr>
          <w:t>https://g1.globo.com/economia/agronegocios/noticia/2024/12/13/cafe-a-quase-r-50-entenda-por-que-preco-deve-continuar-subindo-em-2025.ghtml.</w:t>
        </w:r>
      </w:hyperlink>
      <w:r w:rsidR="0010365E">
        <w:t xml:space="preserve">. </w:t>
      </w:r>
    </w:p>
    <w:p w:rsidR="00ED7DA0" w:rsidRDefault="00ED7DA0">
      <w:pPr>
        <w:ind w:hanging="2"/>
        <w:jc w:val="both"/>
      </w:pPr>
    </w:p>
    <w:p w:rsidR="00ED7DA0" w:rsidRDefault="0010365E">
      <w:pPr>
        <w:jc w:val="both"/>
      </w:pPr>
      <w:bookmarkStart w:id="2" w:name="_heading=h.gjdgxs" w:colFirst="0" w:colLast="0"/>
      <w:bookmarkEnd w:id="2"/>
      <w:r>
        <w:rPr>
          <w:b/>
        </w:rPr>
        <w:t>6.3 –</w:t>
      </w:r>
      <w:r>
        <w:t xml:space="preserve"> Dessa forma, a estimativa total do valor da contratação em 12 meses é de R$11.608,00 (onze mil, seiscentos e oito reais), </w:t>
      </w:r>
      <w:proofErr w:type="gramStart"/>
      <w:r>
        <w:t>considerando  a</w:t>
      </w:r>
      <w:proofErr w:type="gramEnd"/>
      <w:r>
        <w:t xml:space="preserve"> estimativa de aquisição de até 160 pacotes de  1 kg ao preço unitário aproximado de R$ 72,55.</w:t>
      </w:r>
    </w:p>
    <w:p w:rsidR="00ED7DA0" w:rsidRDefault="00ED7DA0">
      <w:pPr>
        <w:jc w:val="both"/>
      </w:pPr>
    </w:p>
    <w:p w:rsidR="00ED7DA0" w:rsidRDefault="00ED7DA0">
      <w:pPr>
        <w:jc w:val="both"/>
      </w:pPr>
    </w:p>
    <w:p w:rsidR="00ED7DA0" w:rsidRDefault="0010365E">
      <w:pPr>
        <w:widowControl/>
        <w:shd w:val="clear" w:color="auto" w:fill="BFBFBF"/>
        <w:ind w:hanging="2"/>
        <w:jc w:val="both"/>
      </w:pPr>
      <w:r>
        <w:rPr>
          <w:b/>
        </w:rPr>
        <w:t>7 –</w:t>
      </w:r>
      <w:r>
        <w:t xml:space="preserve"> </w:t>
      </w:r>
      <w:r>
        <w:rPr>
          <w:b/>
        </w:rPr>
        <w:t>DESCRIÇÃO DA SOLUÇÃO COMO UM TODO (fundamento: inciso VII do artigo 18 da Lei n. 14.133/2021)</w:t>
      </w:r>
    </w:p>
    <w:p w:rsidR="00ED7DA0" w:rsidRDefault="00ED7DA0">
      <w:pPr>
        <w:widowControl/>
        <w:shd w:val="clear" w:color="auto" w:fill="BFBFBF"/>
        <w:ind w:hanging="2"/>
        <w:jc w:val="both"/>
      </w:pPr>
    </w:p>
    <w:p w:rsidR="00ED7DA0" w:rsidRDefault="0010365E">
      <w:pPr>
        <w:widowControl/>
        <w:spacing w:before="280" w:after="119"/>
        <w:ind w:hanging="2"/>
        <w:jc w:val="both"/>
      </w:pPr>
      <w:r>
        <w:rPr>
          <w:b/>
        </w:rPr>
        <w:t xml:space="preserve">7.1 – </w:t>
      </w:r>
      <w:r>
        <w:t>A contratação em tela compreende o fornecimento de café em grão acondicionado em embalagem valvulada de 1 Kg, por intermédio do Sistema de Registro de Preços, com entrega na Seção de Acompanhamento das Aquisições do TRE/SP, durante o período de 12 meses, conforme a efetiva necessidade de reposição do estoque e consumo, admitida a possibilidade de prorrogação da Ata por até 12 meses.</w:t>
      </w:r>
    </w:p>
    <w:p w:rsidR="00ED7DA0" w:rsidRDefault="00ED7DA0">
      <w:pPr>
        <w:widowControl/>
        <w:spacing w:before="280" w:after="119"/>
        <w:ind w:hanging="2"/>
        <w:jc w:val="both"/>
      </w:pPr>
    </w:p>
    <w:p w:rsidR="00ED7DA0" w:rsidRDefault="0010365E">
      <w:pPr>
        <w:widowControl/>
        <w:shd w:val="clear" w:color="auto" w:fill="BFBFBF"/>
        <w:ind w:hanging="2"/>
        <w:jc w:val="both"/>
      </w:pPr>
      <w:r>
        <w:rPr>
          <w:b/>
        </w:rPr>
        <w:t>8 –</w:t>
      </w:r>
      <w:r>
        <w:t xml:space="preserve"> </w:t>
      </w:r>
      <w:r>
        <w:rPr>
          <w:b/>
        </w:rPr>
        <w:t>JUSTIFICATIVA PARA O PARCELAMENTO OU NÃO DA SOLUÇÃO (fundamento: inciso VIII do artigo 18 da Lei n. 14.133/2021)</w:t>
      </w:r>
    </w:p>
    <w:p w:rsidR="00ED7DA0" w:rsidRDefault="00ED7DA0">
      <w:pPr>
        <w:widowControl/>
        <w:shd w:val="clear" w:color="auto" w:fill="BFBFBF"/>
        <w:ind w:hanging="2"/>
        <w:jc w:val="both"/>
      </w:pPr>
    </w:p>
    <w:p w:rsidR="00ED7DA0" w:rsidRDefault="0010365E">
      <w:pPr>
        <w:widowControl/>
        <w:spacing w:before="280" w:after="119"/>
        <w:ind w:hanging="2"/>
        <w:jc w:val="both"/>
      </w:pPr>
      <w:r>
        <w:rPr>
          <w:b/>
        </w:rPr>
        <w:lastRenderedPageBreak/>
        <w:t>8.1 –</w:t>
      </w:r>
      <w:r>
        <w:t xml:space="preserve"> 100% da demanda prevista está concentrada na Sede I deste Tribunal, nesse sentido, recomenda-se que a contratação seja levada a efeito sob item único, a ser adjudicado a uma única empresa.</w:t>
      </w:r>
    </w:p>
    <w:p w:rsidR="00ED7DA0" w:rsidRDefault="0010365E">
      <w:pPr>
        <w:widowControl/>
        <w:spacing w:before="280" w:after="119"/>
        <w:ind w:hanging="2"/>
        <w:jc w:val="both"/>
      </w:pPr>
      <w:r>
        <w:rPr>
          <w:b/>
        </w:rPr>
        <w:t xml:space="preserve">8.2 – </w:t>
      </w:r>
      <w:r>
        <w:t xml:space="preserve">Trata-se de fornecimento de bem comum, cujos padrões de desempenho e qualidade podem ser objetivamente definidos no instrumento convocatório, por meio de especificações usuais de mercado. </w:t>
      </w:r>
    </w:p>
    <w:p w:rsidR="00ED7DA0" w:rsidRDefault="0010365E">
      <w:pPr>
        <w:widowControl/>
        <w:spacing w:before="280" w:after="119"/>
        <w:ind w:hanging="2"/>
        <w:jc w:val="both"/>
      </w:pPr>
      <w:r>
        <w:rPr>
          <w:b/>
        </w:rPr>
        <w:t xml:space="preserve">8.3 – </w:t>
      </w:r>
      <w:r>
        <w:t xml:space="preserve">Para a contratação em tela, entende-se pertinente a realização de licitação na modalidade pregão, formato eletrônico, em atendimento às disposições da Lei Federal nº 14.133/2021, artigo 29, com critério de julgamento por “menor preço”. </w:t>
      </w:r>
    </w:p>
    <w:p w:rsidR="00ED7DA0" w:rsidRDefault="0010365E">
      <w:pPr>
        <w:widowControl/>
        <w:spacing w:before="280" w:after="119"/>
        <w:ind w:hanging="2"/>
        <w:jc w:val="both"/>
        <w:rPr>
          <w:i/>
        </w:rPr>
      </w:pPr>
      <w:r>
        <w:rPr>
          <w:b/>
        </w:rPr>
        <w:t>8.4 –</w:t>
      </w:r>
      <w:r>
        <w:t xml:space="preserve"> Aplica-se à contratação pretendida o Sistema de Registro de Preços – SRP dada a necessidade de contratações frequentes e a conveniência das entregas parceladas, em consonância com o Decreto Federal nº 11.462/2023, artigo 3º, incisos I e II.</w:t>
      </w:r>
      <w:r>
        <w:rPr>
          <w:i/>
        </w:rPr>
        <w:t xml:space="preserve">   </w:t>
      </w:r>
    </w:p>
    <w:p w:rsidR="00ED7DA0" w:rsidRDefault="00ED7DA0">
      <w:pPr>
        <w:widowControl/>
        <w:spacing w:before="280" w:after="119"/>
        <w:ind w:hanging="2"/>
        <w:jc w:val="both"/>
        <w:rPr>
          <w:i/>
        </w:rPr>
      </w:pPr>
    </w:p>
    <w:p w:rsidR="00ED7DA0" w:rsidRDefault="0010365E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BFBFBF"/>
        <w:ind w:hanging="2"/>
        <w:jc w:val="both"/>
      </w:pPr>
      <w:r>
        <w:rPr>
          <w:b/>
          <w:shd w:val="clear" w:color="auto" w:fill="BFBFBF"/>
        </w:rPr>
        <w:t xml:space="preserve">9 </w:t>
      </w:r>
      <w:r>
        <w:rPr>
          <w:b/>
        </w:rPr>
        <w:t>–</w:t>
      </w:r>
      <w:r>
        <w:t xml:space="preserve"> </w:t>
      </w:r>
      <w:r>
        <w:rPr>
          <w:b/>
          <w:shd w:val="clear" w:color="auto" w:fill="BFBFBF"/>
        </w:rPr>
        <w:t xml:space="preserve">RESULTADOS PRETENDIDOS </w:t>
      </w:r>
      <w:r>
        <w:rPr>
          <w:b/>
        </w:rPr>
        <w:t>(fundamento: inciso IX do artigo 18 da Lei n. 14.133/2021)</w:t>
      </w:r>
    </w:p>
    <w:p w:rsidR="00ED7DA0" w:rsidRDefault="00ED7DA0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BFBFBF"/>
        <w:ind w:hanging="2"/>
        <w:jc w:val="both"/>
        <w:rPr>
          <w:highlight w:val="white"/>
        </w:rPr>
      </w:pPr>
    </w:p>
    <w:p w:rsidR="00ED7DA0" w:rsidRDefault="00ED7DA0">
      <w:pPr>
        <w:ind w:hanging="2"/>
      </w:pPr>
    </w:p>
    <w:p w:rsidR="00ED7DA0" w:rsidRDefault="0010365E">
      <w:pPr>
        <w:widowControl/>
        <w:spacing w:after="119"/>
        <w:jc w:val="both"/>
      </w:pPr>
      <w:r>
        <w:rPr>
          <w:b/>
        </w:rPr>
        <w:t>9.1 –</w:t>
      </w:r>
      <w:r>
        <w:t xml:space="preserve"> Com a contratação da solução pretendida vislumbra-se a manutenção do fornecimento de café às autoridades do TRE-SP – Presidência, Corregedoria, Diretoria-Geral e Plenário, de maneira econômica, ininterrupta e sem necessidade de intervenções na estrutura das edificações, com qualidade e praticidade.</w:t>
      </w:r>
    </w:p>
    <w:p w:rsidR="00ED7DA0" w:rsidRDefault="00ED7DA0">
      <w:pPr>
        <w:widowControl/>
        <w:spacing w:before="280" w:after="119"/>
        <w:ind w:hanging="2"/>
        <w:jc w:val="both"/>
      </w:pPr>
    </w:p>
    <w:p w:rsidR="00ED7DA0" w:rsidRDefault="0010365E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BFBFBF"/>
        <w:ind w:hanging="2"/>
        <w:jc w:val="both"/>
      </w:pPr>
      <w:r>
        <w:rPr>
          <w:b/>
          <w:shd w:val="clear" w:color="auto" w:fill="BFBFBF"/>
        </w:rPr>
        <w:t xml:space="preserve">10 </w:t>
      </w:r>
      <w:r>
        <w:rPr>
          <w:b/>
        </w:rPr>
        <w:t>–</w:t>
      </w:r>
      <w:r>
        <w:t xml:space="preserve"> </w:t>
      </w:r>
      <w:r>
        <w:rPr>
          <w:b/>
          <w:shd w:val="clear" w:color="auto" w:fill="BFBFBF"/>
        </w:rPr>
        <w:t xml:space="preserve">PROVIDÊNCIAS A SEREM ADOTADAS PREVIAMENTE À CELEBRAÇÃO DO CONTRATO </w:t>
      </w:r>
      <w:r>
        <w:rPr>
          <w:b/>
        </w:rPr>
        <w:t>(fundamento: inciso X do artigo 18 da Lei n. 14.133/2021)</w:t>
      </w:r>
    </w:p>
    <w:p w:rsidR="00ED7DA0" w:rsidRDefault="0010365E">
      <w:pPr>
        <w:widowControl/>
        <w:pBdr>
          <w:top w:val="nil"/>
          <w:left w:val="nil"/>
          <w:bottom w:val="nil"/>
          <w:right w:val="nil"/>
          <w:between w:val="nil"/>
        </w:pBdr>
        <w:spacing w:before="280" w:after="119"/>
        <w:jc w:val="both"/>
        <w:rPr>
          <w:i/>
        </w:rPr>
      </w:pPr>
      <w:r>
        <w:rPr>
          <w:b/>
        </w:rPr>
        <w:t xml:space="preserve">10.1 – </w:t>
      </w:r>
      <w:r>
        <w:t>Não há providências prévias a serem tomadas, uma vez que se trata de continuidade de solução já adotada pelo Tribunal</w:t>
      </w:r>
      <w:r>
        <w:rPr>
          <w:i/>
        </w:rPr>
        <w:t>.  </w:t>
      </w:r>
    </w:p>
    <w:p w:rsidR="00ED7DA0" w:rsidRDefault="00ED7DA0">
      <w:pPr>
        <w:widowControl/>
        <w:pBdr>
          <w:top w:val="nil"/>
          <w:left w:val="nil"/>
          <w:bottom w:val="nil"/>
          <w:right w:val="nil"/>
          <w:between w:val="nil"/>
        </w:pBdr>
        <w:spacing w:before="280" w:after="119"/>
        <w:ind w:hanging="2"/>
        <w:jc w:val="both"/>
        <w:rPr>
          <w:i/>
        </w:rPr>
      </w:pPr>
    </w:p>
    <w:p w:rsidR="00ED7DA0" w:rsidRDefault="0010365E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BFBFBF"/>
        <w:ind w:hanging="2"/>
        <w:jc w:val="both"/>
      </w:pPr>
      <w:r>
        <w:rPr>
          <w:b/>
        </w:rPr>
        <w:t>11 –</w:t>
      </w:r>
      <w:r>
        <w:t xml:space="preserve"> </w:t>
      </w:r>
      <w:r>
        <w:rPr>
          <w:b/>
        </w:rPr>
        <w:t>CONTRATAÇÕES CORRELATAS E/OU INTERDEPENDENTES (fundamento: inciso XI do artigo 18 da Lei n. 14.133/2021)</w:t>
      </w:r>
    </w:p>
    <w:p w:rsidR="00ED7DA0" w:rsidRDefault="00ED7DA0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BFBFBF"/>
        <w:ind w:hanging="2"/>
        <w:jc w:val="both"/>
      </w:pPr>
    </w:p>
    <w:p w:rsidR="00ED7DA0" w:rsidRDefault="00ED7DA0">
      <w:pPr>
        <w:widowControl/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hd w:val="clear" w:color="auto" w:fill="FDFCF9"/>
        </w:rPr>
      </w:pPr>
    </w:p>
    <w:p w:rsidR="00ED7DA0" w:rsidRDefault="0010365E">
      <w:pPr>
        <w:widowControl/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trike/>
        </w:rPr>
      </w:pPr>
      <w:r>
        <w:rPr>
          <w:b/>
        </w:rPr>
        <w:t xml:space="preserve">11.1 – </w:t>
      </w:r>
      <w:r>
        <w:t xml:space="preserve">A aquisição de café em grãos está correlacionada com a disponibilidade de máquinas de café expresso. Os equipamentos em questão já se encontram instalados nos gabinetes das autoridades do TRE-SP – Presidência, </w:t>
      </w:r>
      <w:proofErr w:type="gramStart"/>
      <w:r>
        <w:t>Corregedoria,  Diretoria</w:t>
      </w:r>
      <w:proofErr w:type="gramEnd"/>
      <w:r>
        <w:t>-Geral e Plenário.</w:t>
      </w:r>
    </w:p>
    <w:p w:rsidR="00ED7DA0" w:rsidRDefault="00ED7DA0">
      <w:pPr>
        <w:widowControl/>
        <w:spacing w:before="280" w:after="119"/>
        <w:jc w:val="both"/>
      </w:pPr>
    </w:p>
    <w:p w:rsidR="00ED7DA0" w:rsidRDefault="0010365E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BFBFBF"/>
        <w:ind w:hanging="2"/>
        <w:jc w:val="both"/>
      </w:pPr>
      <w:r>
        <w:rPr>
          <w:b/>
          <w:shd w:val="clear" w:color="auto" w:fill="BFBFBF"/>
        </w:rPr>
        <w:t xml:space="preserve">12 </w:t>
      </w:r>
      <w:r>
        <w:rPr>
          <w:b/>
        </w:rPr>
        <w:t>–</w:t>
      </w:r>
      <w:r>
        <w:t xml:space="preserve"> </w:t>
      </w:r>
      <w:r>
        <w:rPr>
          <w:b/>
          <w:shd w:val="clear" w:color="auto" w:fill="BFBFBF"/>
        </w:rPr>
        <w:t xml:space="preserve">IMPACTOS AMBIENTAIS E MEDIDAS DE TRATAMENTO </w:t>
      </w:r>
      <w:r>
        <w:rPr>
          <w:b/>
        </w:rPr>
        <w:t>(fundamento: inciso XII do artigo 18 da Lei n. 14.133/2021)</w:t>
      </w:r>
    </w:p>
    <w:p w:rsidR="00ED7DA0" w:rsidRDefault="00ED7DA0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BFBFBF"/>
        <w:ind w:hanging="2"/>
        <w:jc w:val="both"/>
        <w:rPr>
          <w:shd w:val="clear" w:color="auto" w:fill="BFBFBF"/>
        </w:rPr>
      </w:pPr>
    </w:p>
    <w:p w:rsidR="00ED7DA0" w:rsidRDefault="00ED7DA0">
      <w:pPr>
        <w:jc w:val="both"/>
      </w:pPr>
    </w:p>
    <w:p w:rsidR="00ED7DA0" w:rsidRDefault="0010365E">
      <w:pPr>
        <w:jc w:val="both"/>
      </w:pPr>
      <w:r>
        <w:rPr>
          <w:b/>
        </w:rPr>
        <w:t>12.1 -</w:t>
      </w:r>
      <w:r>
        <w:t xml:space="preserve"> A aquisição de café em grão não apresenta impactos ambientais prejudiciais significativos. Avalia-se que a solução até contribui positivamente do ponto de vista da sustentabilidade, na medida em que a extração de doses ocorre de acordo com a efetiva demanda de consumo, sem que haja desperdício de insumos, em comparação com outras formas de preparo de café em larga escala.  </w:t>
      </w:r>
    </w:p>
    <w:p w:rsidR="00ED7DA0" w:rsidRDefault="0010365E">
      <w:pPr>
        <w:widowControl/>
        <w:spacing w:before="280" w:after="119"/>
        <w:jc w:val="both"/>
      </w:pPr>
      <w:r>
        <w:rPr>
          <w:b/>
        </w:rPr>
        <w:t>12.2 -</w:t>
      </w:r>
      <w:r>
        <w:t xml:space="preserve"> Além disso, será exigido que seja observada a exigência apresentada no subitem 3.16.</w:t>
      </w:r>
    </w:p>
    <w:p w:rsidR="00ED7DA0" w:rsidRDefault="00ED7DA0">
      <w:pPr>
        <w:widowControl/>
        <w:spacing w:before="280" w:after="119"/>
        <w:jc w:val="both"/>
      </w:pPr>
    </w:p>
    <w:p w:rsidR="00ED7DA0" w:rsidRDefault="0010365E">
      <w:pPr>
        <w:widowControl/>
        <w:shd w:val="clear" w:color="auto" w:fill="BFBFBF"/>
        <w:ind w:hanging="2"/>
        <w:jc w:val="both"/>
        <w:rPr>
          <w:shd w:val="clear" w:color="auto" w:fill="BFBFBF"/>
        </w:rPr>
      </w:pPr>
      <w:r>
        <w:rPr>
          <w:b/>
        </w:rPr>
        <w:t>13 –</w:t>
      </w:r>
      <w:r>
        <w:t xml:space="preserve"> </w:t>
      </w:r>
      <w:r>
        <w:rPr>
          <w:b/>
        </w:rPr>
        <w:t>POSICIONAMENTO CONCLUSIVO SOBRE A ADEQUAÇÃO/VIABILIDADE DA CONTRATAÇÃO PARA O ATENDIMENTO DA NECESSIDADE A QUE SE DESTINA (fundamento: inciso XIII do artigo 18 da Lei n. 14.133/2021)</w:t>
      </w:r>
    </w:p>
    <w:p w:rsidR="00ED7DA0" w:rsidRDefault="00ED7DA0">
      <w:pPr>
        <w:widowControl/>
        <w:shd w:val="clear" w:color="auto" w:fill="FFFFFF"/>
        <w:ind w:hanging="2"/>
        <w:jc w:val="both"/>
        <w:rPr>
          <w:highlight w:val="white"/>
        </w:rPr>
      </w:pPr>
    </w:p>
    <w:p w:rsidR="00ED7DA0" w:rsidRDefault="0010365E">
      <w:pPr>
        <w:jc w:val="both"/>
      </w:pPr>
      <w:r>
        <w:rPr>
          <w:b/>
        </w:rPr>
        <w:lastRenderedPageBreak/>
        <w:t>13.1 –</w:t>
      </w:r>
      <w:r>
        <w:t xml:space="preserve"> Os estudos preliminares evidenciaram que a solução escolhida é técnica e economicamente viável, apta a atender as necessidades deste Tribunal, além de proporcionar ganhos consideráveis em termos de eficiência (minimização dos custos de estocagem e de impactos ambientais, com renovação paulatina do estoque), eficácia (fornecimento ininterrupto de café em grão nos gabinetes das autoridades do TRE-SP – Presidência, Corregedoria e Diretoria-Geral) e efetividade (fornecimento de café de qualidade, contribuindo para o bem-estar e satisfação dos usuários, no exercício de suas funções precípuas).</w:t>
      </w:r>
    </w:p>
    <w:p w:rsidR="00ED7DA0" w:rsidRDefault="0010365E">
      <w:pPr>
        <w:widowControl/>
        <w:spacing w:before="280" w:after="119"/>
        <w:jc w:val="both"/>
      </w:pPr>
      <w:r>
        <w:t>Sendo assim, manifestamo-nos favoravelmente à contratação. </w:t>
      </w:r>
    </w:p>
    <w:p w:rsidR="00ED7DA0" w:rsidRDefault="00ED7DA0">
      <w:pPr>
        <w:widowControl/>
        <w:spacing w:before="280" w:after="119"/>
        <w:jc w:val="both"/>
      </w:pPr>
    </w:p>
    <w:p w:rsidR="00ED7DA0" w:rsidRDefault="00ED7DA0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BFBFBF"/>
        <w:ind w:hanging="2"/>
        <w:jc w:val="both"/>
        <w:rPr>
          <w:highlight w:val="white"/>
        </w:rPr>
      </w:pPr>
    </w:p>
    <w:p w:rsidR="00ED7DA0" w:rsidRDefault="0010365E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BFBFBF"/>
        <w:ind w:hanging="2"/>
        <w:jc w:val="both"/>
      </w:pPr>
      <w:r>
        <w:rPr>
          <w:b/>
          <w:shd w:val="clear" w:color="auto" w:fill="BFBFBF"/>
        </w:rPr>
        <w:t>14 - RESPONSÁVEIS</w:t>
      </w:r>
    </w:p>
    <w:p w:rsidR="00ED7DA0" w:rsidRDefault="00ED7DA0">
      <w:pPr>
        <w:jc w:val="right"/>
      </w:pPr>
    </w:p>
    <w:p w:rsidR="00ED7DA0" w:rsidRDefault="00ED7DA0">
      <w:pPr>
        <w:jc w:val="right"/>
      </w:pPr>
    </w:p>
    <w:p w:rsidR="00ED7DA0" w:rsidRDefault="0010365E">
      <w:pPr>
        <w:jc w:val="right"/>
      </w:pPr>
      <w:r>
        <w:t xml:space="preserve">Aprovo, em 20 de janeiro de 2025. </w:t>
      </w:r>
    </w:p>
    <w:p w:rsidR="00ED7DA0" w:rsidRDefault="00ED7DA0">
      <w:pPr>
        <w:jc w:val="right"/>
      </w:pPr>
    </w:p>
    <w:p w:rsidR="00ED7DA0" w:rsidRDefault="00ED7DA0">
      <w:pPr>
        <w:jc w:val="right"/>
      </w:pPr>
    </w:p>
    <w:p w:rsidR="00ED7DA0" w:rsidRDefault="0010365E">
      <w:pPr>
        <w:jc w:val="right"/>
      </w:pPr>
      <w:r>
        <w:t xml:space="preserve">________________________________________________ </w:t>
      </w:r>
    </w:p>
    <w:p w:rsidR="00ED7DA0" w:rsidRDefault="00ED7DA0">
      <w:pPr>
        <w:jc w:val="right"/>
      </w:pPr>
    </w:p>
    <w:p w:rsidR="00ED7DA0" w:rsidRDefault="0010365E">
      <w:pPr>
        <w:jc w:val="right"/>
      </w:pPr>
      <w:r>
        <w:t xml:space="preserve">Assinatura do Chefe do Setor demandante. </w:t>
      </w:r>
    </w:p>
    <w:p w:rsidR="00ED7DA0" w:rsidRDefault="00ED7DA0">
      <w:pPr>
        <w:jc w:val="right"/>
      </w:pPr>
    </w:p>
    <w:p w:rsidR="00ED7DA0" w:rsidRDefault="00ED7DA0">
      <w:pPr>
        <w:jc w:val="right"/>
      </w:pPr>
    </w:p>
    <w:p w:rsidR="00ED7DA0" w:rsidRDefault="0010365E">
      <w:pPr>
        <w:jc w:val="right"/>
      </w:pPr>
      <w:r>
        <w:t>Aprovo, em 20 de janeiro de 2025.</w:t>
      </w:r>
    </w:p>
    <w:p w:rsidR="00ED7DA0" w:rsidRDefault="00ED7DA0">
      <w:pPr>
        <w:jc w:val="right"/>
      </w:pPr>
    </w:p>
    <w:p w:rsidR="00ED7DA0" w:rsidRDefault="0010365E">
      <w:pPr>
        <w:jc w:val="right"/>
      </w:pPr>
      <w:r>
        <w:t>_________________________________________________</w:t>
      </w:r>
    </w:p>
    <w:p w:rsidR="00ED7DA0" w:rsidRDefault="00ED7DA0">
      <w:pPr>
        <w:jc w:val="right"/>
      </w:pPr>
    </w:p>
    <w:p w:rsidR="00ED7DA0" w:rsidRDefault="0010365E">
      <w:pPr>
        <w:jc w:val="right"/>
      </w:pPr>
      <w:r>
        <w:t xml:space="preserve"> Assinatura da autoridade competente</w:t>
      </w:r>
    </w:p>
    <w:p w:rsidR="00ED7DA0" w:rsidRDefault="00ED7DA0">
      <w:pPr>
        <w:widowControl/>
        <w:pBdr>
          <w:top w:val="nil"/>
          <w:left w:val="nil"/>
          <w:bottom w:val="nil"/>
          <w:right w:val="nil"/>
          <w:between w:val="nil"/>
        </w:pBdr>
        <w:spacing w:after="119"/>
        <w:ind w:left="142"/>
        <w:jc w:val="both"/>
      </w:pPr>
    </w:p>
    <w:p w:rsidR="00ED7DA0" w:rsidRDefault="00ED7DA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sectPr w:rsidR="00ED7DA0">
      <w:pgSz w:w="11910" w:h="16840"/>
      <w:pgMar w:top="1120" w:right="1000" w:bottom="280" w:left="10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DA0"/>
    <w:rsid w:val="0010365E"/>
    <w:rsid w:val="008E12AA"/>
    <w:rsid w:val="00ED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8C790-26DC-4239-BB93-47A74EF26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991" w:right="685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</w:rPr>
  </w:style>
  <w:style w:type="paragraph" w:styleId="Pargrafoda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4E51FD"/>
    <w:pPr>
      <w:widowControl/>
      <w:spacing w:before="100" w:beforeAutospacing="1" w:after="119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AD19BB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A64F5D"/>
    <w:rPr>
      <w:rFonts w:ascii="Liberation Serif" w:eastAsia="Times New Roman" w:hAnsi="Liberation Serif" w:cs="Liberation Serif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Corpodetexto22">
    <w:name w:val="Corpo de texto 22"/>
    <w:basedOn w:val="Normal"/>
    <w:rsid w:val="009B1A9F"/>
    <w:pPr>
      <w:widowControl/>
      <w:suppressAutoHyphens/>
      <w:jc w:val="both"/>
    </w:pPr>
    <w:rPr>
      <w:rFonts w:eastAsia="Times New Roman"/>
      <w:sz w:val="24"/>
      <w:szCs w:val="20"/>
      <w:lang w:eastAsia="zh-CN" w:bidi="hi-IN"/>
    </w:rPr>
  </w:style>
  <w:style w:type="table" w:customStyle="1" w:styleId="ad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g1.globo.com/economia/agronegocios/noticia/2024/12/13/cafe-a-quase-r-50-entenda-por-que-preco-deve-continuar-subindo-em-2025.g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ecebimento@tre-sp.jus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Isf7E/3CE9qix2Z/IPSUukvKog==">CgMxLjAaHwoBMBIaChgICVIUChJ0YWJsZS5tdGV5Nmhnd3d1eWgyDmgubmpwNGU2bmIxYWQwMghoLmdqZGd4czgAciExS2oxZHBUQ0lUYkdyd2tjZ3JMQmVUSVVwRFl4bXVoYVc=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2257</Words>
  <Characters>12190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Tribunal Regional Eleitoral de São Paulo</Company>
  <LinksUpToDate>false</LinksUpToDate>
  <CharactersWithSpaces>14419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ELOISE EMY YOKODA</dc:creator>
  <cp:lastModifiedBy>JOSÉ IVAN AZEVEDO DE CARVALHO JUNIOR</cp:lastModifiedBy>
  <cp:revision>3</cp:revision>
  <dcterms:created xsi:type="dcterms:W3CDTF">2025-04-23T19:37:00Z</dcterms:created>
  <dcterms:modified xsi:type="dcterms:W3CDTF">2025-09-15T16:28:00Z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PDFium</vt:lpwstr>
  </property>
  <property fmtid="{D5CDD505-2E9C-101B-9397-08002B2CF9AE}" pid="4" name="LastSaved">
    <vt:filetime>2023-02-08T00:00:00Z</vt:filetime>
  </property>
</Properties>
</file>