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A63A4" w:rsidRDefault="006A63A4">
      <w:pPr>
        <w:tabs>
          <w:tab w:val="left" w:pos="555"/>
          <w:tab w:val="left" w:pos="840"/>
          <w:tab w:val="left" w:pos="1140"/>
          <w:tab w:val="left" w:pos="1395"/>
          <w:tab w:val="left" w:pos="1650"/>
          <w:tab w:val="left" w:pos="1965"/>
          <w:tab w:val="left" w:pos="2220"/>
          <w:tab w:val="left" w:pos="7336"/>
        </w:tabs>
        <w:spacing w:after="160" w:line="259" w:lineRule="auto"/>
        <w:jc w:val="center"/>
        <w:rPr>
          <w:rFonts w:ascii="Arial" w:eastAsia="Arial" w:hAnsi="Arial" w:cs="Arial"/>
          <w:b/>
          <w:bCs/>
          <w:sz w:val="32"/>
          <w:szCs w:val="32"/>
        </w:rPr>
      </w:pPr>
    </w:p>
    <w:p w:rsidR="006A63A4" w:rsidRDefault="00B840C5">
      <w:pPr>
        <w:spacing w:after="200"/>
        <w:jc w:val="center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ESTUDO TÉCNICO PRELIMINAR (ETP)</w:t>
      </w:r>
    </w:p>
    <w:p w:rsidR="006A63A4" w:rsidRDefault="00B840C5">
      <w:pPr>
        <w:spacing w:after="200"/>
        <w:jc w:val="center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Fonte normativa: art. 18, inciso I, § § 1º e 2º, da Lei n. 14.133/2021</w:t>
      </w:r>
    </w:p>
    <w:p w:rsidR="006A63A4" w:rsidRDefault="006A63A4">
      <w:pPr>
        <w:spacing w:after="200"/>
        <w:jc w:val="center"/>
        <w:rPr>
          <w:rFonts w:ascii="Arial" w:eastAsia="Arial" w:hAnsi="Arial" w:cs="Arial"/>
          <w:b/>
          <w:bCs/>
          <w:sz w:val="22"/>
          <w:szCs w:val="22"/>
        </w:rPr>
      </w:pPr>
    </w:p>
    <w:p w:rsidR="006A63A4" w:rsidRDefault="00B840C5">
      <w:pPr>
        <w:widowControl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20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SEI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>0009927-43.2025.6.26.8000</w:t>
      </w:r>
    </w:p>
    <w:p w:rsidR="006A63A4" w:rsidRDefault="00B840C5">
      <w:p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 xml:space="preserve">OBJETO: </w:t>
      </w:r>
      <w:r>
        <w:rPr>
          <w:rFonts w:ascii="Arial" w:eastAsia="Arial" w:hAnsi="Arial" w:cs="Arial"/>
          <w:color w:val="000000"/>
          <w:sz w:val="22"/>
          <w:szCs w:val="22"/>
        </w:rPr>
        <w:t>Etiquetas de Mídias para as Eleições Gerais 2026</w:t>
      </w:r>
    </w:p>
    <w:p w:rsidR="006A63A4" w:rsidRDefault="006A63A4">
      <w:p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6A63A4" w:rsidRDefault="00B840C5">
      <w:pPr>
        <w:widowControl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BFBFBF"/>
        <w:spacing w:after="200"/>
        <w:ind w:hanging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IDENTIFICAÇÃO DA UNIDADE SOLICITANTE</w:t>
      </w:r>
    </w:p>
    <w:p w:rsidR="006A63A4" w:rsidRDefault="006A63A4">
      <w:pPr>
        <w:spacing w:after="200"/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B840C5">
      <w:pPr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Seção Requisitante:</w:t>
      </w:r>
      <w:r>
        <w:rPr>
          <w:rFonts w:ascii="Arial" w:eastAsia="Arial" w:hAnsi="Arial" w:cs="Arial"/>
          <w:color w:val="000000"/>
          <w:sz w:val="22"/>
          <w:szCs w:val="22"/>
        </w:rPr>
        <w:t> Seção de Urnas Eletrônicas (SEUE)</w:t>
      </w:r>
    </w:p>
    <w:p w:rsidR="006A63A4" w:rsidRDefault="00B840C5">
      <w:pPr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Coordenadoria: </w:t>
      </w:r>
      <w:r>
        <w:rPr>
          <w:rFonts w:ascii="Arial" w:eastAsia="Arial" w:hAnsi="Arial" w:cs="Arial"/>
          <w:color w:val="000000"/>
          <w:sz w:val="22"/>
          <w:szCs w:val="22"/>
        </w:rPr>
        <w:t>Coordenadoria de Sistemas Eleitorais e Urnas Eletrônicas (COSEL)</w:t>
      </w:r>
    </w:p>
    <w:p w:rsidR="006A63A4" w:rsidRDefault="00B840C5">
      <w:pPr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Secretaria/Assessoria: </w:t>
      </w:r>
      <w:r>
        <w:rPr>
          <w:rFonts w:ascii="Arial" w:eastAsia="Arial" w:hAnsi="Arial" w:cs="Arial"/>
          <w:color w:val="000000"/>
          <w:sz w:val="22"/>
          <w:szCs w:val="22"/>
        </w:rPr>
        <w:t>Secretaria de Tecnologia da Informação (STI)</w:t>
      </w:r>
    </w:p>
    <w:p w:rsidR="006A63A4" w:rsidRDefault="00B840C5">
      <w:pPr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E-mail: </w:t>
      </w:r>
      <w:r>
        <w:rPr>
          <w:rFonts w:ascii="Arial" w:eastAsia="Arial" w:hAnsi="Arial" w:cs="Arial"/>
          <w:color w:val="000000"/>
          <w:sz w:val="22"/>
          <w:szCs w:val="22"/>
        </w:rPr>
        <w:t>seue@tre-sp.jus.br</w:t>
      </w:r>
    </w:p>
    <w:p w:rsidR="006A63A4" w:rsidRDefault="00B840C5">
      <w:pPr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Telefone: 3130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2602 </w:t>
      </w:r>
    </w:p>
    <w:p w:rsidR="006A63A4" w:rsidRDefault="00B840C5">
      <w:pPr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Responsável: </w:t>
      </w:r>
      <w:r>
        <w:rPr>
          <w:rFonts w:ascii="Arial" w:eastAsia="Arial" w:hAnsi="Arial" w:cs="Arial"/>
          <w:color w:val="000000"/>
          <w:sz w:val="22"/>
          <w:szCs w:val="22"/>
        </w:rPr>
        <w:t>Alexandre Bustos de Oliveira</w:t>
      </w:r>
    </w:p>
    <w:p w:rsidR="006A63A4" w:rsidRDefault="00B840C5">
      <w:pPr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PAC 2026:</w:t>
      </w:r>
      <w:r>
        <w:rPr>
          <w:rFonts w:ascii="Arial" w:eastAsia="Arial" w:hAnsi="Arial" w:cs="Arial"/>
          <w:sz w:val="22"/>
          <w:szCs w:val="22"/>
        </w:rPr>
        <w:t xml:space="preserve"> item 5376 da Secretaria </w:t>
      </w:r>
      <w:proofErr w:type="gramStart"/>
      <w:r>
        <w:rPr>
          <w:rFonts w:ascii="Arial" w:eastAsia="Arial" w:hAnsi="Arial" w:cs="Arial"/>
          <w:sz w:val="22"/>
          <w:szCs w:val="22"/>
        </w:rPr>
        <w:t>( X</w:t>
      </w:r>
      <w:proofErr w:type="gramEnd"/>
      <w:r>
        <w:rPr>
          <w:rFonts w:ascii="Arial" w:eastAsia="Arial" w:hAnsi="Arial" w:cs="Arial"/>
          <w:sz w:val="22"/>
          <w:szCs w:val="22"/>
        </w:rPr>
        <w:t xml:space="preserve"> ) ou (   ) não previsto no PAC 2026</w:t>
      </w:r>
    </w:p>
    <w:p w:rsidR="006A63A4" w:rsidRDefault="00B840C5">
      <w:pPr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(Fundamento: inciso II do artigo 18 da Lei n. 14.133/2021. Necessidade de alinhamento da contratação pretendida ao planejamento)</w:t>
      </w:r>
    </w:p>
    <w:p w:rsidR="006A63A4" w:rsidRDefault="00B840C5">
      <w:pPr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Previsão de recebimento do objeto</w:t>
      </w:r>
      <w:r>
        <w:rPr>
          <w:rFonts w:ascii="Arial" w:eastAsia="Arial" w:hAnsi="Arial" w:cs="Arial"/>
          <w:sz w:val="22"/>
          <w:szCs w:val="22"/>
        </w:rPr>
        <w:t>: 01/08/2026</w:t>
      </w:r>
    </w:p>
    <w:p w:rsidR="006A63A4" w:rsidRDefault="00B840C5">
      <w:pPr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Fonte de recursos orçamentários. Valor previsto na proposta orçamentária (R$ 16.973,01)</w:t>
      </w:r>
    </w:p>
    <w:p w:rsidR="006A63A4" w:rsidRDefault="00B840C5">
      <w:pPr>
        <w:spacing w:after="200"/>
        <w:jc w:val="both"/>
        <w:rPr>
          <w:rFonts w:ascii="Arial" w:eastAsia="Arial" w:hAnsi="Arial" w:cs="Arial"/>
          <w:sz w:val="22"/>
          <w:szCs w:val="22"/>
          <w:highlight w:val="yellow"/>
        </w:rPr>
      </w:pPr>
      <w:r>
        <w:rPr>
          <w:rFonts w:ascii="Arial" w:eastAsia="Arial" w:hAnsi="Arial" w:cs="Arial"/>
          <w:b/>
          <w:bCs/>
          <w:sz w:val="22"/>
          <w:szCs w:val="22"/>
        </w:rPr>
        <w:t xml:space="preserve">Critério de </w:t>
      </w:r>
      <w:r w:rsidRPr="004C64EF">
        <w:rPr>
          <w:rFonts w:ascii="Arial" w:eastAsia="Arial" w:hAnsi="Arial" w:cs="Arial"/>
          <w:b/>
          <w:bCs/>
          <w:sz w:val="22"/>
          <w:szCs w:val="22"/>
        </w:rPr>
        <w:t>sustentabilidade:</w:t>
      </w:r>
      <w:r w:rsidRPr="004C64EF">
        <w:rPr>
          <w:rFonts w:ascii="Arial" w:eastAsia="Arial" w:hAnsi="Arial" w:cs="Arial"/>
          <w:sz w:val="22"/>
          <w:szCs w:val="22"/>
        </w:rPr>
        <w:t xml:space="preserve"> </w:t>
      </w:r>
      <w:r w:rsidRPr="004C64EF">
        <w:rPr>
          <w:rFonts w:ascii="Arial" w:eastAsia="Arial" w:hAnsi="Arial" w:cs="Arial"/>
          <w:sz w:val="22"/>
          <w:szCs w:val="22"/>
        </w:rPr>
        <w:t xml:space="preserve">(X) Sim ou </w:t>
      </w:r>
      <w:proofErr w:type="gramStart"/>
      <w:r w:rsidRPr="004C64EF">
        <w:rPr>
          <w:rFonts w:ascii="Arial" w:eastAsia="Arial" w:hAnsi="Arial" w:cs="Arial"/>
          <w:sz w:val="22"/>
          <w:szCs w:val="22"/>
        </w:rPr>
        <w:t>(</w:t>
      </w:r>
      <w:r w:rsidRPr="004C64EF">
        <w:rPr>
          <w:rFonts w:ascii="Arial" w:eastAsia="Arial" w:hAnsi="Arial" w:cs="Arial"/>
          <w:color w:val="FF0000"/>
          <w:sz w:val="22"/>
          <w:szCs w:val="22"/>
        </w:rPr>
        <w:t xml:space="preserve"> </w:t>
      </w:r>
      <w:r w:rsidRPr="004C64EF">
        <w:rPr>
          <w:rFonts w:ascii="Arial" w:eastAsia="Arial" w:hAnsi="Arial" w:cs="Arial"/>
          <w:sz w:val="22"/>
          <w:szCs w:val="22"/>
        </w:rPr>
        <w:t xml:space="preserve"> )</w:t>
      </w:r>
      <w:proofErr w:type="gramEnd"/>
      <w:r w:rsidRPr="004C64EF">
        <w:rPr>
          <w:rFonts w:ascii="Arial" w:eastAsia="Arial" w:hAnsi="Arial" w:cs="Arial"/>
          <w:sz w:val="22"/>
          <w:szCs w:val="22"/>
        </w:rPr>
        <w:t xml:space="preserve"> Não, conforme justificativas constantes do item 6 deste Estudo Técnico Preli</w:t>
      </w:r>
      <w:r w:rsidRPr="004C64EF">
        <w:rPr>
          <w:rFonts w:ascii="Arial" w:eastAsia="Arial" w:hAnsi="Arial" w:cs="Arial"/>
          <w:sz w:val="22"/>
          <w:szCs w:val="22"/>
        </w:rPr>
        <w:t>minar.</w:t>
      </w:r>
    </w:p>
    <w:p w:rsidR="006A63A4" w:rsidRDefault="00B840C5">
      <w:pPr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Critério de Acessibilidade:</w:t>
      </w:r>
      <w:r>
        <w:rPr>
          <w:rFonts w:ascii="Arial" w:eastAsia="Arial" w:hAnsi="Arial" w:cs="Arial"/>
          <w:sz w:val="22"/>
          <w:szCs w:val="22"/>
        </w:rPr>
        <w:t xml:space="preserve"> </w:t>
      </w:r>
      <w:proofErr w:type="gramStart"/>
      <w:r>
        <w:rPr>
          <w:rFonts w:ascii="Arial" w:eastAsia="Arial" w:hAnsi="Arial" w:cs="Arial"/>
          <w:sz w:val="22"/>
          <w:szCs w:val="22"/>
        </w:rPr>
        <w:t xml:space="preserve">(  </w:t>
      </w:r>
      <w:proofErr w:type="gramEnd"/>
      <w:r>
        <w:rPr>
          <w:rFonts w:ascii="Arial" w:eastAsia="Arial" w:hAnsi="Arial" w:cs="Arial"/>
          <w:sz w:val="22"/>
          <w:szCs w:val="22"/>
        </w:rPr>
        <w:t xml:space="preserve"> ) Sim ou ( X ) Não, pois não foram encontrados critérios de acessibilidade aplicáveis a esta aquisição.</w:t>
      </w:r>
    </w:p>
    <w:p w:rsidR="006A63A4" w:rsidRDefault="006A63A4">
      <w:pPr>
        <w:spacing w:after="200"/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B840C5">
      <w:pPr>
        <w:widowControl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BFBFBF"/>
        <w:spacing w:after="200"/>
        <w:ind w:hanging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VISÃO GERAL</w:t>
      </w:r>
    </w:p>
    <w:p w:rsidR="006A63A4" w:rsidRDefault="006A63A4">
      <w:pPr>
        <w:widowControl/>
        <w:shd w:val="clear" w:color="auto" w:fill="FFFFFF"/>
        <w:spacing w:after="240"/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B840C5">
      <w:pPr>
        <w:widowControl/>
        <w:shd w:val="clear" w:color="auto" w:fill="FFFFFF"/>
        <w:spacing w:after="24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O presente Estudo Técnico Preliminar tem por objetivo subsidiar o processo de contratação destinado</w:t>
      </w:r>
      <w:r>
        <w:rPr>
          <w:rFonts w:ascii="Arial" w:eastAsia="Arial" w:hAnsi="Arial" w:cs="Arial"/>
          <w:sz w:val="22"/>
          <w:szCs w:val="22"/>
        </w:rPr>
        <w:t xml:space="preserve"> à aquisição de etiquetas para mídias de urnas eletrônicas, a serem utilizadas nas Eleições Gerais de 2026. Além disso, busca demonstrar a viabilidade técnica e econômica das soluções avaliadas, apresentando as informações necessárias para fundamentar a de</w:t>
      </w:r>
      <w:r>
        <w:rPr>
          <w:rFonts w:ascii="Arial" w:eastAsia="Arial" w:hAnsi="Arial" w:cs="Arial"/>
          <w:sz w:val="22"/>
          <w:szCs w:val="22"/>
        </w:rPr>
        <w:t>cisão de contratação.</w:t>
      </w:r>
    </w:p>
    <w:p w:rsidR="006A63A4" w:rsidRDefault="00B840C5">
      <w:pPr>
        <w:widowControl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BFBFBF"/>
        <w:spacing w:after="200"/>
        <w:ind w:hanging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lastRenderedPageBreak/>
        <w:t>DESCRIÇÃO DA NECESSIDADE DA CONTRATAÇÃO (fundamento: inciso I do artigo 18 da Lei n. 14.133/2021)</w:t>
      </w:r>
    </w:p>
    <w:p w:rsidR="006A63A4" w:rsidRDefault="006A63A4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Antigamente, a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s etiquetas de mídias eram adquiridas pelo TSE que as distribuía aos Tribunais Regionais Eleitorais. Porém, nas Eleições Gerais 2022, a Resolução nº 23.669/2021, no artigo 161, </w:t>
      </w:r>
      <w:r>
        <w:rPr>
          <w:rFonts w:ascii="Arial" w:eastAsia="Arial" w:hAnsi="Arial" w:cs="Arial"/>
          <w:sz w:val="22"/>
          <w:szCs w:val="22"/>
        </w:rPr>
        <w:t xml:space="preserve">regulamentou </w:t>
      </w:r>
      <w:r>
        <w:rPr>
          <w:rFonts w:ascii="Arial" w:eastAsia="Arial" w:hAnsi="Arial" w:cs="Arial"/>
          <w:color w:val="000000"/>
          <w:sz w:val="22"/>
          <w:szCs w:val="22"/>
        </w:rPr>
        <w:t>a responsabilidade dos regionais de realizar a confecção das etiquetas de identificação das mídias de urnas eletrônicas. </w:t>
      </w: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Já nas Eleições Municipais 2024, a Resolução TSE nº 23.736/2024, publicada em março daquele ano e que dispõe sobre os atos gerais do p</w:t>
      </w:r>
      <w:r>
        <w:rPr>
          <w:rFonts w:ascii="Arial" w:eastAsia="Arial" w:hAnsi="Arial" w:cs="Arial"/>
          <w:color w:val="000000"/>
          <w:sz w:val="22"/>
          <w:szCs w:val="22"/>
        </w:rPr>
        <w:t>rocesso eleitoral, estabeleceu novamente est</w:t>
      </w:r>
      <w:r>
        <w:rPr>
          <w:rFonts w:ascii="Arial" w:eastAsia="Arial" w:hAnsi="Arial" w:cs="Arial"/>
          <w:sz w:val="22"/>
          <w:szCs w:val="22"/>
        </w:rPr>
        <w:t>a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obrigação aos tribunais regionais</w:t>
      </w:r>
      <w:r>
        <w:rPr>
          <w:rFonts w:ascii="Arial" w:eastAsia="Arial" w:hAnsi="Arial" w:cs="Arial"/>
          <w:sz w:val="22"/>
          <w:szCs w:val="22"/>
        </w:rPr>
        <w:t>:</w:t>
      </w:r>
    </w:p>
    <w:p w:rsidR="006A63A4" w:rsidRDefault="00B840C5">
      <w:pPr>
        <w:widowControl/>
        <w:shd w:val="clear" w:color="auto" w:fill="FFFFFF"/>
        <w:ind w:left="709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iCs/>
          <w:sz w:val="22"/>
          <w:szCs w:val="22"/>
        </w:rPr>
        <w:t>“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>CAPÍTULO IV</w:t>
      </w:r>
    </w:p>
    <w:p w:rsidR="006A63A4" w:rsidRDefault="00B840C5">
      <w:pPr>
        <w:widowControl/>
        <w:shd w:val="clear" w:color="auto" w:fill="FFFFFF"/>
        <w:ind w:left="709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>DOS IMPRESSOS PARA A ELEIÇÃO</w:t>
      </w:r>
    </w:p>
    <w:p w:rsidR="006A63A4" w:rsidRDefault="00B840C5">
      <w:pPr>
        <w:widowControl/>
        <w:shd w:val="clear" w:color="auto" w:fill="FFFFFF"/>
        <w:ind w:left="709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>Seção I</w:t>
      </w:r>
    </w:p>
    <w:p w:rsidR="006A63A4" w:rsidRDefault="00B840C5">
      <w:pPr>
        <w:widowControl/>
        <w:shd w:val="clear" w:color="auto" w:fill="FFFFFF"/>
        <w:ind w:left="709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>Dos Modelos dos Impressos</w:t>
      </w:r>
    </w:p>
    <w:p w:rsidR="006A63A4" w:rsidRDefault="00B840C5">
      <w:pPr>
        <w:widowControl/>
        <w:shd w:val="clear" w:color="auto" w:fill="FFFFFF"/>
        <w:ind w:left="709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>Art. 153. Caberá ao Tribunal Superior Eleitoral elaborar os modelos e estabelecer as respectivas es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>pecificações para confecção de formulários, impressos, cédulas, lacres, etiquetas e demais artefatos a serem utilizados nas eleições de 2024, de acordo com o disposto neste capítulo.</w:t>
      </w:r>
    </w:p>
    <w:p w:rsidR="006A63A4" w:rsidRDefault="00B840C5">
      <w:pPr>
        <w:widowControl/>
        <w:shd w:val="clear" w:color="auto" w:fill="FFFFFF"/>
        <w:ind w:left="709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>Parágrafo único. Os modelos de que trata o caput deste artigo serão publi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>cados em portaria específica e divulgados na página da internet do Tribunal Superior Eleitoral.</w:t>
      </w:r>
    </w:p>
    <w:p w:rsidR="006A63A4" w:rsidRDefault="00B840C5">
      <w:pPr>
        <w:widowControl/>
        <w:shd w:val="clear" w:color="auto" w:fill="FFFFFF"/>
        <w:ind w:left="709"/>
        <w:jc w:val="both"/>
        <w:rPr>
          <w:rFonts w:ascii="Arial" w:eastAsia="Arial" w:hAnsi="Arial" w:cs="Arial"/>
          <w:i/>
          <w:iCs/>
          <w:color w:val="000000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>Art. 158. Será de responsabilidade dos tribunais regionais eleitorais a confecção das etiquetas para identificação das mídias de carga, de votação e de resultad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>os utilizadas nas urnas.</w:t>
      </w:r>
    </w:p>
    <w:p w:rsidR="006A63A4" w:rsidRDefault="00B840C5">
      <w:pPr>
        <w:widowControl/>
        <w:shd w:val="clear" w:color="auto" w:fill="FFFFFF"/>
        <w:spacing w:after="240"/>
        <w:ind w:left="709"/>
        <w:jc w:val="both"/>
        <w:rPr>
          <w:rFonts w:ascii="Arial" w:eastAsia="Arial" w:hAnsi="Arial" w:cs="Arial"/>
          <w:i/>
          <w:iCs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Parágrafo único. Os estoques de etiquetas e de envelopes de segurança existentes nos tribunais regionais eleitorais poderão ser </w:t>
      </w:r>
      <w:proofErr w:type="gramStart"/>
      <w:r>
        <w:rPr>
          <w:rFonts w:ascii="Arial" w:eastAsia="Arial" w:hAnsi="Arial" w:cs="Arial"/>
          <w:i/>
          <w:iCs/>
          <w:color w:val="000000"/>
          <w:sz w:val="22"/>
          <w:szCs w:val="22"/>
        </w:rPr>
        <w:t>utilizados.</w:t>
      </w:r>
      <w:r>
        <w:rPr>
          <w:rFonts w:ascii="Arial" w:eastAsia="Arial" w:hAnsi="Arial" w:cs="Arial"/>
          <w:i/>
          <w:iCs/>
          <w:sz w:val="22"/>
          <w:szCs w:val="22"/>
        </w:rPr>
        <w:t>”</w:t>
      </w:r>
      <w:proofErr w:type="gramEnd"/>
    </w:p>
    <w:p w:rsidR="006A63A4" w:rsidRDefault="00B840C5">
      <w:pPr>
        <w:widowControl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BFBFBF"/>
        <w:spacing w:after="200"/>
        <w:ind w:hanging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REQUISITOS NECESSÁRIOS PARA A CONTRATAÇÃO (fundamento: inciso III do artigo 18 da Lei n. 1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>4.133/2021)</w:t>
      </w:r>
    </w:p>
    <w:p w:rsidR="006A63A4" w:rsidRDefault="006A63A4">
      <w:pPr>
        <w:widowControl/>
        <w:spacing w:after="200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:rsidR="006A63A4" w:rsidRDefault="00B840C5">
      <w:pPr>
        <w:widowControl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Especificações de etiquetas para identificação das mídias:</w:t>
      </w:r>
    </w:p>
    <w:p w:rsidR="006A63A4" w:rsidRDefault="00B840C5">
      <w:pPr>
        <w:widowControl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Não houve alterações nas especificações das etiquetas para as eleições de 2024 em relação às eleições de 2022. Portanto, é de se esperar que não haja alterações nesse sentido.</w:t>
      </w:r>
    </w:p>
    <w:p w:rsidR="006A63A4" w:rsidRDefault="00B840C5">
      <w:pPr>
        <w:widowControl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Apesar disto, convém aguardar, antes da contratação, a confirmação das especificações com a publicação de uma nova portaria pelo TSE para as eleições de 2026.</w:t>
      </w:r>
    </w:p>
    <w:p w:rsidR="006A63A4" w:rsidRDefault="00B840C5">
      <w:pPr>
        <w:widowControl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seguir, as especificações das etiquetas das eleições passadas, disponíveis nos links abaixo.</w:t>
      </w: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Po</w:t>
      </w:r>
      <w:r>
        <w:rPr>
          <w:rFonts w:ascii="Arial" w:eastAsia="Arial" w:hAnsi="Arial" w:cs="Arial"/>
          <w:color w:val="000000"/>
          <w:sz w:val="22"/>
          <w:szCs w:val="22"/>
        </w:rPr>
        <w:t>rtaria TSE n° 273, de 10 de abril de 2024, publicada em diário oficial</w:t>
      </w:r>
      <w:r>
        <w:rPr>
          <w:rFonts w:ascii="Arial" w:eastAsia="Arial" w:hAnsi="Arial" w:cs="Arial"/>
          <w:sz w:val="22"/>
          <w:szCs w:val="22"/>
        </w:rPr>
        <w:t>:</w:t>
      </w: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hyperlink r:id="rId8">
        <w:r>
          <w:rPr>
            <w:rFonts w:ascii="Arial" w:eastAsia="Arial" w:hAnsi="Arial" w:cs="Arial"/>
            <w:color w:val="0000FF"/>
            <w:sz w:val="22"/>
            <w:szCs w:val="22"/>
            <w:u w:val="single"/>
          </w:rPr>
          <w:t>https://sintse.tse.jus.br/documentos/2024/Mai/9/diario-da-justica-eletronico-tse/portaria-no-273-de-10-de-abril-de-2024-torna-publicos-os-modelos-dos-impressos-a-serem-utilizados</w:t>
        </w:r>
      </w:hyperlink>
      <w:r>
        <w:rPr>
          <w:rFonts w:ascii="Arial" w:eastAsia="Arial" w:hAnsi="Arial" w:cs="Arial"/>
          <w:sz w:val="22"/>
          <w:szCs w:val="22"/>
        </w:rPr>
        <w:t>;</w:t>
      </w: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hyperlink r:id="rId9">
        <w:r>
          <w:rPr>
            <w:rFonts w:ascii="Arial" w:eastAsia="Arial" w:hAnsi="Arial" w:cs="Arial"/>
            <w:color w:val="0000FF"/>
            <w:sz w:val="22"/>
            <w:szCs w:val="22"/>
            <w:u w:val="single"/>
          </w:rPr>
          <w:t>https://www.tse.jus.br/legislacao/compilada/prt/2024/portaria-no-273-de-10-de-abril-de-2024</w:t>
        </w:r>
      </w:hyperlink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Link do anexo de modelos de impressos:</w:t>
      </w: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hyperlink r:id="rId10">
        <w:r>
          <w:rPr>
            <w:rFonts w:ascii="Arial" w:eastAsia="Arial" w:hAnsi="Arial" w:cs="Arial"/>
            <w:color w:val="0000FF"/>
            <w:sz w:val="22"/>
            <w:szCs w:val="22"/>
            <w:u w:val="single"/>
          </w:rPr>
          <w:t>https://sitdoc.tse.jus.br/sitdoc/DownloadFile?id=720b0b47-fb61-4887-bd56-7ff9dde9af8e&amp;app=dje&amp;extensao=docx</w:t>
        </w:r>
      </w:hyperlink>
    </w:p>
    <w:p w:rsidR="006A63A4" w:rsidRDefault="00B840C5">
      <w:pPr>
        <w:widowControl/>
        <w:spacing w:before="240"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  <w:u w:val="single"/>
        </w:rPr>
        <w:t xml:space="preserve">Mídia de </w:t>
      </w:r>
      <w:r>
        <w:rPr>
          <w:rFonts w:ascii="Arial" w:eastAsia="Arial" w:hAnsi="Arial" w:cs="Arial"/>
          <w:b/>
          <w:bCs/>
          <w:sz w:val="22"/>
          <w:szCs w:val="22"/>
          <w:u w:val="single"/>
        </w:rPr>
        <w:t>C</w:t>
      </w:r>
      <w:r>
        <w:rPr>
          <w:rFonts w:ascii="Arial" w:eastAsia="Arial" w:hAnsi="Arial" w:cs="Arial"/>
          <w:b/>
          <w:bCs/>
          <w:color w:val="000000"/>
          <w:sz w:val="22"/>
          <w:szCs w:val="22"/>
          <w:u w:val="single"/>
        </w:rPr>
        <w:t>arga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> </w:t>
      </w:r>
    </w:p>
    <w:p w:rsidR="006A63A4" w:rsidRDefault="00B840C5">
      <w:pPr>
        <w:widowControl/>
        <w:numPr>
          <w:ilvl w:val="0"/>
          <w:numId w:val="2"/>
        </w:numPr>
        <w:spacing w:before="20"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Papel: autoadesivo;</w:t>
      </w:r>
    </w:p>
    <w:p w:rsidR="006A63A4" w:rsidRDefault="00B840C5">
      <w:pPr>
        <w:widowControl/>
        <w:numPr>
          <w:ilvl w:val="0"/>
          <w:numId w:val="2"/>
        </w:num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Dimensões: </w:t>
      </w:r>
      <w:r>
        <w:rPr>
          <w:rFonts w:ascii="Arial" w:eastAsia="Arial" w:hAnsi="Arial" w:cs="Arial"/>
          <w:sz w:val="22"/>
          <w:szCs w:val="22"/>
        </w:rPr>
        <w:t xml:space="preserve">37,5 mm </w:t>
      </w:r>
      <w:proofErr w:type="gramStart"/>
      <w:r>
        <w:rPr>
          <w:rFonts w:ascii="Arial" w:eastAsia="Arial" w:hAnsi="Arial" w:cs="Arial"/>
          <w:sz w:val="22"/>
          <w:szCs w:val="22"/>
        </w:rPr>
        <w:t>x</w:t>
      </w:r>
      <w:proofErr w:type="gramEnd"/>
      <w:r>
        <w:rPr>
          <w:rFonts w:ascii="Arial" w:eastAsia="Arial" w:hAnsi="Arial" w:cs="Arial"/>
          <w:sz w:val="22"/>
          <w:szCs w:val="22"/>
        </w:rPr>
        <w:t xml:space="preserve"> 21,0 mm;</w:t>
      </w:r>
    </w:p>
    <w:p w:rsidR="006A63A4" w:rsidRDefault="00B840C5">
      <w:pPr>
        <w:widowControl/>
        <w:numPr>
          <w:ilvl w:val="0"/>
          <w:numId w:val="2"/>
        </w:num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Frontal: offset branco fosco 60 a 75g/m²;</w:t>
      </w:r>
    </w:p>
    <w:p w:rsidR="006A63A4" w:rsidRDefault="00B840C5">
      <w:pPr>
        <w:widowControl/>
        <w:numPr>
          <w:ilvl w:val="0"/>
          <w:numId w:val="2"/>
        </w:num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Adesivo: 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hotmelt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 xml:space="preserve"> 25g/m²;</w:t>
      </w:r>
    </w:p>
    <w:p w:rsidR="006A63A4" w:rsidRDefault="00B840C5">
      <w:pPr>
        <w:widowControl/>
        <w:numPr>
          <w:ilvl w:val="0"/>
          <w:numId w:val="2"/>
        </w:num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Liner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 xml:space="preserve">: 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couché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 xml:space="preserve"> 80 a 90g/m²;</w:t>
      </w:r>
    </w:p>
    <w:p w:rsidR="006A63A4" w:rsidRDefault="00B840C5">
      <w:pPr>
        <w:widowControl/>
        <w:numPr>
          <w:ilvl w:val="0"/>
          <w:numId w:val="2"/>
        </w:num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Acabamento: meio-corte para destacar cada etiqueta individualmente;</w:t>
      </w:r>
    </w:p>
    <w:p w:rsidR="006A63A4" w:rsidRDefault="00B840C5">
      <w:pPr>
        <w:widowControl/>
        <w:numPr>
          <w:ilvl w:val="0"/>
          <w:numId w:val="2"/>
        </w:num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Acondicionamento: que resguarde a integridade das etiquetas.</w:t>
      </w:r>
    </w:p>
    <w:p w:rsidR="006A63A4" w:rsidRDefault="00B840C5">
      <w:pPr>
        <w:widowControl/>
        <w:spacing w:before="20"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 </w:t>
      </w:r>
      <w:r>
        <w:rPr>
          <w:rFonts w:ascii="Arial" w:eastAsia="Arial" w:hAnsi="Arial" w:cs="Arial"/>
          <w:b/>
          <w:bCs/>
          <w:color w:val="000000"/>
          <w:sz w:val="22"/>
          <w:szCs w:val="22"/>
          <w:u w:val="single"/>
        </w:rPr>
        <w:t xml:space="preserve">Mídia de </w:t>
      </w:r>
      <w:r>
        <w:rPr>
          <w:rFonts w:ascii="Arial" w:eastAsia="Arial" w:hAnsi="Arial" w:cs="Arial"/>
          <w:b/>
          <w:bCs/>
          <w:sz w:val="22"/>
          <w:szCs w:val="22"/>
          <w:u w:val="single"/>
        </w:rPr>
        <w:t>V</w:t>
      </w:r>
      <w:r>
        <w:rPr>
          <w:rFonts w:ascii="Arial" w:eastAsia="Arial" w:hAnsi="Arial" w:cs="Arial"/>
          <w:b/>
          <w:bCs/>
          <w:color w:val="000000"/>
          <w:sz w:val="22"/>
          <w:szCs w:val="22"/>
          <w:u w:val="single"/>
        </w:rPr>
        <w:t>otação</w:t>
      </w:r>
    </w:p>
    <w:p w:rsidR="006A63A4" w:rsidRDefault="00B840C5">
      <w:pPr>
        <w:widowControl/>
        <w:numPr>
          <w:ilvl w:val="0"/>
          <w:numId w:val="3"/>
        </w:numPr>
        <w:spacing w:before="20"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Papel: autoades</w:t>
      </w:r>
      <w:r>
        <w:rPr>
          <w:rFonts w:ascii="Arial" w:eastAsia="Arial" w:hAnsi="Arial" w:cs="Arial"/>
          <w:color w:val="000000"/>
          <w:sz w:val="22"/>
          <w:szCs w:val="22"/>
        </w:rPr>
        <w:t>ivo;</w:t>
      </w:r>
    </w:p>
    <w:p w:rsidR="006A63A4" w:rsidRDefault="00B840C5">
      <w:pPr>
        <w:widowControl/>
        <w:numPr>
          <w:ilvl w:val="0"/>
          <w:numId w:val="3"/>
        </w:num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Dimensões: </w:t>
      </w:r>
      <w:r>
        <w:rPr>
          <w:rFonts w:ascii="Arial" w:eastAsia="Arial" w:hAnsi="Arial" w:cs="Arial"/>
          <w:sz w:val="22"/>
          <w:szCs w:val="22"/>
        </w:rPr>
        <w:t xml:space="preserve">37,5 mm </w:t>
      </w:r>
      <w:proofErr w:type="gramStart"/>
      <w:r>
        <w:rPr>
          <w:rFonts w:ascii="Arial" w:eastAsia="Arial" w:hAnsi="Arial" w:cs="Arial"/>
          <w:sz w:val="22"/>
          <w:szCs w:val="22"/>
        </w:rPr>
        <w:t>x</w:t>
      </w:r>
      <w:proofErr w:type="gramEnd"/>
      <w:r>
        <w:rPr>
          <w:rFonts w:ascii="Arial" w:eastAsia="Arial" w:hAnsi="Arial" w:cs="Arial"/>
          <w:sz w:val="22"/>
          <w:szCs w:val="22"/>
        </w:rPr>
        <w:t xml:space="preserve"> 21,0 mm;</w:t>
      </w:r>
    </w:p>
    <w:p w:rsidR="006A63A4" w:rsidRDefault="00B840C5">
      <w:pPr>
        <w:widowControl/>
        <w:numPr>
          <w:ilvl w:val="0"/>
          <w:numId w:val="3"/>
        </w:num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Frontal: offset branco fosco 60 a 75g/m²;</w:t>
      </w:r>
    </w:p>
    <w:p w:rsidR="006A63A4" w:rsidRDefault="00B840C5">
      <w:pPr>
        <w:widowControl/>
        <w:numPr>
          <w:ilvl w:val="0"/>
          <w:numId w:val="3"/>
        </w:num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Adesivo: 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hotmelt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 xml:space="preserve"> 25g/m²;</w:t>
      </w:r>
    </w:p>
    <w:p w:rsidR="006A63A4" w:rsidRDefault="00B840C5">
      <w:pPr>
        <w:widowControl/>
        <w:numPr>
          <w:ilvl w:val="0"/>
          <w:numId w:val="3"/>
        </w:num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Liner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 xml:space="preserve">: 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couché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 xml:space="preserve"> 80 a 90g/m²;</w:t>
      </w:r>
    </w:p>
    <w:p w:rsidR="006A63A4" w:rsidRDefault="00B840C5">
      <w:pPr>
        <w:widowControl/>
        <w:numPr>
          <w:ilvl w:val="0"/>
          <w:numId w:val="3"/>
        </w:num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Acabamento: meio-corte para destacar cada etiqueta individualmente;</w:t>
      </w:r>
    </w:p>
    <w:p w:rsidR="006A63A4" w:rsidRDefault="00B840C5">
      <w:pPr>
        <w:widowControl/>
        <w:numPr>
          <w:ilvl w:val="0"/>
          <w:numId w:val="3"/>
        </w:num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Acondicionamento: que resguarde a integridade das etiquetas.</w:t>
      </w:r>
    </w:p>
    <w:p w:rsidR="006A63A4" w:rsidRDefault="00B840C5">
      <w:pPr>
        <w:widowControl/>
        <w:spacing w:before="240"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  <w:u w:val="single"/>
        </w:rPr>
        <w:t xml:space="preserve">Mídia de </w:t>
      </w:r>
      <w:r>
        <w:rPr>
          <w:rFonts w:ascii="Arial" w:eastAsia="Arial" w:hAnsi="Arial" w:cs="Arial"/>
          <w:b/>
          <w:bCs/>
          <w:sz w:val="22"/>
          <w:szCs w:val="22"/>
          <w:u w:val="single"/>
        </w:rPr>
        <w:t>R</w:t>
      </w:r>
      <w:r>
        <w:rPr>
          <w:rFonts w:ascii="Arial" w:eastAsia="Arial" w:hAnsi="Arial" w:cs="Arial"/>
          <w:b/>
          <w:bCs/>
          <w:color w:val="000000"/>
          <w:sz w:val="22"/>
          <w:szCs w:val="22"/>
          <w:u w:val="single"/>
        </w:rPr>
        <w:t>esultado</w:t>
      </w:r>
    </w:p>
    <w:p w:rsidR="006A63A4" w:rsidRDefault="00B840C5">
      <w:pPr>
        <w:widowControl/>
        <w:numPr>
          <w:ilvl w:val="0"/>
          <w:numId w:val="4"/>
        </w:numPr>
        <w:spacing w:before="20"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Papel: autoadesivo;</w:t>
      </w:r>
    </w:p>
    <w:p w:rsidR="006A63A4" w:rsidRDefault="00B840C5">
      <w:pPr>
        <w:widowControl/>
        <w:numPr>
          <w:ilvl w:val="0"/>
          <w:numId w:val="4"/>
        </w:num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Dimensões: </w:t>
      </w:r>
      <w:r>
        <w:rPr>
          <w:rFonts w:ascii="Arial" w:eastAsia="Arial" w:hAnsi="Arial" w:cs="Arial"/>
          <w:sz w:val="22"/>
          <w:szCs w:val="22"/>
        </w:rPr>
        <w:t xml:space="preserve">64,0 mm </w:t>
      </w:r>
      <w:proofErr w:type="gramStart"/>
      <w:r>
        <w:rPr>
          <w:rFonts w:ascii="Arial" w:eastAsia="Arial" w:hAnsi="Arial" w:cs="Arial"/>
          <w:sz w:val="22"/>
          <w:szCs w:val="22"/>
        </w:rPr>
        <w:t>x</w:t>
      </w:r>
      <w:proofErr w:type="gramEnd"/>
      <w:r>
        <w:rPr>
          <w:rFonts w:ascii="Arial" w:eastAsia="Arial" w:hAnsi="Arial" w:cs="Arial"/>
          <w:sz w:val="22"/>
          <w:szCs w:val="22"/>
        </w:rPr>
        <w:t xml:space="preserve"> 44,0 mm;</w:t>
      </w:r>
    </w:p>
    <w:p w:rsidR="006A63A4" w:rsidRDefault="00B840C5">
      <w:pPr>
        <w:widowControl/>
        <w:numPr>
          <w:ilvl w:val="0"/>
          <w:numId w:val="4"/>
        </w:num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Frontal: offset branco fosco 60 a 75g/m²;</w:t>
      </w:r>
    </w:p>
    <w:p w:rsidR="006A63A4" w:rsidRDefault="00B840C5">
      <w:pPr>
        <w:widowControl/>
        <w:numPr>
          <w:ilvl w:val="0"/>
          <w:numId w:val="4"/>
        </w:num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Adesivo: 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hotmelt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 xml:space="preserve"> 25g/m²;</w:t>
      </w:r>
    </w:p>
    <w:p w:rsidR="006A63A4" w:rsidRDefault="00B840C5">
      <w:pPr>
        <w:widowControl/>
        <w:numPr>
          <w:ilvl w:val="0"/>
          <w:numId w:val="4"/>
        </w:num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Liner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 xml:space="preserve">: 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couché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 xml:space="preserve"> 80 a 90g/m²;</w:t>
      </w:r>
    </w:p>
    <w:p w:rsidR="006A63A4" w:rsidRDefault="00B840C5">
      <w:pPr>
        <w:widowControl/>
        <w:numPr>
          <w:ilvl w:val="0"/>
          <w:numId w:val="4"/>
        </w:num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Acabamento: meio-corte para destacar cada etiqueta individualmente;</w:t>
      </w:r>
    </w:p>
    <w:p w:rsidR="006A63A4" w:rsidRDefault="00B840C5">
      <w:pPr>
        <w:widowControl/>
        <w:numPr>
          <w:ilvl w:val="0"/>
          <w:numId w:val="4"/>
        </w:numPr>
        <w:spacing w:after="24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lastRenderedPageBreak/>
        <w:t>Acondicionamento: que resguarde a integridade das etiquetas.</w:t>
      </w:r>
    </w:p>
    <w:p w:rsidR="006A63A4" w:rsidRDefault="00B840C5">
      <w:pPr>
        <w:widowControl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BFBFBF"/>
        <w:spacing w:after="200"/>
        <w:ind w:hanging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ESTIMATIVAS DAS QUANTIDADES (fundamento: inciso IV do artigo 18 da Lei n. 14.133/2021)</w:t>
      </w:r>
    </w:p>
    <w:p w:rsidR="006A63A4" w:rsidRDefault="006A63A4">
      <w:pPr>
        <w:widowControl/>
        <w:spacing w:after="200"/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B840C5">
      <w:pPr>
        <w:widowControl/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Inicialmente, consta no DFD n</w:t>
      </w:r>
      <w:r>
        <w:rPr>
          <w:rFonts w:ascii="Arial" w:eastAsia="Arial" w:hAnsi="Arial" w:cs="Arial"/>
          <w:sz w:val="22"/>
          <w:szCs w:val="22"/>
        </w:rPr>
        <w:t xml:space="preserve">. </w:t>
      </w:r>
      <w:r>
        <w:rPr>
          <w:rFonts w:ascii="Arial" w:eastAsia="Arial" w:hAnsi="Arial" w:cs="Arial"/>
          <w:color w:val="000000"/>
          <w:sz w:val="22"/>
          <w:szCs w:val="22"/>
        </w:rPr>
        <w:t>6435439 as quantidades individuais abaixo, totalizando</w:t>
      </w:r>
      <w:r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>20.875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cartelas (folh</w:t>
      </w:r>
      <w:r>
        <w:rPr>
          <w:rFonts w:ascii="Arial" w:eastAsia="Arial" w:hAnsi="Arial" w:cs="Arial"/>
          <w:sz w:val="22"/>
          <w:szCs w:val="22"/>
        </w:rPr>
        <w:t>as) de etiquetas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. </w:t>
      </w:r>
    </w:p>
    <w:p w:rsidR="006A63A4" w:rsidRDefault="00B840C5">
      <w:pPr>
        <w:widowControl/>
        <w:numPr>
          <w:ilvl w:val="0"/>
          <w:numId w:val="5"/>
        </w:num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Etiquetas adesivas para mídia de urna eletrônica - mídia de aplicação de carga: quantidade de 936 folhas, sendo 40 etiquetas por folha, total de 37.440 unidades;</w:t>
      </w:r>
    </w:p>
    <w:p w:rsidR="006A63A4" w:rsidRDefault="00B840C5">
      <w:pPr>
        <w:widowControl/>
        <w:numPr>
          <w:ilvl w:val="0"/>
          <w:numId w:val="5"/>
        </w:num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Etiquetas adesivas para mídia de urna eletrônica - mídia de aplicação de votação: quantidade de 3.500 folhas, sendo 40 etiquetas por folha, total de 140.000 unidades;</w:t>
      </w:r>
    </w:p>
    <w:p w:rsidR="006A63A4" w:rsidRDefault="00B840C5">
      <w:pPr>
        <w:widowControl/>
        <w:numPr>
          <w:ilvl w:val="0"/>
          <w:numId w:val="5"/>
        </w:num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Etiquetas adesivas para mídia de urna eletrônica - memória de resultado: quantidade de 1</w:t>
      </w:r>
      <w:r>
        <w:rPr>
          <w:rFonts w:ascii="Arial" w:eastAsia="Arial" w:hAnsi="Arial" w:cs="Arial"/>
          <w:color w:val="000000"/>
          <w:sz w:val="22"/>
          <w:szCs w:val="22"/>
        </w:rPr>
        <w:t>6.439 folhas, sendo 17 etiquetas por folha, total de 279.463 unidades.</w:t>
      </w:r>
    </w:p>
    <w:p w:rsidR="006A63A4" w:rsidRDefault="00B840C5">
      <w:pPr>
        <w:widowControl/>
        <w:spacing w:after="24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Memória de Cálculo e Justificativa dos Quantitativos</w:t>
      </w:r>
    </w:p>
    <w:p w:rsidR="006A63A4" w:rsidRDefault="00B840C5">
      <w:pPr>
        <w:widowControl/>
        <w:spacing w:after="24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Para a estimativa quantitativa das etiquetas a serem adquiridas para as Eleições Gerais de 2026, utilizou-se como parâmetro base o q</w:t>
      </w:r>
      <w:r>
        <w:rPr>
          <w:rFonts w:ascii="Arial" w:eastAsia="Arial" w:hAnsi="Arial" w:cs="Arial"/>
          <w:sz w:val="22"/>
          <w:szCs w:val="22"/>
        </w:rPr>
        <w:t>uantitativo efetivamente consumido nas Eleições Municipais de 2024, acrescido de uma margem de segurança de 10%.</w:t>
      </w:r>
    </w:p>
    <w:p w:rsidR="006A63A4" w:rsidRDefault="00B840C5">
      <w:pPr>
        <w:widowControl/>
        <w:spacing w:after="24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Documentos que embasam a Memória de Cálculo</w:t>
      </w:r>
    </w:p>
    <w:p w:rsidR="006A63A4" w:rsidRDefault="00B840C5">
      <w:pPr>
        <w:widowControl/>
        <w:spacing w:after="24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Em atendimento à diligência da Assessoria Jurídica e ao disposto no art. 40, III, da Lei nº 14.133/</w:t>
      </w:r>
      <w:r>
        <w:rPr>
          <w:rFonts w:ascii="Arial" w:eastAsia="Arial" w:hAnsi="Arial" w:cs="Arial"/>
          <w:sz w:val="22"/>
          <w:szCs w:val="22"/>
        </w:rPr>
        <w:t>21, informa-se que as premissas, quantitativos base e regras de negócio utilizadas para a presente técnica quantitativa de estimação foram extraídas dos seguintes documentos, que passam a integrar os autos:</w:t>
      </w:r>
    </w:p>
    <w:p w:rsidR="006A63A4" w:rsidRDefault="00B840C5">
      <w:pPr>
        <w:widowControl/>
        <w:spacing w:after="24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Termo de Referência / Edital do Pregão Eletrônico</w:t>
      </w:r>
      <w:r>
        <w:rPr>
          <w:rFonts w:ascii="Arial" w:eastAsia="Arial" w:hAnsi="Arial" w:cs="Arial"/>
          <w:sz w:val="22"/>
          <w:szCs w:val="22"/>
        </w:rPr>
        <w:t xml:space="preserve"> nº 90054/2024 (Processo SEI nº 0006314-49.2024.6.26.8000), que atesta as quantidades base efetivamente licitadas e consumidas nas eleições municipais de 2024.</w:t>
      </w:r>
    </w:p>
    <w:p w:rsidR="006A63A4" w:rsidRDefault="00B840C5">
      <w:pPr>
        <w:widowControl/>
        <w:spacing w:after="24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Tabela de Sugestões para geração de mídias nas eleições municipais de 2024. Trata-se de material</w:t>
      </w:r>
      <w:r>
        <w:rPr>
          <w:rFonts w:ascii="Arial" w:eastAsia="Arial" w:hAnsi="Arial" w:cs="Arial"/>
          <w:sz w:val="22"/>
          <w:szCs w:val="22"/>
        </w:rPr>
        <w:t xml:space="preserve"> técnico disponibilizado no Portal Eleições 2024, passo “Conferências para Geração de Mídias (ID </w:t>
      </w:r>
      <w:proofErr w:type="gramStart"/>
      <w:r>
        <w:rPr>
          <w:rFonts w:ascii="Arial" w:eastAsia="Arial" w:hAnsi="Arial" w:cs="Arial"/>
          <w:sz w:val="22"/>
          <w:szCs w:val="22"/>
        </w:rPr>
        <w:t>1117)”</w:t>
      </w:r>
      <w:proofErr w:type="gramEnd"/>
      <w:r>
        <w:rPr>
          <w:rFonts w:ascii="Arial" w:eastAsia="Arial" w:hAnsi="Arial" w:cs="Arial"/>
          <w:sz w:val="22"/>
          <w:szCs w:val="22"/>
        </w:rPr>
        <w:t xml:space="preserve"> e que orientou os cartórios eleitorais no último pleito, padronizando a logística de distribuição e a proporção de mídias (e respectivas etiquetas) por </w:t>
      </w:r>
      <w:r>
        <w:rPr>
          <w:rFonts w:ascii="Arial" w:eastAsia="Arial" w:hAnsi="Arial" w:cs="Arial"/>
          <w:sz w:val="22"/>
          <w:szCs w:val="22"/>
        </w:rPr>
        <w:t>seção eleitoral, urna e zona eleitoral. Cabe ressaltar que, por se tratar de material hospedado no referido Portal – cujo conteúdo é dinâmico e sujeito a atualizações visando pleitos futuros –, o referido arquivo foi anexado a este processo (Doc. SEI nº 75</w:t>
      </w:r>
      <w:r>
        <w:rPr>
          <w:rFonts w:ascii="Arial" w:eastAsia="Arial" w:hAnsi="Arial" w:cs="Arial"/>
          <w:sz w:val="22"/>
          <w:szCs w:val="22"/>
        </w:rPr>
        <w:t>30473) para garantir a rastreabilidade, a segurança jurídica e a autossuficiência da instrução processual.</w:t>
      </w:r>
    </w:p>
    <w:p w:rsidR="006A63A4" w:rsidRDefault="00B840C5">
      <w:pPr>
        <w:widowControl/>
        <w:spacing w:after="24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O volume utilizado em 2024 reflete a arquitetura técnica de preparação das urnas eletrônicas e o dimensionamento do parque de equipamentos do Estado </w:t>
      </w:r>
      <w:r>
        <w:rPr>
          <w:rFonts w:ascii="Arial" w:eastAsia="Arial" w:hAnsi="Arial" w:cs="Arial"/>
          <w:sz w:val="22"/>
          <w:szCs w:val="22"/>
        </w:rPr>
        <w:t>de São Paulo, que conta atualmente com cerca de 104 mil seções eleitorais. A definição das quantidades varia para cada tipo de mídia (e sua respectiva etiqueta) em virtude de sua finalidade no processo eleitoral, seguindo as seguintes premissas logísticas:</w:t>
      </w:r>
    </w:p>
    <w:p w:rsidR="006A63A4" w:rsidRDefault="00B840C5">
      <w:pPr>
        <w:widowControl/>
        <w:spacing w:after="24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lastRenderedPageBreak/>
        <w:t xml:space="preserve">Etiquetas para Mídia de Aplicação de Carga (MA ou Flash </w:t>
      </w:r>
      <w:proofErr w:type="spellStart"/>
      <w:r>
        <w:rPr>
          <w:rFonts w:ascii="Arial" w:eastAsia="Arial" w:hAnsi="Arial" w:cs="Arial"/>
          <w:sz w:val="22"/>
          <w:szCs w:val="22"/>
        </w:rPr>
        <w:t>Card</w:t>
      </w:r>
      <w:proofErr w:type="spellEnd"/>
      <w:r>
        <w:rPr>
          <w:rFonts w:ascii="Arial" w:eastAsia="Arial" w:hAnsi="Arial" w:cs="Arial"/>
          <w:sz w:val="22"/>
          <w:szCs w:val="22"/>
        </w:rPr>
        <w:t>): Tais mídias são utilizadas na preparação inicial das urnas (instalação dos programas, lista de eleitores e candidatos). Em 2024 foi recomendado que cada Mídia de Carga contivesse os dados de c</w:t>
      </w:r>
      <w:r>
        <w:rPr>
          <w:rFonts w:ascii="Arial" w:eastAsia="Arial" w:hAnsi="Arial" w:cs="Arial"/>
          <w:sz w:val="22"/>
          <w:szCs w:val="22"/>
        </w:rPr>
        <w:t>erca de 50 seções eleitorais. A este montante calculado, somam-se as mídias extras mantidas nos cartórios para procedimentos paralelos, como a certificação de urnas.</w:t>
      </w:r>
    </w:p>
    <w:p w:rsidR="006A63A4" w:rsidRDefault="00B840C5">
      <w:pPr>
        <w:widowControl/>
        <w:spacing w:after="24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Etiquetas para Mídia de Votação (MV): Após a carga inicial, instala-se uma Mídia de Votaçã</w:t>
      </w:r>
      <w:r>
        <w:rPr>
          <w:rFonts w:ascii="Arial" w:eastAsia="Arial" w:hAnsi="Arial" w:cs="Arial"/>
          <w:sz w:val="22"/>
          <w:szCs w:val="22"/>
        </w:rPr>
        <w:t xml:space="preserve">o definitiva para cada urna de seção. Além da proporção de 1 para 1 em relação ao número de seções, o cálculo engloba a necessidade de geração de cerca de 5% de Mídias de Votação de Contingência (MVC). </w:t>
      </w:r>
    </w:p>
    <w:p w:rsidR="006A63A4" w:rsidRDefault="00B840C5">
      <w:pPr>
        <w:widowControl/>
        <w:spacing w:after="24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Etiquetas para Memória de Resultado (MR): Na seção el</w:t>
      </w:r>
      <w:r>
        <w:rPr>
          <w:rFonts w:ascii="Arial" w:eastAsia="Arial" w:hAnsi="Arial" w:cs="Arial"/>
          <w:sz w:val="22"/>
          <w:szCs w:val="22"/>
        </w:rPr>
        <w:t>eitoral, exige-se 1 MR para cada urna de votação. O volume expressivo destas etiquetas justifica-se pela alta probabilidade de ocorrência de 2º turno no Estado de São Paulo, o que obriga os cartórios a atualizarem as urnas instalando uma nova MR específica</w:t>
      </w:r>
      <w:r>
        <w:rPr>
          <w:rFonts w:ascii="Arial" w:eastAsia="Arial" w:hAnsi="Arial" w:cs="Arial"/>
          <w:sz w:val="22"/>
          <w:szCs w:val="22"/>
        </w:rPr>
        <w:t xml:space="preserve"> para o 2º turno. Além do cômputo duplo (1º e 2º turnos), exige-se um estoque adicional por Zona Eleitoral para finalidades diversas, compreendendo: </w:t>
      </w:r>
      <w:proofErr w:type="spellStart"/>
      <w:r>
        <w:rPr>
          <w:rFonts w:ascii="Arial" w:eastAsia="Arial" w:hAnsi="Arial" w:cs="Arial"/>
          <w:sz w:val="22"/>
          <w:szCs w:val="22"/>
        </w:rPr>
        <w:t>MRs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para Ajuste de Data e Hora (ADH); </w:t>
      </w:r>
      <w:proofErr w:type="spellStart"/>
      <w:r>
        <w:rPr>
          <w:rFonts w:ascii="Arial" w:eastAsia="Arial" w:hAnsi="Arial" w:cs="Arial"/>
          <w:sz w:val="22"/>
          <w:szCs w:val="22"/>
        </w:rPr>
        <w:t>MRs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Múltiplas (RED, SA, VPP e </w:t>
      </w:r>
      <w:proofErr w:type="spellStart"/>
      <w:r>
        <w:rPr>
          <w:rFonts w:ascii="Arial" w:eastAsia="Arial" w:hAnsi="Arial" w:cs="Arial"/>
          <w:sz w:val="22"/>
          <w:szCs w:val="22"/>
        </w:rPr>
        <w:t>Autoteste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); </w:t>
      </w:r>
      <w:proofErr w:type="spellStart"/>
      <w:r>
        <w:rPr>
          <w:rFonts w:ascii="Arial" w:eastAsia="Arial" w:hAnsi="Arial" w:cs="Arial"/>
          <w:sz w:val="22"/>
          <w:szCs w:val="22"/>
        </w:rPr>
        <w:t>MRs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para Verificador de ass</w:t>
      </w:r>
      <w:r>
        <w:rPr>
          <w:rFonts w:ascii="Arial" w:eastAsia="Arial" w:hAnsi="Arial" w:cs="Arial"/>
          <w:sz w:val="22"/>
          <w:szCs w:val="22"/>
        </w:rPr>
        <w:t xml:space="preserve">inaturas digitais (AVPART); STE (Sistema de Teste Exaustivo) e um estoque de segurança de </w:t>
      </w:r>
      <w:proofErr w:type="spellStart"/>
      <w:r>
        <w:rPr>
          <w:rFonts w:ascii="Arial" w:eastAsia="Arial" w:hAnsi="Arial" w:cs="Arial"/>
          <w:sz w:val="22"/>
          <w:szCs w:val="22"/>
        </w:rPr>
        <w:t>MRs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Vazias para uso em conjunto com as </w:t>
      </w:r>
      <w:proofErr w:type="spellStart"/>
      <w:r>
        <w:rPr>
          <w:rFonts w:ascii="Arial" w:eastAsia="Arial" w:hAnsi="Arial" w:cs="Arial"/>
          <w:sz w:val="22"/>
          <w:szCs w:val="22"/>
        </w:rPr>
        <w:t>MRs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múltiplas, equivalente a até 5% do número de seções.</w:t>
      </w:r>
    </w:p>
    <w:p w:rsidR="006A63A4" w:rsidRDefault="00B840C5">
      <w:pPr>
        <w:widowControl/>
        <w:spacing w:after="24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Acréscimo de 10% e Economicidade:</w:t>
      </w:r>
    </w:p>
    <w:p w:rsidR="006A63A4" w:rsidRDefault="00B840C5">
      <w:pPr>
        <w:widowControl/>
        <w:spacing w:after="24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inclusão do percentual de 10% sobr</w:t>
      </w:r>
      <w:r>
        <w:rPr>
          <w:rFonts w:ascii="Arial" w:eastAsia="Arial" w:hAnsi="Arial" w:cs="Arial"/>
          <w:sz w:val="22"/>
          <w:szCs w:val="22"/>
        </w:rPr>
        <w:t>e o quantitativo de 2024 visa absorver o crescimento vegetativo do eleitorado paulista esperado para 2026, o que invariavelmente resulta na criação de novas seções eleitorais e na necessidade de mais urnas preparadas.</w:t>
      </w:r>
    </w:p>
    <w:p w:rsidR="006A63A4" w:rsidRDefault="00B840C5">
      <w:pPr>
        <w:widowControl/>
        <w:spacing w:after="24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Por fim, cabe destacar que as especifi</w:t>
      </w:r>
      <w:r>
        <w:rPr>
          <w:rFonts w:ascii="Arial" w:eastAsia="Arial" w:hAnsi="Arial" w:cs="Arial"/>
          <w:sz w:val="22"/>
          <w:szCs w:val="22"/>
        </w:rPr>
        <w:t>cações técnicas dos modelos de impressos regulamentados pelo Tribunal Superior Eleitoral não tendem a mudar de uma eleição para outra. Portanto, uma eventual sobra de estoque oriunda da margem de segurança não configura desperdício, pois o saldo remanescen</w:t>
      </w:r>
      <w:r>
        <w:rPr>
          <w:rFonts w:ascii="Arial" w:eastAsia="Arial" w:hAnsi="Arial" w:cs="Arial"/>
          <w:sz w:val="22"/>
          <w:szCs w:val="22"/>
        </w:rPr>
        <w:t>te de etiquetas pode ser perfeitamente armazenado e utilizado no pleito seguinte, garantindo o princípio da economicidade.</w:t>
      </w:r>
    </w:p>
    <w:p w:rsidR="006A63A4" w:rsidRDefault="006A63A4">
      <w:pPr>
        <w:widowControl/>
        <w:spacing w:after="240"/>
        <w:jc w:val="both"/>
        <w:rPr>
          <w:rFonts w:ascii="Arial" w:eastAsia="Arial" w:hAnsi="Arial" w:cs="Arial"/>
          <w:sz w:val="22"/>
          <w:szCs w:val="22"/>
        </w:rPr>
      </w:pPr>
      <w:bookmarkStart w:id="0" w:name="_heading=h.uhegxlq2je18" w:colFirst="0" w:colLast="0"/>
      <w:bookmarkEnd w:id="0"/>
    </w:p>
    <w:p w:rsidR="006A63A4" w:rsidRDefault="006A63A4">
      <w:pPr>
        <w:widowControl/>
        <w:spacing w:after="240"/>
        <w:jc w:val="both"/>
        <w:rPr>
          <w:rFonts w:ascii="Arial" w:eastAsia="Arial" w:hAnsi="Arial" w:cs="Arial"/>
          <w:strike/>
          <w:sz w:val="22"/>
          <w:szCs w:val="22"/>
        </w:rPr>
      </w:pPr>
    </w:p>
    <w:p w:rsidR="006A63A4" w:rsidRDefault="00B840C5">
      <w:pPr>
        <w:widowControl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BFBFBF"/>
        <w:spacing w:after="200"/>
        <w:ind w:hanging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LEVANTAMENTO DE MERCADO E JUSTIFICATIVA DA ESCOLHA DO TIPO E SOLUÇÃO A CONTRATAR (fundamento: inciso V do artigo 18 da Lei n. 14.133/2021)</w:t>
      </w:r>
    </w:p>
    <w:p w:rsidR="006A63A4" w:rsidRDefault="006A63A4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O tipo de objeto a ser adquirido tem suas especificações técnicas regulamentadas pelo TSE em portaria de modelos de </w:t>
      </w:r>
      <w:r>
        <w:rPr>
          <w:rFonts w:ascii="Arial" w:eastAsia="Arial" w:hAnsi="Arial" w:cs="Arial"/>
          <w:color w:val="000000"/>
          <w:sz w:val="22"/>
          <w:szCs w:val="22"/>
        </w:rPr>
        <w:t>impressos para uso em eleições oficiais.</w:t>
      </w: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Porém, cabe notar que, apesar das características regulamentadas, os impressos são de material conhecido e disponível no mercado.</w:t>
      </w: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Em 2022, a Portaria TSE n° 70/2022 regulamentou</w:t>
      </w:r>
      <w:r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o art. 155 da Resolução TSE nº 23.669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/2021. A aquisição do TRE/SP </w:t>
      </w:r>
      <w:r>
        <w:rPr>
          <w:rFonts w:ascii="Arial" w:eastAsia="Arial" w:hAnsi="Arial" w:cs="Arial"/>
          <w:sz w:val="22"/>
          <w:szCs w:val="22"/>
        </w:rPr>
        <w:t>neste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ano está contida no SEI 0015510-14.2022.6.26.8000 e no Pregão Eletrônico 83/2022.</w:t>
      </w: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Em 2024, a regulamentação se deu pela Portaria TSE n° 273/2024. A aquisição nesse ano está contida no SEI 0006314-49.2024.6.26.8000 e no Pr</w:t>
      </w:r>
      <w:r>
        <w:rPr>
          <w:rFonts w:ascii="Arial" w:eastAsia="Arial" w:hAnsi="Arial" w:cs="Arial"/>
          <w:color w:val="000000"/>
          <w:sz w:val="22"/>
          <w:szCs w:val="22"/>
        </w:rPr>
        <w:t>egão Eletrônico 90054/2024.</w:t>
      </w: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b/>
          <w:bCs/>
          <w:color w:val="000000"/>
          <w:sz w:val="22"/>
          <w:szCs w:val="22"/>
          <w:u w:val="single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  <w:u w:val="single"/>
        </w:rPr>
        <w:lastRenderedPageBreak/>
        <w:t>Licitações e contratos TRE-SP:</w:t>
      </w: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hyperlink r:id="rId11">
        <w:r>
          <w:rPr>
            <w:rFonts w:ascii="Arial" w:eastAsia="Arial" w:hAnsi="Arial" w:cs="Arial"/>
            <w:color w:val="0000FF"/>
            <w:sz w:val="22"/>
            <w:szCs w:val="22"/>
            <w:u w:val="single"/>
          </w:rPr>
          <w:t>https://www.tre-sp.jus.br/transparencia-e-prestacao-de-contas/lici</w:t>
        </w:r>
        <w:r>
          <w:rPr>
            <w:rFonts w:ascii="Arial" w:eastAsia="Arial" w:hAnsi="Arial" w:cs="Arial"/>
            <w:color w:val="0000FF"/>
            <w:sz w:val="22"/>
            <w:szCs w:val="22"/>
            <w:u w:val="single"/>
          </w:rPr>
          <w:t>tacoes-contratos-e-instrumentos-de-cooperacao</w:t>
        </w:r>
      </w:hyperlink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Para as Eleições Gerais de 2026, aguarda-se a publicação da Resolução TSE específica.</w:t>
      </w: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No âmbito do TRE/RJ, vê-se que em 2020, o produto foi adquirido através do pregão 56/2020.</w:t>
      </w: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  <w:u w:val="single"/>
        </w:rPr>
        <w:t>Licitações e contratos TRE-RJ:</w:t>
      </w: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hyperlink r:id="rId12">
        <w:r>
          <w:rPr>
            <w:rFonts w:ascii="Arial" w:eastAsia="Arial" w:hAnsi="Arial" w:cs="Arial"/>
            <w:color w:val="0000FF"/>
            <w:sz w:val="22"/>
            <w:szCs w:val="22"/>
            <w:u w:val="single"/>
          </w:rPr>
          <w:t>https://www.tre-rj.jus.br/transparencia-e-prestacao-de-contas/licitacoes-e-contratos</w:t>
        </w:r>
      </w:hyperlink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b/>
          <w:bCs/>
          <w:sz w:val="22"/>
          <w:szCs w:val="22"/>
          <w:u w:val="single"/>
        </w:rPr>
      </w:pPr>
      <w:r>
        <w:rPr>
          <w:rFonts w:ascii="Arial" w:eastAsia="Arial" w:hAnsi="Arial" w:cs="Arial"/>
          <w:b/>
          <w:bCs/>
          <w:sz w:val="22"/>
          <w:szCs w:val="22"/>
          <w:u w:val="single"/>
        </w:rPr>
        <w:t>Produção Interna – Gráfica TRE-SP:</w:t>
      </w: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Assim como em outras eleições, hou</w:t>
      </w:r>
      <w:r>
        <w:rPr>
          <w:rFonts w:ascii="Arial" w:eastAsia="Arial" w:hAnsi="Arial" w:cs="Arial"/>
          <w:sz w:val="22"/>
          <w:szCs w:val="22"/>
        </w:rPr>
        <w:t xml:space="preserve">ve a verificação interna da capacidade da gráfica do TRE-SP de produzir os impressos das Eleições Gerais 2026 pela máquina plotter disponível. </w:t>
      </w:r>
    </w:p>
    <w:p w:rsidR="006A63A4" w:rsidRDefault="00B840C5">
      <w:pPr>
        <w:widowControl/>
        <w:shd w:val="clear" w:color="auto" w:fill="FFFFFF"/>
        <w:spacing w:after="24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Como o TRE-SP decidiu fazer uma consulta de interesse aos outros regionais na participação das licitações compar</w:t>
      </w:r>
      <w:r>
        <w:rPr>
          <w:rFonts w:ascii="Arial" w:eastAsia="Arial" w:hAnsi="Arial" w:cs="Arial"/>
          <w:sz w:val="22"/>
          <w:szCs w:val="22"/>
        </w:rPr>
        <w:t xml:space="preserve">tilhadas deste Tribunal Regional Eleitoral de São Paulo, dentre elas, a aquisição de etiquetas para mídias das urnas, considerou-se inviável o uso dos equipamentos da gráfica local para impressão desse material para outros </w:t>
      </w:r>
      <w:proofErr w:type="spellStart"/>
      <w:r>
        <w:rPr>
          <w:rFonts w:ascii="Arial" w:eastAsia="Arial" w:hAnsi="Arial" w:cs="Arial"/>
          <w:sz w:val="22"/>
          <w:szCs w:val="22"/>
        </w:rPr>
        <w:t>TREs</w:t>
      </w:r>
      <w:proofErr w:type="spellEnd"/>
      <w:r>
        <w:rPr>
          <w:rFonts w:ascii="Arial" w:eastAsia="Arial" w:hAnsi="Arial" w:cs="Arial"/>
          <w:sz w:val="22"/>
          <w:szCs w:val="22"/>
        </w:rPr>
        <w:t>.</w:t>
      </w:r>
    </w:p>
    <w:p w:rsidR="006A63A4" w:rsidRPr="004C64EF" w:rsidRDefault="00B840C5">
      <w:pPr>
        <w:widowControl/>
        <w:shd w:val="clear" w:color="auto" w:fill="FFFFFF"/>
        <w:spacing w:after="240"/>
        <w:jc w:val="both"/>
        <w:rPr>
          <w:rFonts w:ascii="Arial" w:eastAsia="Arial" w:hAnsi="Arial" w:cs="Arial"/>
          <w:b/>
          <w:bCs/>
          <w:sz w:val="22"/>
          <w:szCs w:val="22"/>
          <w:u w:val="single"/>
        </w:rPr>
      </w:pPr>
      <w:r w:rsidRPr="004C64EF">
        <w:rPr>
          <w:rFonts w:ascii="Arial" w:eastAsia="Arial" w:hAnsi="Arial" w:cs="Arial"/>
          <w:b/>
          <w:bCs/>
          <w:sz w:val="22"/>
          <w:szCs w:val="22"/>
          <w:u w:val="single"/>
        </w:rPr>
        <w:t>Critérios de Sustentabilida</w:t>
      </w:r>
      <w:r w:rsidRPr="004C64EF">
        <w:rPr>
          <w:rFonts w:ascii="Arial" w:eastAsia="Arial" w:hAnsi="Arial" w:cs="Arial"/>
          <w:b/>
          <w:bCs/>
          <w:sz w:val="22"/>
          <w:szCs w:val="22"/>
          <w:u w:val="single"/>
        </w:rPr>
        <w:t>de:</w:t>
      </w:r>
    </w:p>
    <w:p w:rsidR="006A63A4" w:rsidRPr="004C64EF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r w:rsidRPr="004C64EF">
        <w:rPr>
          <w:rFonts w:ascii="Arial" w:eastAsia="Arial" w:hAnsi="Arial" w:cs="Arial"/>
          <w:sz w:val="22"/>
          <w:szCs w:val="22"/>
        </w:rPr>
        <w:t>Durante a fase de planejamento, realizou-se um estudo para alinhar a contratação ao entendimento jurisprudencial do Tribunal de Contas da União (TCU) e às práticas de outros Tribunais Regionais Eleitorais, buscando equilibrar a promoção do desenvolvime</w:t>
      </w:r>
      <w:r w:rsidRPr="004C64EF">
        <w:rPr>
          <w:rFonts w:ascii="Arial" w:eastAsia="Arial" w:hAnsi="Arial" w:cs="Arial"/>
          <w:sz w:val="22"/>
          <w:szCs w:val="22"/>
        </w:rPr>
        <w:t>nto sustentável com a segurança das Eleições Gerais de 2026.</w:t>
      </w:r>
    </w:p>
    <w:p w:rsidR="006A63A4" w:rsidRPr="004C64EF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r w:rsidRPr="004C64EF">
        <w:rPr>
          <w:rFonts w:ascii="Arial" w:eastAsia="Arial" w:hAnsi="Arial" w:cs="Arial"/>
          <w:sz w:val="22"/>
          <w:szCs w:val="22"/>
        </w:rPr>
        <w:t>Em observância ao Acórdão 2014/2025-TCU-Plenário, que veda a inclusão de critérios de sustentabilidade baseados meramente em suposições teóricas e exige prova de viabilidade de mercado, este Regional realizou diligências junto aos potenciais fornecedores p</w:t>
      </w:r>
      <w:r w:rsidRPr="004C64EF">
        <w:rPr>
          <w:rFonts w:ascii="Arial" w:eastAsia="Arial" w:hAnsi="Arial" w:cs="Arial"/>
          <w:sz w:val="22"/>
          <w:szCs w:val="22"/>
        </w:rPr>
        <w:t xml:space="preserve">ara assegurar que a exigência de certificações ambientais (a exemplo de FSC ou CERFLOR) possuísse respaldo em dados concretos. </w:t>
      </w:r>
    </w:p>
    <w:p w:rsidR="006A63A4" w:rsidRPr="004C64EF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r w:rsidRPr="004C64EF">
        <w:rPr>
          <w:rFonts w:ascii="Arial" w:eastAsia="Arial" w:hAnsi="Arial" w:cs="Arial"/>
          <w:sz w:val="22"/>
          <w:szCs w:val="22"/>
        </w:rPr>
        <w:t>Conforme o relatório da seção responsável pela pesquisa de preços (Doc. 7287044), há evidências de que o mercado apresenta matur</w:t>
      </w:r>
      <w:r w:rsidRPr="004C64EF">
        <w:rPr>
          <w:rFonts w:ascii="Arial" w:eastAsia="Arial" w:hAnsi="Arial" w:cs="Arial"/>
          <w:sz w:val="22"/>
          <w:szCs w:val="22"/>
        </w:rPr>
        <w:t xml:space="preserve">idade para atender à demanda, visto que a maioria das empresas consultadas informou utilizar papel de fornecedores certificados, tais como </w:t>
      </w:r>
      <w:proofErr w:type="spellStart"/>
      <w:r w:rsidRPr="004C64EF">
        <w:rPr>
          <w:rFonts w:ascii="Arial" w:eastAsia="Arial" w:hAnsi="Arial" w:cs="Arial"/>
          <w:sz w:val="22"/>
          <w:szCs w:val="22"/>
        </w:rPr>
        <w:t>Colacril</w:t>
      </w:r>
      <w:proofErr w:type="spellEnd"/>
      <w:r w:rsidRPr="004C64EF">
        <w:rPr>
          <w:rFonts w:ascii="Arial" w:eastAsia="Arial" w:hAnsi="Arial" w:cs="Arial"/>
          <w:sz w:val="22"/>
          <w:szCs w:val="22"/>
        </w:rPr>
        <w:t xml:space="preserve">, </w:t>
      </w:r>
      <w:proofErr w:type="spellStart"/>
      <w:r w:rsidRPr="004C64EF">
        <w:rPr>
          <w:rFonts w:ascii="Arial" w:eastAsia="Arial" w:hAnsi="Arial" w:cs="Arial"/>
          <w:sz w:val="22"/>
          <w:szCs w:val="22"/>
        </w:rPr>
        <w:t>Fasson</w:t>
      </w:r>
      <w:proofErr w:type="spellEnd"/>
      <w:r w:rsidRPr="004C64EF">
        <w:rPr>
          <w:rFonts w:ascii="Arial" w:eastAsia="Arial" w:hAnsi="Arial" w:cs="Arial"/>
          <w:sz w:val="22"/>
          <w:szCs w:val="22"/>
        </w:rPr>
        <w:t xml:space="preserve"> e </w:t>
      </w:r>
      <w:proofErr w:type="spellStart"/>
      <w:r w:rsidRPr="004C64EF">
        <w:rPr>
          <w:rFonts w:ascii="Arial" w:eastAsia="Arial" w:hAnsi="Arial" w:cs="Arial"/>
          <w:sz w:val="22"/>
          <w:szCs w:val="22"/>
        </w:rPr>
        <w:t>Protack</w:t>
      </w:r>
      <w:proofErr w:type="spellEnd"/>
      <w:r w:rsidRPr="004C64EF">
        <w:rPr>
          <w:rFonts w:ascii="Arial" w:eastAsia="Arial" w:hAnsi="Arial" w:cs="Arial"/>
          <w:sz w:val="22"/>
          <w:szCs w:val="22"/>
        </w:rPr>
        <w:t>.</w:t>
      </w:r>
    </w:p>
    <w:p w:rsidR="006A63A4" w:rsidRPr="004C64EF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r w:rsidRPr="004C64EF">
        <w:rPr>
          <w:rFonts w:ascii="Arial" w:eastAsia="Arial" w:hAnsi="Arial" w:cs="Arial"/>
          <w:sz w:val="22"/>
          <w:szCs w:val="22"/>
        </w:rPr>
        <w:t>Dessa forma, a validação técnica das propostas demonstra que a adoção de critérios susten</w:t>
      </w:r>
      <w:r w:rsidRPr="004C64EF">
        <w:rPr>
          <w:rFonts w:ascii="Arial" w:eastAsia="Arial" w:hAnsi="Arial" w:cs="Arial"/>
          <w:sz w:val="22"/>
          <w:szCs w:val="22"/>
        </w:rPr>
        <w:t xml:space="preserve">táveis para as etiquetas de mídias não configura restrição indevida à competitividade, garante a manutenção da identidade visual normativa das etiquetas e afasta o risco de </w:t>
      </w:r>
      <w:proofErr w:type="spellStart"/>
      <w:r w:rsidRPr="004C64EF">
        <w:rPr>
          <w:rFonts w:ascii="Arial" w:eastAsia="Arial" w:hAnsi="Arial" w:cs="Arial"/>
          <w:sz w:val="22"/>
          <w:szCs w:val="22"/>
        </w:rPr>
        <w:t>sobrepreço</w:t>
      </w:r>
      <w:proofErr w:type="spellEnd"/>
      <w:r w:rsidRPr="004C64EF">
        <w:rPr>
          <w:rFonts w:ascii="Arial" w:eastAsia="Arial" w:hAnsi="Arial" w:cs="Arial"/>
          <w:sz w:val="22"/>
          <w:szCs w:val="22"/>
        </w:rPr>
        <w:t xml:space="preserve"> ou certame deserto, conciliando o princípio do desenvolvimento sustentáv</w:t>
      </w:r>
      <w:r w:rsidRPr="004C64EF">
        <w:rPr>
          <w:rFonts w:ascii="Arial" w:eastAsia="Arial" w:hAnsi="Arial" w:cs="Arial"/>
          <w:sz w:val="22"/>
          <w:szCs w:val="22"/>
        </w:rPr>
        <w:t>el com a segurança e economicidade do pleito eleitoral.</w:t>
      </w:r>
    </w:p>
    <w:p w:rsidR="006A63A4" w:rsidRPr="004C64EF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b/>
          <w:bCs/>
          <w:sz w:val="22"/>
          <w:szCs w:val="22"/>
          <w:u w:val="single"/>
        </w:rPr>
      </w:pPr>
      <w:r w:rsidRPr="004C64EF">
        <w:rPr>
          <w:rFonts w:ascii="Arial" w:eastAsia="Arial" w:hAnsi="Arial" w:cs="Arial"/>
          <w:b/>
          <w:bCs/>
          <w:sz w:val="22"/>
          <w:szCs w:val="22"/>
          <w:u w:val="single"/>
        </w:rPr>
        <w:t>Da Subcontratação:</w:t>
      </w:r>
    </w:p>
    <w:p w:rsidR="006A63A4" w:rsidRPr="004C64EF" w:rsidRDefault="00B840C5">
      <w:pPr>
        <w:widowControl/>
        <w:shd w:val="clear" w:color="auto" w:fill="FFFFFF"/>
        <w:spacing w:before="240" w:after="240"/>
        <w:jc w:val="both"/>
        <w:rPr>
          <w:rFonts w:ascii="Arial" w:eastAsia="Arial" w:hAnsi="Arial" w:cs="Arial"/>
          <w:sz w:val="22"/>
          <w:szCs w:val="22"/>
        </w:rPr>
      </w:pPr>
      <w:r w:rsidRPr="004C64EF">
        <w:rPr>
          <w:rFonts w:ascii="Arial" w:eastAsia="Arial" w:hAnsi="Arial" w:cs="Arial"/>
          <w:sz w:val="22"/>
          <w:szCs w:val="22"/>
        </w:rPr>
        <w:t>Não será admitida a subcontratação do objeto contratual, haja vista a ausência de complexidade na execução contratual, sendo possível a participação e o atendimento às exigências es</w:t>
      </w:r>
      <w:r w:rsidRPr="004C64EF">
        <w:rPr>
          <w:rFonts w:ascii="Arial" w:eastAsia="Arial" w:hAnsi="Arial" w:cs="Arial"/>
          <w:sz w:val="22"/>
          <w:szCs w:val="22"/>
        </w:rPr>
        <w:t>tabelecidas sem que haja a necessidade de participação de terceiros em alguma fase da contratação.</w:t>
      </w:r>
    </w:p>
    <w:p w:rsidR="006A63A4" w:rsidRDefault="00B840C5">
      <w:pPr>
        <w:widowControl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BFBFBF"/>
        <w:spacing w:after="200"/>
        <w:ind w:hanging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bookmarkStart w:id="1" w:name="_GoBack"/>
      <w:bookmarkEnd w:id="1"/>
      <w:r>
        <w:rPr>
          <w:rFonts w:ascii="Arial" w:eastAsia="Arial" w:hAnsi="Arial" w:cs="Arial"/>
          <w:b/>
          <w:bCs/>
          <w:color w:val="000000"/>
          <w:sz w:val="22"/>
          <w:szCs w:val="22"/>
        </w:rPr>
        <w:t>ESTIMATIVA DO VALOR DA CONTRATAÇÃO (fundamento: inciso VI do artigo 18 da Lei n. 14.133/2021)</w:t>
      </w:r>
    </w:p>
    <w:p w:rsidR="006A63A4" w:rsidRDefault="006A63A4">
      <w:pPr>
        <w:widowControl/>
        <w:spacing w:after="200"/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B840C5">
      <w:pPr>
        <w:widowControl/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Abaixo, as tabelas </w:t>
      </w:r>
      <w:r>
        <w:rPr>
          <w:rFonts w:ascii="Arial" w:eastAsia="Arial" w:hAnsi="Arial" w:cs="Arial"/>
          <w:sz w:val="22"/>
          <w:szCs w:val="22"/>
        </w:rPr>
        <w:t>com os custos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de compra dos objetos em 2022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e 2024:</w:t>
      </w:r>
    </w:p>
    <w:tbl>
      <w:tblPr>
        <w:tblStyle w:val="a"/>
        <w:tblW w:w="9628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955"/>
        <w:gridCol w:w="1211"/>
        <w:gridCol w:w="1049"/>
        <w:gridCol w:w="1398"/>
        <w:gridCol w:w="1250"/>
        <w:gridCol w:w="1608"/>
        <w:gridCol w:w="1157"/>
      </w:tblGrid>
      <w:tr w:rsidR="006A63A4">
        <w:trPr>
          <w:trHeight w:val="600"/>
        </w:trPr>
        <w:tc>
          <w:tcPr>
            <w:tcW w:w="1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Etiquetas</w:t>
            </w:r>
          </w:p>
        </w:tc>
        <w:tc>
          <w:tcPr>
            <w:tcW w:w="121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Qtd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 Etiqueta Folha</w:t>
            </w:r>
          </w:p>
        </w:tc>
        <w:tc>
          <w:tcPr>
            <w:tcW w:w="10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Qtd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 Folhas</w:t>
            </w:r>
          </w:p>
        </w:tc>
        <w:tc>
          <w:tcPr>
            <w:tcW w:w="139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Qtd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 Etiquetas</w:t>
            </w:r>
          </w:p>
        </w:tc>
        <w:tc>
          <w:tcPr>
            <w:tcW w:w="12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Valor Unidade</w:t>
            </w:r>
          </w:p>
        </w:tc>
        <w:tc>
          <w:tcPr>
            <w:tcW w:w="16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Valor Total </w:t>
            </w:r>
          </w:p>
        </w:tc>
        <w:tc>
          <w:tcPr>
            <w:tcW w:w="115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spacing w:after="200"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Origem</w:t>
            </w: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br/>
              <w:t>Pregão</w:t>
            </w:r>
          </w:p>
        </w:tc>
      </w:tr>
      <w:tr w:rsidR="006A63A4">
        <w:trPr>
          <w:trHeight w:val="285"/>
        </w:trPr>
        <w:tc>
          <w:tcPr>
            <w:tcW w:w="19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MA de Carga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40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909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36360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R$ 0,84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R$ 763,56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spacing w:after="20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83/2022</w:t>
            </w:r>
          </w:p>
        </w:tc>
      </w:tr>
      <w:tr w:rsidR="006A63A4">
        <w:trPr>
          <w:trHeight w:val="285"/>
        </w:trPr>
        <w:tc>
          <w:tcPr>
            <w:tcW w:w="19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MA de Votação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40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3399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135960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R$ 0,65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R$ 2.209,35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spacing w:after="20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83/2022</w:t>
            </w:r>
          </w:p>
        </w:tc>
      </w:tr>
      <w:tr w:rsidR="006A63A4">
        <w:trPr>
          <w:trHeight w:val="285"/>
        </w:trPr>
        <w:tc>
          <w:tcPr>
            <w:tcW w:w="19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MR</w:t>
            </w:r>
          </w:p>
        </w:tc>
        <w:tc>
          <w:tcPr>
            <w:tcW w:w="12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17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15996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271932</w:t>
            </w:r>
          </w:p>
        </w:tc>
        <w:tc>
          <w:tcPr>
            <w:tcW w:w="12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R$ 0,51</w:t>
            </w:r>
          </w:p>
        </w:tc>
        <w:tc>
          <w:tcPr>
            <w:tcW w:w="16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R$ 8.157,96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spacing w:after="20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83/2022</w:t>
            </w:r>
          </w:p>
        </w:tc>
      </w:tr>
      <w:tr w:rsidR="006A63A4">
        <w:trPr>
          <w:trHeight w:val="300"/>
        </w:trPr>
        <w:tc>
          <w:tcPr>
            <w:tcW w:w="686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Custo Total</w:t>
            </w:r>
          </w:p>
        </w:tc>
        <w:tc>
          <w:tcPr>
            <w:tcW w:w="276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R$ 11.130,87</w:t>
            </w:r>
          </w:p>
        </w:tc>
      </w:tr>
    </w:tbl>
    <w:p w:rsidR="006A63A4" w:rsidRDefault="006A63A4">
      <w:pPr>
        <w:widowControl/>
        <w:spacing w:after="200"/>
        <w:jc w:val="both"/>
        <w:rPr>
          <w:rFonts w:ascii="Arial" w:eastAsia="Arial" w:hAnsi="Arial" w:cs="Arial"/>
          <w:sz w:val="22"/>
          <w:szCs w:val="22"/>
        </w:rPr>
      </w:pPr>
    </w:p>
    <w:tbl>
      <w:tblPr>
        <w:tblStyle w:val="a0"/>
        <w:tblW w:w="9628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839"/>
        <w:gridCol w:w="1140"/>
        <w:gridCol w:w="988"/>
        <w:gridCol w:w="1317"/>
        <w:gridCol w:w="1175"/>
        <w:gridCol w:w="1652"/>
        <w:gridCol w:w="1517"/>
      </w:tblGrid>
      <w:tr w:rsidR="006A63A4">
        <w:trPr>
          <w:trHeight w:val="600"/>
        </w:trPr>
        <w:tc>
          <w:tcPr>
            <w:tcW w:w="1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Etiquetas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Qtd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 Etiqueta Folha</w:t>
            </w:r>
          </w:p>
        </w:tc>
        <w:tc>
          <w:tcPr>
            <w:tcW w:w="9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Qtd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br/>
              <w:t>Folhas</w:t>
            </w:r>
          </w:p>
        </w:tc>
        <w:tc>
          <w:tcPr>
            <w:tcW w:w="13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Qtd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br/>
              <w:t>Etiquetas</w:t>
            </w:r>
          </w:p>
        </w:tc>
        <w:tc>
          <w:tcPr>
            <w:tcW w:w="11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Valor </w:t>
            </w: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br/>
              <w:t>Unidade</w:t>
            </w:r>
          </w:p>
        </w:tc>
        <w:tc>
          <w:tcPr>
            <w:tcW w:w="16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Valor Total </w:t>
            </w:r>
          </w:p>
        </w:tc>
        <w:tc>
          <w:tcPr>
            <w:tcW w:w="15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Origem</w:t>
            </w: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br/>
              <w:t>Pregão</w:t>
            </w:r>
          </w:p>
        </w:tc>
      </w:tr>
      <w:tr w:rsidR="006A63A4">
        <w:trPr>
          <w:trHeight w:val="285"/>
        </w:trPr>
        <w:tc>
          <w:tcPr>
            <w:tcW w:w="18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MA de Carga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40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936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37440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R$ 1,58</w:t>
            </w:r>
          </w:p>
        </w:tc>
        <w:tc>
          <w:tcPr>
            <w:tcW w:w="16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R$ 1.478,88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90054/2024</w:t>
            </w:r>
          </w:p>
        </w:tc>
      </w:tr>
      <w:tr w:rsidR="006A63A4">
        <w:trPr>
          <w:trHeight w:val="285"/>
        </w:trPr>
        <w:tc>
          <w:tcPr>
            <w:tcW w:w="18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MA de Votação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40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3500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140000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R$ 1,28</w:t>
            </w:r>
          </w:p>
        </w:tc>
        <w:tc>
          <w:tcPr>
            <w:tcW w:w="16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R$ 4.480,00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90054/2024</w:t>
            </w:r>
          </w:p>
        </w:tc>
      </w:tr>
      <w:tr w:rsidR="006A63A4">
        <w:trPr>
          <w:trHeight w:val="285"/>
        </w:trPr>
        <w:tc>
          <w:tcPr>
            <w:tcW w:w="183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MR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17</w:t>
            </w:r>
          </w:p>
        </w:tc>
        <w:tc>
          <w:tcPr>
            <w:tcW w:w="9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16439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279463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R$ 0,67</w:t>
            </w:r>
          </w:p>
        </w:tc>
        <w:tc>
          <w:tcPr>
            <w:tcW w:w="16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R$ 11.014,13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90054/2024</w:t>
            </w:r>
          </w:p>
        </w:tc>
      </w:tr>
      <w:tr w:rsidR="006A63A4">
        <w:trPr>
          <w:trHeight w:val="300"/>
        </w:trPr>
        <w:tc>
          <w:tcPr>
            <w:tcW w:w="645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Custo Total</w:t>
            </w:r>
          </w:p>
        </w:tc>
        <w:tc>
          <w:tcPr>
            <w:tcW w:w="316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R$ 16.973,01</w:t>
            </w:r>
          </w:p>
        </w:tc>
      </w:tr>
    </w:tbl>
    <w:p w:rsidR="006A63A4" w:rsidRDefault="006A63A4">
      <w:pPr>
        <w:widowControl/>
        <w:spacing w:after="200"/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B840C5">
      <w:pPr>
        <w:widowControl/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Propõe-se o </w:t>
      </w:r>
      <w:r>
        <w:rPr>
          <w:rFonts w:ascii="Arial" w:eastAsia="Arial" w:hAnsi="Arial" w:cs="Arial"/>
          <w:color w:val="000000"/>
          <w:sz w:val="22"/>
          <w:szCs w:val="22"/>
        </w:rPr>
        <w:t>acréscimo de 10% na quantidade de folhas de etiqueta de mídias adquiridas em relação ao pregão TRE-SP 90054/2024.</w:t>
      </w:r>
    </w:p>
    <w:p w:rsidR="006A63A4" w:rsidRDefault="00B840C5">
      <w:pPr>
        <w:widowControl/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Propõe-se atualização de valor baseando-se na inflação acumulada (IPCA) do período de 07/2024 (data de aquisição 2024) até 08/2025 de 5,51%.</w:t>
      </w:r>
    </w:p>
    <w:p w:rsidR="006A63A4" w:rsidRDefault="00B840C5">
      <w:pPr>
        <w:widowControl/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Propõe-se a atualização de valor sobre a previsão futura de inflação (IPCA) de 4,45%, até </w:t>
      </w:r>
      <w:r>
        <w:rPr>
          <w:rFonts w:ascii="Arial" w:eastAsia="Arial" w:hAnsi="Arial" w:cs="Arial"/>
          <w:sz w:val="22"/>
          <w:szCs w:val="22"/>
        </w:rPr>
        <w:t>agosto de 2026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.  </w:t>
      </w:r>
    </w:p>
    <w:p w:rsidR="006A63A4" w:rsidRDefault="00B840C5">
      <w:pPr>
        <w:widowControl/>
        <w:numPr>
          <w:ilvl w:val="0"/>
          <w:numId w:val="7"/>
        </w:num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Fonte d</w:t>
      </w:r>
      <w:r>
        <w:rPr>
          <w:rFonts w:ascii="Arial" w:eastAsia="Arial" w:hAnsi="Arial" w:cs="Arial"/>
          <w:color w:val="000000"/>
          <w:sz w:val="22"/>
          <w:szCs w:val="22"/>
        </w:rPr>
        <w:t>e cálculo IPCA – pesquisa em 25/09/2025:</w:t>
      </w:r>
    </w:p>
    <w:p w:rsidR="006A63A4" w:rsidRDefault="00B840C5">
      <w:pPr>
        <w:widowControl/>
        <w:spacing w:after="200"/>
        <w:ind w:left="720"/>
        <w:jc w:val="both"/>
        <w:rPr>
          <w:rFonts w:ascii="Arial" w:eastAsia="Arial" w:hAnsi="Arial" w:cs="Arial"/>
          <w:sz w:val="22"/>
          <w:szCs w:val="22"/>
        </w:rPr>
      </w:pPr>
      <w:hyperlink r:id="rId13">
        <w:r>
          <w:rPr>
            <w:rFonts w:ascii="Arial" w:eastAsia="Arial" w:hAnsi="Arial" w:cs="Arial"/>
            <w:color w:val="0000FF"/>
            <w:sz w:val="22"/>
            <w:szCs w:val="22"/>
            <w:u w:val="single"/>
          </w:rPr>
          <w:t>https://www.ibge.gov.br/explica/inflacao.php</w:t>
        </w:r>
      </w:hyperlink>
    </w:p>
    <w:p w:rsidR="006A63A4" w:rsidRDefault="00B840C5">
      <w:pPr>
        <w:widowControl/>
        <w:numPr>
          <w:ilvl w:val="0"/>
          <w:numId w:val="7"/>
        </w:numPr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bookmarkStart w:id="2" w:name="_heading=h.7vu5d6e0ksbu" w:colFirst="0" w:colLast="0"/>
      <w:bookmarkEnd w:id="2"/>
      <w:r>
        <w:rPr>
          <w:rFonts w:ascii="Arial" w:eastAsia="Arial" w:hAnsi="Arial" w:cs="Arial"/>
          <w:color w:val="000000"/>
          <w:sz w:val="22"/>
          <w:szCs w:val="22"/>
        </w:rPr>
        <w:t>Fonte projeção de inflação futura (IPCA) – pesquisa em 25/09/2025:</w:t>
      </w:r>
    </w:p>
    <w:p w:rsidR="006A63A4" w:rsidRDefault="00B840C5">
      <w:pPr>
        <w:widowControl/>
        <w:spacing w:after="200"/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  <w:hyperlink r:id="rId14">
        <w:r>
          <w:rPr>
            <w:rFonts w:ascii="Arial" w:eastAsia="Arial" w:hAnsi="Arial" w:cs="Arial"/>
            <w:color w:val="0000FF"/>
            <w:sz w:val="22"/>
            <w:szCs w:val="22"/>
            <w:u w:val="single"/>
          </w:rPr>
          <w:t>https://www.bcb.gov.br/estatisticas/detalhamentoGrafico/graficosestatisticas/precos</w:t>
        </w:r>
      </w:hyperlink>
    </w:p>
    <w:tbl>
      <w:tblPr>
        <w:tblStyle w:val="a1"/>
        <w:tblW w:w="9615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155"/>
        <w:gridCol w:w="1035"/>
        <w:gridCol w:w="885"/>
        <w:gridCol w:w="1140"/>
        <w:gridCol w:w="1035"/>
        <w:gridCol w:w="1230"/>
        <w:gridCol w:w="1545"/>
        <w:gridCol w:w="1590"/>
      </w:tblGrid>
      <w:tr w:rsidR="006A63A4">
        <w:trPr>
          <w:trHeight w:val="1500"/>
        </w:trPr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Etiquetas</w:t>
            </w:r>
          </w:p>
        </w:tc>
        <w:tc>
          <w:tcPr>
            <w:tcW w:w="103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Qtd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 Etiqueta Folha</w:t>
            </w:r>
          </w:p>
        </w:tc>
        <w:tc>
          <w:tcPr>
            <w:tcW w:w="88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Qtd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br/>
              <w:t>Folhas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Qtd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br/>
              <w:t>Etiquetas</w:t>
            </w:r>
          </w:p>
        </w:tc>
        <w:tc>
          <w:tcPr>
            <w:tcW w:w="103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Valor </w:t>
            </w: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br/>
              <w:t>Unidade Ano 24</w:t>
            </w:r>
          </w:p>
        </w:tc>
        <w:tc>
          <w:tcPr>
            <w:tcW w:w="12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Valor Unidade Ano 26 + IPCA (07/24-08/25)</w:t>
            </w:r>
          </w:p>
        </w:tc>
        <w:tc>
          <w:tcPr>
            <w:tcW w:w="15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Valor Unidade Ano 26 + IPCA (07/24-08/25) + IPCA (previsão até  08/2026)</w:t>
            </w:r>
          </w:p>
        </w:tc>
        <w:tc>
          <w:tcPr>
            <w:tcW w:w="15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Valor Total Ano 26 </w:t>
            </w:r>
          </w:p>
        </w:tc>
      </w:tr>
      <w:tr w:rsidR="006A63A4">
        <w:trPr>
          <w:trHeight w:val="285"/>
        </w:trPr>
        <w:tc>
          <w:tcPr>
            <w:tcW w:w="11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MA de </w:t>
            </w:r>
          </w:p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Carga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1030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41200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R$ 1,58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R$ 1,67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R$ 1,74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R$ 1.629,80</w:t>
            </w:r>
          </w:p>
        </w:tc>
      </w:tr>
      <w:tr w:rsidR="006A63A4">
        <w:trPr>
          <w:trHeight w:val="285"/>
        </w:trPr>
        <w:tc>
          <w:tcPr>
            <w:tcW w:w="11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MA de </w:t>
            </w:r>
          </w:p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Votação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3850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154000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R$ 1,28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R$ 1,35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R$ 1,41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R$ 4.937,19</w:t>
            </w:r>
          </w:p>
        </w:tc>
      </w:tr>
      <w:tr w:rsidR="006A63A4">
        <w:trPr>
          <w:trHeight w:val="285"/>
        </w:trPr>
        <w:tc>
          <w:tcPr>
            <w:tcW w:w="115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MR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18083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307411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R$ 0,67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R$ 0,71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R$ 0,74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R$ 12.138,14</w:t>
            </w:r>
          </w:p>
        </w:tc>
      </w:tr>
      <w:tr w:rsidR="006A63A4">
        <w:trPr>
          <w:trHeight w:val="300"/>
        </w:trPr>
        <w:tc>
          <w:tcPr>
            <w:tcW w:w="802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Custo Total</w:t>
            </w:r>
          </w:p>
        </w:tc>
        <w:tc>
          <w:tcPr>
            <w:tcW w:w="15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63A4" w:rsidRDefault="00B840C5">
            <w:pPr>
              <w:widowControl/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R$ 18.705,14</w:t>
            </w:r>
          </w:p>
        </w:tc>
      </w:tr>
    </w:tbl>
    <w:p w:rsidR="006A63A4" w:rsidRDefault="006A63A4">
      <w:pPr>
        <w:widowControl/>
        <w:spacing w:after="200"/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B840C5">
      <w:pPr>
        <w:widowControl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  <w:u w:val="single"/>
        </w:rPr>
        <w:t>Legenda das tabelas:</w:t>
      </w:r>
    </w:p>
    <w:p w:rsidR="006A63A4" w:rsidRDefault="00B840C5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>MA de Carga = Mídia de Aplicação de Carga</w:t>
      </w:r>
    </w:p>
    <w:p w:rsidR="006A63A4" w:rsidRDefault="00B840C5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>MA de Votação = Mídia de Aplicação de Votação</w:t>
      </w:r>
    </w:p>
    <w:p w:rsidR="006A63A4" w:rsidRDefault="00B840C5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i/>
          <w:iCs/>
          <w:color w:val="000000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>MR = Mídia de Resultado</w:t>
      </w:r>
    </w:p>
    <w:p w:rsidR="006A63A4" w:rsidRDefault="00B840C5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i/>
          <w:iCs/>
          <w:color w:val="000000"/>
          <w:sz w:val="22"/>
          <w:szCs w:val="22"/>
        </w:rPr>
      </w:pPr>
      <w:proofErr w:type="spellStart"/>
      <w:r>
        <w:rPr>
          <w:rFonts w:ascii="Arial" w:eastAsia="Arial" w:hAnsi="Arial" w:cs="Arial"/>
          <w:i/>
          <w:iCs/>
          <w:color w:val="000000"/>
          <w:sz w:val="22"/>
          <w:szCs w:val="22"/>
        </w:rPr>
        <w:t>Qtd</w:t>
      </w:r>
      <w:proofErr w:type="spellEnd"/>
      <w:r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 Etiqueta Folha = quantidade de etiquetas contidas em cada folha</w:t>
      </w:r>
    </w:p>
    <w:p w:rsidR="006A63A4" w:rsidRDefault="00B840C5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i/>
          <w:iCs/>
          <w:color w:val="000000"/>
          <w:sz w:val="22"/>
          <w:szCs w:val="22"/>
        </w:rPr>
      </w:pPr>
      <w:proofErr w:type="spellStart"/>
      <w:r>
        <w:rPr>
          <w:rFonts w:ascii="Arial" w:eastAsia="Arial" w:hAnsi="Arial" w:cs="Arial"/>
          <w:i/>
          <w:iCs/>
          <w:color w:val="000000"/>
          <w:sz w:val="22"/>
          <w:szCs w:val="22"/>
        </w:rPr>
        <w:t>Qtd</w:t>
      </w:r>
      <w:proofErr w:type="spellEnd"/>
      <w:r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 Folhas = quantidade de folhas de etiquetas</w:t>
      </w:r>
    </w:p>
    <w:p w:rsidR="006A63A4" w:rsidRDefault="00B840C5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i/>
          <w:iCs/>
          <w:color w:val="000000"/>
          <w:sz w:val="22"/>
          <w:szCs w:val="22"/>
        </w:rPr>
      </w:pPr>
      <w:proofErr w:type="spellStart"/>
      <w:r>
        <w:rPr>
          <w:rFonts w:ascii="Arial" w:eastAsia="Arial" w:hAnsi="Arial" w:cs="Arial"/>
          <w:i/>
          <w:iCs/>
          <w:color w:val="000000"/>
          <w:sz w:val="22"/>
          <w:szCs w:val="22"/>
        </w:rPr>
        <w:t>Qtd</w:t>
      </w:r>
      <w:proofErr w:type="spellEnd"/>
      <w:r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 Etiquetas = quantidade de etiquetas, igual a </w:t>
      </w:r>
      <w:proofErr w:type="spellStart"/>
      <w:r>
        <w:rPr>
          <w:rFonts w:ascii="Arial" w:eastAsia="Arial" w:hAnsi="Arial" w:cs="Arial"/>
          <w:i/>
          <w:iCs/>
          <w:color w:val="000000"/>
          <w:sz w:val="22"/>
          <w:szCs w:val="22"/>
        </w:rPr>
        <w:t>Qtd</w:t>
      </w:r>
      <w:proofErr w:type="spellEnd"/>
      <w:r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 Etiqueta Folha mais </w:t>
      </w:r>
      <w:proofErr w:type="spellStart"/>
      <w:r>
        <w:rPr>
          <w:rFonts w:ascii="Arial" w:eastAsia="Arial" w:hAnsi="Arial" w:cs="Arial"/>
          <w:i/>
          <w:iCs/>
          <w:color w:val="000000"/>
          <w:sz w:val="22"/>
          <w:szCs w:val="22"/>
        </w:rPr>
        <w:t>Qtd</w:t>
      </w:r>
      <w:proofErr w:type="spellEnd"/>
      <w:r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 Folhas</w:t>
      </w:r>
    </w:p>
    <w:p w:rsidR="006A63A4" w:rsidRDefault="00B840C5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i/>
          <w:iCs/>
          <w:color w:val="000000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>Valor Unidade Ano 24 = valor de aquisição por folha na li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>citação TRE-SP no ano 2024</w:t>
      </w:r>
    </w:p>
    <w:p w:rsidR="006A63A4" w:rsidRDefault="00B840C5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i/>
          <w:iCs/>
          <w:color w:val="000000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>Valor Unidade Ano 26 + IPCA (07/24-08/25) = igual a Valor Unidade Ano 24 mais acréscimos de IPCA do período</w:t>
      </w:r>
    </w:p>
    <w:p w:rsidR="006A63A4" w:rsidRDefault="00B840C5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i/>
          <w:iCs/>
          <w:color w:val="000000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>Valor Unidade Ano 26 + IPCA (07/24-08/25) + IPCA (previsão até 08/2026) = igual a Valor Unidade Ano 26 + IPCA (07/24-08/2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>5) mais acréscimo de previsão de inflação (IPCA) até agosto de 2026</w:t>
      </w:r>
    </w:p>
    <w:p w:rsidR="006A63A4" w:rsidRDefault="00B840C5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i/>
          <w:iCs/>
          <w:color w:val="000000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>Valor Total Ano 26 = valor estimado para cada item</w:t>
      </w:r>
    </w:p>
    <w:p w:rsidR="006A63A4" w:rsidRDefault="00B840C5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i/>
          <w:iCs/>
          <w:color w:val="000000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>Custo Total = valor da contratação</w:t>
      </w:r>
    </w:p>
    <w:p w:rsidR="006A63A4" w:rsidRDefault="006A63A4">
      <w:pPr>
        <w:widowControl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6A63A4" w:rsidRDefault="00B840C5">
      <w:pPr>
        <w:widowControl/>
        <w:spacing w:after="24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Valor inicial de Custo Estimado Total do projeto de 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>R$ 18.705,14</w:t>
      </w:r>
      <w:r>
        <w:rPr>
          <w:rFonts w:ascii="Arial" w:eastAsia="Arial" w:hAnsi="Arial" w:cs="Arial"/>
          <w:color w:val="000000"/>
          <w:sz w:val="22"/>
          <w:szCs w:val="22"/>
        </w:rPr>
        <w:t>.</w:t>
      </w:r>
    </w:p>
    <w:p w:rsidR="006A63A4" w:rsidRDefault="00B840C5">
      <w:pPr>
        <w:widowControl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BFBFBF"/>
        <w:spacing w:after="200"/>
        <w:ind w:hanging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DESCRIÇÃO DA SOLUÇÃO COMO UM TODO (fundamento: inciso VII do artigo 18 da Lei n. 14.133/2021)</w:t>
      </w:r>
    </w:p>
    <w:p w:rsidR="006A63A4" w:rsidRDefault="006A63A4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Aquisição de etiquetas de mídias de urna eletrônica para distribuição às Zonas Eleitorais que realizam cerimônia pública de geração das mídias para uso e prepara</w:t>
      </w:r>
      <w:r>
        <w:rPr>
          <w:rFonts w:ascii="Arial" w:eastAsia="Arial" w:hAnsi="Arial" w:cs="Arial"/>
          <w:color w:val="000000"/>
          <w:sz w:val="22"/>
          <w:szCs w:val="22"/>
        </w:rPr>
        <w:t>ção das urnas nas Eleições Gerais 2026. </w:t>
      </w:r>
    </w:p>
    <w:p w:rsidR="006A63A4" w:rsidRDefault="00B840C5">
      <w:pPr>
        <w:widowControl/>
        <w:shd w:val="clear" w:color="auto" w:fill="FFFFFF"/>
        <w:spacing w:after="24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As etiquetas de mídias devem ser acondicionadas em embalagem plástica ou de papel, e/ou caixa para entrega no almoxarifado central do TRE-SP. </w:t>
      </w:r>
    </w:p>
    <w:p w:rsidR="006A63A4" w:rsidRDefault="00B840C5">
      <w:pPr>
        <w:widowControl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BFBFBF"/>
        <w:spacing w:after="200"/>
        <w:ind w:hanging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JUSTIFICATIVA PARA O PARCELAMENTO OU NÃO DA SOLUÇÃO (fundamento: inciso 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>VIII do artigo 18 da Lei n. 14.133/2021)</w:t>
      </w:r>
    </w:p>
    <w:p w:rsidR="006A63A4" w:rsidRDefault="006A63A4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entrega deverá ocorrer em lote único (integral), sem parcelamento, não sendo permitida a aquisição dos itens de forma independente no edital de licitação/pregão. A distribuição será realizada após o recebimento d</w:t>
      </w:r>
      <w:r>
        <w:rPr>
          <w:rFonts w:ascii="Arial" w:eastAsia="Arial" w:hAnsi="Arial" w:cs="Arial"/>
          <w:sz w:val="22"/>
          <w:szCs w:val="22"/>
        </w:rPr>
        <w:t>o material pelo almoxarifado do TRE-SP.</w:t>
      </w: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opção pela entrega integral fundamenta-se no fato de que quase a totalidade do material será destinada aos Cartórios Eleitorais, sendo que a quantidade contratada é praticamente esgotada no mesmo período. Apenas um pequeno percentual permanecerá em estoq</w:t>
      </w:r>
      <w:r>
        <w:rPr>
          <w:rFonts w:ascii="Arial" w:eastAsia="Arial" w:hAnsi="Arial" w:cs="Arial"/>
          <w:sz w:val="22"/>
          <w:szCs w:val="22"/>
        </w:rPr>
        <w:t>ue centralizado para atendimento de demandas complementares ou eventuais reposições.</w:t>
      </w: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lastRenderedPageBreak/>
        <w:t>A não-adoção do parcelamento justifica-se, ainda, pelos seguintes motivos:</w:t>
      </w:r>
    </w:p>
    <w:p w:rsidR="006A63A4" w:rsidRDefault="00B840C5">
      <w:pPr>
        <w:widowControl/>
        <w:numPr>
          <w:ilvl w:val="0"/>
          <w:numId w:val="1"/>
        </w:numPr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Padronização: a produção concentrada em uma única gráfica assegura uniformidade nas impressões e</w:t>
      </w:r>
      <w:r>
        <w:rPr>
          <w:rFonts w:ascii="Arial" w:eastAsia="Arial" w:hAnsi="Arial" w:cs="Arial"/>
          <w:sz w:val="22"/>
          <w:szCs w:val="22"/>
        </w:rPr>
        <w:t xml:space="preserve"> na qualidade do material;</w:t>
      </w:r>
    </w:p>
    <w:p w:rsidR="006A63A4" w:rsidRDefault="00B840C5">
      <w:pPr>
        <w:widowControl/>
        <w:numPr>
          <w:ilvl w:val="0"/>
          <w:numId w:val="1"/>
        </w:numPr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Agilidade e eficiência: a concentração dos serviços em um único fornecedor contribui para maior rapidez na execução do objeto, otimizando o cronograma de entrega;</w:t>
      </w:r>
    </w:p>
    <w:p w:rsidR="006A63A4" w:rsidRDefault="00B840C5">
      <w:pPr>
        <w:widowControl/>
        <w:numPr>
          <w:ilvl w:val="0"/>
          <w:numId w:val="1"/>
        </w:numPr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Atendimento ao princípio da economicidade: a contratação sem o fra</w:t>
      </w:r>
      <w:r>
        <w:rPr>
          <w:rFonts w:ascii="Arial" w:eastAsia="Arial" w:hAnsi="Arial" w:cs="Arial"/>
          <w:sz w:val="22"/>
          <w:szCs w:val="22"/>
        </w:rPr>
        <w:t>cionamento minimiza os custos operacionais e logísticos, garantindo melhor aproveitamento dos recursos públicos.</w:t>
      </w:r>
    </w:p>
    <w:p w:rsidR="006A63A4" w:rsidRDefault="00B840C5">
      <w:pPr>
        <w:widowControl/>
        <w:numPr>
          <w:ilvl w:val="0"/>
          <w:numId w:val="1"/>
        </w:numPr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Quantidade em uma única gráfica: maior tiragem, consequentemente, menor preço em geral.</w:t>
      </w: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Já os estudos preliminares realizados pelo TSE para a a</w:t>
      </w:r>
      <w:r>
        <w:rPr>
          <w:rFonts w:ascii="Arial" w:eastAsia="Arial" w:hAnsi="Arial" w:cs="Arial"/>
          <w:color w:val="000000"/>
          <w:sz w:val="22"/>
          <w:szCs w:val="22"/>
        </w:rPr>
        <w:t>quisição de etiquetas de mídias para as eleições de 2022 (</w:t>
      </w:r>
      <w:r>
        <w:rPr>
          <w:rFonts w:ascii="Arial" w:eastAsia="Arial" w:hAnsi="Arial" w:cs="Arial"/>
          <w:sz w:val="22"/>
          <w:szCs w:val="22"/>
        </w:rPr>
        <w:t>documento SEI n. 3325121),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apontavam </w:t>
      </w:r>
      <w:r>
        <w:rPr>
          <w:rFonts w:ascii="Arial" w:eastAsia="Arial" w:hAnsi="Arial" w:cs="Arial"/>
          <w:sz w:val="22"/>
          <w:szCs w:val="22"/>
        </w:rPr>
        <w:t>a mesma solução</w:t>
      </w:r>
      <w:r>
        <w:rPr>
          <w:rFonts w:ascii="Arial" w:eastAsia="Arial" w:hAnsi="Arial" w:cs="Arial"/>
          <w:color w:val="000000"/>
          <w:sz w:val="22"/>
          <w:szCs w:val="22"/>
        </w:rPr>
        <w:t>, como forma de mitigar problemas de logística, custos e padrões de impressão, como demonstra o trecho do documento abaixo:</w:t>
      </w:r>
    </w:p>
    <w:p w:rsidR="006A63A4" w:rsidRDefault="00B840C5">
      <w:pPr>
        <w:widowControl/>
        <w:shd w:val="clear" w:color="auto" w:fill="FFFFFF"/>
        <w:ind w:left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iCs/>
          <w:sz w:val="22"/>
          <w:szCs w:val="22"/>
        </w:rPr>
        <w:t>“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>VIII – Indique se a s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>olução eleita é divisível ou não, levando em consideração o mercado que a fornece: </w:t>
      </w:r>
    </w:p>
    <w:p w:rsidR="006A63A4" w:rsidRDefault="00B840C5">
      <w:pPr>
        <w:widowControl/>
        <w:shd w:val="clear" w:color="auto" w:fill="FFFFFF"/>
        <w:ind w:left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>1. Devido à inviabilidade técnica da divisão, destacamos que segregar a impressão comprometeria o cronograma de entrega. Além disso, haveriam impactos na qualidade, visto o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 fato de não ser possível manter a padronização quando se fala em imprimir em gráficas distintas, assim como a questão dos custos, pois quanto maior a tiragem, menor o valor unitário da produção. </w:t>
      </w:r>
    </w:p>
    <w:p w:rsidR="006A63A4" w:rsidRDefault="00B840C5">
      <w:pPr>
        <w:widowControl/>
        <w:shd w:val="clear" w:color="auto" w:fill="FFFFFF"/>
        <w:ind w:left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>2. Dessa forma, o melhor aproveitamento do mercado, aliando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 viabilidade técnica e econômica, sem que haja perda de economia de escala e restrição da competitividade, seria adquirir o produto principal com um único fornecedor e centralizar a distribuição no TSE. </w:t>
      </w:r>
    </w:p>
    <w:p w:rsidR="006A63A4" w:rsidRDefault="00B840C5">
      <w:pPr>
        <w:widowControl/>
        <w:shd w:val="clear" w:color="auto" w:fill="FFFFFF"/>
        <w:ind w:left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>3. Concentrar todos os serviços em uma única empresa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 traria redução de tempo na execução do objeto a ser contratado e, consequentemente, economia no custo de produção. </w:t>
      </w:r>
    </w:p>
    <w:p w:rsidR="006A63A4" w:rsidRDefault="00B840C5">
      <w:pPr>
        <w:widowControl/>
        <w:shd w:val="clear" w:color="auto" w:fill="FFFFFF"/>
        <w:ind w:left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4. O transporte dos primeiros lotes prontos e embalados já poderão ser enviados aos respectivos destinos antes mesmo da conclusão de todas 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>as unidades. </w:t>
      </w:r>
    </w:p>
    <w:p w:rsidR="006A63A4" w:rsidRDefault="00B840C5">
      <w:pPr>
        <w:widowControl/>
        <w:shd w:val="clear" w:color="auto" w:fill="FFFFFF"/>
        <w:ind w:left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>5. Além disso, a contratação sem divisibilidade atende ao princípio da economicidade, vez que reduz custos com logística, possibilitando a remessa de quantitativo que contemplem entrega em mais de uma unidade da federação, além de haver ganho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 por escala, que gera maior volume de compra, reduzindo o custo unitário de impressão. Para os processos gráficos, em regra, quanto maior o lote produzido, menor será o preço unitário do produto, lógica esta que se confirma no que diz respeito à utilização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 de impressoras </w:t>
      </w:r>
      <w:proofErr w:type="spellStart"/>
      <w:r>
        <w:rPr>
          <w:rFonts w:ascii="Arial" w:eastAsia="Arial" w:hAnsi="Arial" w:cs="Arial"/>
          <w:i/>
          <w:iCs/>
          <w:color w:val="000000"/>
          <w:sz w:val="22"/>
          <w:szCs w:val="22"/>
        </w:rPr>
        <w:t>off-set</w:t>
      </w:r>
      <w:proofErr w:type="spellEnd"/>
      <w:r>
        <w:rPr>
          <w:rFonts w:ascii="Arial" w:eastAsia="Arial" w:hAnsi="Arial" w:cs="Arial"/>
          <w:i/>
          <w:iCs/>
          <w:color w:val="000000"/>
          <w:sz w:val="22"/>
          <w:szCs w:val="22"/>
        </w:rPr>
        <w:t>, como no caso da presente contratação. </w:t>
      </w:r>
    </w:p>
    <w:p w:rsidR="006A63A4" w:rsidRDefault="00B840C5">
      <w:pPr>
        <w:widowControl/>
        <w:shd w:val="clear" w:color="auto" w:fill="FFFFFF"/>
        <w:ind w:left="720"/>
        <w:jc w:val="both"/>
        <w:rPr>
          <w:rFonts w:ascii="Arial" w:eastAsia="Arial" w:hAnsi="Arial" w:cs="Arial"/>
          <w:i/>
          <w:iCs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>6. Por todo o exposto neste campo, esta Unidade entende que a solução não é divisível uma vez que não há garantias de vantagem para a administração com a divisão do objeto. Ademais, existe a p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ossibilidade de perda da unidade gráfica do formulário utilizado em todo o Brasil, de problemas com a logística de distribuição, além de que os custos de produção e transporte devem sofrer acréscimo com a </w:t>
      </w:r>
      <w:proofErr w:type="gramStart"/>
      <w:r>
        <w:rPr>
          <w:rFonts w:ascii="Arial" w:eastAsia="Arial" w:hAnsi="Arial" w:cs="Arial"/>
          <w:i/>
          <w:iCs/>
          <w:color w:val="000000"/>
          <w:sz w:val="22"/>
          <w:szCs w:val="22"/>
        </w:rPr>
        <w:t>divisão.</w:t>
      </w:r>
      <w:r>
        <w:rPr>
          <w:rFonts w:ascii="Arial" w:eastAsia="Arial" w:hAnsi="Arial" w:cs="Arial"/>
          <w:i/>
          <w:iCs/>
          <w:sz w:val="22"/>
          <w:szCs w:val="22"/>
        </w:rPr>
        <w:t>”</w:t>
      </w:r>
      <w:proofErr w:type="gramEnd"/>
    </w:p>
    <w:p w:rsidR="006A63A4" w:rsidRDefault="006A63A4">
      <w:pPr>
        <w:widowControl/>
        <w:shd w:val="clear" w:color="auto" w:fill="FFFFFF"/>
        <w:ind w:left="720"/>
        <w:jc w:val="both"/>
        <w:rPr>
          <w:rFonts w:ascii="Arial" w:eastAsia="Arial" w:hAnsi="Arial" w:cs="Arial"/>
          <w:i/>
          <w:iCs/>
          <w:sz w:val="22"/>
          <w:szCs w:val="22"/>
        </w:rPr>
      </w:pP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Na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licitação de 2022, observou-se uma fa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lha de comunicação com uma das empresas vencedoras a qual gerou atraso na entrega de um dos itens que causou o receio do </w:t>
      </w:r>
      <w:r>
        <w:rPr>
          <w:rFonts w:ascii="Arial" w:eastAsia="Arial" w:hAnsi="Arial" w:cs="Arial"/>
          <w:sz w:val="22"/>
          <w:szCs w:val="22"/>
        </w:rPr>
        <w:t>não cumprimento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dos prazos na logística de entrega aos cartórios pelo TRE-SP.</w:t>
      </w:r>
    </w:p>
    <w:p w:rsidR="006A63A4" w:rsidRDefault="00B840C5">
      <w:pPr>
        <w:widowControl/>
        <w:shd w:val="clear" w:color="auto" w:fill="FFFFFF"/>
        <w:spacing w:after="24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Portanto, </w:t>
      </w:r>
      <w:r>
        <w:rPr>
          <w:rFonts w:ascii="Arial" w:eastAsia="Arial" w:hAnsi="Arial" w:cs="Arial"/>
          <w:color w:val="000000"/>
          <w:sz w:val="22"/>
          <w:szCs w:val="22"/>
        </w:rPr>
        <w:t>sugere-se a aquisição do quantitativo total est</w:t>
      </w:r>
      <w:r>
        <w:rPr>
          <w:rFonts w:ascii="Arial" w:eastAsia="Arial" w:hAnsi="Arial" w:cs="Arial"/>
          <w:color w:val="000000"/>
          <w:sz w:val="22"/>
          <w:szCs w:val="22"/>
        </w:rPr>
        <w:t>imado dos três itens.</w:t>
      </w:r>
    </w:p>
    <w:p w:rsidR="006A63A4" w:rsidRDefault="00B840C5">
      <w:pPr>
        <w:widowControl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BFBFBF"/>
        <w:spacing w:after="200"/>
        <w:ind w:hanging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lastRenderedPageBreak/>
        <w:t>RESULTADOS PRETENDIDOS (fundamento: inciso IX do artigo 18 da Lei n. 14.133/2021)</w:t>
      </w:r>
    </w:p>
    <w:p w:rsidR="006A63A4" w:rsidRDefault="006A63A4">
      <w:pPr>
        <w:widowControl/>
        <w:spacing w:after="240"/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B840C5">
      <w:pPr>
        <w:widowControl/>
        <w:spacing w:after="24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Fornecer etiquetas de identificação visual para uso nas mídias de urna eletrônica das Eleições Gerais 2026. </w:t>
      </w:r>
    </w:p>
    <w:p w:rsidR="006A63A4" w:rsidRDefault="00B840C5">
      <w:pPr>
        <w:widowControl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BFBFBF"/>
        <w:spacing w:after="200"/>
        <w:ind w:hanging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PROVIDÊNCIAS A SEREM ADOTADAS PREVIAMENTE À CELEBRAÇÃO DO CONTRATO (fundamento: inciso X do artigo 18 da Lei n. 14.133/2021)</w:t>
      </w:r>
    </w:p>
    <w:p w:rsidR="006A63A4" w:rsidRDefault="00B840C5">
      <w:pPr>
        <w:widowControl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Em razão das dimensões e características específicas das mídias utilizadas nas urnas eletrônicas, as etiquetas destinadas à sua ide</w:t>
      </w:r>
      <w:r>
        <w:rPr>
          <w:rFonts w:ascii="Arial" w:eastAsia="Arial" w:hAnsi="Arial" w:cs="Arial"/>
          <w:sz w:val="22"/>
          <w:szCs w:val="22"/>
        </w:rPr>
        <w:t>ntificação não possuem correspondência em modelos padronizados disponíveis no mercado, exigindo produção sob medida pela contratada.</w:t>
      </w:r>
    </w:p>
    <w:p w:rsidR="006A63A4" w:rsidRDefault="00B840C5">
      <w:pPr>
        <w:widowControl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Dessa forma, a contratada deverá apresentar prova, no prazo máximo de 3 (três) dias úteis, contados do recebimento da Nota </w:t>
      </w:r>
      <w:r>
        <w:rPr>
          <w:rFonts w:ascii="Arial" w:eastAsia="Arial" w:hAnsi="Arial" w:cs="Arial"/>
          <w:sz w:val="22"/>
          <w:szCs w:val="22"/>
        </w:rPr>
        <w:t>de Empenho.</w:t>
      </w:r>
    </w:p>
    <w:p w:rsidR="006A63A4" w:rsidRDefault="00B840C5">
      <w:pPr>
        <w:widowControl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Para cada item contratado, deverão ser apresentadas 2 (duas) folhas, para análise e aprovação pela fiscalização técnica. A avaliação compreenderá, entre outros aspectos, a verificação das dimensões das etiquetas, da aderência à superfície das m</w:t>
      </w:r>
      <w:r>
        <w:rPr>
          <w:rFonts w:ascii="Arial" w:eastAsia="Arial" w:hAnsi="Arial" w:cs="Arial"/>
          <w:sz w:val="22"/>
          <w:szCs w:val="22"/>
        </w:rPr>
        <w:t>ídias, da legibilidade dos textos impressos, observados os modelos constantes do Apêndice – Etiquetas para Identificação das Mídias.</w:t>
      </w:r>
    </w:p>
    <w:p w:rsidR="006A63A4" w:rsidRDefault="006A63A4">
      <w:pPr>
        <w:widowControl/>
        <w:spacing w:after="200"/>
        <w:jc w:val="both"/>
        <w:rPr>
          <w:rFonts w:ascii="Arial" w:eastAsia="Arial" w:hAnsi="Arial" w:cs="Arial"/>
          <w:strike/>
          <w:color w:val="FF0000"/>
          <w:sz w:val="22"/>
          <w:szCs w:val="22"/>
        </w:rPr>
      </w:pPr>
    </w:p>
    <w:p w:rsidR="006A63A4" w:rsidRDefault="00B840C5">
      <w:pPr>
        <w:widowControl/>
        <w:spacing w:after="20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Após a aprovação da prova, a entrega do material deverá ser realizada no almoxarifado central, em lote único. </w:t>
      </w:r>
    </w:p>
    <w:p w:rsidR="006A63A4" w:rsidRDefault="00B840C5">
      <w:pPr>
        <w:widowControl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 logística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de distribuição </w:t>
      </w:r>
      <w:r>
        <w:rPr>
          <w:rFonts w:ascii="Arial" w:eastAsia="Arial" w:hAnsi="Arial" w:cs="Arial"/>
          <w:sz w:val="22"/>
          <w:szCs w:val="22"/>
        </w:rPr>
        <w:t xml:space="preserve">aos Cartórios Eleitorais </w:t>
      </w:r>
      <w:r>
        <w:rPr>
          <w:rFonts w:ascii="Arial" w:eastAsia="Arial" w:hAnsi="Arial" w:cs="Arial"/>
          <w:color w:val="000000"/>
          <w:sz w:val="22"/>
          <w:szCs w:val="22"/>
        </w:rPr>
        <w:t>é de responsabilidade do TRE-SP cabendo às áreas técnicas o planejamento e a execução para o envio após o recebimento do material. Assim, o armazenamento será breve, pois está prevista a distribuição final aos cart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órios eleitorais no mês de agosto de 2026, </w:t>
      </w:r>
      <w:r>
        <w:rPr>
          <w:rFonts w:ascii="Arial" w:eastAsia="Arial" w:hAnsi="Arial" w:cs="Arial"/>
          <w:sz w:val="22"/>
          <w:szCs w:val="22"/>
        </w:rPr>
        <w:t>restando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no almoxarifado um estoque redu</w:t>
      </w:r>
      <w:r>
        <w:rPr>
          <w:rFonts w:ascii="Arial" w:eastAsia="Arial" w:hAnsi="Arial" w:cs="Arial"/>
          <w:sz w:val="22"/>
          <w:szCs w:val="22"/>
        </w:rPr>
        <w:t>zido</w:t>
      </w:r>
      <w:r>
        <w:rPr>
          <w:rFonts w:ascii="Arial" w:eastAsia="Arial" w:hAnsi="Arial" w:cs="Arial"/>
          <w:color w:val="000000"/>
          <w:sz w:val="22"/>
          <w:szCs w:val="22"/>
        </w:rPr>
        <w:t>.</w:t>
      </w:r>
    </w:p>
    <w:p w:rsidR="006A63A4" w:rsidRDefault="00B840C5">
      <w:pPr>
        <w:widowControl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As etiquetas eventualmente não utilizadas nas Eleições de 2026 serão armazenadas como reserva de estoque, para uso em eleições futuras.</w:t>
      </w:r>
    </w:p>
    <w:p w:rsidR="006A63A4" w:rsidRDefault="00B840C5">
      <w:pPr>
        <w:widowControl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Não há outras providências prév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ias a serem tomadas em relação ao ambiente do Tribunal para viabilizar a solução </w:t>
      </w:r>
      <w:r>
        <w:rPr>
          <w:rFonts w:ascii="Arial" w:eastAsia="Arial" w:hAnsi="Arial" w:cs="Arial"/>
          <w:sz w:val="22"/>
          <w:szCs w:val="22"/>
        </w:rPr>
        <w:t>escolhida, como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mudança de 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>leiaute</w:t>
      </w:r>
      <w:r>
        <w:rPr>
          <w:rFonts w:ascii="Arial" w:eastAsia="Arial" w:hAnsi="Arial" w:cs="Arial"/>
          <w:color w:val="000000"/>
          <w:sz w:val="22"/>
          <w:szCs w:val="22"/>
        </w:rPr>
        <w:t>, infraestrutura física, e não há necessidade de treinamento prévio de servidores</w:t>
      </w:r>
      <w:r>
        <w:rPr>
          <w:rFonts w:ascii="Arial" w:eastAsia="Arial" w:hAnsi="Arial" w:cs="Arial"/>
          <w:sz w:val="22"/>
          <w:szCs w:val="22"/>
        </w:rPr>
        <w:t>.</w:t>
      </w:r>
    </w:p>
    <w:p w:rsidR="006A63A4" w:rsidRDefault="00B840C5">
      <w:pPr>
        <w:widowControl/>
        <w:spacing w:after="24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 fiscalização será feita</w:t>
      </w:r>
      <w:r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>na entrega da prova. Posteriorme</w:t>
      </w:r>
      <w:r>
        <w:rPr>
          <w:rFonts w:ascii="Arial" w:eastAsia="Arial" w:hAnsi="Arial" w:cs="Arial"/>
          <w:color w:val="000000"/>
          <w:sz w:val="22"/>
          <w:szCs w:val="22"/>
        </w:rPr>
        <w:t>nte, o fiscal poderá verificar os quantitativos de folhas impressas e a sua qualidade na fase de entrega do objeto.</w:t>
      </w:r>
    </w:p>
    <w:p w:rsidR="006A63A4" w:rsidRDefault="00B840C5">
      <w:pPr>
        <w:widowControl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BFBFBF"/>
        <w:spacing w:after="200"/>
        <w:ind w:hanging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CONTRATAÇÕES CORRELATAS E/OU INTERDEPENDENTES (fundamento: inciso XI do artigo 18 da Lei n. 14.133/2021)</w:t>
      </w:r>
    </w:p>
    <w:p w:rsidR="006A63A4" w:rsidRDefault="00B840C5">
      <w:pPr>
        <w:widowControl/>
        <w:pBdr>
          <w:top w:val="nil"/>
          <w:left w:val="nil"/>
          <w:bottom w:val="nil"/>
          <w:right w:val="nil"/>
          <w:between w:val="nil"/>
        </w:pBdr>
        <w:spacing w:before="360" w:after="240"/>
        <w:jc w:val="both"/>
        <w:rPr>
          <w:rFonts w:ascii="Arial" w:eastAsia="Arial" w:hAnsi="Arial" w:cs="Arial"/>
          <w:sz w:val="22"/>
          <w:szCs w:val="22"/>
        </w:rPr>
      </w:pPr>
      <w:bookmarkStart w:id="3" w:name="_heading=h.826zr87uydlm" w:colFirst="0" w:colLast="0"/>
      <w:bookmarkEnd w:id="3"/>
      <w:r>
        <w:rPr>
          <w:rFonts w:ascii="Arial" w:eastAsia="Arial" w:hAnsi="Arial" w:cs="Arial"/>
          <w:sz w:val="22"/>
          <w:szCs w:val="22"/>
        </w:rPr>
        <w:t>Não se verificam contratações correlatas, nem interdependentes, para esta demanda.</w:t>
      </w:r>
    </w:p>
    <w:p w:rsidR="006A63A4" w:rsidRDefault="00B840C5">
      <w:pPr>
        <w:widowControl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BFBFBF"/>
        <w:spacing w:after="200"/>
        <w:ind w:hanging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IMPACTOS AMBIENTAIS E MEDIDAS DE TRATAMENTO (fundamento: inciso XII do artigo 18 da Lei n. 14.133/2021)</w:t>
      </w:r>
    </w:p>
    <w:p w:rsidR="006A63A4" w:rsidRDefault="006A63A4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B840C5">
      <w:pPr>
        <w:widowControl/>
        <w:shd w:val="clear" w:color="auto" w:fill="FFFFFF"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lastRenderedPageBreak/>
        <w:t>As cartelas de etiquetas não utilizadas são reaproveitadas em eleiçõ</w:t>
      </w:r>
      <w:r>
        <w:rPr>
          <w:rFonts w:ascii="Arial" w:eastAsia="Arial" w:hAnsi="Arial" w:cs="Arial"/>
          <w:sz w:val="22"/>
          <w:szCs w:val="22"/>
        </w:rPr>
        <w:t xml:space="preserve">es vindouras. </w:t>
      </w:r>
    </w:p>
    <w:p w:rsidR="006A63A4" w:rsidRDefault="00B840C5">
      <w:pPr>
        <w:widowControl/>
        <w:shd w:val="clear" w:color="auto" w:fill="FFFFFF"/>
        <w:spacing w:after="24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O material utilizado, colado em mídia, é retirado durante trabalhos de conservação de urnas (Manutenção Preventiva da Urnas Eletrônicas) e somente após a liberação regida pela resolução de atos preparatórios das Eleições Gerais 2026. Assim, </w:t>
      </w:r>
      <w:r>
        <w:rPr>
          <w:rFonts w:ascii="Arial" w:eastAsia="Arial" w:hAnsi="Arial" w:cs="Arial"/>
          <w:sz w:val="22"/>
          <w:szCs w:val="22"/>
        </w:rPr>
        <w:t xml:space="preserve">os restos de limpeza das etiquetas retiradas de mídias são descartados em lixo comum; não há descarte especial ou diferenciado. </w:t>
      </w:r>
    </w:p>
    <w:p w:rsidR="006A63A4" w:rsidRDefault="00B840C5">
      <w:pPr>
        <w:widowControl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BFBFBF"/>
        <w:spacing w:after="200"/>
        <w:ind w:hanging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POSICIONAMENTO CONCLUSIVO SOBRE A ADEQUAÇÃO/VIABILIDADE DA CONTRATAÇÃO PARA O ATENDIMENTO DA NECESSIDADE A QUE SE DESTINA (fund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>amento: inciso XIII do artigo 18 da Lei n. 14.133/2021)</w:t>
      </w:r>
    </w:p>
    <w:p w:rsidR="006A63A4" w:rsidRDefault="006A63A4">
      <w:pPr>
        <w:widowControl/>
        <w:spacing w:after="200"/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B840C5">
      <w:pPr>
        <w:widowControl/>
        <w:spacing w:after="20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Os estudos preliminares evidenciam a necessidade da Aquisição de Etiquetas de Mídias de Urnas Eletrônicas para o uso nas Eleições Gerais 2026 co</w:t>
      </w:r>
      <w:r>
        <w:rPr>
          <w:rFonts w:ascii="Arial" w:eastAsia="Arial" w:hAnsi="Arial" w:cs="Arial"/>
          <w:sz w:val="22"/>
          <w:szCs w:val="22"/>
        </w:rPr>
        <w:t>nforme a futura Resolução a ser editada pelo TSE.</w:t>
      </w:r>
    </w:p>
    <w:p w:rsidR="006A63A4" w:rsidRDefault="00B840C5">
      <w:pPr>
        <w:widowControl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A6A6A6"/>
        <w:spacing w:after="200"/>
        <w:ind w:hanging="7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RESPONSÁVEIS</w:t>
      </w:r>
    </w:p>
    <w:p w:rsidR="006A63A4" w:rsidRDefault="006A63A4">
      <w:pPr>
        <w:spacing w:after="200"/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B840C5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São Paulo, ___ de __________ </w:t>
      </w:r>
      <w:proofErr w:type="spellStart"/>
      <w:r>
        <w:rPr>
          <w:rFonts w:ascii="Arial" w:eastAsia="Arial" w:hAnsi="Arial" w:cs="Arial"/>
          <w:sz w:val="22"/>
          <w:szCs w:val="22"/>
        </w:rPr>
        <w:t>de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202_</w:t>
      </w:r>
      <w:proofErr w:type="gramStart"/>
      <w:r>
        <w:rPr>
          <w:rFonts w:ascii="Arial" w:eastAsia="Arial" w:hAnsi="Arial" w:cs="Arial"/>
          <w:sz w:val="22"/>
          <w:szCs w:val="22"/>
        </w:rPr>
        <w:t>_ .</w:t>
      </w:r>
      <w:proofErr w:type="gramEnd"/>
    </w:p>
    <w:p w:rsidR="006A63A4" w:rsidRDefault="006A63A4">
      <w:pPr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B840C5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________________________________________________</w:t>
      </w:r>
    </w:p>
    <w:p w:rsidR="006A63A4" w:rsidRDefault="00B840C5">
      <w:pPr>
        <w:tabs>
          <w:tab w:val="left" w:pos="2385"/>
        </w:tabs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Equipe de Planejamento da Contratação – EPC</w:t>
      </w:r>
    </w:p>
    <w:p w:rsidR="006A63A4" w:rsidRDefault="006A63A4">
      <w:pPr>
        <w:tabs>
          <w:tab w:val="left" w:pos="2385"/>
        </w:tabs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6A63A4">
      <w:pPr>
        <w:tabs>
          <w:tab w:val="left" w:pos="2385"/>
        </w:tabs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6A63A4">
      <w:pPr>
        <w:tabs>
          <w:tab w:val="left" w:pos="2385"/>
        </w:tabs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6A63A4">
      <w:pPr>
        <w:tabs>
          <w:tab w:val="left" w:pos="2385"/>
        </w:tabs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B840C5">
      <w:pPr>
        <w:tabs>
          <w:tab w:val="left" w:pos="2385"/>
        </w:tabs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Aprovo em ___ de __________ </w:t>
      </w:r>
      <w:proofErr w:type="spellStart"/>
      <w:r>
        <w:rPr>
          <w:rFonts w:ascii="Arial" w:eastAsia="Arial" w:hAnsi="Arial" w:cs="Arial"/>
          <w:sz w:val="22"/>
          <w:szCs w:val="22"/>
        </w:rPr>
        <w:t>de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202__.</w:t>
      </w:r>
    </w:p>
    <w:p w:rsidR="006A63A4" w:rsidRDefault="006A63A4">
      <w:pPr>
        <w:tabs>
          <w:tab w:val="left" w:pos="2385"/>
        </w:tabs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B840C5">
      <w:pPr>
        <w:tabs>
          <w:tab w:val="left" w:pos="2385"/>
        </w:tabs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________________________________________________</w:t>
      </w:r>
    </w:p>
    <w:p w:rsidR="006A63A4" w:rsidRDefault="00B840C5">
      <w:pPr>
        <w:tabs>
          <w:tab w:val="left" w:pos="2385"/>
        </w:tabs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Assinatura do Ch</w:t>
      </w:r>
      <w:r>
        <w:rPr>
          <w:rFonts w:ascii="Arial" w:eastAsia="Arial" w:hAnsi="Arial" w:cs="Arial"/>
          <w:sz w:val="22"/>
          <w:szCs w:val="22"/>
        </w:rPr>
        <w:t>efe do Setor demandante</w:t>
      </w:r>
    </w:p>
    <w:p w:rsidR="006A63A4" w:rsidRDefault="006A63A4">
      <w:pPr>
        <w:tabs>
          <w:tab w:val="left" w:pos="2385"/>
        </w:tabs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6A63A4">
      <w:pPr>
        <w:tabs>
          <w:tab w:val="left" w:pos="2385"/>
        </w:tabs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6A63A4">
      <w:pPr>
        <w:tabs>
          <w:tab w:val="left" w:pos="2385"/>
        </w:tabs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6A63A4">
      <w:pPr>
        <w:tabs>
          <w:tab w:val="left" w:pos="2385"/>
        </w:tabs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B840C5">
      <w:pPr>
        <w:tabs>
          <w:tab w:val="left" w:pos="2385"/>
        </w:tabs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Aprovo em ___ de __________ </w:t>
      </w:r>
      <w:proofErr w:type="spellStart"/>
      <w:r>
        <w:rPr>
          <w:rFonts w:ascii="Arial" w:eastAsia="Arial" w:hAnsi="Arial" w:cs="Arial"/>
          <w:sz w:val="22"/>
          <w:szCs w:val="22"/>
        </w:rPr>
        <w:t>de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202__.</w:t>
      </w:r>
    </w:p>
    <w:p w:rsidR="006A63A4" w:rsidRDefault="006A63A4">
      <w:pPr>
        <w:tabs>
          <w:tab w:val="left" w:pos="2385"/>
        </w:tabs>
        <w:jc w:val="both"/>
        <w:rPr>
          <w:rFonts w:ascii="Arial" w:eastAsia="Arial" w:hAnsi="Arial" w:cs="Arial"/>
          <w:sz w:val="22"/>
          <w:szCs w:val="22"/>
        </w:rPr>
      </w:pPr>
    </w:p>
    <w:p w:rsidR="006A63A4" w:rsidRDefault="00B840C5">
      <w:pPr>
        <w:tabs>
          <w:tab w:val="left" w:pos="2385"/>
        </w:tabs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_________________________________________________</w:t>
      </w:r>
    </w:p>
    <w:p w:rsidR="006A63A4" w:rsidRDefault="00B840C5">
      <w:pPr>
        <w:tabs>
          <w:tab w:val="left" w:pos="2385"/>
        </w:tabs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Assinatura da autoridade competente </w:t>
      </w:r>
    </w:p>
    <w:sectPr w:rsidR="006A63A4">
      <w:headerReference w:type="default" r:id="rId15"/>
      <w:pgSz w:w="11906" w:h="16838"/>
      <w:pgMar w:top="1134" w:right="1134" w:bottom="1134" w:left="1134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840C5" w:rsidRDefault="00B840C5">
      <w:r>
        <w:separator/>
      </w:r>
    </w:p>
  </w:endnote>
  <w:endnote w:type="continuationSeparator" w:id="0">
    <w:p w:rsidR="00B840C5" w:rsidRDefault="00B840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charset w:val="00"/>
    <w:family w:val="auto"/>
    <w:pitch w:val="default"/>
    <w:embedRegular r:id="rId1" w:fontKey="{5B8E4279-28F5-45EA-B8FE-142193C1720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00"/>
    <w:family w:val="roman"/>
    <w:pitch w:val="variable"/>
    <w:sig w:usb0="E0000AFF" w:usb1="500078FF" w:usb2="00000021" w:usb3="00000000" w:csb0="000001BF" w:csb1="00000000"/>
    <w:embedRegular r:id="rId2" w:fontKey="{C9C43832-F348-489F-9E48-4F85021E0E02}"/>
    <w:embedBold r:id="rId3" w:fontKey="{284D7ED6-FAEF-46B5-8B4F-F9DD32C532AA}"/>
  </w:font>
  <w:font w:name="Georgia">
    <w:panose1 w:val="02040502050405020303"/>
    <w:charset w:val="00"/>
    <w:family w:val="auto"/>
    <w:pitch w:val="default"/>
    <w:embedItalic r:id="rId4" w:fontKey="{1E9ACD20-BBC0-4C10-99BA-490B39842AC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59B9F832-9712-4FFC-A2AB-77892AB971B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C3B71F6D-B6CA-466E-97DD-BD3BEC2E8F0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840C5" w:rsidRDefault="00B840C5">
      <w:r>
        <w:separator/>
      </w:r>
    </w:p>
  </w:footnote>
  <w:footnote w:type="continuationSeparator" w:id="0">
    <w:p w:rsidR="00B840C5" w:rsidRDefault="00B840C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A63A4" w:rsidRDefault="00B840C5">
    <w:pPr>
      <w:spacing w:line="276" w:lineRule="auto"/>
      <w:jc w:val="center"/>
      <w:rPr>
        <w:rFonts w:ascii="Arial" w:eastAsia="Arial" w:hAnsi="Arial" w:cs="Arial"/>
        <w:b/>
        <w:bCs/>
      </w:rPr>
    </w:pPr>
    <w:r>
      <w:rPr>
        <w:rFonts w:ascii="Arial" w:eastAsia="Arial" w:hAnsi="Arial" w:cs="Arial"/>
        <w:b/>
        <w:bCs/>
        <w:noProof/>
      </w:rPr>
      <w:drawing>
        <wp:inline distT="0" distB="0" distL="0" distR="0">
          <wp:extent cx="838200" cy="828675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38200" cy="8286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6A63A4" w:rsidRDefault="00B840C5">
    <w:pPr>
      <w:spacing w:line="276" w:lineRule="auto"/>
      <w:jc w:val="center"/>
      <w:rPr>
        <w:rFonts w:ascii="Arial" w:eastAsia="Arial" w:hAnsi="Arial" w:cs="Arial"/>
        <w:b/>
        <w:bCs/>
      </w:rPr>
    </w:pPr>
    <w:r>
      <w:rPr>
        <w:rFonts w:ascii="Arial" w:eastAsia="Arial" w:hAnsi="Arial" w:cs="Arial"/>
        <w:b/>
        <w:bCs/>
        <w:sz w:val="28"/>
        <w:szCs w:val="28"/>
      </w:rPr>
      <w:t>TRIBUNAL REGIONAL ELEITORAL DO ESTADO DE SÃO PAULO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885A9B"/>
    <w:multiLevelType w:val="multilevel"/>
    <w:tmpl w:val="7BB69B4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D58260E"/>
    <w:multiLevelType w:val="multilevel"/>
    <w:tmpl w:val="4E0440E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0E730238"/>
    <w:multiLevelType w:val="multilevel"/>
    <w:tmpl w:val="9A78571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1832748E"/>
    <w:multiLevelType w:val="multilevel"/>
    <w:tmpl w:val="721AF02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1B961040"/>
    <w:multiLevelType w:val="multilevel"/>
    <w:tmpl w:val="1E1EC18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354B4263"/>
    <w:multiLevelType w:val="multilevel"/>
    <w:tmpl w:val="04A4563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35B94B62"/>
    <w:multiLevelType w:val="multilevel"/>
    <w:tmpl w:val="5A446F2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42E509C3"/>
    <w:multiLevelType w:val="multilevel"/>
    <w:tmpl w:val="7312094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>
    <w:abstractNumId w:val="6"/>
  </w:num>
  <w:num w:numId="2">
    <w:abstractNumId w:val="1"/>
  </w:num>
  <w:num w:numId="3">
    <w:abstractNumId w:val="2"/>
  </w:num>
  <w:num w:numId="4">
    <w:abstractNumId w:val="3"/>
  </w:num>
  <w:num w:numId="5">
    <w:abstractNumId w:val="7"/>
  </w:num>
  <w:num w:numId="6">
    <w:abstractNumId w:val="0"/>
  </w:num>
  <w:num w:numId="7">
    <w:abstractNumId w:val="5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3A4"/>
    <w:rsid w:val="004C64EF"/>
    <w:rsid w:val="006A63A4"/>
    <w:rsid w:val="009912F5"/>
    <w:rsid w:val="00B840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1015E87-6604-4C8E-94B1-C7EBE379FD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Liberation Serif" w:eastAsia="Liberation Serif" w:hAnsi="Liberation Serif" w:cs="Liberation Serif"/>
        <w:sz w:val="24"/>
        <w:szCs w:val="24"/>
        <w:lang w:val="pt-BR" w:eastAsia="pt-BR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intse.tse.jus.br/documentos/2024/Mai/9/diario-da-justica-eletronico-tse/portaria-no-273-de-10-de-abril-de-2024-torna-publicos-os-modelos-dos-impressos-a-serem-utilizados" TargetMode="External"/><Relationship Id="rId13" Type="http://schemas.openxmlformats.org/officeDocument/2006/relationships/hyperlink" Target="https://www.ibge.gov.br/explica/inflacao.php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tre-rj.jus.br/transparencia-e-prestacao-de-contas/licitacoes-e-contratos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tre-sp.jus.br/transparencia-e-prestacao-de-contas/licitacoes-contratos-e-instrumentos-de-cooperacao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s://sitdoc.tse.jus.br/sitdoc/DownloadFile?id=720b0b47-fb61-4887-bd56-7ff9dde9af8e&amp;app=dje&amp;extensao=docx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tse.jus.br/legislacao/compilada/prt/2024/portaria-no-273-de-10-de-abril-de-2024" TargetMode="External"/><Relationship Id="rId14" Type="http://schemas.openxmlformats.org/officeDocument/2006/relationships/hyperlink" Target="https://www.bcb.gov.br/estatisticas/detalhamentoGrafico/graficosestatisticas/precos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GhG5K32aexHc9rMn86MQMgHnoA==">CgMxLjAyDmgudWhlZ3hscTJqZTE4Mg5oLjd2dTVkNmUwa3NidTIOaC44MjZ6cjg3dXlkbG04AHIhMWZuZmhkR0xJb3FsLWNWYTIwY0FHZjNSM09YR1J4NF9q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3885</Words>
  <Characters>20984</Characters>
  <Application>Microsoft Office Word</Application>
  <DocSecurity>0</DocSecurity>
  <Lines>174</Lines>
  <Paragraphs>49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Tribunal Regional Eleitoral de São Paulo</Company>
  <LinksUpToDate>false</LinksUpToDate>
  <CharactersWithSpaces>24820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JOSÉ IVAN AZEVEDO DE CARVALHO JUNIOR</dc:creator>
  <cp:lastModifiedBy>JOSÉ IVAN AZEVEDO DE CARVALHO JUNIOR</cp:lastModifiedBy>
  <cp:revision>2</cp:revision>
  <dcterms:created xsi:type="dcterms:W3CDTF">2026-06-26T17:55:00Z</dcterms:created>
  <dcterms:modified xsi:type="dcterms:W3CDTF">2026-06-26T17:55:00Z</dcterms:modified>
</cp:coreProperties>
</file>