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1"/>
        <w:spacing w:beforeAutospacing="0" w:before="0" w:afterAutospacing="0" w:after="0"/>
        <w:ind w:firstLine="708"/>
        <w:rPr>
          <w:szCs w:val="24"/>
        </w:rPr>
      </w:pPr>
      <w:bookmarkStart w:id="0" w:name="_Toc152141180"/>
      <w:bookmarkEnd w:id="0"/>
      <w:r>
        <w:rPr>
          <w:szCs w:val="24"/>
        </w:rPr>
        <w:t>TERMO DE REFERÊNCIA/PROJETO BÁSICO</w:t>
      </w:r>
    </w:p>
    <w:p>
      <w:pPr>
        <w:pStyle w:val="NormalWeb"/>
        <w:shd w:val="clear" w:color="auto" w:fill="FFFFFF"/>
        <w:spacing w:before="0" w:after="0"/>
        <w:contextualSpacing/>
        <w:jc w:val="center"/>
        <w:rPr>
          <w:b/>
          <w:b/>
          <w:bCs/>
        </w:rPr>
      </w:pPr>
      <w:r>
        <w:rPr>
          <w:b/>
          <w:bCs/>
        </w:rPr>
        <w:t>PROCESSO ADMINISTRATIVO 045/2024</w:t>
      </w:r>
    </w:p>
    <w:p>
      <w:pPr>
        <w:pStyle w:val="NormalWeb"/>
        <w:shd w:val="clear" w:color="auto" w:fill="FFFFFF"/>
        <w:spacing w:before="0" w:after="0"/>
        <w:contextualSpacing/>
        <w:jc w:val="center"/>
        <w:rPr>
          <w:b/>
          <w:b/>
          <w:bCs/>
        </w:rPr>
      </w:pPr>
      <w:r>
        <w:rPr>
          <w:b/>
          <w:bCs/>
        </w:rPr>
        <w:t>PROCESSO ADMINISTRATIVO 046/2024</w:t>
      </w:r>
    </w:p>
    <w:p>
      <w:pPr>
        <w:pStyle w:val="NormalWeb"/>
        <w:shd w:val="clear" w:color="auto" w:fill="FFFFFF"/>
        <w:spacing w:before="0" w:after="0"/>
        <w:contextualSpacing/>
        <w:jc w:val="center"/>
        <w:rPr>
          <w:b/>
          <w:b/>
          <w:bCs/>
        </w:rPr>
      </w:pPr>
      <w:r>
        <w:rPr>
          <w:b/>
          <w:bCs/>
        </w:rPr>
      </w:r>
    </w:p>
    <w:p>
      <w:pPr>
        <w:pStyle w:val="Normal"/>
        <w:tabs>
          <w:tab w:val="left" w:pos="2552" w:leader="none"/>
          <w:tab w:val="left" w:pos="9498" w:leader="none"/>
        </w:tabs>
        <w:spacing w:lineRule="auto" w:line="240" w:before="0" w:after="0"/>
        <w:contextualSpacing/>
        <w:jc w:val="both"/>
        <w:rPr>
          <w:rFonts w:ascii="Times New Roman" w:hAnsi="Times New Roman" w:cs="Times New Roman"/>
          <w:b/>
          <w:b/>
          <w:sz w:val="24"/>
          <w:szCs w:val="24"/>
        </w:rPr>
      </w:pPr>
      <w:r>
        <w:rPr>
          <w:rFonts w:cs="Times New Roman" w:ascii="Times New Roman" w:hAnsi="Times New Roman"/>
          <w:b/>
          <w:sz w:val="24"/>
          <w:szCs w:val="24"/>
        </w:rPr>
        <w:t>SIGILO: ( ) SIM ( X ) NÃO     PREVISÃO NO PCA: (  ) SIM  ( X ) NÃO</w:t>
      </w:r>
    </w:p>
    <w:p>
      <w:pPr>
        <w:pStyle w:val="Normal"/>
        <w:tabs>
          <w:tab w:val="left" w:pos="2552" w:leader="none"/>
          <w:tab w:val="left" w:pos="9498" w:leader="none"/>
        </w:tabs>
        <w:spacing w:lineRule="auto" w:line="240" w:before="0" w:after="0"/>
        <w:contextualSpacing/>
        <w:jc w:val="both"/>
        <w:rPr>
          <w:rFonts w:ascii="Times New Roman" w:hAnsi="Times New Roman" w:cs="Times New Roman"/>
          <w:b/>
          <w:b/>
          <w:sz w:val="12"/>
          <w:szCs w:val="12"/>
        </w:rPr>
      </w:pPr>
      <w:r>
        <w:rPr>
          <w:rFonts w:cs="Times New Roman" w:ascii="Times New Roman" w:hAnsi="Times New Roman"/>
          <w:b/>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5613"/>
        <w:gridCol w:w="4275"/>
      </w:tblGrid>
      <w:tr>
        <w:trPr/>
        <w:tc>
          <w:tcPr>
            <w:tcW w:w="98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b/>
                <w:sz w:val="24"/>
                <w:szCs w:val="24"/>
              </w:rPr>
              <w:t>1 - ÁREA DEMANDANTE</w:t>
            </w:r>
          </w:p>
        </w:tc>
      </w:tr>
      <w:tr>
        <w:trPr/>
        <w:tc>
          <w:tcPr>
            <w:tcW w:w="98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tabs>
                <w:tab w:val="left" w:pos="2552" w:leader="none"/>
                <w:tab w:val="left" w:pos="9498" w:leader="none"/>
              </w:tabs>
              <w:spacing w:lineRule="auto" w:line="240" w:before="0" w:after="0"/>
              <w:ind w:right="-285" w:hanging="0"/>
              <w:contextualSpacing/>
              <w:rPr/>
            </w:pPr>
            <w:r>
              <w:rPr>
                <w:rFonts w:cs="Times New Roman" w:ascii="Times New Roman" w:hAnsi="Times New Roman"/>
                <w:b/>
                <w:sz w:val="24"/>
                <w:szCs w:val="24"/>
              </w:rPr>
              <w:t xml:space="preserve">Departamento Demandante: </w:t>
            </w:r>
            <w:r>
              <w:rPr>
                <w:rFonts w:cs="Times New Roman" w:ascii="Times New Roman" w:hAnsi="Times New Roman"/>
                <w:sz w:val="24"/>
                <w:szCs w:val="24"/>
              </w:rPr>
              <w:t>Câmara Municipal de Sinop/MT</w:t>
            </w:r>
          </w:p>
        </w:tc>
      </w:tr>
      <w:tr>
        <w:trPr/>
        <w:tc>
          <w:tcPr>
            <w:tcW w:w="98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tabs>
                <w:tab w:val="left" w:pos="2552" w:leader="none"/>
                <w:tab w:val="left" w:pos="9498" w:leader="none"/>
              </w:tabs>
              <w:spacing w:lineRule="auto" w:line="240" w:before="0" w:after="0"/>
              <w:ind w:right="-285" w:hanging="0"/>
              <w:contextualSpacing/>
              <w:rPr/>
            </w:pPr>
            <w:r>
              <w:rPr>
                <w:rFonts w:cs="Times New Roman" w:ascii="Times New Roman" w:hAnsi="Times New Roman"/>
                <w:b/>
                <w:sz w:val="24"/>
                <w:szCs w:val="24"/>
              </w:rPr>
              <w:t xml:space="preserve">Chefe Setor: </w:t>
            </w:r>
            <w:r>
              <w:rPr>
                <w:rFonts w:cs="Times New Roman" w:ascii="Times New Roman" w:hAnsi="Times New Roman"/>
                <w:sz w:val="24"/>
                <w:szCs w:val="24"/>
              </w:rPr>
              <w:t>Jaqueline Juelg</w:t>
            </w:r>
            <w:r>
              <w:rPr>
                <w:rFonts w:cs="Times New Roman" w:ascii="Times New Roman" w:hAnsi="Times New Roman"/>
                <w:b/>
                <w:sz w:val="24"/>
                <w:szCs w:val="24"/>
              </w:rPr>
              <w:t xml:space="preserve"> - Secretária de Administração</w:t>
            </w:r>
          </w:p>
        </w:tc>
      </w:tr>
      <w:tr>
        <w:trPr/>
        <w:tc>
          <w:tcPr>
            <w:tcW w:w="56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both"/>
              <w:rPr/>
            </w:pPr>
            <w:r>
              <w:rPr>
                <w:rFonts w:cs="Times New Roman" w:ascii="Times New Roman" w:hAnsi="Times New Roman"/>
                <w:b/>
                <w:bCs/>
                <w:sz w:val="24"/>
                <w:szCs w:val="24"/>
              </w:rPr>
              <w:t xml:space="preserve">E-mail (Institucional): </w:t>
            </w:r>
            <w:r>
              <w:rPr>
                <w:rFonts w:cs="Times New Roman" w:ascii="Times New Roman" w:hAnsi="Times New Roman"/>
                <w:bCs/>
                <w:sz w:val="24"/>
                <w:szCs w:val="24"/>
              </w:rPr>
              <w:t>administrativo@sinop.mt.leg.br</w:t>
            </w:r>
          </w:p>
        </w:tc>
        <w:tc>
          <w:tcPr>
            <w:tcW w:w="4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both"/>
              <w:rPr/>
            </w:pPr>
            <w:r>
              <w:rPr>
                <w:rFonts w:cs="Times New Roman" w:ascii="Times New Roman" w:hAnsi="Times New Roman"/>
                <w:b/>
                <w:bCs/>
                <w:sz w:val="24"/>
                <w:szCs w:val="24"/>
              </w:rPr>
              <w:t xml:space="preserve">Telefone (Institucional): </w:t>
            </w:r>
            <w:r>
              <w:rPr>
                <w:rFonts w:cs="Times New Roman" w:ascii="Times New Roman" w:hAnsi="Times New Roman"/>
                <w:bCs/>
                <w:sz w:val="24"/>
                <w:szCs w:val="24"/>
              </w:rPr>
              <w:t>66.3517-2859</w:t>
            </w:r>
          </w:p>
          <w:p>
            <w:pPr>
              <w:pStyle w:val="Normal"/>
              <w:widowControl w:val="false"/>
              <w:spacing w:lineRule="auto" w:line="240" w:before="0" w:after="0"/>
              <w:ind w:right="-285" w:hanging="0"/>
              <w:contextualSpacing/>
              <w:jc w:val="both"/>
              <w:rPr>
                <w:rFonts w:ascii="Times New Roman" w:hAnsi="Times New Roman" w:cs="Times New Roman"/>
                <w:bCs/>
                <w:sz w:val="24"/>
                <w:szCs w:val="24"/>
              </w:rPr>
            </w:pPr>
            <w:r>
              <w:rPr>
                <w:rFonts w:cs="Times New Roman" w:ascii="Times New Roman" w:hAnsi="Times New Roman"/>
                <w:bCs/>
                <w:sz w:val="24"/>
                <w:szCs w:val="24"/>
              </w:rPr>
            </w:r>
          </w:p>
        </w:tc>
      </w:tr>
    </w:tbl>
    <w:p>
      <w:pPr>
        <w:pStyle w:val="Normal"/>
        <w:spacing w:lineRule="auto" w:line="240" w:before="0" w:after="0"/>
        <w:contextualSpacing/>
        <w:rPr>
          <w:rFonts w:ascii="Times New Roman" w:hAnsi="Times New Roman" w:cs="Times New Roman"/>
          <w:b/>
          <w:b/>
          <w:bCs/>
          <w:sz w:val="12"/>
          <w:szCs w:val="12"/>
        </w:rPr>
      </w:pPr>
      <w:r>
        <w:rPr>
          <w:rFonts w:cs="Times New Roman" w:ascii="Times New Roman" w:hAnsi="Times New Roman"/>
          <w:b/>
          <w:bCs/>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675"/>
        <w:gridCol w:w="567"/>
        <w:gridCol w:w="4819"/>
        <w:gridCol w:w="567"/>
        <w:gridCol w:w="567"/>
        <w:gridCol w:w="992"/>
        <w:gridCol w:w="1701"/>
      </w:tblGrid>
      <w:tr>
        <w:trPr/>
        <w:tc>
          <w:tcPr>
            <w:tcW w:w="988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2 – OBJETO</w:t>
            </w:r>
          </w:p>
        </w:tc>
      </w:tr>
      <w:tr>
        <w:trPr/>
        <w:tc>
          <w:tcPr>
            <w:tcW w:w="988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120" w:after="120"/>
              <w:contextualSpacing/>
              <w:jc w:val="both"/>
              <w:rPr>
                <w:rFonts w:ascii="Times New Roman" w:hAnsi="Times New Roman" w:cs="Times New Roman"/>
                <w:b/>
                <w:b/>
                <w:bCs/>
                <w:sz w:val="24"/>
                <w:szCs w:val="24"/>
              </w:rPr>
            </w:pPr>
            <w:r>
              <w:rPr>
                <w:rFonts w:cs="Times New Roman" w:ascii="Times New Roman" w:hAnsi="Times New Roman"/>
                <w:b/>
                <w:bCs/>
                <w:sz w:val="24"/>
                <w:szCs w:val="24"/>
              </w:rPr>
              <w:t>2.1 ESPECIFICAÇÃO DO OBJETO:</w:t>
            </w:r>
          </w:p>
          <w:p>
            <w:pPr>
              <w:pStyle w:val="Normal"/>
              <w:widowControl w:val="false"/>
              <w:spacing w:lineRule="auto" w:line="240" w:before="0" w:after="240"/>
              <w:contextualSpacing/>
              <w:jc w:val="both"/>
              <w:rPr/>
            </w:pPr>
            <w:r>
              <w:rPr>
                <w:rStyle w:val="Markedcontent"/>
                <w:rFonts w:cs="Times New Roman" w:ascii="Times New Roman" w:hAnsi="Times New Roman"/>
                <w:b/>
                <w:sz w:val="24"/>
                <w:szCs w:val="24"/>
              </w:rPr>
              <w:t>CONTRATAÇÃO DE EMPRESA ESPECIALIZADA EM SERVIÇOS DE CÓPIAS DE CHAVES E SERVIÇOS DE CHAVEIRO.</w:t>
            </w:r>
          </w:p>
        </w:tc>
      </w:tr>
      <w:tr>
        <w:trPr/>
        <w:tc>
          <w:tcPr>
            <w:tcW w:w="988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2.2 DESCRIÇÃO E QUANTIDADES</w:t>
            </w:r>
          </w:p>
        </w:tc>
      </w:tr>
      <w:tr>
        <w:trPr/>
        <w:tc>
          <w:tcPr>
            <w:tcW w:w="988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contextualSpacing/>
              <w:jc w:val="both"/>
              <w:rPr>
                <w:highlight w:val="yellow"/>
              </w:rPr>
            </w:pPr>
            <w:r>
              <w:rPr>
                <w:rFonts w:cs="Times New Roman" w:ascii="Times New Roman" w:hAnsi="Times New Roman"/>
              </w:rPr>
              <w:t>O quantitativo estimado para compra foi baseado no uso desse serviço nos anos anteriores, sendo levado em consideração também que a Câmara passou por reforma interna, sendo necessário realizar a troca de várias portas que estavam danificadas com o uso, havendo assim o aumento da estimativa da quantidade de cópias de chaves.</w:t>
            </w:r>
          </w:p>
          <w:p>
            <w:pPr>
              <w:pStyle w:val="Normal"/>
              <w:widowControl w:val="false"/>
              <w:spacing w:lineRule="auto" w:line="240" w:before="0" w:after="0"/>
              <w:contextualSpacing/>
              <w:jc w:val="both"/>
              <w:rPr>
                <w:rFonts w:ascii="Times New Roman" w:hAnsi="Times New Roman" w:cs="Times New Roman"/>
              </w:rPr>
            </w:pPr>
            <w:r>
              <w:rPr>
                <w:rFonts w:cs="Times New Roman" w:ascii="Times New Roman" w:hAnsi="Times New Roman"/>
              </w:rPr>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ITEM</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COD</w:t>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DESCRIÇÃO E ESPECIFICAÇÃO</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UN.</w:t>
            </w:r>
          </w:p>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MED</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QTD</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VLR UNIT. ESTIMADO</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60" w:after="0"/>
              <w:contextualSpacing/>
              <w:jc w:val="center"/>
              <w:rPr>
                <w:rFonts w:ascii="Times New Roman" w:hAnsi="Times New Roman" w:cs="Times New Roman"/>
                <w:b/>
                <w:b/>
                <w:bCs/>
                <w:sz w:val="13"/>
                <w:szCs w:val="13"/>
              </w:rPr>
            </w:pPr>
            <w:r>
              <w:rPr>
                <w:rFonts w:cs="Times New Roman" w:ascii="Times New Roman" w:hAnsi="Times New Roman"/>
                <w:b/>
                <w:bCs/>
                <w:sz w:val="13"/>
                <w:szCs w:val="13"/>
              </w:rPr>
              <w:t>VLR TOTAL ESTIMADO</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1</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uppressAutoHyphens w:val="false"/>
              <w:spacing w:lineRule="auto" w:line="240" w:before="40" w:after="0"/>
              <w:ind w:right="-284" w:hanging="0"/>
              <w:rPr>
                <w:rFonts w:ascii="Times New Roman" w:hAnsi="Times New Roman" w:eastAsia="Times New Roman" w:cs="Times New Roman"/>
                <w:sz w:val="24"/>
                <w:szCs w:val="24"/>
                <w:lang w:eastAsia="pt-BR"/>
              </w:rPr>
            </w:pPr>
            <w:r>
              <w:rPr>
                <w:rFonts w:eastAsia="Times New Roman" w:cs="Times New Roman" w:ascii="Times New Roman" w:hAnsi="Times New Roman"/>
                <w:b/>
                <w:bCs/>
                <w:sz w:val="16"/>
                <w:szCs w:val="16"/>
                <w:lang w:eastAsia="pt-BR"/>
              </w:rPr>
              <w:t>18017</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SERVIÇO DE CONFECÇÃO CÓPIA  DE CHAVE - DE PORTA</w:t>
            </w:r>
          </w:p>
          <w:p>
            <w:pPr>
              <w:pStyle w:val="LONormal"/>
              <w:jc w:val="both"/>
              <w:rPr>
                <w:rFonts w:ascii="Times New Roman" w:hAnsi="Times New Roman" w:cs="Times New Roman"/>
                <w:sz w:val="16"/>
                <w:szCs w:val="16"/>
              </w:rPr>
            </w:pPr>
            <w:r>
              <w:rPr>
                <w:rFonts w:cs="Times New Roman" w:ascii="Times New Roman" w:hAnsi="Times New Roman"/>
                <w:sz w:val="16"/>
                <w:szCs w:val="16"/>
              </w:rPr>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NormalWeb"/>
              <w:spacing w:before="40" w:after="160"/>
              <w:ind w:right="-284" w:hanging="0"/>
              <w:rPr/>
            </w:pPr>
            <w:r>
              <w:rPr>
                <w:sz w:val="16"/>
                <w:szCs w:val="16"/>
              </w:rPr>
              <w:t>50</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R$ 17,80</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R$ 890,00</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2</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Western"/>
              <w:spacing w:lineRule="auto" w:line="240" w:before="0" w:after="0"/>
              <w:ind w:right="-284" w:hanging="0"/>
              <w:rPr>
                <w:b/>
                <w:b/>
                <w:bCs/>
                <w:color w:val="000000"/>
                <w:sz w:val="16"/>
                <w:szCs w:val="16"/>
              </w:rPr>
            </w:pPr>
            <w:r>
              <w:rPr>
                <w:b/>
                <w:bCs/>
                <w:color w:val="000000"/>
                <w:sz w:val="16"/>
                <w:szCs w:val="16"/>
              </w:rPr>
            </w:r>
          </w:p>
          <w:p>
            <w:pPr>
              <w:pStyle w:val="Western"/>
              <w:spacing w:lineRule="auto" w:line="240" w:before="0" w:after="0"/>
              <w:ind w:right="-284" w:hanging="0"/>
              <w:rPr/>
            </w:pPr>
            <w:r>
              <w:rPr>
                <w:b/>
                <w:bCs/>
                <w:color w:val="000000"/>
                <w:sz w:val="16"/>
                <w:szCs w:val="16"/>
              </w:rPr>
              <w:t>18019</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SERVIÇO DE CONSERTO DE FECHADURA - DO TIPO INSTALAÇÃO DE FECHADURA ELETRÔNICA.</w:t>
            </w:r>
          </w:p>
          <w:p>
            <w:pPr>
              <w:pStyle w:val="LONormal"/>
              <w:jc w:val="both"/>
              <w:rPr/>
            </w:pPr>
            <w:r>
              <w:rPr>
                <w:rFonts w:cs="Times New Roman" w:ascii="Times New Roman" w:hAnsi="Times New Roman"/>
                <w:sz w:val="16"/>
                <w:szCs w:val="16"/>
              </w:rPr>
              <w:t xml:space="preserve"> </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Western"/>
              <w:spacing w:lineRule="auto" w:line="240" w:before="280" w:after="142"/>
              <w:ind w:right="-284" w:hanging="0"/>
              <w:rPr/>
            </w:pPr>
            <w:r>
              <w:rPr>
                <w:sz w:val="16"/>
                <w:szCs w:val="16"/>
              </w:rPr>
              <w:t>2</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R$ 437,50</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R$ 875,00</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3</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Western"/>
              <w:spacing w:lineRule="auto" w:line="240" w:before="0" w:after="0"/>
              <w:ind w:right="-284" w:hanging="0"/>
              <w:rPr>
                <w:b/>
                <w:b/>
                <w:bCs/>
                <w:sz w:val="16"/>
                <w:szCs w:val="16"/>
              </w:rPr>
            </w:pPr>
            <w:r>
              <w:rPr>
                <w:b/>
                <w:bCs/>
                <w:sz w:val="16"/>
                <w:szCs w:val="16"/>
              </w:rPr>
            </w:r>
          </w:p>
          <w:p>
            <w:pPr>
              <w:pStyle w:val="Western"/>
              <w:spacing w:lineRule="auto" w:line="240" w:before="0" w:after="0"/>
              <w:ind w:right="-284" w:hanging="0"/>
              <w:rPr/>
            </w:pPr>
            <w:r>
              <w:rPr>
                <w:b/>
                <w:bCs/>
                <w:sz w:val="16"/>
                <w:szCs w:val="16"/>
              </w:rPr>
              <w:t>18020</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SERVIÇO DE CONFECÇÃO DE CHAVE - DO TIPO CONFECÇÃO DE CHAVE, DE ARMÁRIO / GAVETA COM RETIRADA DA FECHADURA.</w:t>
            </w:r>
          </w:p>
          <w:p>
            <w:pPr>
              <w:pStyle w:val="LONormal"/>
              <w:jc w:val="both"/>
              <w:rPr>
                <w:rFonts w:ascii="Times New Roman" w:hAnsi="Times New Roman" w:cs="Times New Roman"/>
                <w:sz w:val="16"/>
                <w:szCs w:val="16"/>
              </w:rPr>
            </w:pPr>
            <w:r>
              <w:rPr>
                <w:rFonts w:cs="Times New Roman" w:ascii="Times New Roman" w:hAnsi="Times New Roman"/>
                <w:sz w:val="16"/>
                <w:szCs w:val="16"/>
              </w:rPr>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Western"/>
              <w:spacing w:lineRule="auto" w:line="240" w:before="280" w:after="142"/>
              <w:ind w:right="-284" w:hanging="0"/>
              <w:rPr/>
            </w:pPr>
            <w:r>
              <w:rPr>
                <w:sz w:val="16"/>
                <w:szCs w:val="16"/>
              </w:rPr>
              <w:t>2</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R$ 96,00</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R$ 192,00</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4</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Western"/>
              <w:spacing w:lineRule="auto" w:line="240" w:before="0" w:after="0"/>
              <w:ind w:right="-284" w:hanging="0"/>
              <w:rPr>
                <w:b/>
                <w:b/>
                <w:bCs/>
                <w:sz w:val="16"/>
                <w:szCs w:val="16"/>
              </w:rPr>
            </w:pPr>
            <w:r>
              <w:rPr>
                <w:b/>
                <w:bCs/>
                <w:sz w:val="16"/>
                <w:szCs w:val="16"/>
              </w:rPr>
            </w:r>
          </w:p>
          <w:p>
            <w:pPr>
              <w:pStyle w:val="Western"/>
              <w:spacing w:lineRule="auto" w:line="240" w:before="0" w:after="0"/>
              <w:ind w:right="-284" w:hanging="0"/>
              <w:rPr/>
            </w:pPr>
            <w:r>
              <w:rPr>
                <w:b/>
                <w:bCs/>
                <w:sz w:val="16"/>
                <w:szCs w:val="16"/>
              </w:rPr>
              <w:t>18021</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SERVIÇO DE CONSERTO DE FECHADURA - DO TIPO INSTALAÇÃO DE FECHADURA EM PORTA DE VIDRO.</w:t>
            </w:r>
          </w:p>
          <w:p>
            <w:pPr>
              <w:pStyle w:val="LONormal"/>
              <w:jc w:val="both"/>
              <w:rPr>
                <w:rFonts w:ascii="Times New Roman" w:hAnsi="Times New Roman" w:cs="Times New Roman"/>
                <w:sz w:val="16"/>
                <w:szCs w:val="16"/>
              </w:rPr>
            </w:pPr>
            <w:r>
              <w:rPr>
                <w:rFonts w:cs="Times New Roman" w:ascii="Times New Roman" w:hAnsi="Times New Roman"/>
                <w:sz w:val="16"/>
                <w:szCs w:val="16"/>
              </w:rPr>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Western"/>
              <w:spacing w:lineRule="auto" w:line="240" w:before="280" w:after="142"/>
              <w:ind w:right="-284" w:hanging="0"/>
              <w:rPr/>
            </w:pPr>
            <w:r>
              <w:rPr>
                <w:sz w:val="16"/>
                <w:szCs w:val="16"/>
              </w:rPr>
              <w:t>10</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R$ 143,67</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R$ 1.436,70</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5</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Western"/>
              <w:spacing w:lineRule="auto" w:line="240" w:before="0" w:after="0"/>
              <w:ind w:right="-284" w:hanging="0"/>
              <w:rPr>
                <w:b/>
                <w:b/>
                <w:bCs/>
                <w:color w:val="000000"/>
                <w:sz w:val="16"/>
                <w:szCs w:val="16"/>
              </w:rPr>
            </w:pPr>
            <w:r>
              <w:rPr>
                <w:b/>
                <w:bCs/>
                <w:color w:val="000000"/>
                <w:sz w:val="16"/>
                <w:szCs w:val="16"/>
              </w:rPr>
            </w:r>
          </w:p>
          <w:p>
            <w:pPr>
              <w:pStyle w:val="Western"/>
              <w:spacing w:lineRule="auto" w:line="240" w:before="0" w:after="0"/>
              <w:ind w:right="-284" w:hanging="0"/>
              <w:rPr/>
            </w:pPr>
            <w:r>
              <w:rPr>
                <w:b/>
                <w:bCs/>
                <w:color w:val="000000"/>
                <w:sz w:val="16"/>
                <w:szCs w:val="16"/>
              </w:rPr>
              <w:t>18213</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CONTROLE PARA PORTÃO ELETRÔNICO - FREQUÊNCIA</w:t>
            </w:r>
            <w:r>
              <w:rPr>
                <w:rFonts w:cs="Times New Roman" w:ascii="Times New Roman" w:hAnsi="Times New Roman"/>
                <w:sz w:val="16"/>
                <w:szCs w:val="16"/>
                <w:highlight w:val="yellow"/>
              </w:rPr>
              <w:t xml:space="preserve"> </w:t>
            </w:r>
            <w:r>
              <w:rPr>
                <w:rFonts w:cs="Times New Roman" w:ascii="Times New Roman" w:hAnsi="Times New Roman"/>
                <w:sz w:val="16"/>
                <w:szCs w:val="16"/>
              </w:rPr>
              <w:t>433,92; 3 V CR 2032 – CONFIGURADO.</w:t>
            </w:r>
          </w:p>
          <w:p>
            <w:pPr>
              <w:pStyle w:val="LONormal"/>
              <w:jc w:val="both"/>
              <w:rPr>
                <w:rFonts w:ascii="Times New Roman" w:hAnsi="Times New Roman" w:cs="Times New Roman"/>
                <w:sz w:val="16"/>
                <w:szCs w:val="16"/>
              </w:rPr>
            </w:pPr>
            <w:r>
              <w:rPr>
                <w:rFonts w:cs="Times New Roman" w:ascii="Times New Roman" w:hAnsi="Times New Roman"/>
                <w:sz w:val="16"/>
                <w:szCs w:val="16"/>
              </w:rPr>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Western"/>
              <w:spacing w:lineRule="auto" w:line="240" w:before="280" w:after="142"/>
              <w:ind w:right="-284" w:hanging="0"/>
              <w:rPr/>
            </w:pPr>
            <w:r>
              <w:rPr>
                <w:sz w:val="16"/>
                <w:szCs w:val="16"/>
              </w:rPr>
              <w:t>20</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R$ 60,00</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R$ 1.200,00</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6</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Western"/>
              <w:spacing w:lineRule="auto" w:line="240" w:before="0" w:after="0"/>
              <w:ind w:right="-284" w:hanging="0"/>
              <w:rPr>
                <w:b/>
                <w:b/>
                <w:bCs/>
                <w:sz w:val="16"/>
                <w:szCs w:val="16"/>
              </w:rPr>
            </w:pPr>
            <w:r>
              <w:rPr>
                <w:b/>
                <w:bCs/>
                <w:sz w:val="16"/>
                <w:szCs w:val="16"/>
              </w:rPr>
            </w:r>
          </w:p>
          <w:p>
            <w:pPr>
              <w:pStyle w:val="Western"/>
              <w:spacing w:lineRule="auto" w:line="240" w:before="0" w:after="0"/>
              <w:ind w:right="-284" w:hanging="0"/>
              <w:rPr/>
            </w:pPr>
            <w:r>
              <w:rPr>
                <w:b/>
                <w:bCs/>
                <w:sz w:val="16"/>
                <w:szCs w:val="16"/>
              </w:rPr>
              <w:t>19096</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SERVIÇO DE CONSERTO DE FECHADURA - DO TIPO SERVIÇO DE INSTALAÇÃO DE MIOLO NOVO EM FECHADURA.</w:t>
            </w:r>
          </w:p>
          <w:p>
            <w:pPr>
              <w:pStyle w:val="LONormal"/>
              <w:jc w:val="both"/>
              <w:rPr>
                <w:rFonts w:ascii="Times New Roman" w:hAnsi="Times New Roman" w:cs="Times New Roman"/>
                <w:sz w:val="16"/>
                <w:szCs w:val="16"/>
              </w:rPr>
            </w:pPr>
            <w:r>
              <w:rPr>
                <w:rFonts w:cs="Times New Roman" w:ascii="Times New Roman" w:hAnsi="Times New Roman"/>
                <w:sz w:val="16"/>
                <w:szCs w:val="16"/>
              </w:rPr>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Western"/>
              <w:spacing w:lineRule="auto" w:line="240" w:before="280" w:after="142"/>
              <w:ind w:right="-284" w:hanging="0"/>
              <w:rPr/>
            </w:pPr>
            <w:r>
              <w:rPr>
                <w:sz w:val="16"/>
                <w:szCs w:val="16"/>
              </w:rPr>
              <w:t>10</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R$ 138,33</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R$ 1.383,30</w:t>
            </w:r>
          </w:p>
        </w:tc>
      </w:tr>
      <w:tr>
        <w:trPr/>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r>
          </w:p>
          <w:p>
            <w:pPr>
              <w:pStyle w:val="Normal"/>
              <w:widowControl w:val="false"/>
              <w:spacing w:lineRule="auto" w:line="240" w:before="0" w:after="0"/>
              <w:ind w:right="-285" w:hanging="0"/>
              <w:contextualSpacing/>
              <w:jc w:val="center"/>
              <w:rPr>
                <w:rFonts w:ascii="Times New Roman" w:hAnsi="Times New Roman" w:cs="Times New Roman"/>
                <w:sz w:val="16"/>
                <w:szCs w:val="16"/>
              </w:rPr>
            </w:pPr>
            <w:r>
              <w:rPr>
                <w:rFonts w:cs="Times New Roman" w:ascii="Times New Roman" w:hAnsi="Times New Roman"/>
                <w:sz w:val="16"/>
                <w:szCs w:val="16"/>
              </w:rPr>
              <w:t>7</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Western"/>
              <w:spacing w:lineRule="auto" w:line="240" w:before="0" w:after="0"/>
              <w:ind w:right="-284" w:hanging="0"/>
              <w:rPr>
                <w:b/>
                <w:b/>
                <w:bCs/>
                <w:color w:val="000000"/>
                <w:sz w:val="16"/>
                <w:szCs w:val="16"/>
              </w:rPr>
            </w:pPr>
            <w:r>
              <w:rPr>
                <w:b/>
                <w:bCs/>
                <w:color w:val="000000"/>
                <w:sz w:val="16"/>
                <w:szCs w:val="16"/>
              </w:rPr>
            </w:r>
          </w:p>
          <w:p>
            <w:pPr>
              <w:pStyle w:val="Western"/>
              <w:spacing w:lineRule="auto" w:line="240" w:before="0" w:after="0"/>
              <w:ind w:right="-284" w:hanging="0"/>
              <w:rPr/>
            </w:pPr>
            <w:r>
              <w:rPr>
                <w:b/>
                <w:bCs/>
                <w:color w:val="000000"/>
                <w:sz w:val="16"/>
                <w:szCs w:val="16"/>
              </w:rPr>
              <w:t>19127</w:t>
            </w:r>
          </w:p>
          <w:p>
            <w:pPr>
              <w:pStyle w:val="Normal"/>
              <w:widowControl w:val="false"/>
              <w:spacing w:lineRule="auto" w:line="240" w:before="0" w:after="0"/>
              <w:ind w:right="-285" w:hanging="0"/>
              <w:contextualSpacing/>
              <w:rPr>
                <w:rFonts w:ascii="Times New Roman" w:hAnsi="Times New Roman" w:cs="Times New Roman"/>
                <w:sz w:val="13"/>
                <w:szCs w:val="13"/>
              </w:rPr>
            </w:pPr>
            <w:r>
              <w:rPr>
                <w:rFonts w:cs="Times New Roman" w:ascii="Times New Roman" w:hAnsi="Times New Roman"/>
                <w:sz w:val="13"/>
                <w:szCs w:val="13"/>
              </w:rPr>
            </w:r>
          </w:p>
        </w:tc>
        <w:tc>
          <w:tcPr>
            <w:tcW w:w="481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ONormal"/>
              <w:jc w:val="both"/>
              <w:rPr/>
            </w:pPr>
            <w:r>
              <w:rPr>
                <w:rFonts w:cs="Times New Roman" w:ascii="Times New Roman" w:hAnsi="Times New Roman"/>
                <w:sz w:val="16"/>
                <w:szCs w:val="16"/>
              </w:rPr>
              <w:t>SERVIÇO DE CONSERTO DE FECHADURA - FORNECIMENTO E INSTALAÇÃO DE FECHADURAS NOVAS, SIMPLES EM PORTAS DE MADEIRA.</w:t>
            </w:r>
          </w:p>
          <w:p>
            <w:pPr>
              <w:pStyle w:val="LONormal"/>
              <w:jc w:val="both"/>
              <w:rPr>
                <w:rFonts w:ascii="Times New Roman" w:hAnsi="Times New Roman" w:cs="Times New Roman"/>
                <w:sz w:val="16"/>
                <w:szCs w:val="16"/>
              </w:rPr>
            </w:pPr>
            <w:r>
              <w:rPr>
                <w:rFonts w:cs="Times New Roman" w:ascii="Times New Roman" w:hAnsi="Times New Roman"/>
                <w:sz w:val="16"/>
                <w:szCs w:val="16"/>
              </w:rPr>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160"/>
              <w:rPr>
                <w:rFonts w:ascii="Times New Roman" w:hAnsi="Times New Roman" w:cs="Times New Roman"/>
                <w:sz w:val="16"/>
                <w:szCs w:val="16"/>
              </w:rPr>
            </w:pPr>
            <w:r>
              <w:rPr>
                <w:rFonts w:cs="Times New Roman" w:ascii="Times New Roman" w:hAnsi="Times New Roman"/>
                <w:sz w:val="16"/>
                <w:szCs w:val="16"/>
              </w:rPr>
              <w:t>UN</w:t>
            </w:r>
          </w:p>
        </w:tc>
        <w:tc>
          <w:tcPr>
            <w:tcW w:w="5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vAlign w:val="center"/>
          </w:tcPr>
          <w:p>
            <w:pPr>
              <w:pStyle w:val="Western"/>
              <w:spacing w:lineRule="auto" w:line="240" w:before="280" w:after="142"/>
              <w:ind w:right="-284" w:hanging="0"/>
              <w:rPr/>
            </w:pPr>
            <w:r>
              <w:rPr>
                <w:sz w:val="16"/>
                <w:szCs w:val="16"/>
              </w:rPr>
              <w:t>10</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R$ 168,12</w:t>
            </w:r>
          </w:p>
        </w:tc>
        <w:tc>
          <w:tcPr>
            <w:tcW w:w="17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160"/>
              <w:rPr>
                <w:rFonts w:ascii="Times New Roman" w:hAnsi="Times New Roman" w:cs="Times New Roman"/>
                <w:sz w:val="16"/>
                <w:szCs w:val="16"/>
              </w:rPr>
            </w:pPr>
            <w:r>
              <w:rPr>
                <w:rFonts w:cs="Times New Roman" w:ascii="Times New Roman" w:hAnsi="Times New Roman"/>
                <w:sz w:val="16"/>
                <w:szCs w:val="16"/>
              </w:rPr>
              <w:t>R$ 1.681,20</w:t>
            </w:r>
          </w:p>
        </w:tc>
      </w:tr>
      <w:tr>
        <w:trPr/>
        <w:tc>
          <w:tcPr>
            <w:tcW w:w="9888"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before="0" w:after="0"/>
              <w:jc w:val="both"/>
              <w:rPr>
                <w:sz w:val="20"/>
                <w:szCs w:val="20"/>
              </w:rPr>
            </w:pPr>
            <w:r>
              <w:rPr>
                <w:rFonts w:cs="Times New Roman" w:ascii="Times New Roman" w:hAnsi="Times New Roman"/>
                <w:b/>
                <w:sz w:val="20"/>
                <w:szCs w:val="20"/>
              </w:rPr>
              <w:t>Valor Total R$ 7.658,20 (sete mil e seiscentos e cinquenta e oito reais e vinte centavos).</w:t>
            </w:r>
          </w:p>
          <w:p>
            <w:pPr>
              <w:pStyle w:val="Normal"/>
              <w:spacing w:before="0" w:after="0"/>
              <w:jc w:val="both"/>
              <w:rPr>
                <w:rFonts w:ascii="Times New Roman" w:hAnsi="Times New Roman" w:cs="Times New Roman"/>
                <w:b/>
                <w:b/>
                <w:sz w:val="16"/>
                <w:szCs w:val="16"/>
              </w:rPr>
            </w:pPr>
            <w:r>
              <w:rPr>
                <w:rFonts w:cs="Times New Roman" w:ascii="Times New Roman" w:hAnsi="Times New Roman"/>
                <w:b/>
                <w:sz w:val="16"/>
                <w:szCs w:val="16"/>
              </w:rPr>
            </w:r>
          </w:p>
        </w:tc>
      </w:tr>
    </w:tbl>
    <w:p>
      <w:pPr>
        <w:pStyle w:val="Normal"/>
        <w:spacing w:lineRule="auto" w:line="240" w:before="0" w:after="0"/>
        <w:ind w:right="-1134" w:hanging="0"/>
        <w:contextualSpacing/>
        <w:jc w:val="both"/>
        <w:rPr/>
      </w:pPr>
      <w:r>
        <w:rPr>
          <w:rFonts w:cs="Times New Roman" w:ascii="Times New Roman" w:hAnsi="Times New Roman"/>
          <w:sz w:val="24"/>
          <w:szCs w:val="24"/>
        </w:rPr>
        <w:t>Nos preços acima indicados estão inclusos todos os custos necessários, assim como, todas as despesas, tributos, fretes, seguros, encargos trabalhistas, previdenciários, fiscais, comerciais, taxas e quaisquer outras que incidam ou venham a incidir sobre o objeto.</w:t>
      </w:r>
    </w:p>
    <w:p>
      <w:pPr>
        <w:pStyle w:val="Normal"/>
        <w:spacing w:lineRule="auto" w:line="240" w:before="0" w:after="0"/>
        <w:ind w:right="-1134" w:hanging="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3 – JUSTIFICATIVA/NECESSIDADE DA CONTRATAÇÃO</w:t>
            </w:r>
          </w:p>
        </w:tc>
      </w:tr>
      <w:tr>
        <w:trPr/>
        <w:tc>
          <w:tcPr>
            <w:tcW w:w="9889" w:type="dxa"/>
            <w:tcBorders>
              <w:top w:val="single" w:sz="4" w:space="0" w:color="000001"/>
              <w:left w:val="single" w:sz="4" w:space="0" w:color="000001"/>
              <w:bottom w:val="single" w:sz="4" w:space="0" w:color="00000A"/>
              <w:right w:val="single" w:sz="4" w:space="0" w:color="000001"/>
              <w:insideH w:val="single" w:sz="4" w:space="0" w:color="00000A"/>
              <w:insideV w:val="single" w:sz="4" w:space="0" w:color="000001"/>
            </w:tcBorders>
            <w:shd w:color="auto" w:fill="auto"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3.1 Justificativa:</w:t>
            </w:r>
          </w:p>
          <w:p>
            <w:pPr>
              <w:pStyle w:val="Normal"/>
              <w:widowControl w:val="false"/>
              <w:spacing w:lineRule="auto" w:line="240" w:before="0" w:after="0"/>
              <w:contextualSpacing/>
              <w:jc w:val="both"/>
              <w:rPr>
                <w:rFonts w:asciiTheme="minorHAnsi" w:eastAsiaTheme="minorHAnsi" w:hAnsiTheme="minorHAnsi"/>
              </w:rPr>
            </w:pPr>
            <w:r>
              <w:rPr>
                <w:rFonts w:cs="Times New Roman" w:ascii="Times New Roman" w:hAnsi="Times New Roman"/>
                <w:iCs/>
                <w:sz w:val="24"/>
                <w:szCs w:val="24"/>
              </w:rPr>
              <w:t>A presente aquisição está dentro do valor de contratação e no limite estabelecido no Art. 75, inciso II, da Lei Federal nº 14.133/202 e Decreto Municipal nº 359/2023.</w:t>
            </w:r>
          </w:p>
          <w:p>
            <w:pPr>
              <w:pStyle w:val="Normal"/>
              <w:widowControl w:val="false"/>
              <w:spacing w:lineRule="auto" w:line="240" w:before="0" w:after="0"/>
              <w:contextualSpacing/>
              <w:jc w:val="both"/>
              <w:rPr>
                <w:rFonts w:ascii="Times New Roman" w:hAnsi="Times New Roman" w:cs="Times New Roman"/>
                <w:iCs/>
                <w:sz w:val="24"/>
                <w:szCs w:val="24"/>
              </w:rPr>
            </w:pPr>
            <w:r>
              <w:rPr>
                <w:rFonts w:cs="Times New Roman" w:ascii="Times New Roman" w:hAnsi="Times New Roman"/>
                <w:iCs/>
                <w:sz w:val="24"/>
                <w:szCs w:val="24"/>
              </w:rPr>
            </w:r>
          </w:p>
          <w:p>
            <w:pPr>
              <w:pStyle w:val="Normal"/>
              <w:spacing w:before="0" w:after="0"/>
              <w:ind w:right="57" w:hanging="0"/>
              <w:jc w:val="both"/>
              <w:rPr>
                <w:rFonts w:ascii="Times New Roman" w:hAnsi="Times New Roman" w:cs="Times New Roman"/>
                <w:sz w:val="24"/>
                <w:szCs w:val="24"/>
              </w:rPr>
            </w:pPr>
            <w:r>
              <w:rPr>
                <w:rFonts w:cs="Times New Roman" w:ascii="Times New Roman" w:hAnsi="Times New Roman"/>
                <w:sz w:val="24"/>
                <w:szCs w:val="24"/>
              </w:rPr>
              <w:t>Considerando que as instalações da Câmara Municipal de Vereadores de Sinop/MT,  possuem grande número de portas, fechaduras e chaves, que durante o uso normal, apresentam ou podem apresentar problemas em seu funcionamento, além de quebra das chaves nos miolos/cilindros provocando a necessidade de abertura, conserto, modelagem, confecção de cópias e substituição de fechaduras, entre outros serviços correlatos.</w:t>
            </w:r>
          </w:p>
          <w:p>
            <w:pPr>
              <w:pStyle w:val="Normal"/>
              <w:spacing w:before="0" w:after="0"/>
              <w:ind w:right="57"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ind w:right="57" w:hanging="0"/>
              <w:jc w:val="both"/>
              <w:rPr/>
            </w:pPr>
            <w:r>
              <w:rPr>
                <w:rStyle w:val="Fontepargpadro"/>
                <w:rFonts w:cs="Times New Roman" w:ascii="Times New Roman" w:hAnsi="Times New Roman"/>
                <w:sz w:val="24"/>
                <w:szCs w:val="24"/>
              </w:rPr>
              <w:t>O objetivo da contratação dos serviços de cópia de chaves ocorre em virtude da reforma no prédio da Câmara Municipal, onde foram trocadas/instaladas portas de madeiras novas em diversas salas e gabinetes, ocorrendo assim a necessidade do fornecimento de novas cópias de chaves para os servidores.</w:t>
            </w:r>
          </w:p>
          <w:p>
            <w:pPr>
              <w:pStyle w:val="Normal"/>
              <w:spacing w:before="0" w:after="0"/>
              <w:ind w:right="57" w:hanging="0"/>
              <w:jc w:val="both"/>
              <w:rPr>
                <w:rFonts w:asciiTheme="minorHAnsi" w:eastAsiaTheme="minorHAnsi" w:hAnsiTheme="minorHAnsi"/>
              </w:rPr>
            </w:pPr>
            <w:r>
              <w:rPr>
                <w:rFonts w:asciiTheme="minorHAnsi" w:eastAsiaTheme="minorHAnsi" w:hAnsiTheme="minorHAnsi"/>
              </w:rPr>
            </w:r>
          </w:p>
          <w:p>
            <w:pPr>
              <w:pStyle w:val="Normal"/>
              <w:spacing w:before="0" w:after="0"/>
              <w:ind w:right="57" w:hanging="0"/>
              <w:jc w:val="both"/>
              <w:rPr/>
            </w:pPr>
            <w:r>
              <w:rPr>
                <w:rStyle w:val="Fontepargpadro"/>
                <w:rFonts w:cs="Times New Roman" w:ascii="Times New Roman" w:hAnsi="Times New Roman"/>
                <w:sz w:val="24"/>
                <w:szCs w:val="24"/>
              </w:rPr>
              <w:t xml:space="preserve">Visa ainda, atender as demandas de troca imediata de fechaduras completas e miolos de  fechadura, danificadas pelo tempo de uso, </w:t>
            </w:r>
            <w:r>
              <w:rPr>
                <w:rStyle w:val="Fontepargpadro"/>
                <w:rFonts w:cs="Times New Roman" w:ascii="Times New Roman" w:hAnsi="Times New Roman"/>
                <w:b/>
                <w:bCs/>
                <w:sz w:val="24"/>
                <w:szCs w:val="24"/>
              </w:rPr>
              <w:t>assim como, para atender as demandas futuras.</w:t>
            </w:r>
          </w:p>
          <w:p>
            <w:pPr>
              <w:pStyle w:val="Normal"/>
              <w:spacing w:before="0" w:after="0"/>
              <w:ind w:right="57" w:hanging="0"/>
              <w:jc w:val="both"/>
              <w:rPr>
                <w:rFonts w:asciiTheme="minorHAnsi" w:eastAsiaTheme="minorHAnsi" w:hAnsiTheme="minorHAnsi"/>
              </w:rPr>
            </w:pPr>
            <w:r>
              <w:rPr>
                <w:rFonts w:asciiTheme="minorHAnsi" w:eastAsiaTheme="minorHAnsi" w:hAnsiTheme="minorHAnsi"/>
              </w:rPr>
            </w:r>
          </w:p>
          <w:p>
            <w:pPr>
              <w:pStyle w:val="Standard"/>
              <w:spacing w:lineRule="auto" w:line="240" w:before="0" w:after="0"/>
              <w:ind w:right="57" w:hanging="0"/>
              <w:jc w:val="both"/>
              <w:rPr/>
            </w:pPr>
            <w:r>
              <w:rPr>
                <w:rFonts w:cs="Times New Roman" w:ascii="Times New Roman" w:hAnsi="Times New Roman"/>
                <w:sz w:val="24"/>
                <w:szCs w:val="24"/>
              </w:rPr>
              <w:t>A contratação desse tipo de serviço é fundamental para o bom andamento do serviço administrativo desenvolvido nessas instalações, refletindo diretamente em um atendimento célere para o cidadão e na segurança do patrimônio público.</w:t>
            </w:r>
          </w:p>
          <w:p>
            <w:pPr>
              <w:pStyle w:val="Standard"/>
              <w:spacing w:lineRule="auto" w:line="240" w:before="0" w:after="0"/>
              <w:ind w:right="57" w:hanging="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contextualSpacing/>
              <w:jc w:val="both"/>
              <w:rPr>
                <w:rFonts w:ascii="Times New Roman" w:hAnsi="Times New Roman" w:cs="Times New Roman"/>
                <w:iCs/>
                <w:sz w:val="12"/>
                <w:szCs w:val="24"/>
              </w:rPr>
            </w:pPr>
            <w:r>
              <w:rPr>
                <w:rFonts w:cs="Times New Roman" w:ascii="Times New Roman" w:hAnsi="Times New Roman"/>
                <w:iCs/>
                <w:sz w:val="12"/>
                <w:szCs w:val="24"/>
              </w:rPr>
            </w:r>
          </w:p>
        </w:tc>
      </w:tr>
      <w:tr>
        <w:trPr/>
        <w:tc>
          <w:tcPr>
            <w:tcW w:w="9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8D08D" w:themeFill="accent6" w:themeFillTint="99" w:val="clear"/>
            <w:tcMar>
              <w:left w:w="93" w:type="dxa"/>
            </w:tcMar>
          </w:tcPr>
          <w:p>
            <w:pPr>
              <w:pStyle w:val="Normal"/>
              <w:widowControl w:val="false"/>
              <w:spacing w:before="0" w:after="160"/>
              <w:rPr>
                <w:rFonts w:ascii="Times New Roman" w:hAnsi="Times New Roman" w:cs="Times New Roman"/>
              </w:rPr>
            </w:pPr>
            <w:r>
              <w:rPr>
                <w:rFonts w:cs="Times New Roman" w:ascii="Times New Roman" w:hAnsi="Times New Roman"/>
                <w:b/>
                <w:bCs/>
                <w:sz w:val="24"/>
                <w:szCs w:val="24"/>
              </w:rPr>
              <w:t>4 – DESCRIÇÃO DA SOLUÇÃO (QUANDO APLICÁVEL)</w:t>
            </w:r>
          </w:p>
        </w:tc>
      </w:tr>
      <w:tr>
        <w:trPr/>
        <w:tc>
          <w:tcPr>
            <w:tcW w:w="98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3" w:type="dxa"/>
            </w:tcMar>
          </w:tcPr>
          <w:p>
            <w:pPr>
              <w:pStyle w:val="Normal"/>
              <w:widowControl w:val="false"/>
              <w:spacing w:before="0" w:after="160"/>
              <w:rPr>
                <w:rFonts w:ascii="Times New Roman" w:hAnsi="Times New Roman" w:cs="Times New Roman"/>
              </w:rPr>
            </w:pPr>
            <w:r>
              <w:rPr>
                <w:rFonts w:cs="Times New Roman" w:ascii="Times New Roman" w:hAnsi="Times New Roman"/>
                <w:i w:val="false"/>
                <w:iCs w:val="false"/>
                <w:sz w:val="24"/>
                <w:szCs w:val="24"/>
              </w:rPr>
              <w:t>Não se aplica.</w:t>
            </w:r>
          </w:p>
        </w:tc>
      </w:tr>
    </w:tbl>
    <w:p>
      <w:pPr>
        <w:pStyle w:val="Normal"/>
        <w:spacing w:lineRule="auto" w:line="240" w:before="0" w:after="0"/>
        <w:contextualSpacing/>
        <w:jc w:val="left"/>
        <w:rPr>
          <w:rFonts w:ascii="Times New Roman" w:hAnsi="Times New Roman" w:cs="Times New Roman"/>
          <w:b/>
          <w:b/>
          <w:bCs/>
          <w:sz w:val="24"/>
          <w:szCs w:val="12"/>
        </w:rPr>
      </w:pPr>
      <w:r>
        <w:rPr>
          <w:rFonts w:cs="Times New Roman" w:ascii="Times New Roman" w:hAnsi="Times New Roman"/>
          <w:b/>
          <w:bCs/>
          <w:sz w:val="24"/>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5 – REQUISITOS DO OBJETO DA CONTRATAÇÃO</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contextualSpacing/>
              <w:jc w:val="both"/>
              <w:rPr>
                <w:i w:val="false"/>
                <w:i w:val="false"/>
                <w:iCs w:val="false"/>
              </w:rPr>
            </w:pPr>
            <w:r>
              <w:rPr>
                <w:rFonts w:cs="Times New Roman" w:ascii="Times New Roman" w:hAnsi="Times New Roman"/>
                <w:i w:val="false"/>
                <w:iCs w:val="false"/>
                <w:sz w:val="24"/>
                <w:szCs w:val="24"/>
              </w:rPr>
              <w:t>Natureza do Objeto: Conforme definido pelo Art. 6° XIII, da Lei 14.133/21, trata-se de bens e serviços comuns, cujos padrões de desempenho e qualidade podem ser objetivamente definidos pelo edital, por meio de especificações usuais de mercado.</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contextualSpacing/>
              <w:jc w:val="both"/>
              <w:rPr>
                <w:i w:val="false"/>
                <w:i w:val="false"/>
                <w:iCs w:val="false"/>
              </w:rPr>
            </w:pPr>
            <w:r>
              <w:rPr>
                <w:rFonts w:cs="Times New Roman" w:ascii="Times New Roman" w:hAnsi="Times New Roman"/>
                <w:i w:val="false"/>
                <w:iCs w:val="false"/>
                <w:sz w:val="24"/>
                <w:szCs w:val="24"/>
              </w:rPr>
              <w:t xml:space="preserve">Documentos para Habilitação: </w:t>
            </w:r>
          </w:p>
          <w:p>
            <w:pPr>
              <w:pStyle w:val="Normal"/>
              <w:widowControl w:val="false"/>
              <w:spacing w:lineRule="auto" w:line="240" w:before="0" w:after="0"/>
              <w:contextualSpacing/>
              <w:jc w:val="both"/>
              <w:rPr>
                <w:rFonts w:ascii="Times New Roman" w:hAnsi="Times New Roman" w:cs="Times New Roman"/>
                <w:i/>
                <w:i/>
                <w:iCs/>
                <w:sz w:val="24"/>
                <w:szCs w:val="24"/>
              </w:rPr>
            </w:pPr>
            <w:r>
              <w:rPr>
                <w:rFonts w:cs="Times New Roman" w:ascii="Times New Roman" w:hAnsi="Times New Roman"/>
                <w:i/>
                <w:iCs/>
                <w:sz w:val="24"/>
                <w:szCs w:val="24"/>
              </w:rPr>
            </w:r>
          </w:p>
          <w:p>
            <w:pPr>
              <w:pStyle w:val="ListParagraph"/>
              <w:widowControl w:val="false"/>
              <w:numPr>
                <w:ilvl w:val="0"/>
                <w:numId w:val="1"/>
              </w:numPr>
              <w:tabs>
                <w:tab w:val="left" w:pos="284" w:leader="none"/>
              </w:tabs>
              <w:spacing w:lineRule="auto" w:line="240" w:before="0" w:after="0"/>
              <w:ind w:left="142" w:hanging="66"/>
              <w:jc w:val="both"/>
              <w:rPr>
                <w:i w:val="false"/>
                <w:i w:val="false"/>
                <w:iCs w:val="false"/>
              </w:rPr>
            </w:pPr>
            <w:r>
              <w:rPr>
                <w:rFonts w:cs="Times New Roman" w:ascii="Times New Roman" w:hAnsi="Times New Roman"/>
                <w:i w:val="false"/>
                <w:iCs w:val="false"/>
                <w:sz w:val="24"/>
                <w:szCs w:val="24"/>
              </w:rPr>
              <w:t>Registro comercial, no caso de empresa individual, ou ato constitutivo e alterações subsequentes, ou contrato consolidado, devidamente registrado, em se tratando de sociedade comercial e, no caso de sociedade por ações, acompanhado de documentos de seus administradores;</w:t>
            </w:r>
          </w:p>
          <w:p>
            <w:pPr>
              <w:pStyle w:val="ListParagraph"/>
              <w:widowControl w:val="false"/>
              <w:numPr>
                <w:ilvl w:val="0"/>
                <w:numId w:val="1"/>
              </w:numPr>
              <w:tabs>
                <w:tab w:val="left" w:pos="284" w:leader="none"/>
              </w:tabs>
              <w:spacing w:lineRule="auto" w:line="240" w:before="0" w:after="0"/>
              <w:ind w:left="142" w:hanging="66"/>
              <w:jc w:val="both"/>
              <w:rPr>
                <w:i w:val="false"/>
                <w:i w:val="false"/>
                <w:iCs w:val="false"/>
              </w:rPr>
            </w:pPr>
            <w:r>
              <w:rPr>
                <w:rFonts w:cs="Times New Roman" w:ascii="Times New Roman" w:hAnsi="Times New Roman"/>
                <w:i w:val="false"/>
                <w:iCs w:val="false"/>
              </w:rPr>
              <w:t xml:space="preserve">Comprovante de inscrição no Cadastro Nacional de Pessoas Jurídicas </w:t>
            </w:r>
            <w:r>
              <w:rPr>
                <w:rFonts w:cs="Times New Roman" w:ascii="Times New Roman" w:hAnsi="Times New Roman"/>
                <w:b/>
                <w:i w:val="false"/>
                <w:iCs w:val="false"/>
                <w:u w:val="single"/>
              </w:rPr>
              <w:t>(CNPJ); juntamente com Consulta ao Quadro de Sócios e Administradores – QSA e documento do sócio;</w:t>
            </w:r>
          </w:p>
          <w:p>
            <w:pPr>
              <w:pStyle w:val="ListParagraph"/>
              <w:widowControl w:val="false"/>
              <w:numPr>
                <w:ilvl w:val="0"/>
                <w:numId w:val="1"/>
              </w:numPr>
              <w:tabs>
                <w:tab w:val="left" w:pos="284" w:leader="none"/>
              </w:tabs>
              <w:spacing w:lineRule="auto" w:line="240" w:before="0" w:after="0"/>
              <w:ind w:left="142" w:hanging="66"/>
              <w:jc w:val="both"/>
              <w:rPr>
                <w:i w:val="false"/>
                <w:i w:val="false"/>
                <w:iCs w:val="false"/>
              </w:rPr>
            </w:pPr>
            <w:r>
              <w:rPr>
                <w:rFonts w:cs="Times New Roman" w:ascii="Times New Roman" w:hAnsi="Times New Roman"/>
                <w:i w:val="false"/>
                <w:iCs w:val="false"/>
              </w:rPr>
              <w:t xml:space="preserve">Prova de inscrição no cadastro de contribuintes </w:t>
            </w:r>
            <w:r>
              <w:rPr>
                <w:rFonts w:cs="Times New Roman" w:ascii="Times New Roman" w:hAnsi="Times New Roman"/>
                <w:b/>
                <w:i w:val="false"/>
                <w:iCs w:val="false"/>
                <w:u w:val="single"/>
              </w:rPr>
              <w:t>estadual</w:t>
            </w:r>
            <w:r>
              <w:rPr>
                <w:rFonts w:cs="Times New Roman" w:ascii="Times New Roman" w:hAnsi="Times New Roman"/>
                <w:b/>
                <w:i w:val="false"/>
                <w:iCs w:val="false"/>
              </w:rPr>
              <w:t xml:space="preserve"> ou </w:t>
            </w:r>
            <w:r>
              <w:rPr>
                <w:rFonts w:cs="Times New Roman" w:ascii="Times New Roman" w:hAnsi="Times New Roman"/>
                <w:b/>
                <w:i w:val="false"/>
                <w:iCs w:val="false"/>
                <w:u w:val="single"/>
              </w:rPr>
              <w:t>municipal</w:t>
            </w:r>
            <w:r>
              <w:rPr>
                <w:rFonts w:cs="Times New Roman" w:ascii="Times New Roman" w:hAnsi="Times New Roman"/>
                <w:i w:val="false"/>
                <w:iCs w:val="false"/>
              </w:rPr>
              <w:t>, relativo ao domicílio ou sede do licitante, pertinente ao seu ramo de atividade e compatível com o objeto contratual;</w:t>
            </w:r>
          </w:p>
          <w:p>
            <w:pPr>
              <w:pStyle w:val="ListParagraph"/>
              <w:widowControl w:val="false"/>
              <w:numPr>
                <w:ilvl w:val="0"/>
                <w:numId w:val="1"/>
              </w:numPr>
              <w:tabs>
                <w:tab w:val="left" w:pos="284" w:leader="none"/>
              </w:tabs>
              <w:spacing w:lineRule="auto" w:line="240" w:before="0" w:after="0"/>
              <w:ind w:left="142" w:hanging="66"/>
              <w:jc w:val="both"/>
              <w:rPr>
                <w:rFonts w:ascii="Times New Roman" w:hAnsi="Times New Roman" w:cs="Times New Roman"/>
                <w:i/>
                <w:i/>
                <w:sz w:val="24"/>
                <w:szCs w:val="24"/>
              </w:rPr>
            </w:pPr>
            <w:r>
              <w:rPr>
                <w:rFonts w:cs="Times New Roman" w:ascii="Times New Roman" w:hAnsi="Times New Roman"/>
                <w:i w:val="false"/>
                <w:iCs w:val="false"/>
              </w:rPr>
              <w:t xml:space="preserve">Prova de Regularidade para com a </w:t>
            </w:r>
            <w:r>
              <w:rPr>
                <w:rFonts w:cs="Times New Roman" w:ascii="Times New Roman" w:hAnsi="Times New Roman"/>
                <w:b/>
                <w:i w:val="false"/>
                <w:iCs w:val="false"/>
                <w:u w:val="single"/>
              </w:rPr>
              <w:t>Fazenda Federal RFB/PGFN (incluindo INSS).</w:t>
            </w:r>
          </w:p>
          <w:p>
            <w:pPr>
              <w:pStyle w:val="ListParagraph"/>
              <w:widowControl w:val="false"/>
              <w:numPr>
                <w:ilvl w:val="0"/>
                <w:numId w:val="1"/>
              </w:numPr>
              <w:tabs>
                <w:tab w:val="left" w:pos="284" w:leader="none"/>
              </w:tabs>
              <w:spacing w:lineRule="auto" w:line="240" w:before="0" w:after="0"/>
              <w:ind w:left="142" w:hanging="66"/>
              <w:jc w:val="both"/>
              <w:rPr>
                <w:i w:val="false"/>
                <w:i w:val="false"/>
                <w:iCs w:val="false"/>
              </w:rPr>
            </w:pPr>
            <w:r>
              <w:rPr>
                <w:rFonts w:cs="Times New Roman" w:ascii="Times New Roman" w:hAnsi="Times New Roman"/>
                <w:i w:val="false"/>
                <w:iCs w:val="false"/>
              </w:rPr>
              <w:t xml:space="preserve">Prova de Regularidade relativa ao Fundo de Garantia por Tempo de Serviço </w:t>
            </w:r>
            <w:r>
              <w:rPr>
                <w:rFonts w:cs="Times New Roman" w:ascii="Times New Roman" w:hAnsi="Times New Roman"/>
                <w:b/>
                <w:i w:val="false"/>
                <w:iCs w:val="false"/>
                <w:u w:val="single"/>
              </w:rPr>
              <w:t>(FGTS)</w:t>
            </w:r>
            <w:r>
              <w:rPr>
                <w:rFonts w:cs="Times New Roman" w:ascii="Times New Roman" w:hAnsi="Times New Roman"/>
                <w:i w:val="false"/>
                <w:iCs w:val="false"/>
              </w:rPr>
              <w:t>, demonstrando situação regular no cumprimento dos encargos sociais instituídos por lei;</w:t>
            </w:r>
          </w:p>
          <w:p>
            <w:pPr>
              <w:pStyle w:val="ListParagraph"/>
              <w:widowControl w:val="false"/>
              <w:numPr>
                <w:ilvl w:val="0"/>
                <w:numId w:val="1"/>
              </w:numPr>
              <w:tabs>
                <w:tab w:val="left" w:pos="284" w:leader="none"/>
              </w:tabs>
              <w:spacing w:lineRule="auto" w:line="240" w:before="0" w:after="0"/>
              <w:ind w:left="142" w:hanging="66"/>
              <w:jc w:val="both"/>
              <w:rPr>
                <w:i w:val="false"/>
                <w:i w:val="false"/>
                <w:iCs w:val="false"/>
              </w:rPr>
            </w:pPr>
            <w:r>
              <w:rPr>
                <w:rFonts w:cs="Times New Roman" w:ascii="Times New Roman" w:hAnsi="Times New Roman"/>
                <w:i w:val="false"/>
                <w:iCs w:val="false"/>
              </w:rPr>
              <w:t xml:space="preserve">Prova de inexistência de débitos inadimplidos perante a Justiça do Trabalho, mediante a apresentação de Certidão Negativa de Débitos Trabalhistas </w:t>
            </w:r>
            <w:r>
              <w:rPr>
                <w:rFonts w:cs="Times New Roman" w:ascii="Times New Roman" w:hAnsi="Times New Roman"/>
                <w:b/>
                <w:i w:val="false"/>
                <w:iCs w:val="false"/>
                <w:u w:val="single"/>
              </w:rPr>
              <w:t>(CNDT);</w:t>
            </w:r>
            <w:r>
              <w:rPr>
                <w:rFonts w:cs="Times New Roman" w:ascii="Times New Roman" w:hAnsi="Times New Roman"/>
                <w:i w:val="false"/>
                <w:iCs w:val="false"/>
              </w:rPr>
              <w:t xml:space="preserve"> </w:t>
            </w:r>
          </w:p>
          <w:p>
            <w:pPr>
              <w:pStyle w:val="ListParagraph"/>
              <w:widowControl w:val="false"/>
              <w:numPr>
                <w:ilvl w:val="0"/>
                <w:numId w:val="1"/>
              </w:numPr>
              <w:tabs>
                <w:tab w:val="left" w:pos="284" w:leader="none"/>
              </w:tabs>
              <w:spacing w:lineRule="auto" w:line="240" w:before="0" w:after="0"/>
              <w:ind w:left="142" w:hanging="66"/>
              <w:jc w:val="both"/>
              <w:rPr>
                <w:i w:val="false"/>
                <w:i w:val="false"/>
                <w:iCs w:val="false"/>
              </w:rPr>
            </w:pPr>
            <w:r>
              <w:rPr>
                <w:rFonts w:cs="Times New Roman" w:ascii="Times New Roman" w:hAnsi="Times New Roman"/>
                <w:bCs/>
                <w:i w:val="false"/>
                <w:iCs w:val="false"/>
              </w:rPr>
              <w:t>Em se tratando de microempresa – ME ou empresa de pequeno porte – EPP, certidão simplificada expedida pela Junta Comercial</w:t>
            </w:r>
            <w:r>
              <w:rPr>
                <w:rFonts w:cs="Times New Roman" w:ascii="Times New Roman" w:hAnsi="Times New Roman"/>
                <w:bCs/>
                <w:i w:val="false"/>
                <w:iCs w:val="false"/>
                <w:sz w:val="24"/>
                <w:szCs w:val="24"/>
              </w:rPr>
              <w:t>.</w:t>
            </w:r>
          </w:p>
          <w:p>
            <w:pPr>
              <w:pStyle w:val="Normal"/>
              <w:widowControl w:val="false"/>
              <w:tabs>
                <w:tab w:val="left" w:pos="284" w:leader="none"/>
              </w:tabs>
              <w:spacing w:lineRule="auto" w:line="240" w:before="0" w:after="0"/>
              <w:jc w:val="both"/>
              <w:rPr>
                <w:i w:val="false"/>
                <w:i w:val="false"/>
                <w:iCs w:val="false"/>
              </w:rPr>
            </w:pPr>
            <w:r>
              <w:rPr>
                <w:rFonts w:cs="Times New Roman" w:ascii="Times New Roman" w:hAnsi="Times New Roman"/>
                <w:b/>
                <w:i w:val="false"/>
                <w:iCs w:val="false"/>
                <w:sz w:val="24"/>
                <w:szCs w:val="24"/>
              </w:rPr>
              <w:t>Após ser declarado Arrematante, o fornecedor terá prazo de 1hora para incluir os documentos de habilitação.</w:t>
            </w:r>
          </w:p>
          <w:p>
            <w:pPr>
              <w:pStyle w:val="Normal"/>
              <w:widowControl w:val="false"/>
              <w:tabs>
                <w:tab w:val="left" w:pos="284" w:leader="none"/>
              </w:tabs>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6 – EXECUÇÃO DO OBJETO DO CONTRATO</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istParagraph"/>
              <w:widowControl w:val="false"/>
              <w:spacing w:lineRule="auto" w:line="240" w:before="0" w:after="0"/>
              <w:ind w:left="0" w:hanging="0"/>
              <w:jc w:val="both"/>
              <w:rPr>
                <w:rFonts w:ascii="Times New Roman" w:hAnsi="Times New Roman" w:cs="Times New Roman"/>
                <w:i/>
                <w:i/>
                <w:iCs/>
                <w:color w:val="000000" w:themeColor="text1"/>
                <w:sz w:val="24"/>
                <w:szCs w:val="24"/>
              </w:rPr>
            </w:pPr>
            <w:r>
              <w:rPr>
                <w:rFonts w:cs="Times New Roman" w:ascii="Times New Roman" w:hAnsi="Times New Roman"/>
                <w:b/>
                <w:bCs/>
                <w:i w:val="false"/>
                <w:iCs w:val="false"/>
                <w:color w:val="000000" w:themeColor="text1"/>
                <w:sz w:val="24"/>
                <w:szCs w:val="24"/>
              </w:rPr>
              <w:t>A CONTRATADA não poderá substabelecer o objeto licitado</w:t>
            </w:r>
            <w:r>
              <w:rPr>
                <w:rFonts w:cs="Times New Roman" w:ascii="Times New Roman" w:hAnsi="Times New Roman"/>
                <w:i/>
                <w:iCs/>
                <w:color w:val="000000" w:themeColor="text1"/>
                <w:sz w:val="24"/>
                <w:szCs w:val="24"/>
              </w:rPr>
              <w:t>.</w:t>
            </w:r>
          </w:p>
          <w:p>
            <w:pPr>
              <w:pStyle w:val="Normal"/>
              <w:widowControl w:val="false"/>
              <w:spacing w:lineRule="auto" w:line="240" w:before="0" w:after="0"/>
              <w:contextualSpacing/>
              <w:jc w:val="both"/>
              <w:rPr/>
            </w:pPr>
            <w:r>
              <w:rPr>
                <w:rFonts w:cs="Times New Roman" w:ascii="Times New Roman" w:hAnsi="Times New Roman"/>
                <w:sz w:val="24"/>
                <w:szCs w:val="24"/>
              </w:rPr>
              <w:t>1. Os serviços serão solicitados de forma fracionada e deverão ser realizados no prazo de até 02 dias úteis contados da emissão da Nota de Autorização da Despesa – NAD pelo setor responsável.</w:t>
            </w:r>
          </w:p>
          <w:p>
            <w:pPr>
              <w:pStyle w:val="Normal"/>
              <w:widowControl w:val="false"/>
              <w:spacing w:lineRule="auto" w:line="240" w:before="0" w:after="0"/>
              <w:contextualSpacing/>
              <w:jc w:val="both"/>
              <w:rPr/>
            </w:pPr>
            <w:r>
              <w:rPr>
                <w:rFonts w:cs="Times New Roman" w:ascii="Times New Roman" w:hAnsi="Times New Roman"/>
                <w:sz w:val="24"/>
                <w:szCs w:val="24"/>
              </w:rPr>
              <w:t>2. Os serviços serão realizados na sede da Câmara Municipal de Sinop, de segunda a sexta-feira (12h as 18h).</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 xml:space="preserve">3. Os serviços poderão ser rejeitados, no todo ou em parte, quando em desacordo com as especificações constantes neste Termo de Referência e Aviso, devendo ser substituídos no prazo de 02 (duas) horas, a contar da notificação da contratada, às suas custas, sem prejuízo da aplicação das penalidades. </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4. Os serviços serão conferidos por fiscal designado por portaria específica, oportunidade em que observarão as informações constantes no pedido e no serviço prestado, em confronto com a Nota de Autorização da Demanda - NAD.</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 xml:space="preserve">5. Após, ocorrerá a verificação da qualidade e quantidade do serviço, conferência da autenticidade da Nota Fiscal e suas certidões negativas fiscais e consequente aceitação do fiscal do contrato. </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6. O recebimento provisório ou definitivo do objeto não exclui a responsabilidade da contratada pelos prejuízos resultantes da incorreta execução do contrato.</w:t>
            </w:r>
          </w:p>
          <w:p>
            <w:pPr>
              <w:pStyle w:val="Normal"/>
              <w:widowControl w:val="false"/>
              <w:spacing w:lineRule="auto" w:line="240" w:before="0" w:after="0"/>
              <w:contextualSpacing/>
              <w:jc w:val="both"/>
              <w:rPr>
                <w:rFonts w:ascii="Times New Roman" w:hAnsi="Times New Roman" w:cs="Times New Roman"/>
                <w:b/>
                <w:b/>
                <w:sz w:val="24"/>
                <w:szCs w:val="24"/>
              </w:rPr>
            </w:pPr>
            <w:r>
              <w:rPr>
                <w:rFonts w:cs="Times New Roman" w:ascii="Times New Roman" w:hAnsi="Times New Roman"/>
                <w:b/>
                <w:sz w:val="24"/>
                <w:szCs w:val="24"/>
              </w:rPr>
              <w:t>7. Não será admitida a subcontratação;</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8. As Sanções Administrativas estarão previstas no Contrato;</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9. As Obrigações das Partes estarão previstas no Contrato;</w:t>
            </w:r>
          </w:p>
          <w:p>
            <w:pPr>
              <w:pStyle w:val="Normal"/>
              <w:widowControl w:val="false"/>
              <w:spacing w:lineRule="auto" w:line="240" w:before="0" w:after="0"/>
              <w:contextualSpacing/>
              <w:jc w:val="both"/>
              <w:rPr/>
            </w:pPr>
            <w:r>
              <w:rPr>
                <w:rFonts w:cs="Times New Roman" w:ascii="Times New Roman" w:hAnsi="Times New Roman"/>
                <w:sz w:val="24"/>
                <w:szCs w:val="24"/>
              </w:rPr>
              <w:t>10. Aplica-se no que couberem as disposições do Código de Defesa do Consumidor.</w:t>
            </w:r>
          </w:p>
          <w:p>
            <w:pPr>
              <w:pStyle w:val="Normal"/>
              <w:widowControl w:val="false"/>
              <w:spacing w:lineRule="auto" w:line="240" w:before="0" w:after="0"/>
              <w:contextualSpacing/>
              <w:jc w:val="both"/>
              <w:rPr>
                <w:rFonts w:ascii="Times New Roman" w:hAnsi="Times New Roman" w:cs="Times New Roman"/>
                <w:iCs/>
                <w:sz w:val="24"/>
                <w:szCs w:val="24"/>
              </w:rPr>
            </w:pPr>
            <w:r>
              <w:rPr>
                <w:rFonts w:cs="Times New Roman" w:ascii="Times New Roman" w:hAnsi="Times New Roman"/>
                <w:iCs/>
                <w:sz w:val="24"/>
                <w:szCs w:val="24"/>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7 – FORMA DE PAGAMENTO</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A empresa CONTRATADA, após a prestação do serviço, deverá entregar a Câmara Municipal a NOTA FISCAL, para conferência e aprovação do objeto.</w:t>
            </w:r>
          </w:p>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Após comprovada as exigências do objeto descrito com as exigências da habilitação, a Nota Fiscal será atesta pelo servidor responsável pela Administração da Câmara Municipal e entregue na contabilidade para efetivar o pagamento que será até o 5º (quinto) dia útil. Apresentar juntamente a NFe, o Certificado de Regularidade do FGTS, a Certidão Negativa de débitos relativos aos tributos Federais (PGFN) e a Certidão Negativa de Débitos Trabalhistas, Fazenda Estadual e Certidão Municipal.</w:t>
            </w:r>
          </w:p>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A liberação da NFe para pagamento ficará condicionada ao atesto da unidade responsável pelo acompanhamento e recebimento do objeto contratado.</w:t>
            </w:r>
          </w:p>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Qualquer atraso ocorrido por parte da empresa vencedora na apresentação da fatura ou nota fiscal, ou dos documentos exigidos como condição para pagamento, imporá em prorrogação automática do prazo de vencimento da obrigação da Câmara Municipal.</w:t>
            </w:r>
          </w:p>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Nenhum pagamento será efetuado enquanto pendente de liquidação, obrigação financeira imposta à CONTRATADA, em virtude de penalidade ou inadimplência, sem que o atraso gere direito a acréscimos de qualquer natureza.</w:t>
            </w:r>
          </w:p>
          <w:p>
            <w:pPr>
              <w:pStyle w:val="ListParagraph"/>
              <w:widowControl w:val="false"/>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As Notas Fiscais não poderão ter rasuras e deverão descrever corretamente o item, e número de empenho, o número do processo de compras, acompanhadas de boleto ou dados bancários para depósito.</w:t>
            </w:r>
          </w:p>
          <w:p>
            <w:pPr>
              <w:pStyle w:val="ListParagraph"/>
              <w:widowControl w:val="false"/>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Conforme a Instrução Normativa da Receita Federal do Brasil nº 1234/2012, suas alterações posteriores ou outra norma que venha a substituí-la, regulamentada pelo Decreto Municipal nº 190/2023 para fins de retenção de Imposto de Renda, é condição para o recebimento e aceitação das notas fiscais e demais documentos de fornecimentos de materiais ou serviços, que o documento tenha destacado o valor do IRRF e que este seja deduzido em fatura ou eventual boleto para pagamento.</w:t>
            </w:r>
          </w:p>
          <w:p>
            <w:pPr>
              <w:pStyle w:val="ListParagraph"/>
              <w:widowControl w:val="false"/>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t xml:space="preserve">NÃO serão feitas retenções de CSLL, PIS/PASEP ou COFINS, apenas a retenção de IR, se for o caso, seja da administração direta, indireta ou fundações. </w:t>
            </w:r>
          </w:p>
          <w:p>
            <w:pPr>
              <w:pStyle w:val="ListParagraph"/>
              <w:widowControl w:val="false"/>
              <w:spacing w:lineRule="auto" w:line="240" w:before="0" w:after="0"/>
              <w:ind w:left="0" w:hanging="0"/>
              <w:jc w:val="both"/>
              <w:rPr/>
            </w:pPr>
            <w:r>
              <w:rPr>
                <w:rFonts w:cs="Times New Roman" w:ascii="Times New Roman" w:hAnsi="Times New Roman"/>
                <w:sz w:val="24"/>
                <w:szCs w:val="24"/>
              </w:rPr>
              <w:t>O pagamento será realizado através de boleto ou de ordem bancária, para crédito em banco, agência e conta-corrente, indicados pelo Contratado.</w:t>
            </w:r>
          </w:p>
          <w:p>
            <w:pPr>
              <w:pStyle w:val="ListParagraph"/>
              <w:widowControl w:val="false"/>
              <w:spacing w:lineRule="auto" w:line="240" w:before="0" w:after="0"/>
              <w:ind w:left="0" w:hanging="0"/>
              <w:jc w:val="both"/>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8 – FORMA E CRITÉRIOS DE SELEÇÃO DO FORNECEDOR</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Trata-se de bens e serviço comum, devido ao valor.</w:t>
            </w:r>
          </w:p>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t>A presente Dispensa de Licitação deverá ser realizada pelo critério do menor preço por item, na forma eletrônica para atingir um maior número de fornecedores e assim instigando a competitividade.</w:t>
            </w:r>
          </w:p>
          <w:p>
            <w:pPr>
              <w:pStyle w:val="ListParagraph"/>
              <w:widowControl w:val="false"/>
              <w:spacing w:lineRule="auto" w:line="240" w:before="0" w:after="0"/>
              <w:ind w:left="0" w:hanging="0"/>
              <w:jc w:val="both"/>
              <w:rPr/>
            </w:pPr>
            <w:r>
              <w:rPr>
                <w:rFonts w:cs="Times New Roman" w:ascii="Times New Roman" w:hAnsi="Times New Roman"/>
                <w:iCs/>
                <w:sz w:val="24"/>
                <w:szCs w:val="24"/>
              </w:rPr>
              <w:t>Optou-se pela Dispensa Eletrônica para contratação visando celeridade e economia para o Poder Legislativo.</w:t>
            </w:r>
          </w:p>
          <w:p>
            <w:pPr>
              <w:pStyle w:val="ListParagraph"/>
              <w:widowControl w:val="false"/>
              <w:spacing w:lineRule="auto" w:line="240" w:before="0" w:after="0"/>
              <w:ind w:left="0" w:hanging="0"/>
              <w:jc w:val="both"/>
              <w:rPr>
                <w:rFonts w:ascii="Times New Roman" w:hAnsi="Times New Roman" w:cs="Times New Roman"/>
                <w:iCs/>
                <w:sz w:val="24"/>
                <w:szCs w:val="24"/>
              </w:rPr>
            </w:pPr>
            <w:r>
              <w:rPr>
                <w:rFonts w:cs="Times New Roman" w:ascii="Times New Roman" w:hAnsi="Times New Roman"/>
                <w:iCs/>
                <w:sz w:val="24"/>
                <w:szCs w:val="24"/>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9 – CUSTO ESTIMADO DA CONTRATAÇÃO/PREÇO DE REFERÊNCIA</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Objetivando definir estimativa de valor da contratação, a equipe de planejamento procedeu à pesquisa de mercado para levantamento de propostas.</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A estimativa de valor foi obtida através de cotações de empresas locais e valores praticados por outros entes municipais.</w:t>
            </w:r>
          </w:p>
          <w:p>
            <w:pPr>
              <w:pStyle w:val="Normal"/>
              <w:widowControl w:val="false"/>
              <w:spacing w:lineRule="auto" w:line="240" w:before="0" w:after="0"/>
              <w:contextualSpacing/>
              <w:jc w:val="both"/>
              <w:rPr/>
            </w:pPr>
            <w:r>
              <w:rPr>
                <w:rFonts w:cs="Times New Roman" w:ascii="Times New Roman" w:hAnsi="Times New Roman"/>
                <w:sz w:val="24"/>
                <w:szCs w:val="24"/>
              </w:rPr>
              <w:t>O valor estimado total da contratação é de R$ 7.658,20 (sete mil, seiscentos e cinquenta e oito reais e vinte centavos) conforme pesquisa de preço do mapa comparativo de preços.</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10 – DOTAÇÃO ORÇAMENTÁRIA</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0"/>
              <w:rPr>
                <w:rFonts w:ascii="Times New Roman" w:hAnsi="Times New Roman" w:cs="Times New Roman"/>
                <w:bCs/>
                <w:sz w:val="24"/>
                <w:szCs w:val="24"/>
              </w:rPr>
            </w:pPr>
            <w:r>
              <w:rPr>
                <w:rFonts w:cs="Times New Roman" w:ascii="Times New Roman" w:hAnsi="Times New Roman"/>
                <w:b/>
                <w:color w:val="000000" w:themeColor="text1"/>
                <w:sz w:val="24"/>
                <w:szCs w:val="24"/>
              </w:rPr>
              <w:t xml:space="preserve">Programa de Trabalho: </w:t>
            </w:r>
            <w:r>
              <w:rPr>
                <w:rFonts w:cs="Times New Roman" w:ascii="Times New Roman" w:hAnsi="Times New Roman"/>
                <w:b/>
                <w:bCs/>
                <w:sz w:val="24"/>
                <w:szCs w:val="24"/>
              </w:rPr>
              <w:t>01.031.0001.2001</w:t>
            </w:r>
            <w:r>
              <w:rPr>
                <w:rFonts w:cs="Times New Roman" w:ascii="Times New Roman" w:hAnsi="Times New Roman"/>
                <w:bCs/>
                <w:sz w:val="24"/>
                <w:szCs w:val="24"/>
              </w:rPr>
              <w:t xml:space="preserve"> Manutenção e Encargos com a Câmara Municipal </w:t>
            </w:r>
          </w:p>
          <w:p>
            <w:pPr>
              <w:pStyle w:val="Normal"/>
              <w:rPr/>
            </w:pPr>
            <w:r>
              <w:rPr>
                <w:rFonts w:cs="Times New Roman" w:ascii="Times New Roman" w:hAnsi="Times New Roman"/>
                <w:b/>
                <w:color w:val="000000" w:themeColor="text1"/>
                <w:sz w:val="24"/>
                <w:szCs w:val="24"/>
              </w:rPr>
              <w:t xml:space="preserve">Elemento de Despesa: 3.3.90.39.16.00 </w:t>
            </w:r>
            <w:r>
              <w:rPr>
                <w:rFonts w:cs="Times New Roman" w:ascii="Times New Roman" w:hAnsi="Times New Roman"/>
                <w:color w:val="000000" w:themeColor="text1"/>
                <w:sz w:val="24"/>
                <w:szCs w:val="24"/>
              </w:rPr>
              <w:t>– Outros Serviços de Terceiro - Pessoa Jurídica.</w:t>
            </w:r>
          </w:p>
          <w:p>
            <w:pPr>
              <w:pStyle w:val="Normal"/>
              <w:widowControl w:val="false"/>
              <w:spacing w:before="0" w:after="0"/>
              <w:jc w:val="both"/>
              <w:textAlignment w:val="baseline"/>
              <w:rPr>
                <w:rFonts w:ascii="Times New Roman" w:hAnsi="Times New Roman" w:cs="Times New Roman"/>
                <w:color w:val="000000" w:themeColor="text1"/>
              </w:rPr>
            </w:pPr>
            <w:r>
              <w:rPr>
                <w:rFonts w:cs="Times New Roman" w:ascii="Times New Roman" w:hAnsi="Times New Roman"/>
                <w:b/>
                <w:color w:val="000000" w:themeColor="text1"/>
              </w:rPr>
              <w:t>Programa de Trabalho: 01.031.0001.2001</w:t>
            </w:r>
            <w:r>
              <w:rPr>
                <w:rFonts w:cs="Times New Roman" w:ascii="Times New Roman" w:hAnsi="Times New Roman"/>
                <w:color w:val="000000" w:themeColor="text1"/>
              </w:rPr>
              <w:t xml:space="preserve"> Manutenção e Encargos com a Câmara Municipal.</w:t>
            </w:r>
          </w:p>
          <w:p>
            <w:pPr>
              <w:pStyle w:val="Normal"/>
              <w:widowControl w:val="false"/>
              <w:spacing w:before="0" w:after="0"/>
              <w:jc w:val="both"/>
              <w:textAlignment w:val="baseline"/>
              <w:rPr/>
            </w:pPr>
            <w:r>
              <w:rPr>
                <w:rFonts w:cs="Times New Roman" w:ascii="Times New Roman" w:hAnsi="Times New Roman"/>
                <w:b/>
                <w:color w:val="000000" w:themeColor="text1"/>
              </w:rPr>
              <w:t>Elemento de Despesa: 3.3.90.30.00</w:t>
            </w:r>
            <w:r>
              <w:rPr>
                <w:rFonts w:cs="Times New Roman" w:ascii="Times New Roman" w:hAnsi="Times New Roman"/>
                <w:color w:val="000000" w:themeColor="text1"/>
              </w:rPr>
              <w:t xml:space="preserve"> Material de Consumo.</w:t>
            </w:r>
          </w:p>
          <w:p>
            <w:pPr>
              <w:pStyle w:val="Normal"/>
              <w:widowControl w:val="false"/>
              <w:spacing w:before="0" w:after="0"/>
              <w:jc w:val="both"/>
              <w:textAlignment w:val="baseline"/>
              <w:rPr>
                <w:rFonts w:ascii="Times New Roman" w:hAnsi="Times New Roman" w:cs="Times New Roman"/>
                <w:color w:val="000000" w:themeColor="text1"/>
              </w:rPr>
            </w:pPr>
            <w:r>
              <w:rPr>
                <w:rFonts w:cs="Times New Roman" w:ascii="Times New Roman" w:hAnsi="Times New Roman"/>
                <w:color w:val="000000" w:themeColor="text1"/>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11 – DEMAIS INFORMAÇÕES ESPECÍFICAS DO PROJETO BÁSICO</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ListParagraph"/>
              <w:widowControl w:val="false"/>
              <w:spacing w:lineRule="auto" w:line="240" w:before="0" w:after="0"/>
              <w:ind w:left="0" w:hanging="0"/>
              <w:jc w:val="both"/>
              <w:rPr/>
            </w:pPr>
            <w:r>
              <w:rPr>
                <w:rFonts w:cs="Times New Roman" w:ascii="Times New Roman" w:hAnsi="Times New Roman"/>
                <w:sz w:val="24"/>
                <w:szCs w:val="24"/>
              </w:rPr>
              <w:t xml:space="preserve">Considerando a reduzida complexidade do objeto e seus requisitos, a elaboração de estudo técnico preliminar foi dispensada, nos termos do art. 14, II da IN 58/2022 do Ministério da Economia, bem como no </w:t>
            </w:r>
            <w:bookmarkStart w:id="1" w:name="__DdeLink__1530_1673256063"/>
            <w:r>
              <w:rPr>
                <w:rFonts w:cs="Times New Roman" w:ascii="Times New Roman" w:hAnsi="Times New Roman"/>
                <w:sz w:val="24"/>
                <w:szCs w:val="24"/>
              </w:rPr>
              <w:t xml:space="preserve">art. 72, I </w:t>
            </w:r>
            <w:bookmarkEnd w:id="1"/>
            <w:r>
              <w:rPr>
                <w:rFonts w:cs="Times New Roman" w:ascii="Times New Roman" w:hAnsi="Times New Roman"/>
                <w:sz w:val="24"/>
                <w:szCs w:val="24"/>
              </w:rPr>
              <w:t>da lei 14.133/2021.</w:t>
            </w:r>
          </w:p>
          <w:p>
            <w:pPr>
              <w:pStyle w:val="ListParagraph"/>
              <w:widowControl w:val="false"/>
              <w:spacing w:lineRule="auto" w:line="240" w:before="0" w:after="0"/>
              <w:ind w:left="0" w:hanging="0"/>
              <w:jc w:val="left"/>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contextualSpacing/>
        <w:jc w:val="center"/>
        <w:rPr>
          <w:rFonts w:ascii="Times New Roman" w:hAnsi="Times New Roman" w:cs="Times New Roman"/>
          <w:sz w:val="12"/>
          <w:szCs w:val="12"/>
        </w:rPr>
      </w:pPr>
      <w:r>
        <w:rPr>
          <w:rFonts w:cs="Times New Roman" w:ascii="Times New Roman" w:hAnsi="Times New Roman"/>
          <w:sz w:val="12"/>
          <w:szCs w:val="12"/>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12 – GARANTIA DA CONTRATAÇÃO</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pacing w:lineRule="auto" w:line="240" w:before="0" w:after="0"/>
              <w:contextualSpacing/>
              <w:jc w:val="both"/>
              <w:rPr/>
            </w:pPr>
            <w:r>
              <w:rPr>
                <w:rFonts w:cs="Times New Roman" w:ascii="Times New Roman" w:hAnsi="Times New Roman"/>
                <w:sz w:val="24"/>
                <w:szCs w:val="24"/>
              </w:rPr>
              <w:t>Não haverá exigência da garantia da contratação dos artigos 96 e seguintes da Lei nº 14.133, de 2021.</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contextualSpacing/>
        <w:jc w:val="both"/>
        <w:rPr>
          <w:rFonts w:ascii="Times New Roman" w:hAnsi="Times New Roman" w:cs="Times New Roman"/>
          <w:sz w:val="12"/>
          <w:szCs w:val="12"/>
        </w:rPr>
      </w:pPr>
      <w:r>
        <w:rPr>
          <w:rFonts w:cs="Times New Roman" w:ascii="Times New Roman" w:hAnsi="Times New Roman"/>
          <w:sz w:val="12"/>
          <w:szCs w:val="12"/>
        </w:rPr>
      </w:r>
    </w:p>
    <w:p>
      <w:pPr>
        <w:pStyle w:val="Normal"/>
        <w:spacing w:lineRule="auto" w:line="240" w:before="0" w:after="0"/>
        <w:ind w:left="-142" w:hanging="0"/>
        <w:contextualSpacing/>
        <w:jc w:val="both"/>
        <w:rPr>
          <w:rFonts w:ascii="Times New Roman" w:hAnsi="Times New Roman" w:cs="Times New Roman"/>
          <w:sz w:val="24"/>
          <w:szCs w:val="24"/>
        </w:rPr>
      </w:pPr>
      <w:r>
        <w:rPr>
          <w:rFonts w:cs="Times New Roman" w:ascii="Times New Roman" w:hAnsi="Times New Roman"/>
          <w:sz w:val="24"/>
          <w:szCs w:val="24"/>
        </w:rPr>
        <w:t>Sinop/MT, 27 de Março de 2024.</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t>___________________________________</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t>Anísia Farias Rocha</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t>Responsável pelo TR/PB</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bl>
      <w:tblPr>
        <w:tblW w:w="9889"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3" w:type="dxa"/>
          <w:bottom w:w="0" w:type="dxa"/>
          <w:right w:w="108" w:type="dxa"/>
        </w:tblCellMar>
        <w:tblLook w:val="04a0"/>
      </w:tblPr>
      <w:tblGrid>
        <w:gridCol w:w="9889"/>
      </w:tblGrid>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8D08D" w:themeFill="accent6" w:themeFillTint="99" w:val="clear"/>
            <w:tcMar>
              <w:left w:w="93" w:type="dxa"/>
            </w:tcMar>
          </w:tcPr>
          <w:p>
            <w:pPr>
              <w:pStyle w:val="Normal"/>
              <w:widowControl w:val="false"/>
              <w:spacing w:lineRule="auto" w:line="240" w:before="0" w:after="0"/>
              <w:contextualSpacing/>
              <w:jc w:val="both"/>
              <w:rPr>
                <w:rFonts w:ascii="Times New Roman" w:hAnsi="Times New Roman" w:cs="Times New Roman"/>
                <w:b/>
                <w:b/>
                <w:bCs/>
                <w:sz w:val="24"/>
                <w:szCs w:val="24"/>
              </w:rPr>
            </w:pPr>
            <w:r>
              <w:rPr>
                <w:rFonts w:cs="Times New Roman" w:ascii="Times New Roman" w:hAnsi="Times New Roman"/>
                <w:b/>
                <w:bCs/>
                <w:sz w:val="24"/>
                <w:szCs w:val="24"/>
              </w:rPr>
              <w:t>13 – CIÊNCIA DA AUTORIDADE COMPETENTE</w:t>
            </w:r>
          </w:p>
        </w:tc>
      </w:tr>
      <w:tr>
        <w:trPr/>
        <w:tc>
          <w:tcPr>
            <w:tcW w:w="988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widowControl w:val="false"/>
              <w:spacing w:lineRule="auto" w:line="240" w:before="0" w:after="0"/>
              <w:contextualSpacing/>
              <w:jc w:val="both"/>
              <w:rPr/>
            </w:pPr>
            <w:r>
              <w:rPr>
                <w:rFonts w:cs="Times New Roman" w:ascii="Times New Roman" w:hAnsi="Times New Roman"/>
                <w:sz w:val="24"/>
                <w:szCs w:val="24"/>
              </w:rPr>
              <w:t>(    ) Concordo com o Termo de Referência/Projeto Básico realizado e autorizo a contratação nos termos da Lei 14.133/2021.</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Sinop/MT, 27 de Março de 2024.</w:t>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_________________________________</w:t>
            </w:r>
          </w:p>
          <w:p>
            <w:pPr>
              <w:pStyle w:val="Normal"/>
              <w:widowControl w:val="false"/>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t>Paulinho Abreu</w:t>
            </w:r>
          </w:p>
          <w:p>
            <w:pPr>
              <w:pStyle w:val="Normal"/>
              <w:widowControl w:val="false"/>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t>Presidente</w:t>
            </w:r>
          </w:p>
        </w:tc>
      </w:tr>
    </w:tbl>
    <w:p>
      <w:pPr>
        <w:pStyle w:val="Normal"/>
        <w:widowControl w:val="false"/>
        <w:spacing w:lineRule="auto" w:line="240" w:before="0" w:after="0"/>
        <w:contextualSpacing/>
        <w:jc w:val="both"/>
        <w:rPr/>
      </w:pPr>
      <w:r>
        <w:rPr/>
      </w:r>
    </w:p>
    <w:sectPr>
      <w:headerReference w:type="default" r:id="rId2"/>
      <w:footerReference w:type="default" r:id="rId3"/>
      <w:type w:val="nextPage"/>
      <w:pgSz w:w="11906" w:h="16838"/>
      <w:pgMar w:left="1134" w:right="2125" w:header="0" w:top="2410"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alifornian FB">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Spacing"/>
      <w:jc w:val="center"/>
      <w:rPr>
        <w:rFonts w:ascii="Times New Roman" w:hAnsi="Times New Roman"/>
        <w:b/>
        <w:b/>
      </w:rPr>
    </w:pPr>
    <w:r>
      <w:rPr>
        <w:rFonts w:ascii="Times New Roman" w:hAnsi="Times New Roman"/>
        <w:b/>
      </w:rPr>
      <w:t>Av. das Figueiras, nº 1835, Setor Comercial, Sinop/MT, CEP 78550-148, Caixa Postal 630</w:t>
    </w:r>
  </w:p>
  <w:p>
    <w:pPr>
      <w:pStyle w:val="NoSpacing"/>
      <w:jc w:val="center"/>
      <w:rPr/>
    </w:pPr>
    <w:r>
      <w:rPr>
        <w:rFonts w:ascii="Times New Roman" w:hAnsi="Times New Roman"/>
        <w:b/>
      </w:rPr>
      <w:t xml:space="preserve">Telefones: (066)3517-2800 E-mail: </w:t>
    </w:r>
    <w:hyperlink r:id="rId1">
      <w:r>
        <w:rPr>
          <w:rStyle w:val="LinkdaInternet"/>
          <w:rFonts w:ascii="Times New Roman" w:hAnsi="Times New Roman"/>
          <w:b/>
          <w:sz w:val="20"/>
          <w:szCs w:val="20"/>
        </w:rPr>
        <w:t>licitacao@sinop.mt.leg.br</w:t>
      </w:r>
    </w:hyperlink>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Californian FB" w:hAnsi="Californian FB" w:cs="Californian FB"/>
        <w:b/>
        <w:b/>
        <w:bCs/>
        <w:color w:val="475E88"/>
        <w:sz w:val="24"/>
        <w:szCs w:val="24"/>
        <w:lang w:val="en-US"/>
      </w:rPr>
    </w:pPr>
    <w:r>
      <w:rPr>
        <w:rFonts w:cs="Californian FB" w:ascii="Californian FB" w:hAnsi="Californian FB"/>
        <w:b/>
        <w:bCs/>
        <w:color w:val="475E88"/>
        <w:sz w:val="24"/>
        <w:szCs w:val="24"/>
        <w:lang w:val="en-US"/>
      </w:rPr>
    </w:r>
  </w:p>
  <w:p>
    <w:pPr>
      <w:pStyle w:val="Normal"/>
      <w:jc w:val="center"/>
      <w:rPr>
        <w:rFonts w:ascii="Californian FB" w:hAnsi="Californian FB" w:cs="Californian FB"/>
        <w:b/>
        <w:b/>
        <w:bCs/>
        <w:color w:val="475E88"/>
        <w:sz w:val="24"/>
        <w:szCs w:val="24"/>
        <w:lang w:val="en-US"/>
      </w:rPr>
    </w:pPr>
    <w:r>
      <w:rPr>
        <w:rFonts w:cs="Californian FB" w:ascii="Californian FB" w:hAnsi="Californian FB"/>
        <w:b/>
        <w:bCs/>
        <w:color w:val="475E88"/>
        <w:sz w:val="24"/>
        <w:szCs w:val="24"/>
        <w:lang w:val="en-US"/>
      </w:rPr>
      <w:drawing>
        <wp:anchor behindDoc="1" distT="0" distB="0" distL="18415" distR="3175" simplePos="0" locked="0" layoutInCell="1" allowOverlap="1" relativeHeight="6">
          <wp:simplePos x="0" y="0"/>
          <wp:positionH relativeFrom="column">
            <wp:posOffset>2654300</wp:posOffset>
          </wp:positionH>
          <wp:positionV relativeFrom="paragraph">
            <wp:posOffset>41275</wp:posOffset>
          </wp:positionV>
          <wp:extent cx="854075" cy="63627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854075" cy="636270"/>
                  </a:xfrm>
                  <a:prstGeom prst="rect">
                    <a:avLst/>
                  </a:prstGeom>
                </pic:spPr>
              </pic:pic>
            </a:graphicData>
          </a:graphic>
        </wp:anchor>
      </w:drawing>
    </w:r>
  </w:p>
  <w:p>
    <w:pPr>
      <w:pStyle w:val="Normal"/>
      <w:jc w:val="center"/>
      <w:rPr>
        <w:rFonts w:ascii="Californian FB" w:hAnsi="Californian FB" w:cs="Californian FB"/>
        <w:b/>
        <w:b/>
        <w:bCs/>
        <w:color w:val="475E88"/>
        <w:sz w:val="24"/>
        <w:szCs w:val="24"/>
        <w:lang w:val="en-US"/>
      </w:rPr>
    </w:pPr>
    <w:r>
      <w:rPr>
        <w:rFonts w:cs="Californian FB" w:ascii="Californian FB" w:hAnsi="Californian FB"/>
        <w:b/>
        <w:bCs/>
        <w:color w:val="475E88"/>
        <w:sz w:val="24"/>
        <w:szCs w:val="24"/>
        <w:lang w:val="en-US"/>
      </w:rPr>
    </w:r>
  </w:p>
  <w:p>
    <w:pPr>
      <w:pStyle w:val="Normal"/>
      <w:jc w:val="center"/>
      <w:rPr>
        <w:rFonts w:ascii="Californian FB" w:hAnsi="Californian FB" w:cs="Californian FB"/>
        <w:b/>
        <w:b/>
        <w:bCs/>
        <w:color w:val="475E88"/>
        <w:sz w:val="24"/>
        <w:szCs w:val="24"/>
        <w:lang w:val="en-US"/>
      </w:rPr>
    </w:pPr>
    <w:r>
      <w:rPr>
        <w:rFonts w:cs="Californian FB" w:ascii="Californian FB" w:hAnsi="Californian FB"/>
        <w:b/>
        <w:bCs/>
        <w:color w:val="475E88"/>
        <w:sz w:val="24"/>
        <w:szCs w:val="24"/>
        <w:lang w:val="en-US"/>
      </w:rPr>
    </w:r>
  </w:p>
  <w:p>
    <w:pPr>
      <w:pStyle w:val="Normal"/>
      <w:jc w:val="center"/>
      <w:rPr/>
    </w:pPr>
    <w:r>
      <w:rPr>
        <w:rFonts w:cs="Californian FB" w:ascii="Californian FB" w:hAnsi="Californian FB"/>
        <w:b/>
        <w:bCs/>
        <w:color w:val="475E88"/>
        <w:sz w:val="24"/>
        <w:szCs w:val="24"/>
        <w:lang w:val="en-US"/>
      </w:rPr>
      <w:t xml:space="preserve">                           </w:t>
    </w:r>
    <w:r>
      <w:rPr>
        <w:rFonts w:cs="Californian FB" w:ascii="Californian FB" w:hAnsi="Californian FB"/>
        <w:b/>
        <w:bCs/>
        <w:color w:val="475E88"/>
        <w:sz w:val="24"/>
        <w:szCs w:val="24"/>
        <w:lang w:val="en-US"/>
      </w:rPr>
      <w:t>CÂMARA MUNICIPAL DE SINOP</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f71d5"/>
    <w:pPr>
      <w:widowControl/>
      <w:suppressAutoHyphens w:val="true"/>
      <w:bidi w:val="0"/>
      <w:spacing w:lineRule="auto" w:line="252" w:before="0" w:after="160"/>
      <w:jc w:val="left"/>
    </w:pPr>
    <w:rPr>
      <w:rFonts w:ascii="Calibri" w:hAnsi="Calibri" w:eastAsia="Calibri" w:cs="Calibri" w:asciiTheme="minorHAnsi" w:eastAsiaTheme="minorHAnsi" w:hAnsiTheme="minorHAnsi"/>
      <w:color w:val="00000A"/>
      <w:sz w:val="22"/>
      <w:szCs w:val="22"/>
      <w:lang w:val="pt-BR" w:eastAsia="zh-CN" w:bidi="ar-SA"/>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1"/>
    <w:uiPriority w:val="9"/>
    <w:qFormat/>
    <w:rsid w:val="001f71d5"/>
    <w:rPr>
      <w:rFonts w:ascii="Times New Roman" w:hAnsi="Times New Roman" w:eastAsia="Times New Roman" w:cs="Times New Roman"/>
      <w:b/>
      <w:bCs/>
      <w:sz w:val="24"/>
      <w:szCs w:val="48"/>
    </w:rPr>
  </w:style>
  <w:style w:type="character" w:styleId="Readonlyattributenew" w:customStyle="1">
    <w:name w:val="readonlyattributenew"/>
    <w:basedOn w:val="DefaultParagraphFont"/>
    <w:qFormat/>
    <w:rsid w:val="00123d36"/>
    <w:rPr/>
  </w:style>
  <w:style w:type="character" w:styleId="CabealhoChar" w:customStyle="1">
    <w:name w:val="Cabeçalho Char"/>
    <w:basedOn w:val="DefaultParagraphFont"/>
    <w:link w:val="Cabealho"/>
    <w:uiPriority w:val="99"/>
    <w:semiHidden/>
    <w:qFormat/>
    <w:rsid w:val="00975776"/>
    <w:rPr>
      <w:rFonts w:cs="Calibri"/>
      <w:lang w:eastAsia="zh-CN"/>
    </w:rPr>
  </w:style>
  <w:style w:type="character" w:styleId="RodapChar" w:customStyle="1">
    <w:name w:val="Rodapé Char"/>
    <w:basedOn w:val="DefaultParagraphFont"/>
    <w:link w:val="Rodap"/>
    <w:uiPriority w:val="99"/>
    <w:qFormat/>
    <w:rsid w:val="00975776"/>
    <w:rPr>
      <w:rFonts w:cs="Calibri"/>
      <w:lang w:eastAsia="zh-CN"/>
    </w:rPr>
  </w:style>
  <w:style w:type="character" w:styleId="Markedcontent" w:customStyle="1">
    <w:name w:val="markedcontent"/>
    <w:basedOn w:val="DefaultParagraphFont"/>
    <w:qFormat/>
    <w:rsid w:val="00957209"/>
    <w:rPr/>
  </w:style>
  <w:style w:type="character" w:styleId="TextodebaloChar" w:customStyle="1">
    <w:name w:val="Texto de balão Char"/>
    <w:basedOn w:val="DefaultParagraphFont"/>
    <w:link w:val="Textodebalo"/>
    <w:uiPriority w:val="99"/>
    <w:semiHidden/>
    <w:qFormat/>
    <w:rsid w:val="00d6197b"/>
    <w:rPr>
      <w:rFonts w:ascii="Tahoma" w:hAnsi="Tahoma" w:cs="Tahoma"/>
      <w:sz w:val="16"/>
      <w:szCs w:val="16"/>
      <w:lang w:eastAsia="zh-CN"/>
    </w:rPr>
  </w:style>
  <w:style w:type="character" w:styleId="LinkdaInternet">
    <w:name w:val="Link da Internet"/>
    <w:uiPriority w:val="99"/>
    <w:rsid w:val="00d6197b"/>
    <w:rPr>
      <w:color w:val="0000FF"/>
      <w:u w:val="single"/>
    </w:rPr>
  </w:style>
  <w:style w:type="character" w:styleId="Fontepargpadro">
    <w:name w:val="Fonte parág. padrão"/>
    <w:qFormat/>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rsid w:val="002a351e"/>
    <w:pPr>
      <w:spacing w:lineRule="auto" w:line="276" w:before="0" w:after="140"/>
    </w:pPr>
    <w:rPr/>
  </w:style>
  <w:style w:type="paragraph" w:styleId="Lista">
    <w:name w:val="List"/>
    <w:basedOn w:val="Corpodetexto"/>
    <w:rsid w:val="002a351e"/>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2a351e"/>
    <w:pPr>
      <w:suppressLineNumbers/>
    </w:pPr>
    <w:rPr>
      <w:rFonts w:cs="Arial"/>
    </w:rPr>
  </w:style>
  <w:style w:type="paragraph" w:styleId="Ttulo11" w:customStyle="1">
    <w:name w:val="Título 11"/>
    <w:basedOn w:val="Normal"/>
    <w:link w:val="Ttulo1Char"/>
    <w:uiPriority w:val="9"/>
    <w:qFormat/>
    <w:rsid w:val="001f71d5"/>
    <w:pPr>
      <w:suppressAutoHyphens w:val="false"/>
      <w:spacing w:lineRule="auto" w:line="240" w:beforeAutospacing="1" w:afterAutospacing="1"/>
      <w:jc w:val="center"/>
      <w:outlineLvl w:val="0"/>
    </w:pPr>
    <w:rPr>
      <w:rFonts w:ascii="Times New Roman" w:hAnsi="Times New Roman" w:eastAsia="Times New Roman" w:cs="Times New Roman"/>
      <w:b/>
      <w:bCs/>
      <w:sz w:val="24"/>
      <w:szCs w:val="48"/>
    </w:rPr>
  </w:style>
  <w:style w:type="paragraph" w:styleId="Ttulododocumento">
    <w:name w:val="Title"/>
    <w:basedOn w:val="Normal"/>
    <w:qFormat/>
    <w:rsid w:val="002a351e"/>
    <w:pPr>
      <w:keepNext/>
      <w:spacing w:before="240" w:after="120"/>
    </w:pPr>
    <w:rPr>
      <w:rFonts w:ascii="Liberation Sans" w:hAnsi="Liberation Sans" w:eastAsia="Microsoft YaHei" w:cs="Arial"/>
      <w:sz w:val="28"/>
      <w:szCs w:val="28"/>
    </w:rPr>
  </w:style>
  <w:style w:type="paragraph" w:styleId="Legenda1" w:customStyle="1">
    <w:name w:val="Legenda1"/>
    <w:basedOn w:val="Normal"/>
    <w:qFormat/>
    <w:rsid w:val="002a351e"/>
    <w:pPr>
      <w:suppressLineNumbers/>
      <w:spacing w:before="120" w:after="120"/>
    </w:pPr>
    <w:rPr>
      <w:rFonts w:cs="Arial"/>
      <w:i/>
      <w:iCs/>
      <w:sz w:val="24"/>
      <w:szCs w:val="24"/>
    </w:rPr>
  </w:style>
  <w:style w:type="paragraph" w:styleId="NormalWeb">
    <w:name w:val="Normal (Web)"/>
    <w:basedOn w:val="Normal"/>
    <w:uiPriority w:val="99"/>
    <w:qFormat/>
    <w:rsid w:val="001f71d5"/>
    <w:pPr>
      <w:suppressAutoHyphens w:val="false"/>
      <w:spacing w:lineRule="auto" w:line="240" w:before="280" w:after="280"/>
    </w:pPr>
    <w:rPr>
      <w:rFonts w:ascii="Times New Roman" w:hAnsi="Times New Roman" w:eastAsia="Times New Roman" w:cs="Times New Roman"/>
      <w:sz w:val="24"/>
      <w:szCs w:val="24"/>
    </w:rPr>
  </w:style>
  <w:style w:type="paragraph" w:styleId="ListParagraph">
    <w:name w:val="List Paragraph"/>
    <w:basedOn w:val="Normal"/>
    <w:uiPriority w:val="1"/>
    <w:qFormat/>
    <w:rsid w:val="001f71d5"/>
    <w:pPr>
      <w:spacing w:before="0" w:after="160"/>
      <w:ind w:left="720" w:hanging="0"/>
      <w:contextualSpacing/>
    </w:pPr>
    <w:rPr/>
  </w:style>
  <w:style w:type="paragraph" w:styleId="Douparagraph" w:customStyle="1">
    <w:name w:val="dou-paragraph"/>
    <w:basedOn w:val="Normal"/>
    <w:qFormat/>
    <w:rsid w:val="000a1b05"/>
    <w:pPr>
      <w:spacing w:lineRule="auto" w:line="240" w:before="280" w:after="280"/>
    </w:pPr>
    <w:rPr>
      <w:rFonts w:ascii="Times New Roman" w:hAnsi="Times New Roman" w:eastAsia="Times New Roman" w:cs="Times New Roman"/>
      <w:sz w:val="24"/>
      <w:szCs w:val="24"/>
    </w:rPr>
  </w:style>
  <w:style w:type="paragraph" w:styleId="Cabealho">
    <w:name w:val="Header"/>
    <w:basedOn w:val="Normal"/>
    <w:link w:val="CabealhoChar"/>
    <w:uiPriority w:val="99"/>
    <w:semiHidden/>
    <w:unhideWhenUsed/>
    <w:rsid w:val="00975776"/>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975776"/>
    <w:pPr>
      <w:tabs>
        <w:tab w:val="center" w:pos="4252" w:leader="none"/>
        <w:tab w:val="right" w:pos="8504" w:leader="none"/>
      </w:tabs>
      <w:spacing w:lineRule="auto" w:line="240" w:before="0" w:after="0"/>
    </w:pPr>
    <w:rPr/>
  </w:style>
  <w:style w:type="paragraph" w:styleId="Standard" w:customStyle="1">
    <w:name w:val="Standard"/>
    <w:qFormat/>
    <w:rsid w:val="00957209"/>
    <w:pPr>
      <w:widowControl/>
      <w:bidi w:val="0"/>
      <w:spacing w:lineRule="auto" w:line="240" w:before="0" w:after="160"/>
      <w:jc w:val="left"/>
      <w:textAlignment w:val="baseline"/>
    </w:pPr>
    <w:rPr>
      <w:rFonts w:ascii="Calibri" w:hAnsi="Calibri" w:eastAsia="Calibri" w:cs="Calibri" w:asciiTheme="minorHAnsi" w:eastAsiaTheme="minorHAnsi" w:hAnsiTheme="minorHAnsi"/>
      <w:color w:val="00000A"/>
      <w:sz w:val="22"/>
      <w:szCs w:val="22"/>
      <w:lang w:val="pt-BR" w:eastAsia="zh-CN" w:bidi="ar-SA"/>
    </w:rPr>
  </w:style>
  <w:style w:type="paragraph" w:styleId="Western" w:customStyle="1">
    <w:name w:val="western"/>
    <w:basedOn w:val="Normal"/>
    <w:qFormat/>
    <w:rsid w:val="00da1718"/>
    <w:pPr>
      <w:suppressAutoHyphens w:val="false"/>
      <w:spacing w:lineRule="auto" w:line="288" w:beforeAutospacing="1" w:after="142"/>
    </w:pPr>
    <w:rPr>
      <w:rFonts w:ascii="Times New Roman" w:hAnsi="Times New Roman" w:eastAsia="Times New Roman" w:cs="Times New Roman"/>
      <w:sz w:val="24"/>
      <w:szCs w:val="24"/>
      <w:lang w:eastAsia="pt-BR"/>
    </w:rPr>
  </w:style>
  <w:style w:type="paragraph" w:styleId="BalloonText">
    <w:name w:val="Balloon Text"/>
    <w:basedOn w:val="Normal"/>
    <w:link w:val="TextodebaloChar"/>
    <w:uiPriority w:val="99"/>
    <w:semiHidden/>
    <w:unhideWhenUsed/>
    <w:qFormat/>
    <w:rsid w:val="00d6197b"/>
    <w:pPr>
      <w:spacing w:lineRule="auto" w:line="240" w:before="0" w:after="0"/>
    </w:pPr>
    <w:rPr>
      <w:rFonts w:ascii="Tahoma" w:hAnsi="Tahoma" w:cs="Tahoma"/>
      <w:sz w:val="16"/>
      <w:szCs w:val="16"/>
    </w:rPr>
  </w:style>
  <w:style w:type="paragraph" w:styleId="NoSpacing">
    <w:name w:val="No Spacing"/>
    <w:uiPriority w:val="1"/>
    <w:qFormat/>
    <w:rsid w:val="00d6197b"/>
    <w:pPr>
      <w:widowControl/>
      <w:suppressAutoHyphens w:val="false"/>
      <w:bidi w:val="0"/>
      <w:jc w:val="both"/>
    </w:pPr>
    <w:rPr>
      <w:rFonts w:ascii="Calibri" w:hAnsi="Calibri" w:eastAsia="Calibri" w:cs="Times New Roman" w:asciiTheme="minorHAnsi" w:eastAsiaTheme="minorHAnsi" w:hAnsiTheme="minorHAnsi"/>
      <w:color w:val="00000A"/>
      <w:sz w:val="22"/>
      <w:szCs w:val="22"/>
      <w:lang w:val="pt-BR" w:eastAsia="en-US" w:bidi="ar-SA"/>
    </w:rPr>
  </w:style>
  <w:style w:type="paragraph" w:styleId="LONormal">
    <w:name w:val="LO-Normal"/>
    <w:qFormat/>
    <w:pPr>
      <w:widowControl w:val="false"/>
      <w:suppressAutoHyphens w:val="true"/>
      <w:bidi w:val="0"/>
      <w:jc w:val="left"/>
    </w:pPr>
    <w:rPr>
      <w:rFonts w:ascii="Calibri" w:hAnsi="Calibri" w:eastAsia="Calibri" w:cs="" w:asciiTheme="minorHAnsi" w:cstheme="minorBidi" w:eastAsiaTheme="minorHAnsi" w:hAnsiTheme="minorHAnsi"/>
      <w:color w:val="00000A"/>
      <w:sz w:val="22"/>
      <w:szCs w:val="22"/>
      <w:lang w:val="pt-BR" w:eastAsia="en-US" w:bidi="ar-SA"/>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licitacao@sinop.mt.leg.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FC5AA-E60A-4BB9-BD22-1DB25E400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Application>LibreOffice/5.3.0.3$Windows_X86_64 LibreOffice_project/7074905676c47b82bbcfbea1aeefc84afe1c50e1</Application>
  <Pages>5</Pages>
  <Words>1677</Words>
  <Characters>9374</Characters>
  <CharactersWithSpaces>11000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2024-04-02T12:52:00Z</dcterms:created>
  <dc:creator>Gabriel Blenner Oliveira</dc:creator>
  <dc:description/>
  <dc:language>pt-BR</dc:language>
  <cp:lastModifiedBy/>
  <cp:lastPrinted>2024-02-08T19:21:00Z</cp:lastPrinted>
  <dcterms:modified xsi:type="dcterms:W3CDTF">2024-04-03T18:51:19Z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