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header+xml" PartName="/word/header.xml"/>
  <Override ContentType="image/png" PartName="/word/media/header_image_rId1.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body>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TERMO DE REFERÊNCIA</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COMPRA DIRETA</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(MATERIAIS – COM CONTRATO – LEI 14.133/2021)</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2022/41000/000460</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br/>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1.</w:t>
      </w:r>
      <w:r>
        <w:rPr>
          <w:rFonts w:hint="default" w:ascii="Arial" w:hAnsi="Arial"/>
          <w:b/>
          <w:i w:val="false"/>
          <w:color w:val="000000"/>
          <w:sz w:val="20"/>
        </w:rPr>
        <w:t xml:space="preserve"> </w:t>
      </w:r>
      <w:r>
        <w:rPr>
          <w:rFonts w:hint="default" w:ascii="Arial" w:hAnsi="Arial"/>
          <w:b/>
          <w:i w:val="false"/>
          <w:color w:val="000000"/>
          <w:sz w:val="20"/>
        </w:rPr>
        <w:t>DO OBJETO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1.1 
          </w:t>
      </w:r>
      <w:r>
        <w:rPr>
          <w:rFonts w:hint="default" w:ascii="Arial" w:hAnsi="Arial"/>
          <w:b w:val="false"/>
          <w:i w:val="false"/>
          <w:color w:val="000000"/>
          <w:sz w:val="20"/>
        </w:rPr>
        <w:t xml:space="preserve">- </w:t>
      </w:r>
      <w:r>
        <w:rPr>
          <w:rFonts w:hint="default" w:ascii="Arial" w:hAnsi="Arial"/>
          <w:b w:val="false"/>
          <w:i w:val="false"/>
          <w:color w:val="000000"/>
          <w:sz w:val="20"/>
        </w:rPr>
        <w:t>Aquisição de Material Permanente - Condicionadores de Ar, para atender as necessidades da Diretoria do Trabalho – DTRAB.</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visando atender as necessidades da(o) </w:t>
      </w:r>
      <w:r>
        <w:rPr>
          <w:rFonts w:hint="default" w:ascii="Arial" w:hAnsi="Arial"/>
          <w:b w:val="false"/>
          <w:i w:val="false"/>
          <w:color w:val="000000"/>
          <w:sz w:val="20"/>
        </w:rPr>
        <w:t xml:space="preserve"> Secretaria do Trabalho e Desenvolvimento Social</w:t>
      </w:r>
      <w:r>
        <w:rPr>
          <w:rFonts w:hint="default" w:ascii="Arial" w:hAnsi="Arial"/>
          <w:b w:val="false"/>
          <w:i w:val="false"/>
          <w:color w:val="000000"/>
          <w:sz w:val="20"/>
        </w:rPr>
        <w:t xml:space="preserve"> - </w:t>
      </w:r>
      <w:r>
        <w:rPr>
          <w:rFonts w:hint="default" w:ascii="Arial" w:hAnsi="Arial"/>
          <w:b w:val="false"/>
          <w:i w:val="false"/>
          <w:color w:val="000000"/>
          <w:sz w:val="20"/>
        </w:rPr>
        <w:t>SETAS</w:t>
      </w:r>
      <w:r>
        <w:rPr>
          <w:rFonts w:hint="default" w:ascii="Arial" w:hAnsi="Arial"/>
          <w:b w:val="false"/>
          <w:i w:val="false"/>
          <w:color w:val="000000"/>
          <w:sz w:val="20"/>
        </w:rPr>
        <w:t>, conforme condições, quantidades e exigências estabelecidas neste instrumento.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2.</w:t>
      </w:r>
      <w:r>
        <w:rPr>
          <w:rFonts w:hint="default" w:ascii="Arial" w:hAnsi="Arial"/>
          <w:b/>
          <w:i w:val="false"/>
          <w:color w:val="000000"/>
          <w:sz w:val="20"/>
        </w:rPr>
        <w:t xml:space="preserve"> </w:t>
      </w:r>
      <w:r>
        <w:rPr>
          <w:rFonts w:hint="default" w:ascii="Arial" w:hAnsi="Arial"/>
          <w:b/>
          <w:i w:val="false"/>
          <w:color w:val="000000"/>
          <w:sz w:val="20"/>
        </w:rPr>
        <w:t>JUSTIFICATIVA E OBJETIVO DA CONTRATAÇÃO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2.1 - Conforme solicitação contida no Ofício NR. 42/2022/GAEFO-SINE da Gerencia de ACOMPANHAMENTO DA execução Física e Operacional do Trabalho, é necessária e urgente à aquisição dos aparelhos de ar condicionado previsto para atender as necessidades do novo prédio do SINE/Palmas, sob pena de paralização das atividades desenvolvidas, por falta de refrigeração nos ambientes de trabalho, visto que os aparelhos de ar condicionados do prédio antigo estão em precário estado de utilização.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2.2 - Dessa forma, os aparelhos mencionados necessitam de substituição imediata, devido ao desgaste intenso provocados por sua idade avançada e a inexistência de aparelhos reservas para substituí-los.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2.3 - Impende destacar que quanto maior o tempo de vida dos equipamentos, mais frequentes são as intervenções corretivas, causando transtornos aos usuários, com constantes interrupções nas rotinas de trabalho, excesso de ruído, bem como um tempo maior no reparo dos mesmos. Os custos de manutenção também aumentam com a idade do equipamento, como também a dificuldade de aquisição de peças para reposição.</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212121"/>
          <w:sz w:val="24"/>
        </w:rPr>
        <w:t>2.4 - A contratação tem como objetivo propiciar melhor conforto térmico e um ambiente de trabalho mais agradável nas dependências da SETAS, contribuindo para o aperfeiçoamento das atividades exercidas pela pasta.</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3.</w:t>
      </w:r>
      <w:r>
        <w:rPr>
          <w:rFonts w:hint="default" w:ascii="Arial" w:hAnsi="Arial"/>
          <w:b/>
          <w:i w:val="false"/>
          <w:color w:val="000000"/>
          <w:sz w:val="20"/>
        </w:rPr>
        <w:t xml:space="preserve"> </w:t>
      </w:r>
      <w:r>
        <w:rPr>
          <w:rFonts w:hint="default" w:ascii="Arial" w:hAnsi="Arial"/>
          <w:b/>
          <w:i w:val="false"/>
          <w:color w:val="000000"/>
          <w:sz w:val="20"/>
        </w:rPr>
        <w:t>DA FUNDAMENTAÇÃO LEGAL</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3.1</w:t>
      </w:r>
      <w:r>
        <w:rPr>
          <w:rFonts w:hint="default" w:ascii="Arial" w:hAnsi="Arial"/>
          <w:b w:val="false"/>
          <w:i w:val="false"/>
          <w:color w:val="000000"/>
          <w:sz w:val="20"/>
        </w:rPr>
        <w:t xml:space="preserve"> - A aquisição em tela tem amparo nas leis que fundamentam a modalidade de licitação dispensável, nos limites dos Incisos II do art. 75 da lei 14133/2021, através do </w:t>
      </w:r>
      <w:r>
        <w:rPr>
          <w:rFonts w:hint="default" w:ascii="Arial" w:hAnsi="Arial"/>
          <w:b/>
          <w:i w:val="false"/>
          <w:color w:val="000000"/>
          <w:sz w:val="20"/>
        </w:rPr>
        <w:t>SISTEMA DE COMPRA DIRETA</w:t>
      </w:r>
      <w:r>
        <w:rPr>
          <w:rFonts w:hint="default" w:ascii="Arial" w:hAnsi="Arial"/>
          <w:b w:val="false"/>
          <w:i w:val="false"/>
          <w:color w:val="000000"/>
          <w:sz w:val="20"/>
        </w:rPr>
        <w:t>, tais como: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a) </w:t>
      </w:r>
      <w:r>
        <w:rPr>
          <w:rFonts w:hint="default" w:ascii="Arial" w:hAnsi="Arial"/>
          <w:b w:val="false"/>
          <w:i w:val="false"/>
          <w:color w:val="000000"/>
          <w:sz w:val="20"/>
        </w:rPr>
        <w:t xml:space="preserve"> 
          </w:t>
      </w:r>
      <w:r>
        <w:rPr>
          <w:rFonts w:hint="default" w:ascii="Arial" w:hAnsi="Arial"/>
          <w:b/>
          <w:i w:val="false"/>
          <w:color w:val="000000"/>
          <w:sz w:val="20"/>
        </w:rPr>
        <w:t xml:space="preserve"> </w:t>
      </w:r>
      <w:hyperlink r:id="rId4">
        <w:r>
          <w:rPr>
            <w:rStyle w:val="Hyperlink"/>
            <w:rFonts w:hint="default" w:ascii="Arial" w:hAnsi="Arial"/>
            <w:b/>
            <w:i w:val="false"/>
            <w:color w:val="0000ff"/>
            <w:sz w:val="20"/>
            <w:u w:val="single"/>
          </w:rPr>
          <w:t>Lei Federal nº 14.133/2021</w:t>
        </w:r>
      </w:hyperlink>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Lei de Licitações e Contratos Administrativos.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b)</w:t>
      </w:r>
      <w:r>
        <w:rPr>
          <w:rFonts w:hint="default" w:ascii="Arial" w:hAnsi="Arial"/>
          <w:b/>
          <w:i w:val="false"/>
          <w:color w:val="000000"/>
          <w:sz w:val="20"/>
        </w:rPr>
        <w:t xml:space="preserve"> </w:t>
      </w:r>
      <w:hyperlink r:id="rId5">
        <w:r>
          <w:rPr>
            <w:rStyle w:val="Hyperlink"/>
            <w:rFonts w:hint="default" w:ascii="Arial" w:hAnsi="Arial"/>
            <w:b/>
            <w:i w:val="false"/>
            <w:color w:val="0000ff"/>
            <w:sz w:val="20"/>
            <w:u w:val="single"/>
          </w:rPr>
          <w:t>Lei Complementar nº 123/2006</w:t>
        </w:r>
      </w:hyperlink>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 Institui o Estatuto Nacional da Microempresa e da Empresa de Pequeno Porte</w:t>
      </w:r>
      <w:r>
        <w:rPr>
          <w:rFonts w:hint="default" w:ascii="Arial" w:hAnsi="Arial"/>
          <w:b w:val="false"/>
          <w:i w:val="false"/>
          <w:color w:val="000000"/>
          <w:sz w:val="20"/>
        </w:rPr>
        <w:t>.</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u w:val="single"/>
        </w:rPr>
        <w:t xml:space="preserve"> </w:t>
      </w:r>
      <w:r>
        <w:br/>
      </w:r>
      <w:r>
        <w:rPr>
          <w:rFonts w:hint="default" w:ascii="Arial" w:hAnsi="Arial"/>
          <w:b w:val="false"/>
          <w:i w:val="false"/>
          <w:color w:val="000000"/>
          <w:sz w:val="20"/>
          <w:u w:val="single"/>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c) </w:t>
      </w:r>
      <w:r>
        <w:rPr>
          <w:rFonts w:hint="default" w:ascii="Arial" w:hAnsi="Arial"/>
          <w:b/>
          <w:i w:val="false"/>
          <w:color w:val="000000"/>
          <w:sz w:val="20"/>
        </w:rPr>
        <w:t xml:space="preserve"> </w:t>
      </w:r>
      <w:hyperlink r:id="rId6">
        <w:r>
          <w:rPr>
            <w:rStyle w:val="Hyperlink"/>
            <w:rFonts w:hint="default" w:ascii="Arial" w:hAnsi="Arial"/>
            <w:b/>
            <w:i w:val="false"/>
            <w:color w:val="0000ff"/>
            <w:sz w:val="20"/>
            <w:u w:val="single"/>
          </w:rPr>
          <w:t>Decreto</w:t>
        </w:r>
        <w:r>
          <w:rPr>
            <w:rFonts w:hint="default" w:ascii="Arial" w:hAnsi="Arial"/>
            <w:b/>
            <w:i w:val="false"/>
            <w:color w:val="0000ff"/>
            <w:sz w:val="20"/>
          </w:rPr>
          <w:t xml:space="preserve"> 6.084, de 14 de abril de 2020</w:t>
        </w:r>
      </w:hyperlink>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 Institui o Sistema Integrado de Gestão Administrativa do Estado do Tocantins - SIGA-TO, e adota outras providências.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u w:val="single"/>
        </w:rPr>
        <w:t xml:space="preserve"> </w:t>
      </w:r>
      <w:r>
        <w:br/>
      </w:r>
      <w:r>
        <w:rPr>
          <w:rFonts w:hint="default" w:ascii="Arial" w:hAnsi="Arial"/>
          <w:b w:val="false"/>
          <w:i w:val="false"/>
          <w:color w:val="000000"/>
          <w:sz w:val="20"/>
          <w:u w:val="single"/>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d) </w:t>
      </w:r>
      <w:r>
        <w:rPr>
          <w:rFonts w:hint="default" w:ascii="Arial" w:hAnsi="Arial"/>
          <w:b/>
          <w:i w:val="false"/>
          <w:color w:val="000000"/>
          <w:sz w:val="20"/>
        </w:rPr>
        <w:t xml:space="preserve"> </w:t>
      </w:r>
      <w:r>
        <w:rPr>
          <w:rFonts w:hint="default" w:ascii="Arial" w:hAnsi="Arial"/>
          <w:b/>
          <w:i w:val="false"/>
          <w:color w:val="0000ff"/>
          <w:sz w:val="20"/>
        </w:rPr>
        <w:t>Portaria SEFAZ nº 507/2020/GABSEC de 03/06/2020</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Institui o CATÁLOGO DE MATERIAIS E SERVIÇOS a ser utilizado pelos órgãos da Administração Pública Direta e Indireta do Poder Executivo do Estado do Tocantins e dá outras providências</w:t>
      </w:r>
      <w:r>
        <w:rPr>
          <w:rFonts w:hint="default" w:ascii="Arial" w:hAnsi="Arial"/>
          <w:b w:val="false"/>
          <w:i w:val="false"/>
          <w:color w:val="000000"/>
          <w:sz w:val="20"/>
        </w:rPr>
        <w:t>.</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u w:val="single"/>
        </w:rPr>
        <w:t xml:space="preserve"> </w:t>
      </w:r>
      <w:r>
        <w:br/>
      </w:r>
      <w:r>
        <w:rPr>
          <w:rFonts w:hint="default" w:ascii="Arial" w:hAnsi="Arial"/>
          <w:b w:val="false"/>
          <w:i w:val="false"/>
          <w:color w:val="000000"/>
          <w:sz w:val="20"/>
          <w:u w:val="single"/>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e) </w:t>
      </w:r>
      <w:r>
        <w:rPr>
          <w:rFonts w:hint="default" w:ascii="Arial" w:hAnsi="Arial"/>
          <w:b/>
          <w:i w:val="false"/>
          <w:color w:val="000000"/>
          <w:sz w:val="20"/>
        </w:rPr>
        <w:t xml:space="preserve"> </w:t>
      </w:r>
      <w:r>
        <w:rPr>
          <w:rFonts w:hint="default" w:ascii="Arial" w:hAnsi="Arial"/>
          <w:b/>
          <w:i w:val="false"/>
          <w:color w:val="0000ff"/>
          <w:sz w:val="20"/>
        </w:rPr>
        <w:t>Portaria SEFAZ Nº 235/2021/GABSEC</w:t>
      </w:r>
      <w:r>
        <w:rPr>
          <w:rFonts w:hint="default" w:ascii="Arial" w:hAnsi="Arial"/>
          <w:b/>
          <w:i w:val="false"/>
          <w:color w:val="000000"/>
          <w:sz w:val="20"/>
        </w:rPr>
        <w:t xml:space="preserve"> </w:t>
      </w:r>
      <w:r>
        <w:rPr>
          <w:rFonts w:hint="default" w:ascii="Arial" w:hAnsi="Arial"/>
          <w:b w:val="false"/>
          <w:i w:val="false"/>
          <w:color w:val="000000"/>
          <w:sz w:val="20"/>
        </w:rPr>
        <w:t xml:space="preserve">, de 06 de abril de 2021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Define normas e procedimentos para aquisições através do SISTEMA DE COMPRA DIRETA através da Cotação Eletrônica nos limites de licitação dispensável e dá outras providências</w:t>
      </w:r>
      <w:r>
        <w:rPr>
          <w:rFonts w:hint="default" w:ascii="Arial" w:hAnsi="Arial"/>
          <w:b w:val="false"/>
          <w:i w:val="false"/>
          <w:color w:val="000000"/>
          <w:sz w:val="20"/>
        </w:rPr>
        <w:t>.</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4.</w:t>
      </w:r>
      <w:r>
        <w:rPr>
          <w:rFonts w:hint="default" w:ascii="Arial" w:hAnsi="Arial"/>
          <w:b/>
          <w:i w:val="false"/>
          <w:color w:val="000000"/>
          <w:sz w:val="20"/>
        </w:rPr>
        <w:t xml:space="preserve"> </w:t>
      </w:r>
      <w:r>
        <w:rPr>
          <w:rFonts w:hint="default" w:ascii="Arial" w:hAnsi="Arial"/>
          <w:b/>
          <w:i w:val="false"/>
          <w:color w:val="000000"/>
          <w:sz w:val="20"/>
        </w:rPr>
        <w:t>DAS ESPECIFICAÇÕES TÉCNICAS DO OBJETO: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 xml:space="preserve"> </w:t>
      </w:r>
      <w:r>
        <w:br/>
      </w:r>
      <w:r>
        <w:rPr>
          <w:rFonts w:hint="default" w:ascii="Arial" w:hAnsi="Arial"/>
          <w:b/>
          <w:i w:val="false"/>
          <w:color w:val="000000"/>
          <w:sz w:val="20"/>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p>
    <w:p>
      <w:pPr>
        <w:spacing w:after="0"/>
        <w:ind w:left="0"/>
        <w:jc w:val="both"/>
      </w:pPr>
    </w:p>
    <w:tbl>
      <w:tblPr>
        <w:tblW w:w="0" w:type="auto"/>
        <w:tblCellSpacing w:w="0" w:type="auto"/>
        <w:tblBorders>
          <w:top w:val="none"/>
          <w:left w:val="none"/>
          <w:bottom w:val="none"/>
          <w:right w:val="none"/>
          <w:insideH w:val="none"/>
          <w:insideV w:val="none"/>
        </w:tblBorders>
      </w:tblPr>
      <w:tblGrid>
        <w:gridCol w:w="700"/>
        <w:gridCol w:w="700"/>
        <w:gridCol w:w="740"/>
        <w:gridCol w:w="7945"/>
        <w:gridCol w:w="749"/>
        <w:gridCol w:w="700"/>
        <w:gridCol w:w="700"/>
        <w:gridCol w:w="700"/>
        <w:gridCol w:w="700"/>
      </w:tblGrid>
      <w:tr>
        <w:tc>
          <w:tcPr>
            <w:tcW w:w="0" w:type="auto"/>
            <w:gridSpan w:val="9"/>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Itens</w:t>
            </w:r>
          </w:p>
        </w:tc>
      </w:tr>
      <w:tr>
        <w:tc>
          <w:tcPr>
            <w:tcW w:w="700"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Tipo</w:t>
            </w:r>
          </w:p>
        </w:tc>
        <w:tc>
          <w:tcPr>
            <w:tcW w:w="700"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Item</w:t>
            </w:r>
          </w:p>
        </w:tc>
        <w:tc>
          <w:tcPr>
            <w:tcW w:w="740"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Código</w:t>
            </w:r>
          </w:p>
        </w:tc>
        <w:tc>
          <w:tcPr>
            <w:tcW w:w="7945"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Descrição</w:t>
            </w:r>
          </w:p>
        </w:tc>
        <w:tc>
          <w:tcPr>
            <w:tcW w:w="749"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Un. Aquisição</w:t>
            </w:r>
          </w:p>
        </w:tc>
        <w:tc>
          <w:tcPr>
            <w:tcW w:w="700"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Qtd.</w:t>
            </w:r>
          </w:p>
        </w:tc>
        <w:tc>
          <w:tcPr>
            <w:tcW w:w="700"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Vlr. Unit.</w:t>
            </w:r>
          </w:p>
        </w:tc>
        <w:tc>
          <w:tcPr>
            <w:tcW w:w="700"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Vlr. Total</w:t>
            </w:r>
          </w:p>
        </w:tc>
        <w:tc>
          <w:tcPr>
            <w:tcW w:w="700"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Vlr. Acum.</w:t>
            </w:r>
          </w:p>
        </w:tc>
      </w:tr>
      <w:tr>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Grupo 001</w:t>
            </w:r>
          </w:p>
        </w:tc>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w:t>
            </w:r>
          </w:p>
        </w:tc>
        <w:tc>
          <w:tcPr>
            <w:tcW w:w="7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00025273</w:t>
            </w:r>
          </w:p>
        </w:tc>
        <w:tc>
          <w:tcPr>
            <w:tcW w:w="7945"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Condicionador de ar - Modelo: split hi wall; Categoria: inverter; Ciclo de ar: frio; Capacidade (BTU/h): 12.000; Voltagem: 220 V; Classificação energética: A.</w:t>
            </w:r>
          </w:p>
        </w:tc>
        <w:tc>
          <w:tcPr>
            <w:tcW w:w="74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1 - Unidade</w:t>
            </w:r>
          </w:p>
        </w:tc>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w:t>
            </w:r>
          </w:p>
        </w:tc>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r>
      <w:tr>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Grupo 001</w:t>
            </w:r>
          </w:p>
        </w:tc>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2</w:t>
            </w:r>
          </w:p>
        </w:tc>
        <w:tc>
          <w:tcPr>
            <w:tcW w:w="7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00026505</w:t>
            </w:r>
          </w:p>
        </w:tc>
        <w:tc>
          <w:tcPr>
            <w:tcW w:w="7945"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Condicionador de ar - Modelo: split hi wall; Categoria: inverter; Ciclo de ar: frio; Capacidade (BTU/h): 60.000; Voltagem: 220 V; Classificação energética: A.</w:t>
            </w:r>
          </w:p>
        </w:tc>
        <w:tc>
          <w:tcPr>
            <w:tcW w:w="74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1 - Unidade</w:t>
            </w:r>
          </w:p>
        </w:tc>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6</w:t>
            </w:r>
          </w:p>
        </w:tc>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r>
      <w:tr>
        <w:tc>
          <w:tcPr>
            <w:tcW w:w="0" w:type="auto"/>
            <w:gridSpan w:val="6"/>
            <w:tcBorders/>
          </w:tcPr>
          <w:p>
            <w:pPr>
              <w:spacing w:after="0"/>
              <w:ind w:left="0"/>
              <w:jc w:val="right"/>
            </w:pPr>
            <w:r>
              <w:rPr>
                <w:rFonts w:hint="default" w:ascii="Arial" w:hAnsi="Arial"/>
                <w:b/>
                <w:i w:val="false"/>
                <w:color w:val="000000"/>
                <w:sz w:val="20"/>
              </w:rPr>
              <w:t>Total (R$):</w:t>
            </w:r>
          </w:p>
        </w:tc>
        <w:tc>
          <w:tcPr>
            <w:tcW w:w="700" w:type="dxa"/>
            <w:tcBorders/>
          </w:tcPr>
          <w:p>
            <w:pPr>
              <w:spacing w:after="0"/>
              <w:ind w:left="0"/>
              <w:jc w:val="left"/>
            </w:pPr>
            <w:r>
              <w:rPr>
                <w:rFonts w:hint="default" w:ascii="Arial" w:hAnsi="Arial"/>
                <w:b/>
                <w:i w:val="false"/>
                <w:color w:val="000000"/>
                <w:sz w:val="20"/>
              </w:rPr>
              <w:t>0,00</w:t>
            </w:r>
          </w:p>
        </w:tc>
        <w:tc>
          <w:tcPr>
            <w:tcW w:w="700" w:type="dxa"/>
            <w:tcBorders/>
          </w:tcPr>
          <w:p>
            <w:pPr>
              <w:spacing w:after="0"/>
              <w:ind w:left="0"/>
              <w:jc w:val="left"/>
            </w:pPr>
            <w:r>
              <w:rPr>
                <w:rFonts w:hint="default" w:ascii="Arial" w:hAnsi="Arial"/>
                <w:b/>
                <w:i w:val="false"/>
                <w:color w:val="000000"/>
                <w:sz w:val="20"/>
              </w:rPr>
              <w:t>0,00</w:t>
            </w:r>
          </w:p>
        </w:tc>
        <w:tc>
          <w:tcPr>
            <w:tcW w:w="700" w:type="dxa"/>
            <w:tcBorders/>
          </w:tcPr>
          <w:p>
            <w:pPr>
              <w:spacing w:after="0"/>
              <w:ind w:left="0"/>
              <w:jc w:val="left"/>
            </w:pPr>
            <w:r>
              <w:rPr>
                <w:rFonts w:hint="default" w:ascii="Arial" w:hAnsi="Arial"/>
                <w:b/>
                <w:i w:val="false"/>
                <w:color w:val="000000"/>
                <w:sz w:val="20"/>
              </w:rPr>
              <w:t>0,00</w:t>
            </w:r>
          </w:p>
        </w:tc>
      </w:tr>
    </w:tbl>
    <w:p>
      <w:pPr>
        <w:spacing w:after="0"/>
        <w:ind w:left="0"/>
        <w:jc w:val="both"/>
      </w:pP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5.</w:t>
      </w:r>
      <w:r>
        <w:rPr>
          <w:rFonts w:hint="default" w:ascii="Arial" w:hAnsi="Arial"/>
          <w:b/>
          <w:i w:val="false"/>
          <w:color w:val="000000"/>
          <w:sz w:val="20"/>
        </w:rPr>
        <w:t xml:space="preserve"> </w:t>
      </w:r>
      <w:r>
        <w:rPr>
          <w:rFonts w:hint="default" w:ascii="Arial" w:hAnsi="Arial"/>
          <w:b/>
          <w:i w:val="false"/>
          <w:color w:val="000000"/>
          <w:sz w:val="20"/>
        </w:rPr>
        <w:t>DO PRAZO E DA ENTREGA DO OBJETO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5.1 - O prazo de entrega será de </w:t>
      </w:r>
      <w:r>
        <w:rPr>
          <w:rFonts w:hint="default" w:ascii="Arial" w:hAnsi="Arial"/>
          <w:b w:val="false"/>
          <w:i w:val="false"/>
          <w:color w:val="000000"/>
          <w:sz w:val="20"/>
        </w:rPr>
        <w:t>15 dias</w:t>
      </w:r>
      <w:r>
        <w:rPr>
          <w:rFonts w:hint="default" w:ascii="Arial" w:hAnsi="Arial"/>
          <w:b w:val="false"/>
          <w:i w:val="false"/>
          <w:color w:val="000000"/>
          <w:sz w:val="20"/>
        </w:rPr>
        <w:t xml:space="preserve"> corridos, contados do recebimento da Nota de Empenho.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5.2 - A entrega dos referidos materiais será efetuada em horário de expediente, no seguinte endereço: </w:t>
      </w:r>
      <w:r>
        <w:rPr>
          <w:rFonts w:hint="default" w:ascii="Arial" w:hAnsi="Arial"/>
          <w:b w:val="false"/>
          <w:i w:val="false"/>
          <w:color w:val="000000"/>
          <w:sz w:val="20"/>
        </w:rPr>
        <w:t>Almoxarifado da Setas</w:t>
      </w:r>
      <w:r>
        <w:rPr>
          <w:rFonts w:hint="default" w:ascii="Arial" w:hAnsi="Arial"/>
          <w:b w:val="false"/>
          <w:i w:val="false"/>
          <w:color w:val="000000"/>
          <w:sz w:val="20"/>
        </w:rPr>
        <w:t xml:space="preserve"> na presença de servidor devidamente autorizado que terá o prazo de até 05 (cinco) dias corridos para aceitação do objeto.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5.3 - A responsabilidade pelo recebimento do material ficará a cargo de servidor designado formalmente pela </w:t>
      </w:r>
      <w:r>
        <w:rPr>
          <w:rFonts w:hint="default" w:ascii="Arial" w:hAnsi="Arial"/>
          <w:b w:val="false"/>
          <w:i w:val="false"/>
          <w:color w:val="000000"/>
          <w:sz w:val="20"/>
        </w:rPr>
        <w:t>SETAS</w:t>
      </w:r>
      <w:r>
        <w:rPr>
          <w:rFonts w:hint="default" w:ascii="Arial" w:hAnsi="Arial"/>
          <w:b w:val="false"/>
          <w:i w:val="false"/>
          <w:color w:val="000000"/>
          <w:sz w:val="20"/>
        </w:rPr>
        <w:t>, o qual deverá proceder ao atesto da(s) nota(s) fiscal(is).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6.</w:t>
      </w:r>
      <w:r>
        <w:rPr>
          <w:rFonts w:hint="default" w:ascii="Arial" w:hAnsi="Arial"/>
          <w:b/>
          <w:i w:val="false"/>
          <w:color w:val="000000"/>
          <w:sz w:val="20"/>
        </w:rPr>
        <w:t xml:space="preserve"> </w:t>
      </w:r>
      <w:r>
        <w:rPr>
          <w:rFonts w:hint="default" w:ascii="Arial" w:hAnsi="Arial"/>
          <w:b/>
          <w:i w:val="false"/>
          <w:color w:val="000000"/>
          <w:sz w:val="20"/>
        </w:rPr>
        <w:t>REQUISITOS DA CONTRATAÇÃO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6.1 - </w:t>
      </w:r>
      <w:r>
        <w:rPr>
          <w:rFonts w:hint="default" w:ascii="Arial" w:hAnsi="Arial"/>
          <w:b w:val="false"/>
          <w:i w:val="false"/>
          <w:color w:val="0000ff"/>
          <w:sz w:val="20"/>
        </w:rPr>
        <w:t xml:space="preserve"> </w:t>
      </w:r>
      <w:r>
        <w:rPr>
          <w:rFonts w:hint="default" w:ascii="Arial" w:hAnsi="Arial"/>
          <w:b w:val="false"/>
          <w:i w:val="false"/>
          <w:color w:val="000000"/>
          <w:sz w:val="20"/>
        </w:rPr>
        <w:t>A presente contratação de dispensa será realizada por meio de cotação eletrônica, do tipo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MENOR PREÇO UNITÁRIO” ou “MENOR PREÇO TOTAL POR ITEM OU GRUPO</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realizada através de Sistema Eletrônico, no Portal de Compras do Governo Estadual – localizado no site </w:t>
      </w:r>
      <w:hyperlink r:id="rId7">
        <w:r>
          <w:rPr>
            <w:rStyle w:val="Hyperlink"/>
            <w:rFonts w:hint="default" w:ascii="Arial" w:hAnsi="Arial"/>
            <w:b w:val="false"/>
            <w:i w:val="false"/>
            <w:color w:val="0000ff"/>
            <w:sz w:val="20"/>
            <w:u w:val="single"/>
          </w:rPr>
          <w:t>http://www.siga.to.gov.br/compra-direta</w:t>
        </w:r>
      </w:hyperlink>
      <w:r>
        <w:rPr>
          <w:rFonts w:hint="default" w:ascii="Arial" w:hAnsi="Arial"/>
          <w:b w:val="false"/>
          <w:i w:val="false"/>
          <w:color w:val="000000"/>
          <w:sz w:val="20"/>
        </w:rPr>
        <w:t>.</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7.</w:t>
      </w:r>
      <w:r>
        <w:rPr>
          <w:rFonts w:hint="default" w:ascii="Arial" w:hAnsi="Arial"/>
          <w:b/>
          <w:i w:val="false"/>
          <w:color w:val="000000"/>
          <w:sz w:val="20"/>
        </w:rPr>
        <w:t xml:space="preserve"> </w:t>
      </w:r>
      <w:r>
        <w:rPr>
          <w:rFonts w:hint="default" w:ascii="Arial" w:hAnsi="Arial"/>
          <w:b/>
          <w:i w:val="false"/>
          <w:color w:val="000000"/>
          <w:sz w:val="20"/>
        </w:rPr>
        <w:t>CRITÉRIOS DE ACEITAÇÃO DO OBJETO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7.1 
          </w:t>
      </w:r>
      <w:r>
        <w:rPr>
          <w:rFonts w:hint="default" w:ascii="Arial" w:hAnsi="Arial"/>
          <w:b w:val="false"/>
          <w:i w:val="false"/>
          <w:color w:val="000000"/>
          <w:sz w:val="20"/>
        </w:rPr>
        <w:t xml:space="preserve">- Os bens serão recebidos provisoriamente no prazo de 07 (sete) dias, pelo(a) responsável pelo acompanhamento e fiscalização do contrato, para efeito de posterior verificação de sua conformidade com as especificações constantes neste Termo de Referência e na proposta.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7.2 - Os bens poderão ser rejeitados, no todo ou em parte, quando em desacordo com as especificações constantes neste Termo de Referência e na proposta, devendo ser substituídos no prazo de 15 (quinze) dias, a contar da notificação da contratada, às suas custas, sem prejuízo da aplicação das penalidades.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7.3 - Os bens serão recebidos definitivamente no prazo de 30 (trinta) dias, contados do recebimento provisório, após a verificação da qualidade e quantidade do material e consequente aceitação mediante termo circunstanciado.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7.4 - Na hipótese de a verificação a que se refere o subitem anterior não ser procedida dentro do prazo fixado, reputar-se-á como realizada, consumando-se o recebimento definitivo no dia do esgotamento do prazo.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7.5 - O recebimento provisório ou definitivo do objeto não exclui a responsabilidade da contratada pelos prejuízos resultantes da incorreta execução do contrato.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8.</w:t>
      </w:r>
      <w:r>
        <w:rPr>
          <w:rFonts w:hint="default" w:ascii="Arial" w:hAnsi="Arial"/>
          <w:b/>
          <w:i w:val="false"/>
          <w:color w:val="000000"/>
          <w:sz w:val="20"/>
        </w:rPr>
        <w:t xml:space="preserve"> </w:t>
      </w:r>
      <w:r>
        <w:rPr>
          <w:rFonts w:hint="default" w:ascii="Arial" w:hAnsi="Arial"/>
          <w:b/>
          <w:i w:val="false"/>
          <w:color w:val="000000"/>
          <w:sz w:val="20"/>
        </w:rPr>
        <w:t>DA GARANTIA E ASSISTÊNCIA TÉCNICA, se houver</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8.1 - Os materiais deverão possuir garantia mínima de </w:t>
      </w:r>
      <w:r>
        <w:rPr>
          <w:rFonts w:hint="default" w:ascii="Arial" w:hAnsi="Arial"/>
          <w:b w:val="false"/>
          <w:i w:val="false"/>
          <w:color w:val="000000"/>
          <w:sz w:val="20"/>
        </w:rPr>
        <w:t xml:space="preserve"> 
          </w:t>
      </w:r>
      <w:r>
        <w:rPr>
          <w:rFonts w:hint="default" w:ascii="Arial" w:hAnsi="Arial"/>
          <w:b w:val="false"/>
          <w:i w:val="false"/>
          <w:color w:val="000000"/>
          <w:sz w:val="20"/>
        </w:rPr>
        <w:t>12</w:t>
      </w:r>
      <w:r>
        <w:rPr>
          <w:rFonts w:hint="default" w:ascii="Arial" w:hAnsi="Arial"/>
          <w:b w:val="false"/>
          <w:i w:val="false"/>
          <w:color w:val="000000"/>
          <w:sz w:val="20"/>
        </w:rPr>
        <w:t xml:space="preserve"> 
          </w:t>
      </w:r>
      <w:r>
        <w:rPr>
          <w:rFonts w:hint="default" w:ascii="Arial" w:hAnsi="Arial"/>
          <w:b w:val="false"/>
          <w:i w:val="false"/>
          <w:color w:val="000000"/>
          <w:sz w:val="20"/>
        </w:rPr>
        <w:t xml:space="preserve"> (doze) meses, contados da data de recebimento definitiva dos mesmos.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8.2 - O</w:t>
      </w:r>
      <w:r>
        <w:rPr>
          <w:rFonts w:hint="default" w:ascii="Arial" w:hAnsi="Arial"/>
          <w:b w:val="false"/>
          <w:i w:val="false"/>
          <w:color w:val="000000"/>
          <w:sz w:val="20"/>
        </w:rPr>
        <w:t xml:space="preserve"> 
          </w:t>
      </w:r>
      <w:r>
        <w:rPr>
          <w:rFonts w:hint="default" w:ascii="Arial" w:hAnsi="Arial"/>
          <w:b w:val="false"/>
          <w:i w:val="false"/>
          <w:color w:val="000000"/>
          <w:sz w:val="20"/>
        </w:rPr>
        <w:t>(s) ítens 1 e 2 deverá(ão) possuir assistência técnica autorizada, credenciada ou disponibilizada (LOCAL).</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9.</w:t>
      </w:r>
      <w:r>
        <w:rPr>
          <w:rFonts w:hint="default" w:ascii="Arial" w:hAnsi="Arial"/>
          <w:b/>
          <w:i w:val="false"/>
          <w:color w:val="000000"/>
          <w:sz w:val="20"/>
        </w:rPr>
        <w:t xml:space="preserve"> </w:t>
      </w:r>
      <w:r>
        <w:rPr>
          <w:rFonts w:hint="default" w:ascii="Arial" w:hAnsi="Arial"/>
          <w:b/>
          <w:i w:val="false"/>
          <w:color w:val="000000"/>
          <w:sz w:val="20"/>
        </w:rPr>
        <w:t>OBRIGAÇÕES DA CONTRATANTE</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9.1 - Exigir do fornecedor o fiel cumprimento das obrigações decorrentes desta contratação;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9.2 - Verificar a manutenção pelo fornecedor das condições de habilitação, com relação a regularidade fiscal;</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9.3 - Aplicar penalidades ao fornecedor, por descumprimento contratual;</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9.4 - Prestar as informações e os esclarecimentos que venham a ser solicitados pelos funcionários da CONTRATADA;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9.5 - Comunicar à CONTRATADA qualquer irregularidade verificada na execução do fornecimento, determinando, de imediato, as providências necessárias à sua regularização;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9.6 - Acompanhar e fiscalizar rigorosamente o cumprimento do contrato, verificando a qualidade do fornecimento executado;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9.7 - Rejeitar qualquer fornecimento considerado insatisfatório, determinando que seja refeito no prazo a ser estipulado pela fiscalização do contrato;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9.8 - Efetuar o pagamento do fornecimento executado, conforme condições estabelecidas no contrato ou nota de empenho, e conferir as notas fiscais, atestando-as;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9.9 - Anotar, em registro próprio, todas as ocorrências relacionadas com a execução do objeto do contrato, determinando o que for necessário à regularização das faltas ou defeitos observados;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9.10 -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10.</w:t>
      </w:r>
      <w:r>
        <w:rPr>
          <w:rFonts w:hint="default" w:ascii="Arial" w:hAnsi="Arial"/>
          <w:b/>
          <w:i w:val="false"/>
          <w:color w:val="000000"/>
          <w:sz w:val="20"/>
        </w:rPr>
        <w:t xml:space="preserve"> </w:t>
      </w:r>
      <w:r>
        <w:rPr>
          <w:rFonts w:hint="default" w:ascii="Arial" w:hAnsi="Arial"/>
          <w:b/>
          <w:i w:val="false"/>
          <w:color w:val="000000"/>
          <w:sz w:val="20"/>
        </w:rPr>
        <w:t>OBRIGAÇÕES DA CONTRATADA</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10.1 - É responsabilidade da CONTRATADA providenciar todos os recursos e insumos necessários ao perfeito cumprimento do objeto contratado, devendo estar incluídos no preço proposto todas as despesas com materiais, insumos, mão de obra, fretes, embalagens, seguros, impostos, taxas, tarifas, encargos sociais e trabalhistas e demais despesas necessárias à perfeita execução do objeto.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10.2 - A contratada para a execução do objeto estará obrigada a satisfazer todos os requisitos, exigências e condições estabelecidas no termo de referência e seus anexos.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10.3 - Atender prontamente todas as solicitações da Contratante previstas no termo de referência e seus anexos.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10.4 - Garantir a qualidade dos materiais licitado comprometendo-se a substituí-los as suas expensas aqueles que não atendam o padrão de qualidade exigido, apresente defeitos de fabricação ou danos em decorrência do transporte, no prazo máximo de 30 (trinta) dias corridos a partir da notificação oficial.</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10.5 - Efetuar a entrega dos materiais de acordo com as especificações, prazo de entrega e demais condições estipuladas no Termo de Referência, na Nota de Empenho, responsabilizando-se exclusivamente por todas as despesas relativas à execução do objeto.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10.6 - Comunicar o(a) </w:t>
      </w:r>
      <w:r>
        <w:rPr>
          <w:rFonts w:hint="default" w:ascii="Arial" w:hAnsi="Arial"/>
          <w:b w:val="false"/>
          <w:i w:val="false"/>
          <w:color w:val="000000"/>
          <w:sz w:val="20"/>
        </w:rPr>
        <w:t>SETAS</w:t>
      </w:r>
      <w:r>
        <w:rPr>
          <w:rFonts w:hint="default" w:ascii="Arial" w:hAnsi="Arial"/>
          <w:b w:val="false"/>
          <w:i w:val="false"/>
          <w:color w:val="000000"/>
          <w:sz w:val="20"/>
        </w:rPr>
        <w:t>, imediatamente após o recebimento do pedido de fornecimento, motivos que possam impossibilitar o seu cu</w:t>
      </w:r>
      <w:r>
        <w:rPr>
          <w:rFonts w:hint="default" w:ascii="Arial" w:hAnsi="Arial"/>
          <w:b w:val="false"/>
          <w:i w:val="false"/>
          <w:color w:val="000000"/>
          <w:sz w:val="20"/>
        </w:rPr>
        <w:t xml:space="preserve"> 
              </w:t>
      </w:r>
      <w:r>
        <w:rPr>
          <w:rFonts w:hint="default" w:ascii="Arial" w:hAnsi="Arial"/>
          <w:b w:val="false"/>
          <w:i w:val="false"/>
          <w:color w:val="000000"/>
          <w:sz w:val="20"/>
        </w:rPr>
        <w:t>mprimento.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10.7 - Responsabilizar-se com exclusividade por todas as despesas relativas à entrega do objeto, inclusive quanto à retirada do(s) objeto(s) a ser(em) substituído(s), quando houver.</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10.8 - Responsabilizar-se pelo transporte apropriado dos materiais, assumindo a responsabilidade pelos encargos fiscais e comerciais resultante da adjudicação do objeto desta licitação.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10.9 - Não transferir a outrem, no todo ou em parte, o objeto deste termo de referencia.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10.10 - Manter, durante a execução do contrato, todas as condições de habilitação e qualificação exigidas na licitação, em conformidade com art. 92, inciso XVI , da Lei nº 14.133/2021, incluindo a atualização de documentos de controle da arrecadação de tributos e contribuições federais e outras legalmente exigíveis.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11.</w:t>
      </w:r>
      <w:r>
        <w:rPr>
          <w:rFonts w:hint="default" w:ascii="Arial" w:hAnsi="Arial"/>
          <w:b/>
          <w:i w:val="false"/>
          <w:color w:val="000000"/>
          <w:sz w:val="20"/>
        </w:rPr>
        <w:t xml:space="preserve"> </w:t>
      </w:r>
      <w:r>
        <w:rPr>
          <w:rFonts w:hint="default" w:ascii="Arial" w:hAnsi="Arial"/>
          <w:b/>
          <w:i w:val="false"/>
          <w:color w:val="000000"/>
          <w:sz w:val="20"/>
        </w:rPr>
        <w:t xml:space="preserve"> PRAZO DE EXECUÇÃO DO CONTRATO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11.1 - O contrato terá a sua vigência de 12 (doze) meses, a partir da data de sua assinatura ou até a utilização do quantitativo, prevalecendo o que ocorrer primeiro.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11.2 - Após a expiração da vigência, ainda subsistirá a responsabilidade da CONTRATADA quanto à garantia dos materiais entregues, quando for o caso.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 </w:t>
      </w:r>
      <w:r>
        <w:br/>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12.</w:t>
      </w:r>
      <w:r>
        <w:rPr>
          <w:rFonts w:hint="default" w:ascii="Arial" w:hAnsi="Arial"/>
          <w:b/>
          <w:i w:val="false"/>
          <w:color w:val="000000"/>
          <w:sz w:val="20"/>
        </w:rPr>
        <w:t xml:space="preserve"> </w:t>
      </w:r>
      <w:r>
        <w:rPr>
          <w:rFonts w:hint="default" w:ascii="Arial" w:hAnsi="Arial"/>
          <w:b/>
          <w:i w:val="false"/>
          <w:color w:val="000000"/>
          <w:sz w:val="20"/>
        </w:rPr>
        <w:t>DO CONTROLE E FISCALIZAÇÃO DA EXECUÇÃO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12.1 - Nos termos do art. 117 Lei nº 14.133/2021, será designado servidor para acompanhar e fiscalizar a entrega dos bens, anotando em registro próprio todas as ocorrências relacionadas com a execução e determinando o que for necessário à regularização de falhas ou defeitos observados.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12.2 - O recebimento de material de valor superior ao limite estabelecido na legislação, será confiado a uma comissão de, no mínimo, 3 (t</w:t>
      </w:r>
      <w:r>
        <w:rPr>
          <w:rFonts w:hint="default" w:ascii="Arial" w:hAnsi="Arial"/>
          <w:b w:val="false"/>
          <w:i w:val="false"/>
          <w:color w:val="000000"/>
          <w:sz w:val="20"/>
        </w:rPr>
        <w:t xml:space="preserve"> 
          </w:t>
      </w:r>
      <w:r>
        <w:rPr>
          <w:rFonts w:hint="default" w:ascii="Arial" w:hAnsi="Arial"/>
          <w:b w:val="false"/>
          <w:i w:val="false"/>
          <w:color w:val="000000"/>
          <w:sz w:val="20"/>
        </w:rPr>
        <w:t>rês) membros, designados pela autoridade competente.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12.3 -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Lei nº 8.666, de 1993.</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12.4 -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13.</w:t>
      </w:r>
      <w:r>
        <w:rPr>
          <w:rFonts w:hint="default" w:ascii="Arial" w:hAnsi="Arial"/>
          <w:b/>
          <w:i w:val="false"/>
          <w:color w:val="000000"/>
          <w:sz w:val="20"/>
        </w:rPr>
        <w:t xml:space="preserve"> </w:t>
      </w:r>
      <w:r>
        <w:rPr>
          <w:rFonts w:hint="default" w:ascii="Arial" w:hAnsi="Arial"/>
          <w:b/>
          <w:i w:val="false"/>
          <w:color w:val="000000"/>
          <w:sz w:val="20"/>
        </w:rPr>
        <w:t>DA SUBCONTRATAÇÃO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13.1 - Não será admitida a subcontratação total ou parcial do objeto desta contratação, bem como cedê-lo ou transferi-lo, no todo ou em parte.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14.</w:t>
      </w:r>
      <w:r>
        <w:rPr>
          <w:rFonts w:hint="default" w:ascii="Arial" w:hAnsi="Arial"/>
          <w:b/>
          <w:i w:val="false"/>
          <w:color w:val="000000"/>
          <w:sz w:val="20"/>
        </w:rPr>
        <w:t xml:space="preserve"> </w:t>
      </w:r>
      <w:r>
        <w:rPr>
          <w:rFonts w:hint="default" w:ascii="Arial" w:hAnsi="Arial"/>
          <w:b/>
          <w:i w:val="false"/>
          <w:color w:val="000000"/>
          <w:sz w:val="20"/>
        </w:rPr>
        <w:t>DA CLASSIFICAÇÃO ORÇAMENTÁRIA</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14.1 - A contratação se efetivará no decorrer do exercício de 2022/2023, estando alinhada com os instrumentos de Planejamento estratégico do Governo Estadual – PPA 2020/2023, bem como à Lei Orçamentária vigente, com previsão de recursos necessários para atendimento do objeto mencionado.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14.2 - As despesas decorrentes da aquisição do objeto deste Contrato correrão por conta da seguinte classificação orçamentária: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p>
    <w:tbl>
      <w:tblPr>
        <w:tblW w:w="0" w:type="auto"/>
        <w:tblCellSpacing w:w="0" w:type="auto"/>
        <w:tblBorders>
          <w:top w:val="none"/>
          <w:left w:val="none"/>
          <w:bottom w:val="none"/>
          <w:right w:val="none"/>
          <w:insideH w:val="none"/>
          <w:insideV w:val="none"/>
        </w:tblBorders>
      </w:tblPr>
      <w:tblGrid>
        <w:gridCol w:w="3312"/>
        <w:gridCol w:w="2684"/>
        <w:gridCol w:w="2546"/>
        <w:gridCol w:w="2546"/>
        <w:gridCol w:w="2546"/>
      </w:tblGrid>
      <w:tr>
        <w:tc>
          <w:tcPr>
            <w:tcW w:w="0" w:type="auto"/>
            <w:gridSpan w:val="5"/>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Dotação</w:t>
            </w:r>
          </w:p>
        </w:tc>
      </w:tr>
      <w:tr>
        <w:tc>
          <w:tcPr>
            <w:tcW w:w="3312"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Funcional Programática</w:t>
            </w:r>
          </w:p>
        </w:tc>
        <w:tc>
          <w:tcPr>
            <w:tcW w:w="2684"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Natureza de Despesa</w:t>
            </w:r>
          </w:p>
        </w:tc>
        <w:tc>
          <w:tcPr>
            <w:tcW w:w="2546"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Fonte de Recurso</w:t>
            </w:r>
          </w:p>
        </w:tc>
        <w:tc>
          <w:tcPr>
            <w:tcW w:w="2546"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Valor</w:t>
            </w:r>
          </w:p>
        </w:tc>
        <w:tc>
          <w:tcPr>
            <w:tcW w:w="2546"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Exercício.</w:t>
            </w:r>
          </w:p>
        </w:tc>
      </w:tr>
      <w:tr>
        <w:tc>
          <w:tcPr>
            <w:tcW w:w="3312"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410100 41010 0812211002202</w:t>
            </w:r>
          </w:p>
        </w:tc>
        <w:tc>
          <w:tcPr>
            <w:tcW w:w="268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44905212</w:t>
            </w:r>
          </w:p>
        </w:tc>
        <w:tc>
          <w:tcPr>
            <w:tcW w:w="2546"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5000000000</w:t>
            </w:r>
          </w:p>
        </w:tc>
        <w:tc>
          <w:tcPr>
            <w:tcW w:w="2546"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2546"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2022</w:t>
            </w:r>
          </w:p>
        </w:tc>
      </w:tr>
      <w:tr>
        <w:tc>
          <w:tcPr>
            <w:tcW w:w="0" w:type="auto"/>
            <w:gridSpan w:val="3"/>
            <w:tcBorders/>
          </w:tcPr>
          <w:p>
            <w:pPr>
              <w:spacing w:after="0"/>
              <w:ind w:left="0"/>
              <w:jc w:val="right"/>
            </w:pPr>
            <w:r>
              <w:rPr>
                <w:rFonts w:hint="default" w:ascii="Arial" w:hAnsi="Arial"/>
                <w:b/>
                <w:i w:val="false"/>
                <w:color w:val="000000"/>
                <w:sz w:val="20"/>
              </w:rPr>
              <w:t>Custo total estimado (R$):</w:t>
            </w:r>
          </w:p>
        </w:tc>
        <w:tc>
          <w:tcPr>
            <w:tcW w:w="0" w:type="auto"/>
            <w:gridSpan w:val="2"/>
            <w:tcBorders/>
          </w:tcPr>
          <w:p>
            <w:pPr>
              <w:spacing w:after="0"/>
              <w:ind w:left="0"/>
              <w:jc w:val="left"/>
            </w:pPr>
            <w:r>
              <w:rPr>
                <w:rFonts w:hint="default" w:ascii="Arial" w:hAnsi="Arial"/>
                <w:b/>
                <w:i w:val="false"/>
                <w:color w:val="000000"/>
                <w:sz w:val="20"/>
              </w:rPr>
              <w:t>0,00</w:t>
            </w:r>
          </w:p>
        </w:tc>
      </w:tr>
    </w:tbl>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15.</w:t>
      </w:r>
      <w:r>
        <w:rPr>
          <w:rFonts w:hint="default" w:ascii="Arial" w:hAnsi="Arial"/>
          <w:b/>
          <w:i w:val="false"/>
          <w:color w:val="000000"/>
          <w:sz w:val="20"/>
        </w:rPr>
        <w:t xml:space="preserve"> </w:t>
      </w:r>
      <w:r>
        <w:rPr>
          <w:rFonts w:hint="default" w:ascii="Arial" w:hAnsi="Arial"/>
          <w:b/>
          <w:i w:val="false"/>
          <w:color w:val="000000"/>
          <w:sz w:val="20"/>
        </w:rPr>
        <w:t>DO PAGAMENTO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ff"/>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15.1 - O pagamento será efetuado em até 30 (trinta) dias, após o aceite dos materiais, mediante apresentação da Nota Fiscal/Fatura, devidamente comprovada e em perfeitas condições, atestada pelo setor competente da CONTRATANTE.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15.2 - A Nota Fiscal ou Fatura deverá ser obrigatoriamente acompanhada da comprovação da regularidade fiscal, mediante consulta aos sítios eletrônicos oficiais ou à documentação mencionada no art. 68 da Lei nº 14.133/2021.</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15.3 -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16.</w:t>
      </w:r>
      <w:r>
        <w:rPr>
          <w:rFonts w:hint="default" w:ascii="Arial" w:hAnsi="Arial"/>
          <w:b/>
          <w:i w:val="false"/>
          <w:color w:val="000000"/>
          <w:sz w:val="20"/>
        </w:rPr>
        <w:t xml:space="preserve"> </w:t>
      </w:r>
      <w:r>
        <w:rPr>
          <w:rFonts w:hint="default" w:ascii="Arial" w:hAnsi="Arial"/>
          <w:b/>
          <w:i w:val="false"/>
          <w:color w:val="000000"/>
          <w:sz w:val="20"/>
        </w:rPr>
        <w:t>DAS PENALIDADES</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16.1 - O fornecedor que deixar de cumprir as condições estabelecidas neste Termo ou fizer de modo defeituoso e prejudicial ao bom andamento dos serviços e interesse do Estado, a Administração poderá, garantida a prévia e ampla defesa, aplicar as sanções previstas na Lei nº 14.133.</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16.2 - A empresa será notificada por descumprimento do Termo de Referência e/ou contrato.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17.</w:t>
      </w:r>
      <w:r>
        <w:rPr>
          <w:rFonts w:hint="default" w:ascii="Arial" w:hAnsi="Arial"/>
          <w:b/>
          <w:i w:val="false"/>
          <w:color w:val="000000"/>
          <w:sz w:val="20"/>
        </w:rPr>
        <w:t xml:space="preserve"> </w:t>
      </w:r>
      <w:r>
        <w:rPr>
          <w:rFonts w:hint="default" w:ascii="Arial" w:hAnsi="Arial"/>
          <w:b/>
          <w:i w:val="false"/>
          <w:color w:val="000000"/>
          <w:sz w:val="20"/>
        </w:rPr>
        <w:t>DOS PRAZOS PARA APRESENTAÇÃO DA DOCUMENTAÇÃO EXIGIDA</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17.1 - Os documentos de habilitação e os complementares à proposta deverão ser encaminhados pelo vencedor, no prazo de 24 (horas), contado da solicitação do órgão requisitante, sob pena de inabilitação/desclassificação conforme o caso.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17.2 - As microempresas e empresas de pequeno porte deverão apresentar toda a documentação exigida para efeito de comprovação da documentação solicitada, mesmo que esta apresente alguma restrição, sob pena de inabilitação.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17.2.1 - 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18.</w:t>
      </w:r>
      <w:r>
        <w:rPr>
          <w:rFonts w:hint="default" w:ascii="Arial" w:hAnsi="Arial"/>
          <w:b/>
          <w:i w:val="false"/>
          <w:color w:val="000000"/>
          <w:sz w:val="20"/>
        </w:rPr>
        <w:t xml:space="preserve"> </w:t>
      </w:r>
      <w:r>
        <w:rPr>
          <w:rFonts w:hint="default" w:ascii="Arial" w:hAnsi="Arial"/>
          <w:b/>
          <w:i w:val="false"/>
          <w:color w:val="000000"/>
          <w:sz w:val="20"/>
        </w:rPr>
        <w:t>DOS DOCUMENTOS A SEREM ENCAMINHADOS JUNTAMENTE COM A PROPOSTA</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18.1 
         </w:t>
      </w:r>
      <w:r>
        <w:rPr>
          <w:rFonts w:hint="default" w:ascii="Arial" w:hAnsi="Arial"/>
          <w:b w:val="false"/>
          <w:i w:val="false"/>
          <w:color w:val="000000"/>
          <w:sz w:val="20"/>
        </w:rPr>
        <w:t>- Apresentar Declaração de Ciência do Termo de Referência.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19. DAS DISPOSIÇÕES GERAIS</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br/>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19.1</w:t>
      </w:r>
      <w:r>
        <w:rPr>
          <w:rFonts w:hint="default" w:ascii="Arial" w:hAnsi="Arial"/>
          <w:b/>
          <w:i w:val="false"/>
          <w:color w:val="000000"/>
          <w:sz w:val="20"/>
        </w:rPr>
        <w:t xml:space="preserve"> -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b w:val="false"/>
          <w:i w:val="false"/>
          <w:color w:val="000000"/>
          <w:sz w:val="21"/>
        </w:rPr>
        <w:t>O fornecedor que deixar de cumprir as condições estabelecidas neste Termo ou fizer de modo defeituoso e prejudicial ao bom andamento dos serviços e interesse do Estado, a Administração poderá, garantido a prévia defesa, aplicar as sanções previstas na legislação vigente;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1"/>
        </w:rPr>
        <w:t xml:space="preserve"> </w:t>
      </w:r>
      <w:r>
        <w:br/>
      </w:r>
      <w:r>
        <w:rPr>
          <w:b w:val="false"/>
          <w:i w:val="false"/>
          <w:color w:val="000000"/>
          <w:sz w:val="21"/>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1"/>
        </w:rPr>
        <w:t xml:space="preserve">19.2 - </w:t>
      </w:r>
      <w:r>
        <w:rPr>
          <w:rFonts w:hint="default" w:ascii="Arial" w:hAnsi="Arial"/>
          <w:b w:val="false"/>
          <w:i w:val="false"/>
          <w:color w:val="000000"/>
          <w:sz w:val="20"/>
        </w:rPr>
        <w:t xml:space="preserve"> 
         </w:t>
      </w:r>
      <w:r>
        <w:rPr>
          <w:b w:val="false"/>
          <w:i w:val="false"/>
          <w:color w:val="000000"/>
          <w:sz w:val="21"/>
        </w:rPr>
        <w:t>A empresa será notificada por descumprimento das condições estabelecidas neste Termo.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right"/>
      </w:pPr>
      <w:r>
        <w:rPr>
          <w:rFonts w:hint="default" w:ascii="Arial" w:hAnsi="Arial"/>
          <w:b w:val="false"/>
          <w:i w:val="false"/>
          <w:color w:val="000000"/>
          <w:sz w:val="20"/>
        </w:rPr>
        <w:t xml:space="preserve"> 
         </w:t>
      </w:r>
      <w:r>
        <w:rPr>
          <w:rFonts w:hint="default" w:ascii="Arial" w:hAnsi="Arial"/>
          <w:b w:val="false"/>
          <w:i w:val="false"/>
          <w:color w:val="000000"/>
          <w:sz w:val="20"/>
        </w:rPr>
        <w:t>Palmas 31 de outubro de 2022</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right"/>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right"/>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left"/>
      </w:pPr>
      <w:r>
        <w:rPr>
          <w:rFonts w:hint="default" w:ascii="Arial" w:hAnsi="Arial"/>
          <w:b w:val="false"/>
          <w:i w:val="false"/>
          <w:color w:val="000000"/>
          <w:sz w:val="20"/>
        </w:rPr>
        <w:t xml:space="preserve"> 
         </w:t>
      </w:r>
      <w:r>
        <w:rPr>
          <w:rFonts w:hint="default" w:ascii="Arial" w:hAnsi="Arial"/>
          <w:b w:val="false"/>
          <w:i w:val="false"/>
          <w:color w:val="000000"/>
          <w:sz w:val="20"/>
        </w:rPr>
        <w:t xml:space="preserve">Elaborado por: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Assinatura digital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ALESSANDRA CARVALHAES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Gerente Geral de Administração</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left"/>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left"/>
      </w:pPr>
      <w:r>
        <w:rPr>
          <w:rFonts w:hint="default" w:ascii="Arial" w:hAnsi="Arial"/>
          <w:b w:val="false"/>
          <w:i w:val="false"/>
          <w:color w:val="000000"/>
          <w:sz w:val="20"/>
        </w:rPr>
        <w:t xml:space="preserve"> 
         </w:t>
      </w:r>
      <w:r>
        <w:rPr>
          <w:rFonts w:hint="default" w:ascii="Arial" w:hAnsi="Arial"/>
          <w:b w:val="false"/>
          <w:i w:val="false"/>
          <w:color w:val="000000"/>
          <w:sz w:val="20"/>
        </w:rPr>
        <w:t>Conferido por:</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Assinatura digital</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Mateus Ferreira da Silva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Gerente de Acomp. de Execução Fisica, Financeira e Oper. Do Trabalho</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left"/>
      </w:pPr>
      <w:r>
        <w:rPr>
          <w:rFonts w:hint="default" w:ascii="Arial" w:hAnsi="Arial"/>
          <w:b w:val="false"/>
          <w:i w:val="false"/>
          <w:color w:val="000000"/>
          <w:sz w:val="20"/>
        </w:rPr>
        <w:t xml:space="preserve"> 
         </w:t>
      </w:r>
      <w:r>
        <w:rPr>
          <w:rFonts w:hint="default" w:ascii="Arial" w:hAnsi="Arial"/>
          <w:b w:val="false"/>
          <w:i w:val="false"/>
          <w:color w:val="000000"/>
          <w:sz w:val="20"/>
        </w:rPr>
        <w:t xml:space="preserve">Aprovado por: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left"/>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Assinatura digital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NELSIFRAN SOUSA LINS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Diretor de Administração e Finanças Assinatura digital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Autorizo, observados os aspectos legais, formais e éticos:</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Assinatura digital</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ZORIVAN MONTEIRO DE CASTRO SOARES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Secretário de Estado do Trabalho e Desenvolvimento Social</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center"/>
      </w:pPr>
    </w:p>
    <w:p>
      <w:pPr>
        <w:spacing w:after="0"/>
        <w:ind w:left="0"/>
        <w:jc w:val="center"/>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1"/>
        </w:rPr>
        <w:t>Após analisar o Termo de Referência, segue o atesto do mesmo.</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i w:val="false"/>
          <w:color w:val="000000"/>
          <w:sz w:val="21"/>
        </w:rPr>
        <w:t>David Fontoura Reis</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1"/>
        </w:rPr>
        <w:t>Assistente Administrativo</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left"/>
      </w:pPr>
    </w:p>
    <w:sectPr>
      <w:headerReference w:type="default" r:id="rId8"/>
      <w:footerReference w:type="default" r:id="rId9"/>
      <w:pgSz w:w="11907" w:h="16839" w:code="9"/>
      <w:pgMar w:top="3969" w:right="1134" w:bottom="2268" w:left="1701"/>
    </w:sectPr>
  </w:body>
</w:document>
</file>

<file path=word/footer.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spacing w:after="120"/>
      <w:ind w:left="120"/>
      <w:jc w:val="left"/>
    </w:pPr>
  </w:p>
  <w:tbl>
    <w:tblPr>
      <w:tblW w:w="0" w:type="auto"/>
      <w:tblCellSpacing w:w="20" w:type="dxa"/>
      <w:tblBorders>
        <w:top w:val="none"/>
        <w:left w:val="none"/>
        <w:bottom w:val="none"/>
        <w:right w:val="none"/>
        <w:insideH w:val="none"/>
        <w:insideV w:val="none"/>
      </w:tblBorders>
    </w:tblPr>
    <w:tblGrid>
      <w:gridCol w:w="9367"/>
      <w:gridCol w:w="4227"/>
    </w:tblGrid>
    <w:tr>
      <w:tc>
        <w:tcPr>
          <w:tcW w:w="9367" w:type="dxa"/>
          <w:tcBorders/>
        </w:tcPr>
        <w:p>
          <w:pPr>
            <w:spacing w:after="0"/>
            <w:ind w:left="0"/>
            <w:jc w:val="left"/>
          </w:pPr>
          <w:r>
            <w:rPr>
              <w:rFonts w:hint="default" w:ascii="Arial" w:hAnsi="Arial"/>
              <w:b w:val="false"/>
              <w:i w:val="false"/>
              <w:color w:val="000000"/>
              <w:sz w:val="16"/>
            </w:rPr>
            <w:t>Governo do Estado do Tocantins</w:t>
          </w:r>
        </w:p>
      </w:tc>
      <w:tc>
        <w:tcPr>
          <w:tcW w:w="4227" w:type="dxa"/>
          <w:tcBorders/>
        </w:tcPr>
        <w:p>
          <w:pPr>
            <w:spacing w:after="0"/>
            <w:ind w:left="0"/>
            <w:jc w:val="left"/>
          </w:pPr>
          <w:r>
            <w:rPr>
              <w:rFonts w:hint="default" w:ascii="Arial" w:hAnsi="Arial"/>
              <w:b w:val="false"/>
              <w:i w:val="false"/>
              <w:color w:val="000000"/>
              <w:sz w:val="16"/>
            </w:rPr>
            <w:t xml:space="preserve">Pág. </w:t>
            <w:fldChar w:fldCharType="begin"/>
            <w:instrText xml:space="preserve"> PAGE  \\* MERGEFORMAT </w:instrText>
            <w:fldChar w:fldCharType="end"/>
          </w:r>
        </w:p>
      </w:tc>
    </w:tr>
  </w:tbl>
</w:ftr>
</file>

<file path=word/header.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spacing w:after="120"/>
      <w:ind w:left="120"/>
      <w:jc w:val="left"/>
    </w:pPr>
  </w:p>
  <w:tbl>
    <w:tblPr>
      <w:tblW w:w="0" w:type="auto"/>
      <w:tblCellSpacing w:w="20" w:type="dxa"/>
      <w:tblBorders>
        <w:top w:val="none"/>
        <w:left w:val="none"/>
        <w:bottom w:val="none"/>
        <w:right w:val="none"/>
        <w:insideH w:val="none"/>
        <w:insideV w:val="none"/>
      </w:tblBorders>
    </w:tblPr>
    <w:tblGrid>
      <w:gridCol w:w="12566"/>
      <w:gridCol w:w="1028"/>
    </w:tblGrid>
    <w:tr>
      <w:tc>
        <w:tcPr>
          <w:tcW w:w="12566" w:type="dxa"/>
          <w:tcBorders/>
        </w:tcPr>
        <w:p>
          <w:pPr>
            <w:spacing w:after="0"/>
            <w:ind w:left="0"/>
            <w:jc w:val="right"/>
          </w:pPr>
          <w:r>
            <w:rPr>
              <w:rFonts w:hint="default" w:ascii="Arial" w:hAnsi="Arial"/>
              <w:b/>
              <w:i w:val="false"/>
              <w:color w:val="000000"/>
              <w:sz w:val="18"/>
            </w:rPr>
            <w:t xml:space="preserve">
        Secretaria do Trabalho e Desenvolvimento Social
      </w:t>
          </w:r>
        </w:p>
      </w:tc>
      <w:tc>
        <w:tcPr>
          <w:tcW w:w="1028" w:type="dxa"/>
          <w:tcBorders/>
        </w:tcPr>
        <w:p>
          <w:r>
            <w:drawing>
              <wp:inline distT="0" distB="0" distL="0" distR="0">
                <wp:extent cx="2149810" cy="8890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
                        <a:stretch>
                          <a:fillRect/>
                        </a:stretch>
                      </pic:blipFill>
                      <pic:spPr>
                        <a:xfrm>
                          <a:off x="0" y="0"/>
                          <a:ext cx="2149810" cy="889000"/>
                        </a:xfrm>
                        <a:prstGeom prst="rect">
                          <a:avLst/>
                        </a:prstGeom>
                      </pic:spPr>
                    </pic:pic>
                  </a:graphicData>
                </a:graphic>
              </wp:inline>
            </w:drawing>
          </w:r>
        </w:p>
      </w:tc>
    </w:tr>
  </w:tbl>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planalto.gov.br/ccivil_03/_ato2019-2022/2021/lei/L14133.htm" Type="http://schemas.openxmlformats.org/officeDocument/2006/relationships/hyperlink" Id="rId4"/>
    <Relationship TargetMode="External" Target="http://www.planalto.gov.br/ccivil_03/leis/lcp/lcp123.htm" Type="http://schemas.openxmlformats.org/officeDocument/2006/relationships/hyperlink" Id="rId5"/>
    <Relationship TargetMode="External" Target="http://servicos.casacivil.to.gov.br/decretos/decreto/6084" Type="http://schemas.openxmlformats.org/officeDocument/2006/relationships/hyperlink" Id="rId6"/>
    <Relationship TargetMode="External" Target="http://www.siga.to.gov.br/compra-direta" Type="http://schemas.openxmlformats.org/officeDocument/2006/relationships/hyperlink" Id="rId7"/>
    <Relationship Target="header.xml" Type="http://schemas.openxmlformats.org/officeDocument/2006/relationships/header" Id="rId8"/>
    <Relationship Target="footer.xml" Type="http://schemas.openxmlformats.org/officeDocument/2006/relationships/footer" Id="rId9"/>
</Relationships>

</file>

<file path=word/_rels/header.xml.rels><?xml version="1.0" encoding="UTF-8" standalone="yes"?>
<Relationships xmlns="http://schemas.openxmlformats.org/package/2006/relationships">
    <Relationship Target="media/header_image_rId1.png" Type="http://schemas.openxmlformats.org/officeDocument/2006/relationships/image" Id="rId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