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9 (Apache licensed) using REFERENCE JAXB in Temurin Java 1.8.0_345 on Linux -->
    <w:p>
      <w:pPr>
        <w:spacing w:before="0" w:after="0" w:line="360"/>
        <w:ind w:left="0"/>
        <w:jc w:val="center"/>
      </w:pPr>
      <w:bookmarkStart w:name="body" w:id="0"/>
      <w:bookmarkStart w:name="contents" w:id="1"/>
      <w:r>
        <w:rPr>
          <w:rFonts w:hint="default" w:ascii="Arial" w:hAnsi="Arial"/>
          <w:b w:val="false"/>
          <w:i w:val="false"/>
          <w:color w:val="000000"/>
          <w:sz w:val="20"/>
        </w:rPr>
        <w:t xml:space="preserve"/>
      </w:r>
      <w:r>
        <w:rPr>
          <w:rFonts w:hint="default" w:ascii="Arial" w:hAnsi="Arial"/>
          <w:b/>
          <w:i w:val="false"/>
          <w:color w:val="000000"/>
          <w:sz w:val="20"/>
        </w:rPr>
        <w:t>TERMO DE REFERÊNCIA</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COMPRA DIRETA</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(MATERIAIS – COM CONTRATO – LEI 14.133/2021)</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2023/41000/000403</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w:t>
      </w:r>
      <w:r>
        <w:rPr>
          <w:rFonts w:hint="default" w:ascii="Arial" w:hAnsi="Arial"/>
          <w:b/>
          <w:i w:val="false"/>
          <w:color w:val="000000"/>
          <w:sz w:val="20"/>
        </w:rPr>
        <w:t xml:space="preserve"> </w:t>
      </w:r>
      <w:r>
        <w:rPr>
          <w:rFonts w:hint="default" w:ascii="Arial" w:hAnsi="Arial"/>
          <w:b/>
          <w:i w:val="false"/>
          <w:color w:val="000000"/>
          <w:sz w:val="20"/>
        </w:rPr>
        <w:t>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1.1 </w:t>
      </w:r>
      <w:r>
        <w:rPr>
          <w:rFonts w:hint="default" w:ascii="Arial" w:hAnsi="Arial"/>
          <w:b w:val="false"/>
          <w:i w:val="false"/>
          <w:color w:val="000000"/>
          <w:sz w:val="20"/>
        </w:rPr>
        <w:t xml:space="preserve">- </w:t>
      </w:r>
      <w:r>
        <w:rPr>
          <w:rFonts w:hint="default" w:ascii="Arial" w:hAnsi="Arial"/>
          <w:b w:val="false"/>
          <w:i w:val="false"/>
          <w:color w:val="000000"/>
          <w:sz w:val="20"/>
        </w:rPr>
        <w:t>Aquisição de água mineral envasada em galão com 20 litros e garrafas de 500ml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visando atender as necessidades da(o) </w:t>
      </w:r>
      <w:r>
        <w:rPr>
          <w:rFonts w:hint="default" w:ascii="Arial" w:hAnsi="Arial"/>
          <w:b w:val="false"/>
          <w:i w:val="false"/>
          <w:color w:val="000000"/>
          <w:sz w:val="20"/>
        </w:rPr>
        <w:t>Secretaria do Trabalho e Desenvolvimento Social</w:t>
      </w:r>
      <w:r>
        <w:rPr>
          <w:rFonts w:hint="default" w:ascii="Arial" w:hAnsi="Arial"/>
          <w:b w:val="false"/>
          <w:i w:val="false"/>
          <w:color w:val="000000"/>
          <w:sz w:val="20"/>
        </w:rPr>
        <w:t xml:space="preserve"> - </w:t>
      </w:r>
      <w:r>
        <w:rPr>
          <w:rFonts w:hint="default" w:ascii="Arial" w:hAnsi="Arial"/>
          <w:b w:val="false"/>
          <w:i w:val="false"/>
          <w:color w:val="000000"/>
          <w:sz w:val="20"/>
        </w:rPr>
        <w:t>SETAS</w:t>
      </w:r>
      <w:r>
        <w:rPr>
          <w:rFonts w:hint="default" w:ascii="Arial" w:hAnsi="Arial"/>
          <w:b w:val="false"/>
          <w:i w:val="false"/>
          <w:color w:val="000000"/>
          <w:sz w:val="20"/>
        </w:rPr>
        <w:t>, conforme condições, quantidades e exigências estabelecidas neste instrumento.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2.</w:t>
      </w:r>
      <w:r>
        <w:rPr>
          <w:rFonts w:hint="default" w:ascii="Arial" w:hAnsi="Arial"/>
          <w:b/>
          <w:i w:val="false"/>
          <w:color w:val="000000"/>
          <w:sz w:val="20"/>
        </w:rPr>
        <w:t xml:space="preserve"> </w:t>
      </w:r>
      <w:r>
        <w:rPr>
          <w:rFonts w:hint="default" w:ascii="Arial" w:hAnsi="Arial"/>
          <w:b/>
          <w:i w:val="false"/>
          <w:color w:val="000000"/>
          <w:sz w:val="20"/>
        </w:rPr>
        <w:t>JUSTIFICATIVA E OBJETIVO DA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A presente contratação visa dar continuidade e ainda garantir o fornecimento imprescindível de água mineral nas dependências da SETAS e seus anexos para o consumo dos servidores, colaboradores, visitantes e usuários . As garrafas de 500 ml serão para uso dos secretários (gabinete) e atender aos eventos externos da Diretoria do SUAS e Serviços Especiais.</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A realização de uma nova contratação para o fornecimento de água mineral se faz necessária em razão do fim do saldo do ultimo contrato. Considerando que o fornecimento de água mineral é essencial para o bom funcionamento dos diversos departamentos e anexos da Setas.</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A aquisição do bem de consumo permitirá a garantia de uma infraestrutura adequada e melhores condições de trabalho para os servidores e atendimentos ao público. A necessidade de aquisição de garrafa de 500ml será para atender as demandas do gabinete do Secretário e Secretaria Executiva, e também para atender as reuniões externas e eventos realizados pela Diretoria do SUAS e Serviços Especiais.</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Pretende-se adquirir os materiais, selecionando a proposta mais vantajosa para a administração, observando os princípios de isonomia e de sustentabilidade.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3.</w:t>
      </w:r>
      <w:r>
        <w:rPr>
          <w:rFonts w:hint="default" w:ascii="Arial" w:hAnsi="Arial"/>
          <w:b/>
          <w:i w:val="false"/>
          <w:color w:val="000000"/>
          <w:sz w:val="20"/>
        </w:rPr>
        <w:t xml:space="preserve"> </w:t>
      </w:r>
      <w:r>
        <w:rPr>
          <w:rFonts w:hint="default" w:ascii="Arial" w:hAnsi="Arial"/>
          <w:b/>
          <w:i w:val="false"/>
          <w:color w:val="000000"/>
          <w:sz w:val="20"/>
        </w:rPr>
        <w:t>DA FUNDAMENTAÇÃO LEGAL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3.1</w:t>
      </w:r>
      <w:r>
        <w:rPr>
          <w:rFonts w:hint="default" w:ascii="Arial" w:hAnsi="Arial"/>
          <w:b w:val="false"/>
          <w:i w:val="false"/>
          <w:color w:val="000000"/>
          <w:sz w:val="20"/>
        </w:rPr>
        <w:t xml:space="preserve"> - A aquisição em tela tem amparo nas leis que fundamentam a modalidade de licitação dispensável, nos limites dos Incisos II do art. 75 da lei 14133/2021, através do </w:t>
      </w:r>
      <w:r>
        <w:rPr>
          <w:rFonts w:hint="default" w:ascii="Arial" w:hAnsi="Arial"/>
          <w:b/>
          <w:i w:val="false"/>
          <w:color w:val="000000"/>
          <w:sz w:val="20"/>
        </w:rPr>
        <w:t>SISTEMA DE COMPRA DIRETA</w:t>
      </w:r>
      <w:r>
        <w:rPr>
          <w:rFonts w:hint="default" w:ascii="Arial" w:hAnsi="Arial"/>
          <w:b w:val="false"/>
          <w:i w:val="false"/>
          <w:color w:val="000000"/>
          <w:sz w:val="20"/>
        </w:rPr>
        <w:t>, tais como: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a) </w:t>
      </w:r>
      <w:hyperlink r:id="rId4">
        <w:r>
          <w:rPr>
            <w:rStyle w:val="Hyperlink"/>
            <w:rFonts w:hint="default" w:ascii="Arial" w:hAnsi="Arial"/>
            <w:b/>
            <w:i w:val="false"/>
            <w:color w:val="0000ff"/>
            <w:sz w:val="20"/>
            <w:u w:val="single"/>
          </w:rPr>
          <w:t>Lei Federal nº 14.133/2021</w:t>
        </w:r>
      </w:hyperlink>
      <w:r>
        <w:rPr>
          <w:rFonts w:hint="default" w:ascii="Arial" w:hAnsi="Arial"/>
          <w:b/>
          <w:i w:val="false"/>
          <w:color w:val="000000"/>
          <w:sz w:val="20"/>
        </w:rPr>
        <w:t xml:space="preserve"> </w:t>
      </w:r>
      <w:r>
        <w:rPr>
          <w:rFonts w:hint="default" w:ascii="Arial" w:hAnsi="Arial"/>
          <w:b w:val="false"/>
          <w:i w:val="false"/>
          <w:color w:val="000000"/>
          <w:sz w:val="20"/>
        </w:rPr>
        <w:t>– Lei de Licitações e Contratos Administrativos.</w:t>
      </w:r>
      <w:r>
        <w:rPr>
          <w:rFonts w:hint="default" w:ascii="Arial" w:hAnsi="Arial"/>
          <w:b w:val="false"/>
          <w:i w:val="false"/>
          <w:color w:val="000000"/>
          <w:sz w:val="20"/>
        </w:rPr>
        <w:t xml:space="preserve"/>
      </w: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b)</w:t>
      </w:r>
      <w:r>
        <w:rPr>
          <w:rFonts w:hint="default" w:ascii="Arial" w:hAnsi="Arial"/>
          <w:b/>
          <w:i w:val="false"/>
          <w:color w:val="000000"/>
          <w:sz w:val="20"/>
        </w:rPr>
        <w:t xml:space="preserve"> </w:t>
      </w:r>
      <w:hyperlink r:id="rId5">
        <w:r>
          <w:rPr>
            <w:rStyle w:val="Hyperlink"/>
            <w:rFonts w:hint="default" w:ascii="Arial" w:hAnsi="Arial"/>
            <w:b/>
            <w:i w:val="false"/>
            <w:color w:val="0000ff"/>
            <w:sz w:val="20"/>
            <w:u w:val="single"/>
          </w:rPr>
          <w:t>Lei Complementar nº 123/2006</w:t>
        </w:r>
      </w:hyperlink>
      <w:r>
        <w:rPr>
          <w:rFonts w:hint="default" w:ascii="Arial" w:hAnsi="Arial"/>
          <w:b/>
          <w:i w:val="false"/>
          <w:color w:val="000000"/>
          <w:sz w:val="20"/>
        </w:rPr>
        <w:t xml:space="preserve"> </w:t>
      </w:r>
      <w:r>
        <w:rPr>
          <w:rFonts w:hint="default" w:ascii="Arial" w:hAnsi="Arial"/>
          <w:b w:val="false"/>
          <w:i w:val="false"/>
          <w:color w:val="000000"/>
          <w:sz w:val="20"/>
        </w:rPr>
        <w:t>- Institui o Estatuto Nacional da Microempresa e da Empresa de Pequeno Porte</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c) </w:t>
      </w:r>
      <w:hyperlink r:id="rId6">
        <w:r>
          <w:rPr>
            <w:rStyle w:val="Hyperlink"/>
            <w:rFonts w:hint="default" w:ascii="Arial" w:hAnsi="Arial"/>
            <w:b/>
            <w:i w:val="false"/>
            <w:color w:val="0000ff"/>
            <w:sz w:val="20"/>
            <w:u w:val="single"/>
          </w:rPr>
          <w:t>Decreto</w:t>
        </w:r>
        <w:r>
          <w:rPr>
            <w:rFonts w:hint="default" w:ascii="Arial" w:hAnsi="Arial"/>
            <w:b/>
            <w:i w:val="false"/>
            <w:color w:val="0000ff"/>
            <w:sz w:val="20"/>
          </w:rPr>
          <w:t xml:space="preserve"> 6.084, de 14 de abril de 2020</w:t>
        </w:r>
        <w:r>
          <w:rPr>
            <w:rFonts w:hint="default" w:ascii="Arial" w:hAnsi="Arial"/>
            <w:b/>
            <w:i w:val="false"/>
            <w:color w:val="0000ff"/>
            <w:sz w:val="20"/>
            <w:u w:val="single"/>
          </w:rPr>
          <w:t xml:space="preserve"> </w:t>
        </w:r>
      </w:hyperlink>
      <w:r>
        <w:rPr>
          <w:rFonts w:hint="default" w:ascii="Arial" w:hAnsi="Arial"/>
          <w:b w:val="false"/>
          <w:i w:val="false"/>
          <w:color w:val="000000"/>
          <w:sz w:val="20"/>
        </w:rPr>
        <w:t>- Institui o Sistema Integrado de Gestão Administrativa do Estado do Tocantins - SIGA-TO, e adota outras providências.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d) </w:t>
      </w:r>
      <w:r>
        <w:rPr>
          <w:rFonts w:hint="default" w:ascii="Arial" w:hAnsi="Arial"/>
          <w:b/>
          <w:i w:val="false"/>
          <w:color w:val="0000ff"/>
          <w:sz w:val="20"/>
        </w:rPr>
        <w:t>Portaria SEFAZ nº 507/2020/GABSEC de 03/06/2020</w:t>
      </w:r>
      <w:r>
        <w:rPr>
          <w:rFonts w:hint="default" w:ascii="Arial" w:hAnsi="Arial"/>
          <w:b/>
          <w:i w:val="false"/>
          <w:color w:val="000000"/>
          <w:sz w:val="20"/>
        </w:rPr>
        <w:t xml:space="preserve"> </w:t>
      </w:r>
      <w:r>
        <w:rPr>
          <w:rFonts w:hint="default" w:ascii="Arial" w:hAnsi="Arial"/>
          <w:b w:val="false"/>
          <w:i w:val="false"/>
          <w:color w:val="000000"/>
          <w:sz w:val="20"/>
        </w:rPr>
        <w:t>- Institui o CATÁLOGO DE MATERIAIS E SERVIÇOS a ser utilizado pelos órgãos da Administração Pública Direta e Indireta do Poder Executivo do Estado do Tocantins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e) </w:t>
      </w:r>
      <w:r>
        <w:rPr>
          <w:rFonts w:hint="default" w:ascii="Arial" w:hAnsi="Arial"/>
          <w:b/>
          <w:i w:val="false"/>
          <w:color w:val="0000ff"/>
          <w:sz w:val="20"/>
        </w:rPr>
        <w:t>Portaria SEFAZ Nº 235/2021/GABSEC</w:t>
      </w:r>
      <w:r>
        <w:rPr>
          <w:rFonts w:hint="default" w:ascii="Arial" w:hAnsi="Arial"/>
          <w:b/>
          <w:i w:val="false"/>
          <w:color w:val="000000"/>
          <w:sz w:val="20"/>
        </w:rPr>
        <w:t xml:space="preserve"> </w:t>
      </w:r>
      <w:r>
        <w:rPr>
          <w:rFonts w:hint="default" w:ascii="Arial" w:hAnsi="Arial"/>
          <w:b w:val="false"/>
          <w:i w:val="false"/>
          <w:color w:val="000000"/>
          <w:sz w:val="20"/>
        </w:rPr>
        <w:t xml:space="preserve">, de 06 de abril de 2021 </w:t>
      </w:r>
      <w:r>
        <w:rPr>
          <w:rFonts w:hint="default" w:ascii="Arial" w:hAnsi="Arial"/>
          <w:b/>
          <w:i w:val="false"/>
          <w:color w:val="000000"/>
          <w:sz w:val="20"/>
        </w:rPr>
        <w:t xml:space="preserve">- </w:t>
      </w:r>
      <w:r>
        <w:rPr>
          <w:rFonts w:hint="default" w:ascii="Arial" w:hAnsi="Arial"/>
          <w:b w:val="false"/>
          <w:i w:val="false"/>
          <w:color w:val="000000"/>
          <w:sz w:val="20"/>
        </w:rPr>
        <w:t>Define normas e procedimentos para aquisições através do SISTEMA DE COMPRA DIRETA através da Cotação Eletrônica nos limites de licitação dispensável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4.</w:t>
      </w:r>
      <w:r>
        <w:rPr>
          <w:rFonts w:hint="default" w:ascii="Arial" w:hAnsi="Arial"/>
          <w:b/>
          <w:i w:val="false"/>
          <w:color w:val="000000"/>
          <w:sz w:val="20"/>
        </w:rPr>
        <w:t xml:space="preserve"> </w:t>
      </w:r>
      <w:r>
        <w:rPr>
          <w:rFonts w:hint="default" w:ascii="Arial" w:hAnsi="Arial"/>
          <w:b/>
          <w:i w:val="false"/>
          <w:color w:val="000000"/>
          <w:sz w:val="20"/>
        </w:rPr>
        <w:t>DAS ESPECIFICAÇÕES TÉCNICAS DO OBJETO:</w:t>
      </w:r>
      <w:r>
        <w:rPr>
          <w:rFonts w:hint="default" w:ascii="Arial" w:hAnsi="Arial"/>
          <w:b w:val="false"/>
          <w:i w:val="false"/>
          <w:color w:val="000000"/>
          <w:sz w:val="20"/>
        </w:rPr>
        <w:t xml:space="preserve"/>
      </w: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498"/>
        <w:gridCol w:w="354"/>
        <w:gridCol w:w="740"/>
        <w:gridCol w:w="9293"/>
        <w:gridCol w:w="712"/>
        <w:gridCol w:w="660"/>
        <w:gridCol w:w="433"/>
        <w:gridCol w:w="441"/>
        <w:gridCol w:w="503"/>
      </w:tblGrid>
      <w:tr>
        <w:trPr>
          <w:trHeight w:val="225" w:hRule="atLeast"/>
        </w:trPr>
        <w:tc>
          <w:tcPr>
            <w:tcW w:w="0" w:type="auto"/>
            <w:gridSpan w:val="9"/>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Itens</w:t>
            </w:r>
          </w:p>
        </w:tc>
      </w:tr>
      <w:tr>
        <w:trPr>
          <w:trHeight w:val="405" w:hRule="atLeast"/>
        </w:trPr>
        <w:tc>
          <w:tcPr>
            <w:tcW w:w="498"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Tipo</w:t>
            </w:r>
          </w:p>
        </w:tc>
        <w:tc>
          <w:tcPr>
            <w:tcW w:w="354"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Item</w:t>
            </w:r>
          </w:p>
        </w:tc>
        <w:tc>
          <w:tcPr>
            <w:tcW w:w="740"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Código</w:t>
            </w:r>
          </w:p>
        </w:tc>
        <w:tc>
          <w:tcPr>
            <w:tcW w:w="929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Descrição</w:t>
            </w:r>
          </w:p>
        </w:tc>
        <w:tc>
          <w:tcPr>
            <w:tcW w:w="712"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Un. Aquisição</w:t>
            </w:r>
          </w:p>
        </w:tc>
        <w:tc>
          <w:tcPr>
            <w:tcW w:w="660"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Qtd.</w:t>
            </w:r>
          </w:p>
        </w:tc>
        <w:tc>
          <w:tcPr>
            <w:tcW w:w="43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Unit.</w:t>
            </w:r>
          </w:p>
        </w:tc>
        <w:tc>
          <w:tcPr>
            <w:tcW w:w="441"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Total</w:t>
            </w:r>
          </w:p>
        </w:tc>
        <w:tc>
          <w:tcPr>
            <w:tcW w:w="503"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Vlr. Acum.</w:t>
            </w:r>
          </w:p>
        </w:tc>
      </w:tr>
      <w:tr>
        <w:trPr>
          <w:trHeight w:val="435" w:hRule="atLeast"/>
        </w:trPr>
        <w:tc>
          <w:tcPr>
            <w:tcW w:w="49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Item 001</w:t>
            </w:r>
          </w:p>
        </w:tc>
        <w:tc>
          <w:tcPr>
            <w:tcW w:w="354"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w:t>
            </w:r>
          </w:p>
        </w:tc>
        <w:tc>
          <w:tcPr>
            <w:tcW w:w="74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00016449</w:t>
            </w:r>
          </w:p>
        </w:tc>
        <w:tc>
          <w:tcPr>
            <w:tcW w:w="929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Água mineral - Categoria: sem gás; Embalagem: galão com 20 litros; Requisito: acondicionada em plástico descartável, contendo no rótulo a composição química e o registro no Ministério da Saúde.</w:t>
            </w:r>
          </w:p>
        </w:tc>
        <w:tc>
          <w:tcPr>
            <w:tcW w:w="71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1 - Unidade</w:t>
            </w:r>
          </w:p>
        </w:tc>
        <w:tc>
          <w:tcPr>
            <w:tcW w:w="66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960,00</w:t>
            </w:r>
          </w:p>
        </w:tc>
        <w:tc>
          <w:tcPr>
            <w:tcW w:w="43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441"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50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r>
      <w:tr>
        <w:trPr>
          <w:trHeight w:val="435" w:hRule="atLeast"/>
        </w:trPr>
        <w:tc>
          <w:tcPr>
            <w:tcW w:w="498"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Item 002</w:t>
            </w:r>
          </w:p>
        </w:tc>
        <w:tc>
          <w:tcPr>
            <w:tcW w:w="354"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w:t>
            </w:r>
          </w:p>
        </w:tc>
        <w:tc>
          <w:tcPr>
            <w:tcW w:w="74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00016446</w:t>
            </w:r>
          </w:p>
        </w:tc>
        <w:tc>
          <w:tcPr>
            <w:tcW w:w="929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Água mineral - Categoria: sem gás; Embalagem: garrafa com 500 ml; Requisito: acondicionada em plástico descartável, contendo no rótulo a composição química e o registro no Ministério da Saúde.</w:t>
            </w:r>
          </w:p>
        </w:tc>
        <w:tc>
          <w:tcPr>
            <w:tcW w:w="71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1 - Unidade</w:t>
            </w:r>
          </w:p>
        </w:tc>
        <w:tc>
          <w:tcPr>
            <w:tcW w:w="660"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2.400,00</w:t>
            </w:r>
          </w:p>
        </w:tc>
        <w:tc>
          <w:tcPr>
            <w:tcW w:w="43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441"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50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r>
      <w:tr>
        <w:trPr>
          <w:trHeight w:val="255" w:hRule="atLeast"/>
        </w:trPr>
        <w:tc>
          <w:tcPr>
            <w:tcW w:w="0" w:type="auto"/>
            <w:gridSpan w:val="6"/>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Total (R$):</w:t>
            </w:r>
          </w:p>
        </w:tc>
        <w:tc>
          <w:tcPr>
            <w:tcW w:w="43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441"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c>
          <w:tcPr>
            <w:tcW w:w="503"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5.</w:t>
      </w:r>
      <w:r>
        <w:rPr>
          <w:rFonts w:hint="default" w:ascii="Arial" w:hAnsi="Arial"/>
          <w:b/>
          <w:i w:val="false"/>
          <w:color w:val="000000"/>
          <w:sz w:val="20"/>
        </w:rPr>
        <w:t xml:space="preserve"> </w:t>
      </w:r>
      <w:r>
        <w:rPr>
          <w:rFonts w:hint="default" w:ascii="Arial" w:hAnsi="Arial"/>
          <w:b/>
          <w:i w:val="false"/>
          <w:color w:val="000000"/>
          <w:sz w:val="20"/>
        </w:rPr>
        <w:t>DO PRAZO E DA ENTREGA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5.1 - O prazo de entrega será de </w:t>
      </w:r>
      <w:r>
        <w:rPr>
          <w:rFonts w:hint="default" w:ascii="Arial" w:hAnsi="Arial"/>
          <w:b w:val="false"/>
          <w:i w:val="false"/>
          <w:color w:val="000000"/>
          <w:sz w:val="20"/>
        </w:rPr>
        <w:t>Imediato</w:t>
      </w:r>
      <w:r>
        <w:rPr>
          <w:rFonts w:hint="default" w:ascii="Arial" w:hAnsi="Arial"/>
          <w:b w:val="false"/>
          <w:i w:val="false"/>
          <w:color w:val="000000"/>
          <w:sz w:val="20"/>
        </w:rPr>
        <w:t xml:space="preserve"> dias corridos, contados do recebimento da Nota de Empenho.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5.2 - A entrega dos referidos materiais será efetuada em horário de expediente, no seguinte endereço: </w:t>
      </w:r>
      <w:r>
        <w:rPr>
          <w:rFonts w:hint="default" w:ascii="Arial" w:hAnsi="Arial"/>
          <w:b w:val="false"/>
          <w:i w:val="false"/>
          <w:color w:val="000000"/>
          <w:sz w:val="20"/>
        </w:rPr>
        <w:t>Secretaria do Trabalho e Desenvolvimento Social - Praça dos Girassois</w:t>
      </w:r>
      <w:r>
        <w:rPr>
          <w:rFonts w:hint="default" w:ascii="Arial" w:hAnsi="Arial"/>
          <w:b w:val="false"/>
          <w:i w:val="false"/>
          <w:color w:val="000000"/>
          <w:sz w:val="20"/>
        </w:rPr>
        <w:t xml:space="preserve"> na presença de servidor devidamente autorizado que terá o prazo de até 05 (cinco) dias corridos para aceitação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5.3 - A responsabilidade pelo recebimento do material ficará a cargo de servidor designado formalmente pela </w:t>
      </w:r>
      <w:r>
        <w:rPr>
          <w:rFonts w:hint="default" w:ascii="Arial" w:hAnsi="Arial"/>
          <w:b w:val="false"/>
          <w:i w:val="false"/>
          <w:color w:val="000000"/>
          <w:sz w:val="20"/>
        </w:rPr>
        <w:t>SETAS</w:t>
      </w:r>
      <w:r>
        <w:rPr>
          <w:rFonts w:hint="default" w:ascii="Arial" w:hAnsi="Arial"/>
          <w:b w:val="false"/>
          <w:i w:val="false"/>
          <w:color w:val="000000"/>
          <w:sz w:val="20"/>
        </w:rPr>
        <w:t>, o qual deverá proceder ao atesto da(s) nota(s) fiscal(is).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6.</w:t>
      </w:r>
      <w:r>
        <w:rPr>
          <w:rFonts w:hint="default" w:ascii="Arial" w:hAnsi="Arial"/>
          <w:b/>
          <w:i w:val="false"/>
          <w:color w:val="000000"/>
          <w:sz w:val="20"/>
        </w:rPr>
        <w:t xml:space="preserve"> </w:t>
      </w:r>
      <w:r>
        <w:rPr>
          <w:rFonts w:hint="default" w:ascii="Arial" w:hAnsi="Arial"/>
          <w:b/>
          <w:i w:val="false"/>
          <w:color w:val="000000"/>
          <w:sz w:val="20"/>
        </w:rPr>
        <w:t>REQUISITOS DA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6.1 - </w:t>
      </w:r>
      <w:r>
        <w:rPr>
          <w:rFonts w:hint="default" w:ascii="Arial" w:hAnsi="Arial"/>
          <w:b w:val="false"/>
          <w:i w:val="false"/>
          <w:color w:val="000000"/>
          <w:sz w:val="20"/>
        </w:rPr>
        <w:t>A presente contratação de dispensa será realizada por meio de cotação eletrônica, do tipo “</w:t>
      </w:r>
      <w:r>
        <w:rPr>
          <w:rFonts w:hint="default" w:ascii="Arial" w:hAnsi="Arial"/>
          <w:b w:val="false"/>
          <w:i w:val="false"/>
          <w:color w:val="000000"/>
          <w:sz w:val="20"/>
        </w:rPr>
        <w:t xml:space="preserve"> </w:t>
      </w:r>
      <w:r>
        <w:rPr>
          <w:rFonts w:hint="default" w:ascii="Arial" w:hAnsi="Arial"/>
          <w:b w:val="false"/>
          <w:i w:val="false"/>
          <w:color w:val="000000"/>
          <w:sz w:val="20"/>
        </w:rPr>
        <w:t xml:space="preserve">MENOR PREÇO UNITÁRIO” ou “MENOR PREÇO TOTAL POR ITEM </w:t>
      </w:r>
      <w:r>
        <w:rPr>
          <w:rFonts w:hint="default" w:ascii="Arial" w:hAnsi="Arial"/>
          <w:b w:val="false"/>
          <w:i w:val="false"/>
          <w:color w:val="000000"/>
          <w:sz w:val="20"/>
        </w:rPr>
        <w:t xml:space="preserve">”, realizada através de Sistema Eletrônico, no Portal de Compras do Governo Estadual – localizado no site </w:t>
      </w:r>
      <w:hyperlink r:id="rId7">
        <w:r>
          <w:rPr>
            <w:rStyle w:val="Hyperlink"/>
            <w:rFonts w:hint="default" w:ascii="Arial" w:hAnsi="Arial"/>
            <w:b w:val="false"/>
            <w:i w:val="false"/>
            <w:color w:val="0000ff"/>
            <w:sz w:val="20"/>
            <w:u w:val="single"/>
          </w:rPr>
          <w:t>http://www.siga.to.gov.br/compra-direta</w:t>
        </w:r>
      </w:hyperlink>
      <w:r>
        <w:rPr>
          <w:rFonts w:hint="default" w:ascii="Arial" w:hAnsi="Arial"/>
          <w:b w:val="false"/>
          <w:i w:val="false"/>
          <w:color w:val="000000"/>
          <w:sz w:val="20"/>
        </w:rPr>
        <w:t>.</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7.</w:t>
      </w:r>
      <w:r>
        <w:rPr>
          <w:rFonts w:hint="default" w:ascii="Arial" w:hAnsi="Arial"/>
          <w:b/>
          <w:i w:val="false"/>
          <w:color w:val="000000"/>
          <w:sz w:val="20"/>
        </w:rPr>
        <w:t xml:space="preserve"> </w:t>
      </w:r>
      <w:r>
        <w:rPr>
          <w:rFonts w:hint="default" w:ascii="Arial" w:hAnsi="Arial"/>
          <w:b/>
          <w:i w:val="false"/>
          <w:color w:val="000000"/>
          <w:sz w:val="20"/>
        </w:rPr>
        <w:t>CRITÉRIOS DE ACEITAÇÃO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7.1 </w:t>
      </w:r>
      <w:r>
        <w:rPr>
          <w:rFonts w:hint="default" w:ascii="Arial" w:hAnsi="Arial"/>
          <w:b w:val="false"/>
          <w:i w:val="false"/>
          <w:color w:val="000000"/>
          <w:sz w:val="20"/>
        </w:rPr>
        <w:t>- Os bens serão recebidos provisoriamente no prazo de 02 (dois) dias, pelo(a) responsável pelo acompanhamento e fiscalização do contrato, para efeito de posterior verificação de sua conformidade com as especificações constantes neste Termo de Referência e na proposta.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7.2 - 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7.3 - Os bens serão recebidos definitivamente no prazo de 05 (cinc) dias, contados do recebimento provisório, após a verificação da qualidade e quantidade do material e consequente aceitação mediante termo circunstanciado.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7.4 - Na hipótese de a verificação a que se refere o subitem anterior não ser procedida dentro do prazo fixado, reputar-se-á como realizada, consumando-se o recebimento definitivo no dia do esgotamento do prazo.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7.5 - O recebimento provisório ou definitivo do objeto não exclui a responsabilidade da contratada pelos prejuízos resultantes da incorreta execução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8.</w:t>
      </w:r>
      <w:r>
        <w:rPr>
          <w:rFonts w:hint="default" w:ascii="Arial" w:hAnsi="Arial"/>
          <w:b/>
          <w:i w:val="false"/>
          <w:color w:val="000000"/>
          <w:sz w:val="20"/>
        </w:rPr>
        <w:t xml:space="preserve"> </w:t>
      </w:r>
      <w:r>
        <w:rPr>
          <w:rFonts w:hint="default" w:ascii="Arial" w:hAnsi="Arial"/>
          <w:b/>
          <w:i w:val="false"/>
          <w:color w:val="000000"/>
          <w:sz w:val="20"/>
        </w:rPr>
        <w:t>DA GARANTIA E ASSISTÊNCIA TÉCNICA, se houver</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8.1 - Os materiais deverão possuir garantia mínima de </w:t>
      </w:r>
      <w:r>
        <w:rPr>
          <w:rFonts w:hint="default" w:ascii="Arial" w:hAnsi="Arial"/>
          <w:b w:val="false"/>
          <w:i w:val="false"/>
          <w:color w:val="000000"/>
          <w:sz w:val="20"/>
        </w:rPr>
        <w:t>........</w:t>
      </w:r>
      <w:r>
        <w:rPr>
          <w:rFonts w:hint="default" w:ascii="Arial" w:hAnsi="Arial"/>
          <w:b w:val="false"/>
          <w:i w:val="false"/>
          <w:color w:val="000000"/>
          <w:sz w:val="20"/>
        </w:rPr>
        <w:t xml:space="preserve"> </w:t>
      </w:r>
      <w:r>
        <w:rPr>
          <w:rFonts w:hint="default" w:ascii="Arial" w:hAnsi="Arial"/>
          <w:b w:val="false"/>
          <w:i w:val="false"/>
          <w:color w:val="000000"/>
          <w:sz w:val="20"/>
        </w:rPr>
        <w:t>(.....) meses, contados da data de recebimento definitiva dos mesmos.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8.2 - O</w:t>
      </w:r>
      <w:r>
        <w:rPr>
          <w:rFonts w:hint="default" w:ascii="Arial" w:hAnsi="Arial"/>
          <w:b w:val="false"/>
          <w:i w:val="false"/>
          <w:color w:val="000000"/>
          <w:sz w:val="20"/>
        </w:rPr>
        <w:t xml:space="preserve"> </w:t>
      </w:r>
      <w:r>
        <w:rPr>
          <w:rFonts w:hint="default" w:ascii="Arial" w:hAnsi="Arial"/>
          <w:b w:val="false"/>
          <w:i w:val="false"/>
          <w:color w:val="000000"/>
          <w:sz w:val="20"/>
        </w:rPr>
        <w:t>(s) (INDICAR O Nº DO ITEM) deverá(ão) possuir assistência técnica autorizada, credenciada ou disponibilizada (LOCAL).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9.</w:t>
      </w:r>
      <w:r>
        <w:rPr>
          <w:rFonts w:hint="default" w:ascii="Arial" w:hAnsi="Arial"/>
          <w:b/>
          <w:i w:val="false"/>
          <w:color w:val="000000"/>
          <w:sz w:val="20"/>
        </w:rPr>
        <w:t xml:space="preserve"> </w:t>
      </w:r>
      <w:r>
        <w:rPr>
          <w:rFonts w:hint="default" w:ascii="Arial" w:hAnsi="Arial"/>
          <w:b/>
          <w:i w:val="false"/>
          <w:color w:val="000000"/>
          <w:sz w:val="20"/>
        </w:rPr>
        <w:t>OBRIGAÇÕES DA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9.1 - Exigir do fornecedor o fiel cumprimento das obrigações decorrentes desta 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9.2 - Verificar a manutenção pelo fornecedor das condições de habilitação, com relação a regularidade fiscal;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9.3 - Aplicar penalidades ao fornecedor, por descumprimento contratual;</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9.4 - Prestar as informações e os esclarecimentos que venham a ser solicitados pelos funcionários da CONTRATADA;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9.5 - Comunicar à CONTRATADA qualquer irregularidade verificada na execução do fornecimento, determinando, de imediato, as providências necessárias à sua regularização;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9.6 - Acompanhar e fiscalizar rigorosamente o cumprimento do contrato, verificando a qualidade do fornecimento executado;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9.7 - Rejeitar qualquer fornecimento considerado insatisfatório, determinando que seja refeito no prazo a ser estipulado pela fiscalização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9.8 - Efetuar o pagamento do fornecimento executado, conforme condições estabelecidas no contrato ou nota de empenho, e conferir as notas fiscais, atestando-as;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9.9 - Anotar, em registro próprio, todas as ocorrências relacionadas com a execução do objeto do contrato, determinando o que for necessário à regularização das faltas ou defeitos observados;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9.10 -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10.</w:t>
      </w:r>
      <w:r>
        <w:rPr>
          <w:rFonts w:hint="default" w:ascii="Arial" w:hAnsi="Arial"/>
          <w:b/>
          <w:i w:val="false"/>
          <w:color w:val="000000"/>
          <w:sz w:val="20"/>
        </w:rPr>
        <w:t xml:space="preserve"> </w:t>
      </w:r>
      <w:r>
        <w:rPr>
          <w:rFonts w:hint="default" w:ascii="Arial" w:hAnsi="Arial"/>
          <w:b/>
          <w:i w:val="false"/>
          <w:color w:val="000000"/>
          <w:sz w:val="20"/>
        </w:rPr>
        <w:t>OBRIGAÇÕES DA CONTRATADA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10.1 - É responsabilidade da CONTRATADA providenciar todos os recursos e insumos necessários ao perfeito cumprimento do objeto contratado, devendo estar incluídos no preço proposto todas as despesas com materiais, insumos, mão de obra, fretes, embalagens, seguros, impostos, taxas, tarifas, encargos sociais e trabalhistas e demais despesas necessárias à perfeita execução do objeto.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10.2 - A contratada para a execução do objeto estará obrigada a satisfazer todos os requisitos, exigências e condições estabelecidas no termo de referência e seus anexos.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10.3 - Atender prontamente todas as solicitações da Contratante previstas no termo de referência e seus anexos.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ascii="Times New Roman" w:hAnsi="Times New Roman"/>
          <w:b w:val="false"/>
          <w:i w:val="false"/>
          <w:color w:val="000000"/>
          <w:sz w:val="22"/>
        </w:rPr>
        <w:t xml:space="preserve"/>
      </w:r>
      <w:r>
        <w:rPr>
          <w:rFonts w:hint="default" w:ascii="Arial" w:hAnsi="Arial"/>
          <w:b w:val="false"/>
          <w:i w:val="false"/>
          <w:color w:val="000000"/>
          <w:sz w:val="20"/>
        </w:rPr>
        <w:t>10.4 - Efetuar a entrega dos materiais de acordo com as especificações, prazo de entrega e demais condições estipuladas no Termo de Referência, na Nota de Empenho, responsabilizando-se exclusivamente por todas as despesas relativas à execução do objeto.</w:t>
      </w:r>
      <w:r>
        <w:rPr>
          <w:rFonts w:ascii="Times New Roman" w:hAnsi="Times New Roman"/>
          <w:b w:val="false"/>
          <w:i w:val="false"/>
          <w:color w:val="000000"/>
          <w:sz w:val="22"/>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10.5 - Comunicar o(a) </w:t>
      </w:r>
      <w:r>
        <w:rPr>
          <w:rFonts w:hint="default" w:ascii="Arial" w:hAnsi="Arial"/>
          <w:b w:val="false"/>
          <w:i w:val="false"/>
          <w:color w:val="000000"/>
          <w:sz w:val="20"/>
        </w:rPr>
        <w:t>SETAS</w:t>
      </w:r>
      <w:r>
        <w:rPr>
          <w:rFonts w:hint="default" w:ascii="Arial" w:hAnsi="Arial"/>
          <w:b w:val="false"/>
          <w:i w:val="false"/>
          <w:color w:val="000000"/>
          <w:sz w:val="20"/>
        </w:rPr>
        <w:t>, imediatamente após o recebimento do pedido de fornecimento, motivos que possam impossibilitar o seu cu</w:t>
      </w:r>
      <w:r>
        <w:rPr>
          <w:rFonts w:hint="default" w:ascii="Arial" w:hAnsi="Arial"/>
          <w:b w:val="false"/>
          <w:i w:val="false"/>
          <w:color w:val="000000"/>
          <w:sz w:val="20"/>
        </w:rPr>
        <w:t>mprimento.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10.7 - Responsabilizar-se com exclusividade por todas as despesas relativas à entrega do objeto, inclusive quanto à retirada do(s) objeto(s) a ser(em) substituído(s), quando houver.</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10.8 - Responsabilizar-se pelo transporte apropriado dos materiais, assumindo a responsabilidade pelos encargos fiscais e comerciais resultante da adjudicação do objeto desta licitação.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10.9 - Não transferir a outrem, no todo ou em parte, o objeto deste termo de referencia.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10.10 - Manter, durante a execução do contrato, todas as condições de habilitação e qualificação exigidas na licitação, em conformidade com art. 92, inciso XVI , da Lei nº 14.133/2021, incluindo a atualização de documentos de controle da arrecadação de tributos e contribuições federais e outras legalmente exigíveis.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11.</w:t>
      </w:r>
      <w:r>
        <w:rPr>
          <w:rFonts w:hint="default" w:ascii="Arial" w:hAnsi="Arial"/>
          <w:b/>
          <w:i w:val="false"/>
          <w:color w:val="000000"/>
          <w:sz w:val="20"/>
        </w:rPr>
        <w:t xml:space="preserve"> </w:t>
      </w:r>
      <w:r>
        <w:rPr>
          <w:rFonts w:hint="default" w:ascii="Arial" w:hAnsi="Arial"/>
          <w:b/>
          <w:i w:val="false"/>
          <w:color w:val="000000"/>
          <w:sz w:val="20"/>
        </w:rPr>
        <w:t>PRAZO DE EXECUÇÃO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11.1 - O contrato terá a sua vigência adstrita à dos respectivos créditos orçamentários, a partir da data de sua assinatura ou até a utilização do quantitativo, prevalecendo o que ocorrer primeiro.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11.2 - Após a expiração da vigência, ainda subsistirá a responsabilidade da CONTRATADA quanto à garantia dos materiais entregues, quando for o caso.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12.</w:t>
      </w:r>
      <w:r>
        <w:rPr>
          <w:rFonts w:hint="default" w:ascii="Arial" w:hAnsi="Arial"/>
          <w:b/>
          <w:i w:val="false"/>
          <w:color w:val="000000"/>
          <w:sz w:val="20"/>
        </w:rPr>
        <w:t xml:space="preserve"> </w:t>
      </w:r>
      <w:r>
        <w:rPr>
          <w:rFonts w:hint="default" w:ascii="Arial" w:hAnsi="Arial"/>
          <w:b/>
          <w:i w:val="false"/>
          <w:color w:val="000000"/>
          <w:sz w:val="20"/>
        </w:rPr>
        <w:t>DO CONTROLE E FISCALIZAÇÃO DA EXECUÇÃO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12.1 - Nos termos do art. 117 Lei nº 14.133/2021, será designado servidor para acompanhar e fiscalizar a entrega dos bens, anotando em registro próprio todas as ocorrências relacionadas com a execução e determinando o que for necessário à regularização de falhas ou defeitos observados.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12.2 - O recebimento de material de valor superior ao limite estabelecido na legislação, será confiado a uma comissão de, no mínimo, 3 (t</w:t>
      </w:r>
      <w:r>
        <w:rPr>
          <w:rFonts w:hint="default" w:ascii="Arial" w:hAnsi="Arial"/>
          <w:b w:val="false"/>
          <w:i w:val="false"/>
          <w:color w:val="000000"/>
          <w:sz w:val="20"/>
        </w:rPr>
        <w:t xml:space="preserve"> </w:t>
      </w:r>
      <w:r>
        <w:rPr>
          <w:rFonts w:hint="default" w:ascii="Arial" w:hAnsi="Arial"/>
          <w:b w:val="false"/>
          <w:i w:val="false"/>
          <w:color w:val="000000"/>
          <w:sz w:val="20"/>
        </w:rPr>
        <w:t>rês) membros, designados pela autoridade competente.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12.3 -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8.666, de 1993.</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12.4 -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13.</w:t>
      </w:r>
      <w:r>
        <w:rPr>
          <w:rFonts w:hint="default" w:ascii="Arial" w:hAnsi="Arial"/>
          <w:b/>
          <w:i w:val="false"/>
          <w:color w:val="000000"/>
          <w:sz w:val="20"/>
        </w:rPr>
        <w:t xml:space="preserve"> </w:t>
      </w:r>
      <w:r>
        <w:rPr>
          <w:rFonts w:hint="default" w:ascii="Arial" w:hAnsi="Arial"/>
          <w:b/>
          <w:i w:val="false"/>
          <w:color w:val="000000"/>
          <w:sz w:val="20"/>
        </w:rPr>
        <w:t>DA SUBCONTRATAÇÃO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13.1 - Não será admitida a subcontratação total ou parcial do objeto desta contratação, bem como cedê-lo ou transferi-lo, no todo ou em parte.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14.</w:t>
      </w:r>
      <w:r>
        <w:rPr>
          <w:rFonts w:hint="default" w:ascii="Arial" w:hAnsi="Arial"/>
          <w:b/>
          <w:i w:val="false"/>
          <w:color w:val="000000"/>
          <w:sz w:val="20"/>
        </w:rPr>
        <w:t xml:space="preserve"> </w:t>
      </w:r>
      <w:r>
        <w:rPr>
          <w:rFonts w:hint="default" w:ascii="Arial" w:hAnsi="Arial"/>
          <w:b/>
          <w:i w:val="false"/>
          <w:color w:val="000000"/>
          <w:sz w:val="20"/>
        </w:rPr>
        <w:t>DA CLASSIFICAÇÃO ORCAMENTÁRIA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14.1 - As despesas decorrentes da aquisição do objeto deste Contrato correrão por conta da seguinte classificação orçamentária: ("DOTAÇÃO”).</w:t>
      </w:r>
      <w:r>
        <w:rPr>
          <w:rFonts w:hint="default" w:ascii="Arial" w:hAnsi="Arial"/>
          <w:b w:val="false"/>
          <w:i w:val="false"/>
          <w:color w:val="000000"/>
          <w:sz w:val="20"/>
        </w:rPr>
        <w:t xml:space="preserve"/>
      </w:r>
    </w:p>
    <w:p>
      <w:pPr>
        <w:spacing w:before="0" w:after="0" w:line="360"/>
        <w:ind w:left="0"/>
        <w:jc w:val="both"/>
      </w:pPr>
    </w:p>
    <w:tbl>
      <w:tblPr>
        <w:tblW w:w="5000" w:type="pct"/>
        <w:jc w:val="center"/>
        <w:tblCellSpacing w:w="0" w:type="auto"/>
        <w:tblBorders>
          <w:top w:val="none"/>
          <w:left w:val="none"/>
          <w:bottom w:val="none"/>
          <w:right w:val="none"/>
          <w:insideH w:val="none"/>
          <w:insideV w:val="none"/>
        </w:tblBorders>
      </w:tblPr>
      <w:tblGrid>
        <w:gridCol w:w="4915"/>
        <w:gridCol w:w="3286"/>
        <w:gridCol w:w="2766"/>
        <w:gridCol w:w="995"/>
        <w:gridCol w:w="1672"/>
      </w:tblGrid>
      <w:tr>
        <w:trPr>
          <w:trHeight w:val="225" w:hRule="atLeast"/>
        </w:trPr>
        <w:tc>
          <w:tcPr>
            <w:tcW w:w="0" w:type="auto"/>
            <w:gridSpan w:val="5"/>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Dotação</w:t>
            </w:r>
          </w:p>
        </w:tc>
      </w:tr>
      <w:tr>
        <w:trPr>
          <w:trHeight w:val="225" w:hRule="atLeast"/>
        </w:trPr>
        <w:tc>
          <w:tcPr>
            <w:tcW w:w="491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Funcional Programática</w:t>
            </w:r>
          </w:p>
        </w:tc>
        <w:tc>
          <w:tcPr>
            <w:tcW w:w="3286"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Natureza de Despesa</w:t>
            </w:r>
          </w:p>
        </w:tc>
        <w:tc>
          <w:tcPr>
            <w:tcW w:w="2766"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Fonte de Recurso</w:t>
            </w:r>
          </w:p>
        </w:tc>
        <w:tc>
          <w:tcPr>
            <w:tcW w:w="995"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Valor</w:t>
            </w:r>
          </w:p>
        </w:tc>
        <w:tc>
          <w:tcPr>
            <w:tcW w:w="1672" w:type="dxa"/>
            <w:tcBorders>
              <w:top w:val="single" w:color="777777" w:sz="8"/>
              <w:left w:val="single" w:color="777777" w:sz="8"/>
              <w:bottom w:val="single" w:color="777777" w:sz="8"/>
              <w:right w:val="single" w:color="777777" w:sz="8"/>
            </w:tcBorders>
            <w:shd w:fill="cccccc"/>
            <w:tcMar>
              <w:top w:w="15" w:type="dxa"/>
              <w:left w:w="15" w:type="dxa"/>
              <w:bottom w:w="15" w:type="dxa"/>
              <w:right w:w="15" w:type="dxa"/>
            </w:tcMar>
            <w:vAlign w:val="center"/>
          </w:tcPr>
          <w:p>
            <w:pPr>
              <w:spacing w:before="0" w:after="0" w:line="360"/>
              <w:ind w:left="0"/>
              <w:jc w:val="center"/>
            </w:pPr>
            <w:r>
              <w:rPr>
                <w:rFonts w:ascii="Times New Roman" w:hAnsi="Times New Roman"/>
                <w:b w:val="false"/>
                <w:i w:val="false"/>
                <w:color w:val="000000"/>
                <w:sz w:val="12"/>
              </w:rPr>
              <w:t>Exercício.</w:t>
            </w:r>
          </w:p>
        </w:tc>
      </w:tr>
      <w:tr>
        <w:trPr>
          <w:trHeight w:val="255" w:hRule="atLeast"/>
        </w:trPr>
        <w:tc>
          <w:tcPr>
            <w:tcW w:w="491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410100 41010 0812211002202</w:t>
            </w:r>
          </w:p>
        </w:tc>
        <w:tc>
          <w:tcPr>
            <w:tcW w:w="3286"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33903007</w:t>
            </w:r>
          </w:p>
        </w:tc>
        <w:tc>
          <w:tcPr>
            <w:tcW w:w="2766"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1001666666</w:t>
            </w:r>
          </w:p>
        </w:tc>
        <w:tc>
          <w:tcPr>
            <w:tcW w:w="995"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0,00</w:t>
            </w:r>
          </w:p>
        </w:tc>
        <w:tc>
          <w:tcPr>
            <w:tcW w:w="1672" w:type="dxa"/>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center"/>
            </w:pPr>
            <w:r>
              <w:rPr>
                <w:rFonts w:ascii="Times New Roman" w:hAnsi="Times New Roman"/>
                <w:b w:val="false"/>
                <w:i w:val="false"/>
                <w:color w:val="000000"/>
                <w:sz w:val="12"/>
              </w:rPr>
              <w:t>2023</w:t>
            </w:r>
          </w:p>
        </w:tc>
      </w:tr>
      <w:tr>
        <w:trPr>
          <w:trHeight w:val="255" w:hRule="atLeast"/>
        </w:trPr>
        <w:tc>
          <w:tcPr>
            <w:tcW w:w="0" w:type="auto"/>
            <w:gridSpan w:val="3"/>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right"/>
            </w:pPr>
            <w:r>
              <w:rPr>
                <w:rFonts w:ascii="Times New Roman" w:hAnsi="Times New Roman"/>
                <w:b w:val="false"/>
                <w:i w:val="false"/>
                <w:color w:val="000000"/>
                <w:sz w:val="12"/>
              </w:rPr>
              <w:t>Custo total estimado (R$):</w:t>
            </w:r>
          </w:p>
        </w:tc>
        <w:tc>
          <w:tcPr>
            <w:tcW w:w="0" w:type="auto"/>
            <w:gridSpan w:val="2"/>
            <w:tcBorders>
              <w:top w:val="single" w:color="777777" w:sz="8"/>
              <w:left w:val="single" w:color="777777" w:sz="8"/>
              <w:bottom w:val="single" w:color="777777" w:sz="8"/>
              <w:right w:val="single" w:color="777777" w:sz="8"/>
            </w:tcBorders>
            <w:tcMar>
              <w:top w:w="30" w:type="dxa"/>
              <w:left w:w="30" w:type="dxa"/>
              <w:bottom w:w="30" w:type="dxa"/>
              <w:right w:w="30" w:type="dxa"/>
            </w:tcMar>
            <w:vAlign w:val="center"/>
          </w:tcPr>
          <w:p>
            <w:pPr>
              <w:spacing w:before="0" w:after="0" w:line="360"/>
              <w:ind w:left="0"/>
              <w:jc w:val="left"/>
            </w:pPr>
            <w:r>
              <w:rPr>
                <w:rFonts w:ascii="Times New Roman" w:hAnsi="Times New Roman"/>
                <w:b w:val="false"/>
                <w:i w:val="false"/>
                <w:color w:val="000000"/>
                <w:sz w:val="12"/>
              </w:rPr>
              <w:t>0,00</w:t>
            </w:r>
          </w:p>
        </w:tc>
      </w:tr>
    </w:tbl>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15.</w:t>
      </w:r>
      <w:r>
        <w:rPr>
          <w:rFonts w:hint="default" w:ascii="Arial" w:hAnsi="Arial"/>
          <w:b/>
          <w:i w:val="false"/>
          <w:color w:val="000000"/>
          <w:sz w:val="20"/>
        </w:rPr>
        <w:t xml:space="preserve"> </w:t>
      </w:r>
      <w:r>
        <w:rPr>
          <w:rFonts w:hint="default" w:ascii="Arial" w:hAnsi="Arial"/>
          <w:b/>
          <w:i w:val="false"/>
          <w:color w:val="000000"/>
          <w:sz w:val="20"/>
        </w:rPr>
        <w:t>DO PAGAMENTO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15.1 - O pagamento será efetuado em até 30 (trinta) dias, após o aceite dos materiais, mediante apresentação da Nota Fiscal/Fatura, devidamente comprovada e em perfeitas condições, atestada pelo setor competente da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15.2 - A Nota Fiscal ou Fatura deverá ser obrigatoriamente acompanhada da comprovação da regularidade fiscal, mediante consulta aos sítios eletrônicos oficiais ou à documentação mencionada no art. 68 da Lei nº 14.133/2021.</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15.3 -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16.</w:t>
      </w:r>
      <w:r>
        <w:rPr>
          <w:rFonts w:hint="default" w:ascii="Arial" w:hAnsi="Arial"/>
          <w:b/>
          <w:i w:val="false"/>
          <w:color w:val="000000"/>
          <w:sz w:val="20"/>
        </w:rPr>
        <w:t xml:space="preserve"> </w:t>
      </w:r>
      <w:r>
        <w:rPr>
          <w:rFonts w:hint="default" w:ascii="Arial" w:hAnsi="Arial"/>
          <w:b/>
          <w:i w:val="false"/>
          <w:color w:val="000000"/>
          <w:sz w:val="20"/>
        </w:rPr>
        <w:t>DA FISCALIZAÇÃO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16.1 - Fica designado os servidores abaixo para fiscalizar o fiel do cumprimento d do contrato;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numPr>
          <w:ilvl w:val="0"/>
          <w:numId w:val="3"/>
        </w:numPr>
        <w:spacing w:before="0" w:after="0" w:line="360"/>
        <w:ind w:left="0"/>
        <w:jc w:val="both"/>
      </w:pPr>
      <w:r>
        <w:rPr>
          <w:rFonts w:ascii="Arial" w:hAnsi="Arial"/>
          <w:b w:val="false"/>
          <w:i w:val="false"/>
          <w:color w:val="000000"/>
          <w:sz w:val="20"/>
        </w:rPr>
        <w:t xml:space="preserve">Designar a servidora: </w:t>
      </w:r>
      <w:r>
        <w:rPr>
          <w:rFonts w:ascii="Arial" w:hAnsi="Arial"/>
          <w:b/>
          <w:i w:val="false"/>
          <w:color w:val="000000"/>
          <w:sz w:val="20"/>
        </w:rPr>
        <w:t>FLAVIA VIEIRA CAVALCANTE</w:t>
      </w:r>
      <w:r>
        <w:rPr>
          <w:rFonts w:ascii="Arial" w:hAnsi="Arial"/>
          <w:b w:val="false"/>
          <w:i w:val="false"/>
          <w:color w:val="000000"/>
          <w:sz w:val="20"/>
        </w:rPr>
        <w:t xml:space="preserve">, cargo: Assistente Especializado II; matrícula nº </w:t>
      </w:r>
      <w:r>
        <w:rPr>
          <w:rFonts w:ascii="Arial" w:hAnsi="Arial"/>
          <w:b/>
          <w:i w:val="false"/>
          <w:color w:val="000000"/>
          <w:sz w:val="20"/>
        </w:rPr>
        <w:t>11725567-1</w:t>
      </w:r>
      <w:r>
        <w:rPr>
          <w:rFonts w:ascii="Arial" w:hAnsi="Arial"/>
          <w:b w:val="false"/>
          <w:i w:val="false"/>
          <w:color w:val="000000"/>
          <w:sz w:val="20"/>
        </w:rPr>
        <w:t xml:space="preserve"> CPF: </w:t>
      </w:r>
      <w:r>
        <w:rPr>
          <w:rFonts w:ascii="Arial" w:hAnsi="Arial"/>
          <w:b/>
          <w:i w:val="false"/>
          <w:color w:val="000000"/>
          <w:sz w:val="20"/>
        </w:rPr>
        <w:t xml:space="preserve">065.945.666-44, </w:t>
      </w:r>
      <w:r>
        <w:rPr>
          <w:rFonts w:ascii="Arial" w:hAnsi="Arial"/>
          <w:b w:val="false"/>
          <w:i w:val="false"/>
          <w:color w:val="000000"/>
          <w:sz w:val="20"/>
        </w:rPr>
        <w:t>para o encargo de Fiscal do Contrato (titular).</w:t>
      </w:r>
    </w:p>
    <w:p>
      <w:pPr>
        <w:spacing w:before="0" w:after="0" w:line="360"/>
        <w:ind w:left="0"/>
        <w:jc w:val="both"/>
      </w:pPr>
    </w:p>
    <w:p>
      <w:pPr>
        <w:spacing w:before="0" w:after="0" w:line="360"/>
        <w:ind w:left="0"/>
        <w:jc w:val="both"/>
      </w:pPr>
    </w:p>
    <w:p>
      <w:pPr>
        <w:numPr>
          <w:ilvl w:val="0"/>
          <w:numId w:val="4"/>
        </w:numPr>
        <w:spacing w:before="0" w:after="0" w:line="360"/>
        <w:ind w:left="0"/>
        <w:jc w:val="both"/>
      </w:pPr>
      <w:r>
        <w:rPr>
          <w:rFonts w:ascii="Arial" w:hAnsi="Arial"/>
          <w:b w:val="false"/>
          <w:i w:val="false"/>
          <w:color w:val="000000"/>
          <w:sz w:val="20"/>
        </w:rPr>
        <w:t xml:space="preserve">Designar o servidor: </w:t>
      </w:r>
      <w:r>
        <w:rPr>
          <w:rFonts w:hint="default" w:ascii="Arial" w:hAnsi="Arial"/>
          <w:b/>
          <w:i w:val="false"/>
          <w:color w:val="000000"/>
          <w:sz w:val="20"/>
        </w:rPr>
        <w:t>IVONEY DA SILVA ALVES</w:t>
      </w:r>
      <w:r>
        <w:rPr>
          <w:rFonts w:hint="default" w:ascii="Arial" w:hAnsi="Arial"/>
          <w:b w:val="false"/>
          <w:i w:val="false"/>
          <w:color w:val="000000"/>
          <w:sz w:val="20"/>
        </w:rPr>
        <w:t xml:space="preserve">; cargo: Assistente Especializado II; </w:t>
      </w:r>
      <w:r>
        <w:rPr>
          <w:rFonts w:ascii="Arial" w:hAnsi="Arial"/>
          <w:b w:val="false"/>
          <w:i w:val="false"/>
          <w:color w:val="000000"/>
          <w:sz w:val="20"/>
        </w:rPr>
        <w:t>matrícula</w:t>
      </w:r>
      <w:r>
        <w:rPr>
          <w:rFonts w:hint="default" w:ascii="Arial" w:hAnsi="Arial"/>
          <w:b w:val="false"/>
          <w:i w:val="false"/>
          <w:color w:val="000000"/>
          <w:sz w:val="20"/>
        </w:rPr>
        <w:t xml:space="preserve"> </w:t>
      </w:r>
      <w:r>
        <w:rPr>
          <w:rFonts w:hint="default" w:ascii="Arial" w:hAnsi="Arial"/>
          <w:b w:val="false"/>
          <w:i w:val="false"/>
          <w:color w:val="000000"/>
          <w:sz w:val="20"/>
        </w:rPr>
        <w:t xml:space="preserve">nº </w:t>
      </w:r>
      <w:r>
        <w:rPr>
          <w:rFonts w:hint="default" w:ascii="Arial" w:hAnsi="Arial"/>
          <w:b/>
          <w:i w:val="false"/>
          <w:color w:val="000000"/>
          <w:sz w:val="20"/>
        </w:rPr>
        <w:t>1181951-1;</w:t>
      </w:r>
      <w:r>
        <w:rPr>
          <w:rFonts w:hint="default" w:ascii="Arial" w:hAnsi="Arial"/>
          <w:b w:val="false"/>
          <w:i w:val="false"/>
          <w:color w:val="000000"/>
          <w:sz w:val="20"/>
        </w:rPr>
        <w:t xml:space="preserve"> CPF: </w:t>
      </w:r>
      <w:r>
        <w:rPr>
          <w:rFonts w:hint="default" w:ascii="Arial" w:hAnsi="Arial"/>
          <w:b/>
          <w:i w:val="false"/>
          <w:color w:val="000000"/>
          <w:sz w:val="20"/>
        </w:rPr>
        <w:t>004.908.641-39</w:t>
      </w:r>
      <w:r>
        <w:rPr>
          <w:rFonts w:ascii="Arial" w:hAnsi="Arial"/>
          <w:b w:val="false"/>
          <w:i w:val="false"/>
          <w:color w:val="000000"/>
          <w:sz w:val="20"/>
        </w:rPr>
        <w:t>, como Fiscal Suplente pelo acompanhamento e fiscalização do contrato.</w:t>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17.</w:t>
      </w:r>
      <w:r>
        <w:rPr>
          <w:rFonts w:hint="default" w:ascii="Arial" w:hAnsi="Arial"/>
          <w:b/>
          <w:i w:val="false"/>
          <w:color w:val="000000"/>
          <w:sz w:val="20"/>
        </w:rPr>
        <w:t xml:space="preserve"> </w:t>
      </w:r>
      <w:r>
        <w:rPr>
          <w:rFonts w:hint="default" w:ascii="Arial" w:hAnsi="Arial"/>
          <w:b/>
          <w:i w:val="false"/>
          <w:color w:val="000000"/>
          <w:sz w:val="20"/>
        </w:rPr>
        <w:t>DOS PRAZOS PARA APRESENTAÇÃO DA DOCUMENTAÇÃO EXIGIDA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17.1 - Os documentos de habilitação e os complementares à proposta deverão ser encaminhados pelo vencedor, no prazo de 24 (horas), contado da solicitação do órgão requisitante, sob pena de inabilitação/desclassificação conforme o caso.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17.2 - As microempresas e empresas de pequeno porte deverão apresentar toda a documentação exigida para efeito de comprovação da documentação solicitada, mesmo que esta apresente alguma restrição, sob pena de inabilitação.</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17.2.1 - 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i w:val="false"/>
          <w:color w:val="000000"/>
          <w:sz w:val="20"/>
        </w:rPr>
        <w:t>18.</w:t>
      </w:r>
      <w:r>
        <w:rPr>
          <w:rFonts w:hint="default" w:ascii="Arial" w:hAnsi="Arial"/>
          <w:b/>
          <w:i w:val="false"/>
          <w:color w:val="000000"/>
          <w:sz w:val="20"/>
        </w:rPr>
        <w:t xml:space="preserve"> </w:t>
      </w:r>
      <w:r>
        <w:rPr>
          <w:rFonts w:hint="default" w:ascii="Arial" w:hAnsi="Arial"/>
          <w:b/>
          <w:i w:val="false"/>
          <w:color w:val="000000"/>
          <w:sz w:val="20"/>
        </w:rPr>
        <w:t>DOS DOCUMENTOS A SEREM ENCAMINHADOS JUNTAMENTE COM A PROPOSTA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r>
        <w:rPr>
          <w:rFonts w:hint="default" w:ascii="Arial" w:hAnsi="Arial"/>
          <w:b w:val="false"/>
          <w:i w:val="false"/>
          <w:color w:val="000000"/>
          <w:sz w:val="20"/>
        </w:rPr>
        <w:t xml:space="preserve"/>
      </w:r>
      <w:r>
        <w:rPr>
          <w:rFonts w:hint="default" w:ascii="Arial" w:hAnsi="Arial"/>
          <w:b w:val="false"/>
          <w:i w:val="false"/>
          <w:color w:val="000000"/>
          <w:sz w:val="20"/>
        </w:rPr>
        <w:t xml:space="preserve">18.1 </w:t>
      </w:r>
      <w:r>
        <w:rPr>
          <w:rFonts w:hint="default" w:ascii="Arial" w:hAnsi="Arial"/>
          <w:b w:val="false"/>
          <w:i w:val="false"/>
          <w:color w:val="000000"/>
          <w:sz w:val="20"/>
        </w:rPr>
        <w:t>- Apresentar Declaração de Ciência do Termo de Referência.</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right"/>
      </w:pPr>
      <w:r>
        <w:rPr>
          <w:rFonts w:hint="default" w:ascii="Arial" w:hAnsi="Arial"/>
          <w:b w:val="false"/>
          <w:i w:val="false"/>
          <w:color w:val="000000"/>
          <w:sz w:val="20"/>
        </w:rPr>
        <w:t xml:space="preserve"/>
      </w:r>
      <w:r>
        <w:rPr>
          <w:rFonts w:hint="default" w:ascii="Arial" w:hAnsi="Arial"/>
          <w:b w:val="false"/>
          <w:i w:val="false"/>
          <w:color w:val="000000"/>
          <w:sz w:val="20"/>
        </w:rPr>
        <w:t>Palmas, 16 de outubro de 2023</w:t>
      </w:r>
      <w:r>
        <w:rPr>
          <w:rFonts w:hint="default" w:ascii="Arial" w:hAnsi="Arial"/>
          <w:b w:val="false"/>
          <w:i w:val="false"/>
          <w:color w:val="000000"/>
          <w:sz w:val="20"/>
        </w:rPr>
        <w:t xml:space="preserve"/>
      </w:r>
    </w:p>
    <w:p>
      <w:pPr>
        <w:spacing w:before="0" w:after="0" w:line="360"/>
        <w:ind w:left="0"/>
        <w:jc w:val="right"/>
      </w:pPr>
    </w:p>
    <w:p>
      <w:pPr>
        <w:spacing w:before="0" w:after="0" w:line="360"/>
        <w:ind w:left="0"/>
        <w:jc w:val="left"/>
      </w:pPr>
    </w:p>
    <w:p>
      <w:pPr>
        <w:spacing w:before="0" w:after="0" w:line="360"/>
        <w:ind w:left="0"/>
        <w:jc w:val="left"/>
      </w:pPr>
      <w:r>
        <w:rPr>
          <w:rFonts w:hint="default" w:ascii="Arial" w:hAnsi="Arial"/>
          <w:b w:val="false"/>
          <w:i w:val="false"/>
          <w:color w:val="000000"/>
          <w:sz w:val="20"/>
        </w:rPr>
        <w:t xml:space="preserve"/>
      </w:r>
      <w:r>
        <w:rPr>
          <w:rFonts w:hint="default" w:ascii="Arial" w:hAnsi="Arial"/>
          <w:b w:val="false"/>
          <w:i w:val="false"/>
          <w:color w:val="000000"/>
          <w:sz w:val="20"/>
        </w:rPr>
        <w:t>Elaborado por:</w:t>
      </w:r>
      <w:r>
        <w:rPr>
          <w:rFonts w:hint="default" w:ascii="Arial" w:hAnsi="Arial"/>
          <w:b w:val="false"/>
          <w:i w:val="false"/>
          <w:color w:val="000000"/>
          <w:sz w:val="20"/>
        </w:rPr>
        <w:t xml:space="preserve"/>
      </w:r>
    </w:p>
    <w:p>
      <w:pPr>
        <w:spacing w:before="0" w:after="0" w:line="360"/>
        <w:ind w:left="0"/>
        <w:jc w:val="center"/>
      </w:pP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Assinatura digital</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ALESSANDRA CARVALHAES</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Gerente Geral de Administração</w:t>
      </w:r>
      <w:r>
        <w:rPr>
          <w:rFonts w:hint="default" w:ascii="Arial" w:hAnsi="Arial"/>
          <w:b w:val="false"/>
          <w:i w:val="false"/>
          <w:color w:val="000000"/>
          <w:sz w:val="20"/>
        </w:rPr>
        <w:t xml:space="preserve"/>
      </w:r>
    </w:p>
    <w:p>
      <w:pPr>
        <w:spacing w:before="0" w:after="0" w:line="360"/>
        <w:ind w:left="0"/>
        <w:jc w:val="center"/>
      </w:pPr>
    </w:p>
    <w:p>
      <w:pPr>
        <w:spacing w:before="0" w:after="0" w:line="360"/>
        <w:ind w:left="0"/>
        <w:jc w:val="center"/>
      </w:pPr>
    </w:p>
    <w:p>
      <w:pPr>
        <w:spacing w:before="0" w:after="0" w:line="360"/>
        <w:ind w:left="0"/>
        <w:jc w:val="left"/>
      </w:pPr>
      <w:r>
        <w:rPr>
          <w:rFonts w:hint="default" w:ascii="Arial" w:hAnsi="Arial"/>
          <w:b w:val="false"/>
          <w:i w:val="false"/>
          <w:color w:val="000000"/>
          <w:sz w:val="20"/>
        </w:rPr>
        <w:t xml:space="preserve"/>
      </w:r>
      <w:r>
        <w:rPr>
          <w:rFonts w:hint="default" w:ascii="Arial" w:hAnsi="Arial"/>
          <w:b w:val="false"/>
          <w:i w:val="false"/>
          <w:color w:val="000000"/>
          <w:sz w:val="20"/>
        </w:rPr>
        <w:t>Autorizo, observados os aspectos legais, formais e éticos:</w:t>
      </w:r>
      <w:r>
        <w:rPr>
          <w:rFonts w:hint="default" w:ascii="Arial" w:hAnsi="Arial"/>
          <w:b w:val="false"/>
          <w:i w:val="false"/>
          <w:color w:val="000000"/>
          <w:sz w:val="20"/>
        </w:rPr>
        <w:t xml:space="preserve"/>
      </w:r>
    </w:p>
    <w:p>
      <w:pPr>
        <w:spacing w:before="0" w:after="0" w:line="360"/>
        <w:ind w:left="0"/>
        <w:jc w:val="left"/>
      </w:pPr>
    </w:p>
    <w:p>
      <w:pPr>
        <w:spacing w:before="0" w:after="0" w:line="360"/>
        <w:ind w:left="0"/>
        <w:jc w:val="left"/>
      </w:pP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Assinatura digital</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i w:val="false"/>
          <w:color w:val="000000"/>
          <w:sz w:val="20"/>
        </w:rPr>
        <w:t>NELSIFRAN SOUSA LINS</w:t>
      </w:r>
      <w:r>
        <w:rPr>
          <w:rFonts w:hint="default" w:ascii="Arial" w:hAnsi="Arial"/>
          <w:b w:val="false"/>
          <w:i w:val="false"/>
          <w:color w:val="000000"/>
          <w:sz w:val="20"/>
        </w:rPr>
        <w:t xml:space="preserve"/>
      </w: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Diretor de Administração e Finanças</w:t>
      </w:r>
      <w:r>
        <w:rPr>
          <w:rFonts w:hint="default" w:ascii="Arial" w:hAnsi="Arial"/>
          <w:b w:val="false"/>
          <w:i w:val="false"/>
          <w:color w:val="000000"/>
          <w:sz w:val="20"/>
        </w:rPr>
        <w:t xml:space="preserve"/>
      </w:r>
    </w:p>
    <w:p>
      <w:pPr>
        <w:spacing w:before="0" w:after="0" w:line="360"/>
        <w:ind w:left="0"/>
        <w:jc w:val="both"/>
      </w:pPr>
    </w:p>
    <w:p>
      <w:pPr>
        <w:spacing w:before="0" w:after="0" w:line="360"/>
        <w:ind w:left="0"/>
        <w:jc w:val="both"/>
      </w:pPr>
    </w:p>
    <w:p>
      <w:pPr>
        <w:spacing w:before="0" w:after="0" w:line="360"/>
        <w:ind w:left="0"/>
        <w:jc w:val="both"/>
      </w:pPr>
    </w:p>
    <w:p>
      <w:pPr>
        <w:spacing w:before="0" w:after="0" w:line="360"/>
        <w:ind w:left="0"/>
        <w:jc w:val="center"/>
      </w:pPr>
      <w:r>
        <w:rPr>
          <w:rFonts w:hint="default" w:ascii="Arial" w:hAnsi="Arial"/>
          <w:b w:val="false"/>
          <w:i w:val="false"/>
          <w:color w:val="000000"/>
          <w:sz w:val="20"/>
        </w:rPr>
        <w:t xml:space="preserve"/>
      </w:r>
      <w:r>
        <w:rPr>
          <w:rFonts w:hint="default" w:ascii="Arial" w:hAnsi="Arial"/>
          <w:b w:val="false"/>
          <w:i w:val="false"/>
          <w:color w:val="000000"/>
          <w:sz w:val="20"/>
        </w:rPr>
        <w:t>Assinatura digital</w:t>
      </w:r>
      <w:r>
        <w:rPr>
          <w:rFonts w:hint="default" w:ascii="Arial" w:hAnsi="Arial"/>
          <w:b w:val="false"/>
          <w:i w:val="false"/>
          <w:color w:val="000000"/>
          <w:sz w:val="20"/>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i w:val="false"/>
          <w:color w:val="000000"/>
          <w:sz w:val="20"/>
        </w:rPr>
        <w:t>JONISKLEY CALAÇA CAPITULINO RODRIGUES</w:t>
      </w:r>
      <w:r>
        <w:rPr>
          <w:rFonts w:ascii="Times New Roman" w:hAnsi="Times New Roman"/>
          <w:b w:val="false"/>
          <w:i w:val="false"/>
          <w:color w:val="000000"/>
          <w:sz w:val="22"/>
        </w:rPr>
        <w:t xml:space="preserve"/>
      </w:r>
    </w:p>
    <w:p>
      <w:pPr>
        <w:spacing w:before="0" w:after="0" w:line="360"/>
        <w:ind w:left="0"/>
        <w:jc w:val="center"/>
      </w:pPr>
      <w:r>
        <w:rPr>
          <w:rFonts w:ascii="Times New Roman" w:hAnsi="Times New Roman"/>
          <w:b w:val="false"/>
          <w:i w:val="false"/>
          <w:color w:val="000000"/>
          <w:sz w:val="22"/>
        </w:rPr>
        <w:t xml:space="preserve"/>
      </w:r>
      <w:r>
        <w:rPr>
          <w:rFonts w:hint="default" w:ascii="Arial" w:hAnsi="Arial"/>
          <w:b w:val="false"/>
          <w:i w:val="false"/>
          <w:color w:val="000000"/>
          <w:sz w:val="20"/>
        </w:rPr>
        <w:t>Secretário de Estado do Trabalho e Desenvolvimento Social</w:t>
      </w:r>
      <w:r>
        <w:rPr>
          <w:rFonts w:ascii="Times New Roman" w:hAnsi="Times New Roman"/>
          <w:b w:val="false"/>
          <w:i w:val="false"/>
          <w:color w:val="000000"/>
          <w:sz w:val="22"/>
        </w:rPr>
        <w:t xml:space="preserve"/>
      </w:r>
    </w:p>
    <w:p>
      <w:pPr>
        <w:spacing w:before="0" w:after="0" w:line="360"/>
        <w:ind w:left="0"/>
        <w:jc w:val="center"/>
      </w:pPr>
    </w:p>
    <w:p>
      <w:pPr>
        <w:spacing w:before="0" w:after="0" w:line="360"/>
        <w:ind w:left="0"/>
        <w:jc w:val="center"/>
      </w:pPr>
    </w:p>
    <w:p>
      <w:pPr>
        <w:spacing w:before="0" w:after="0" w:line="360"/>
        <w:ind w:left="0"/>
        <w:jc w:val="both"/>
      </w:pPr>
    </w:p>
    <w:p>
      <w:pPr>
        <w:spacing w:before="0" w:after="0" w:line="360"/>
        <w:ind w:left="0"/>
        <w:jc w:val="both"/>
      </w:pPr>
    </w:p>
    <w:p>
      <w:pPr>
        <w:spacing w:before="0" w:after="0" w:line="360"/>
        <w:ind w:left="0"/>
        <w:jc w:val="both"/>
      </w:pPr>
    </w:p>
    <w:p>
      <w:pPr>
        <w:spacing w:before="0" w:after="0"/>
        <w:ind w:left="0"/>
        <w:jc w:val="center"/>
      </w:pPr>
      <w:r>
        <w:rPr>
          <w:rFonts w:ascii="Times New Roman" w:hAnsi="Times New Roman"/>
          <w:b w:val="false"/>
          <w:i w:val="false"/>
          <w:color w:val="000000"/>
          <w:sz w:val="21"/>
        </w:rPr>
        <w:t>Palmas/TO, 16 de Outubro de 2023</w:t>
      </w:r>
    </w:p>
    <w:p>
      <w:pPr>
        <w:spacing w:before="0" w:after="0"/>
        <w:ind w:left="0"/>
        <w:jc w:val="center"/>
      </w:pPr>
      <w:r>
        <w:rPr>
          <w:rFonts w:ascii="Times New Roman" w:hAnsi="Times New Roman"/>
          <w:b w:val="false"/>
          <w:i w:val="false"/>
          <w:color w:val="000000"/>
          <w:sz w:val="22"/>
        </w:rPr>
        <w:t xml:space="preserve"/>
      </w:r>
      <w:r>
        <w:rPr>
          <w:rFonts w:ascii="Times New Roman" w:hAnsi="Times New Roman"/>
          <w:b w:val="false"/>
          <w:i w:val="false"/>
          <w:color w:val="000000"/>
          <w:sz w:val="21"/>
        </w:rPr>
        <w:t>Atesto TR para prosseguimento do Processo.</w:t>
      </w:r>
      <w:r>
        <w:rPr>
          <w:rFonts w:ascii="Times New Roman" w:hAnsi="Times New Roman"/>
          <w:b w:val="false"/>
          <w:i w:val="false"/>
          <w:color w:val="000000"/>
          <w:sz w:val="22"/>
        </w:rPr>
        <w:t xml:space="preserve"> </w:t>
      </w:r>
      <w:r>
        <w:rPr>
          <w:rFonts w:ascii="Times New Roman" w:hAnsi="Times New Roman"/>
          <w:b/>
          <w:i w:val="false"/>
          <w:color w:val="000000"/>
          <w:sz w:val="21"/>
        </w:rPr>
        <w:t>David Fontoura Reis</w:t>
      </w:r>
      <w:r>
        <w:rPr>
          <w:rFonts w:ascii="Times New Roman" w:hAnsi="Times New Roman"/>
          <w:b w:val="false"/>
          <w:i w:val="false"/>
          <w:color w:val="000000"/>
          <w:sz w:val="22"/>
        </w:rPr>
        <w:t xml:space="preserve"> </w:t>
      </w:r>
      <w:r>
        <w:rPr>
          <w:rFonts w:ascii="Times New Roman" w:hAnsi="Times New Roman"/>
          <w:b w:val="false"/>
          <w:i w:val="false"/>
          <w:color w:val="000000"/>
          <w:sz w:val="21"/>
        </w:rPr>
        <w:t>Assistente Administrativo</w:t>
      </w:r>
      <w:r>
        <w:rPr>
          <w:rFonts w:ascii="Times New Roman" w:hAnsi="Times New Roman"/>
          <w:b w:val="false"/>
          <w:i w:val="false"/>
          <w:color w:val="000000"/>
          <w:sz w:val="22"/>
        </w:rPr>
        <w:t xml:space="preserve"> </w:t>
      </w:r>
      <w:r>
        <w:rPr>
          <w:rFonts w:ascii="Times New Roman" w:hAnsi="Times New Roman"/>
          <w:b w:val="false"/>
          <w:i w:val="false"/>
          <w:color w:val="000000"/>
          <w:sz w:val="21"/>
        </w:rPr>
        <w:t>para continuidade do processo</w:t>
      </w:r>
      <w:r>
        <w:rPr>
          <w:rFonts w:ascii="Times New Roman" w:hAnsi="Times New Roman"/>
          <w:b w:val="false"/>
          <w:i w:val="false"/>
          <w:color w:val="000000"/>
          <w:sz w:val="22"/>
        </w:rPr>
        <w:t xml:space="preserve"> </w:t>
      </w:r>
      <w:r>
        <w:rPr>
          <w:rFonts w:ascii="Times New Roman" w:hAnsi="Times New Roman"/>
          <w:b/>
          <w:i w:val="false"/>
          <w:color w:val="000000"/>
          <w:sz w:val="21"/>
        </w:rPr>
        <w:t>JONISKLEY CALAÇA CAPITULINO RODRIGUES</w:t>
      </w:r>
      <w:r>
        <w:rPr>
          <w:rFonts w:ascii="Times New Roman" w:hAnsi="Times New Roman"/>
          <w:b w:val="false"/>
          <w:i w:val="false"/>
          <w:color w:val="000000"/>
          <w:sz w:val="22"/>
        </w:rPr>
        <w:t xml:space="preserve"> </w:t>
      </w:r>
      <w:r>
        <w:rPr>
          <w:rFonts w:ascii="Times New Roman" w:hAnsi="Times New Roman"/>
          <w:b w:val="false"/>
          <w:i w:val="false"/>
          <w:color w:val="000000"/>
          <w:sz w:val="21"/>
        </w:rPr>
        <w:t>SECRETÁRIO DE ESTADO</w:t>
      </w:r>
      <w:r>
        <w:rPr>
          <w:rFonts w:ascii="Times New Roman" w:hAnsi="Times New Roman"/>
          <w:b w:val="false"/>
          <w:i w:val="false"/>
          <w:color w:val="000000"/>
          <w:sz w:val="22"/>
        </w:rPr>
        <w:t xml:space="preserve"/>
      </w:r>
    </w:p>
    <w:p>
      <w:pPr>
        <w:spacing w:before="0" w:after="0"/>
        <w:ind w:left="0"/>
        <w:jc w:val="left"/>
      </w:pPr>
    </w:p>
    <w:bookmarkEnd w:id="1"/>
    <w:bookmarkEnd w:id="0"/>
    <w:sectPr>
      <w:headerReference w:type="default" r:id="rId8"/>
      <w:footerReference w:type="default" r:id="rId9"/>
      <w:pgSz w:w="11907" w:h="16839" w:code="9"/>
      <w:pgMar w:top="3969" w:right="1134" w:bottom="2268" w:left="1701"/>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2977"/>
      <w:gridCol w:w="1358"/>
    </w:tblGrid>
    <w:tr>
      <w:trPr>
        <w:trHeight w:val="210" w:hRule="atLeast"/>
      </w:trPr>
      <w:tc>
        <w:tcPr>
          <w:tcW w:w="2977"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Governo do Estado do Tocantins</w:t>
          </w:r>
        </w:p>
      </w:tc>
      <w:tc>
        <w:tcPr>
          <w:tcW w:w="1358" w:type="dxa"/>
          <w:tcBorders/>
          <w:tcMar>
            <w:top w:w="15" w:type="dxa"/>
            <w:left w:w="15" w:type="dxa"/>
            <w:bottom w:w="15" w:type="dxa"/>
            <w:right w:w="15" w:type="dxa"/>
          </w:tcMar>
          <w:vAlign w:val="center"/>
        </w:tcPr>
        <w:p>
          <w:pPr>
            <w:spacing w:before="0" w:after="0"/>
            <w:ind w:left="0"/>
            <w:jc w:val="left"/>
          </w:pPr>
          <w:r>
            <w:rPr>
              <w:rFonts w:hint="default" w:ascii="Arial" w:hAnsi="Arial"/>
              <w:b w:val="false"/>
              <w:i w:val="false"/>
              <w:color w:val="000000"/>
              <w:sz w:val="16"/>
            </w:rPr>
            <w:t xml:space="preserve">Pág. </w:t>
          </w:r>
          <w:r>
            <w:rPr>
              <w:rFonts w:hint="default" w:ascii="Arial" w:hAnsi="Arial"/>
              <w:b w:val="false"/>
              <w:i w:val="false"/>
              <w:color w:val="000000"/>
              <w:sz w:val="16"/>
            </w:rPr>
            <w:t>{{page}}</w:t>
          </w:r>
        </w:p>
      </w:tc>
    </w:tr>
  </w:tbl>
</w:ftr>
</file>

<file path=word/header.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5116"/>
      <w:gridCol w:w="440"/>
    </w:tblGrid>
    <w:tr>
      <w:trPr>
        <w:trHeight w:val="1050" w:hRule="atLeast"/>
      </w:trPr>
      <w:tc>
        <w:tcPr>
          <w:tcW w:w="5116" w:type="dxa"/>
          <w:tcBorders/>
          <w:tcMar>
            <w:top w:w="15" w:type="dxa"/>
            <w:left w:w="15" w:type="dxa"/>
            <w:bottom w:w="15" w:type="dxa"/>
            <w:right w:w="15" w:type="dxa"/>
          </w:tcMar>
          <w:vAlign w:val="center"/>
        </w:tcPr>
        <w:p>
          <w:pPr>
            <w:spacing w:before="0" w:after="0"/>
            <w:ind w:left="135"/>
            <w:jc w:val="right"/>
          </w:pPr>
          <w:r>
            <w:rPr>
              <w:rFonts w:hint="default" w:ascii="Arial" w:hAnsi="Arial"/>
              <w:b/>
              <w:i w:val="false"/>
              <w:color w:val="000000"/>
              <w:sz w:val="18"/>
            </w:rPr>
            <w:t xml:space="preserve"> Secretaria do Trabalho e Desenvolvimento Social </w:t>
          </w:r>
        </w:p>
      </w:tc>
      <w:tc>
        <w:tcPr>
          <w:tcW w:w="440" w:type="dxa"/>
          <w:tcBorders/>
          <w:tcMar>
            <w:top w:w="15" w:type="dxa"/>
            <w:left w:w="150" w:type="dxa"/>
            <w:bottom w:w="15" w:type="dxa"/>
            <w:right w:w="150" w:type="dxa"/>
          </w:tcMar>
          <w:vAlign w:val="center"/>
        </w:tcPr>
        <w:p>
          <w:r>
            <w:drawing>
              <wp:inline distT="0" distB="0" distL="0" distR="0">
                <wp:extent cx="1611610" cy="66675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1611610" cy="66675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bullet"/>
      <w:lvlText w:val=""/>
      <w:lvlJc w:val="left"/>
      <w:pPr>
        <w:ind w:left="960" w:hanging="360"/>
      </w:pPr>
      <w:rPr>
        <w:rFonts w:hint="default" w:ascii="Symbol" w:hAnsi="Symbol"/>
      </w:rPr>
    </w:lvl>
  </w:abstractNum>
  <w:abstractNum w:abstractNumId="4">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planalto.gov.br/ccivil_03/_ato2019-2022/2021/lei/L14133.htm" Type="http://schemas.openxmlformats.org/officeDocument/2006/relationships/hyperlink" Id="rId4"/>
    <Relationship TargetMode="External" Target="http://www.planalto.gov.br/ccivil_03/leis/lcp/lcp123.htm" Type="http://schemas.openxmlformats.org/officeDocument/2006/relationships/hyperlink" Id="rId5"/>
    <Relationship TargetMode="External" Target="http://servicos.casacivil.to.gov.br/decretos/decreto/6084" Type="http://schemas.openxmlformats.org/officeDocument/2006/relationships/hyperlink" Id="rId6"/>
    <Relationship TargetMode="External" Target="http://www.siga.to.gov.br/compra-direta" Type="http://schemas.openxmlformats.org/officeDocument/2006/relationships/hyperlink" Id="rId7"/>
    <Relationship Target="header.xml" Type="http://schemas.openxmlformats.org/officeDocument/2006/relationships/header" Id="rId8"/>
    <Relationship Target="footer.xml" Type="http://schemas.openxmlformats.org/officeDocument/2006/relationships/footer" Id="rId9"/>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