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9 (Apache licensed) using REFERENCE JAXB in Temurin Java 1.8.0_345 on Linux -->
    <w:p>
      <w:pPr>
        <w:spacing w:before="0" w:after="0" w:line="360"/>
        <w:ind w:left="0"/>
        <w:jc w:val="center"/>
      </w:pPr>
      <w:bookmarkStart w:name="body" w:id="0"/>
      <w:bookmarkStart w:name="contents" w:id="1"/>
      <w:r>
        <w:rPr>
          <w:rFonts w:hint="default" w:ascii="Arial" w:hAnsi="Arial"/>
          <w:b w:val="false"/>
          <w:i w:val="false"/>
          <w:color w:val="000000"/>
          <w:sz w:val="20"/>
        </w:rPr>
        <w:t xml:space="preserve"/>
      </w:r>
      <w:r>
        <w:rPr>
          <w:rFonts w:hint="default" w:ascii="Arial" w:hAnsi="Arial"/>
          <w:b/>
          <w:i w:val="false"/>
          <w:color w:val="000000"/>
          <w:sz w:val="20"/>
        </w:rPr>
        <w:t>TERMO DE REFERÊNCIA</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i w:val="false"/>
          <w:color w:val="000000"/>
          <w:sz w:val="20"/>
        </w:rPr>
        <w:t>COMPRA DIRETA</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i w:val="false"/>
          <w:color w:val="000000"/>
          <w:sz w:val="20"/>
        </w:rPr>
        <w:t>(MATERIAIS – COM CONTRATO – LEI 14.133/2021)</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i w:val="false"/>
          <w:color w:val="000000"/>
          <w:sz w:val="20"/>
        </w:rPr>
        <w:t>2023/41000/000214</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w:t>
      </w:r>
      <w:r>
        <w:rPr>
          <w:rFonts w:hint="default" w:ascii="Arial" w:hAnsi="Arial"/>
          <w:b/>
          <w:i w:val="false"/>
          <w:color w:val="000000"/>
          <w:sz w:val="20"/>
        </w:rPr>
        <w:t xml:space="preserve"> </w:t>
      </w:r>
      <w:r>
        <w:rPr>
          <w:rFonts w:hint="default" w:ascii="Arial" w:hAnsi="Arial"/>
          <w:b/>
          <w:i w:val="false"/>
          <w:color w:val="000000"/>
          <w:sz w:val="20"/>
        </w:rPr>
        <w:t>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1.1 </w:t>
      </w:r>
      <w:r>
        <w:rPr>
          <w:rFonts w:hint="default" w:ascii="Arial" w:hAnsi="Arial"/>
          <w:b w:val="false"/>
          <w:i w:val="false"/>
          <w:color w:val="000000"/>
          <w:sz w:val="20"/>
        </w:rPr>
        <w:t xml:space="preserve">Aquisição de 120 (cento e vinte) camisetas para os participantes da 14ª Conferência Estadual de Assistência Social. </w:t>
      </w:r>
      <w:r>
        <w:rPr>
          <w:rFonts w:hint="default" w:ascii="Arial" w:hAnsi="Arial"/>
          <w:b w:val="false"/>
          <w:i w:val="false"/>
          <w:color w:val="000000"/>
          <w:sz w:val="20"/>
        </w:rPr>
        <w:t>Realizada pela</w:t>
      </w:r>
      <w:r>
        <w:rPr>
          <w:rFonts w:hint="default" w:ascii="Arial" w:hAnsi="Arial"/>
          <w:b w:val="false"/>
          <w:i w:val="false"/>
          <w:color w:val="000000"/>
          <w:sz w:val="20"/>
        </w:rPr>
        <w:t xml:space="preserve"> Secretaria do Trabalho e Desenvolvimento Social</w:t>
      </w:r>
      <w:r>
        <w:rPr>
          <w:rFonts w:hint="default" w:ascii="Arial" w:hAnsi="Arial"/>
          <w:b w:val="false"/>
          <w:i w:val="false"/>
          <w:color w:val="000000"/>
          <w:sz w:val="20"/>
        </w:rPr>
        <w:t xml:space="preserve"> - </w:t>
      </w:r>
      <w:r>
        <w:rPr>
          <w:rFonts w:hint="default" w:ascii="Arial" w:hAnsi="Arial"/>
          <w:b w:val="false"/>
          <w:i w:val="false"/>
          <w:color w:val="000000"/>
          <w:sz w:val="20"/>
        </w:rPr>
        <w:t>SETAS</w:t>
      </w:r>
      <w:r>
        <w:rPr>
          <w:rFonts w:hint="default" w:ascii="Arial" w:hAnsi="Arial"/>
          <w:b w:val="false"/>
          <w:i w:val="false"/>
          <w:color w:val="000000"/>
          <w:sz w:val="20"/>
        </w:rPr>
        <w:t>, conforme condições, quantidades e exigências estabelecidas neste instrumento.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2.</w:t>
      </w:r>
      <w:r>
        <w:rPr>
          <w:rFonts w:hint="default" w:ascii="Arial" w:hAnsi="Arial"/>
          <w:b/>
          <w:i w:val="false"/>
          <w:color w:val="000000"/>
          <w:sz w:val="20"/>
        </w:rPr>
        <w:t xml:space="preserve"> </w:t>
      </w:r>
      <w:r>
        <w:rPr>
          <w:rFonts w:hint="default" w:ascii="Arial" w:hAnsi="Arial"/>
          <w:b/>
          <w:i w:val="false"/>
          <w:color w:val="000000"/>
          <w:sz w:val="20"/>
        </w:rPr>
        <w:t>JUSTIFICATIVA E OBJETIVO DA CONTRATAÇÃO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Considerando a Lei 12.435/2011, que institui o Sistema Único de Assistência Social SUAS e seu artigo 18 através da Lei Orgânica de Assistência Social que estabelece competências aos Conselhos de Assistência Social como órgão colegiado de controle social da Política de Assistência Social, em nível federal, estadual e municipal, vem destacar a responsabilidade de convocar ordinariamente a Conferência de Assistência Social no seu âmbito.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No cumprimento de suas atribuições, o Conselho Estadual de Assistência Social- CEASTO, através da Resolução nº 343 de 16 de março de 2023, convocou ordinariamente a 14ª Conferência Estadual Assistência Social, que será promovida com o apoio da Secretaria do Trabalho e Desenvolvimento Social-SETAS.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Dessa forma, faz-se necessária a aquisição de 120 (cento e vinte) camisetas para ajudar na identificação da equipe participante do evento, assim como proporcionar melhor organização, criando um ambiente mais harmônico, profissional e com padronização no visual da equipe.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3.</w:t>
      </w:r>
      <w:r>
        <w:rPr>
          <w:rFonts w:hint="default" w:ascii="Arial" w:hAnsi="Arial"/>
          <w:b/>
          <w:i w:val="false"/>
          <w:color w:val="000000"/>
          <w:sz w:val="20"/>
        </w:rPr>
        <w:t xml:space="preserve"> </w:t>
      </w:r>
      <w:r>
        <w:rPr>
          <w:rFonts w:hint="default" w:ascii="Arial" w:hAnsi="Arial"/>
          <w:b/>
          <w:i w:val="false"/>
          <w:color w:val="000000"/>
          <w:sz w:val="20"/>
        </w:rPr>
        <w:t>DA FUNDAMENTAÇÃO LEGAL</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3.1</w:t>
      </w:r>
      <w:r>
        <w:rPr>
          <w:rFonts w:hint="default" w:ascii="Arial" w:hAnsi="Arial"/>
          <w:b w:val="false"/>
          <w:i w:val="false"/>
          <w:color w:val="000000"/>
          <w:sz w:val="20"/>
        </w:rPr>
        <w:t xml:space="preserve"> - A aquisição em tela tem amparo nas leis que fundamentam a modalidade de licitação dispensável, nos limites dos Inciso II do art. 75 da lei 14133/2021, através do </w:t>
      </w:r>
      <w:r>
        <w:rPr>
          <w:rFonts w:hint="default" w:ascii="Arial" w:hAnsi="Arial"/>
          <w:b/>
          <w:i w:val="false"/>
          <w:color w:val="000000"/>
          <w:sz w:val="20"/>
        </w:rPr>
        <w:t>SISTEMA DE COMPRA DIRETA</w:t>
      </w:r>
      <w:r>
        <w:rPr>
          <w:rFonts w:hint="default" w:ascii="Arial" w:hAnsi="Arial"/>
          <w:b w:val="false"/>
          <w:i w:val="false"/>
          <w:color w:val="000000"/>
          <w:sz w:val="20"/>
        </w:rPr>
        <w:t>, tais como: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a) </w:t>
      </w:r>
      <w:hyperlink r:id="rId4">
        <w:r>
          <w:rPr>
            <w:rStyle w:val="Hyperlink"/>
            <w:rFonts w:hint="default" w:ascii="Arial" w:hAnsi="Arial"/>
            <w:b/>
            <w:i w:val="false"/>
            <w:color w:val="0000ff"/>
            <w:sz w:val="20"/>
            <w:u w:val="single"/>
          </w:rPr>
          <w:t>Lei Federal nº 14.133/2021</w:t>
        </w:r>
      </w:hyperlink>
      <w:r>
        <w:rPr>
          <w:rFonts w:hint="default" w:ascii="Arial" w:hAnsi="Arial"/>
          <w:b/>
          <w:i w:val="false"/>
          <w:color w:val="000000"/>
          <w:sz w:val="20"/>
        </w:rPr>
        <w:t xml:space="preserve"> </w:t>
      </w:r>
      <w:r>
        <w:rPr>
          <w:rFonts w:hint="default" w:ascii="Arial" w:hAnsi="Arial"/>
          <w:b w:val="false"/>
          <w:i w:val="false"/>
          <w:color w:val="000000"/>
          <w:sz w:val="20"/>
        </w:rPr>
        <w:t>– Lei de Licitações e Contratos Administrativos.</w:t>
      </w:r>
      <w:r>
        <w:rPr>
          <w:rFonts w:hint="default" w:ascii="Arial" w:hAnsi="Arial"/>
          <w:b w:val="false"/>
          <w:i w:val="false"/>
          <w:color w:val="000000"/>
          <w:sz w:val="20"/>
        </w:rPr>
        <w:t xml:space="preserve"/>
      </w: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b)</w:t>
      </w:r>
      <w:r>
        <w:rPr>
          <w:rFonts w:hint="default" w:ascii="Arial" w:hAnsi="Arial"/>
          <w:b/>
          <w:i w:val="false"/>
          <w:color w:val="000000"/>
          <w:sz w:val="20"/>
        </w:rPr>
        <w:t xml:space="preserve"> </w:t>
      </w:r>
      <w:hyperlink r:id="rId5">
        <w:r>
          <w:rPr>
            <w:rStyle w:val="Hyperlink"/>
            <w:rFonts w:hint="default" w:ascii="Arial" w:hAnsi="Arial"/>
            <w:b/>
            <w:i w:val="false"/>
            <w:color w:val="0000ff"/>
            <w:sz w:val="20"/>
            <w:u w:val="single"/>
          </w:rPr>
          <w:t>Lei Complementar nº 123/2006</w:t>
        </w:r>
      </w:hyperlink>
      <w:r>
        <w:rPr>
          <w:rFonts w:hint="default" w:ascii="Arial" w:hAnsi="Arial"/>
          <w:b/>
          <w:i w:val="false"/>
          <w:color w:val="000000"/>
          <w:sz w:val="20"/>
        </w:rPr>
        <w:t xml:space="preserve"> </w:t>
      </w:r>
      <w:r>
        <w:rPr>
          <w:rFonts w:hint="default" w:ascii="Arial" w:hAnsi="Arial"/>
          <w:b w:val="false"/>
          <w:i w:val="false"/>
          <w:color w:val="000000"/>
          <w:sz w:val="20"/>
        </w:rPr>
        <w:t>- Institui o Estatuto Nacional da Microempresa e da Empresa de Pequeno Porte</w:t>
      </w:r>
      <w:r>
        <w:rPr>
          <w:rFonts w:hint="default" w:ascii="Arial" w:hAnsi="Arial"/>
          <w:b w:val="false"/>
          <w:i w:val="false"/>
          <w:color w:val="000000"/>
          <w:sz w:val="20"/>
        </w:rPr>
        <w:t>.</w:t>
      </w:r>
      <w:r>
        <w:rPr>
          <w:rFonts w:hint="default" w:ascii="Arial" w:hAnsi="Arial"/>
          <w:b w:val="false"/>
          <w:i w:val="false"/>
          <w:color w:val="000000"/>
          <w:sz w:val="20"/>
        </w:rPr>
        <w:t xml:space="preserve"/>
      </w: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c) </w:t>
      </w:r>
      <w:hyperlink r:id="rId6">
        <w:r>
          <w:rPr>
            <w:rStyle w:val="Hyperlink"/>
            <w:rFonts w:hint="default" w:ascii="Arial" w:hAnsi="Arial"/>
            <w:b/>
            <w:i w:val="false"/>
            <w:color w:val="0000ff"/>
            <w:sz w:val="20"/>
            <w:u w:val="single"/>
          </w:rPr>
          <w:t>Decreto</w:t>
        </w:r>
        <w:r>
          <w:rPr>
            <w:rFonts w:hint="default" w:ascii="Arial" w:hAnsi="Arial"/>
            <w:b/>
            <w:i w:val="false"/>
            <w:color w:val="0000ff"/>
            <w:sz w:val="20"/>
          </w:rPr>
          <w:t xml:space="preserve"> 6.084, de 14 de abril de 2020</w:t>
        </w:r>
        <w:r>
          <w:rPr>
            <w:rFonts w:hint="default" w:ascii="Arial" w:hAnsi="Arial"/>
            <w:b/>
            <w:i w:val="false"/>
            <w:color w:val="0000ff"/>
            <w:sz w:val="20"/>
            <w:u w:val="single"/>
          </w:rPr>
          <w:t xml:space="preserve"> </w:t>
        </w:r>
      </w:hyperlink>
      <w:r>
        <w:rPr>
          <w:rFonts w:hint="default" w:ascii="Arial" w:hAnsi="Arial"/>
          <w:b w:val="false"/>
          <w:i w:val="false"/>
          <w:color w:val="000000"/>
          <w:sz w:val="20"/>
        </w:rPr>
        <w:t>- Institui o Sistema Integrado de Gestão Administrativa do Estado do Tocantins - SIGA-TO, e adota outras providências.</w:t>
      </w:r>
      <w:r>
        <w:rPr>
          <w:rFonts w:hint="default" w:ascii="Arial" w:hAnsi="Arial"/>
          <w:b w:val="false"/>
          <w:i w:val="false"/>
          <w:color w:val="000000"/>
          <w:sz w:val="20"/>
        </w:rPr>
        <w:t xml:space="preserve"/>
      </w: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d) </w:t>
      </w:r>
      <w:r>
        <w:rPr>
          <w:rFonts w:hint="default" w:ascii="Arial" w:hAnsi="Arial"/>
          <w:b/>
          <w:i w:val="false"/>
          <w:color w:val="0000ff"/>
          <w:sz w:val="20"/>
        </w:rPr>
        <w:t>Portaria SEFAZ nº 507/2020/GABSEC de 03/06/2020</w:t>
      </w:r>
      <w:r>
        <w:rPr>
          <w:rFonts w:hint="default" w:ascii="Arial" w:hAnsi="Arial"/>
          <w:b/>
          <w:i w:val="false"/>
          <w:color w:val="000000"/>
          <w:sz w:val="20"/>
        </w:rPr>
        <w:t xml:space="preserve"> </w:t>
      </w:r>
      <w:r>
        <w:rPr>
          <w:rFonts w:hint="default" w:ascii="Arial" w:hAnsi="Arial"/>
          <w:b w:val="false"/>
          <w:i w:val="false"/>
          <w:color w:val="000000"/>
          <w:sz w:val="20"/>
        </w:rPr>
        <w:t>- Institui o CATÁLOGO DE MATERIAIS E SERVIÇOS a ser utilizado pelos órgãos da Administração Pública Direta e Indireta do Poder Executivo do Estado do Tocantins e dá outras providências</w:t>
      </w:r>
      <w:r>
        <w:rPr>
          <w:rFonts w:hint="default" w:ascii="Arial" w:hAnsi="Arial"/>
          <w:b w:val="false"/>
          <w:i w:val="false"/>
          <w:color w:val="000000"/>
          <w:sz w:val="20"/>
        </w:rPr>
        <w:t>.</w:t>
      </w:r>
      <w:r>
        <w:rPr>
          <w:rFonts w:hint="default" w:ascii="Arial" w:hAnsi="Arial"/>
          <w:b w:val="false"/>
          <w:i w:val="false"/>
          <w:color w:val="000000"/>
          <w:sz w:val="20"/>
        </w:rPr>
        <w:t xml:space="preserve"/>
      </w: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e) </w:t>
      </w:r>
      <w:r>
        <w:rPr>
          <w:rFonts w:hint="default" w:ascii="Arial" w:hAnsi="Arial"/>
          <w:b/>
          <w:i w:val="false"/>
          <w:color w:val="0000ff"/>
          <w:sz w:val="20"/>
        </w:rPr>
        <w:t>Portaria SEFAZ Nº 235/2021/GABSEC</w:t>
      </w:r>
      <w:r>
        <w:rPr>
          <w:rFonts w:hint="default" w:ascii="Arial" w:hAnsi="Arial"/>
          <w:b/>
          <w:i w:val="false"/>
          <w:color w:val="000000"/>
          <w:sz w:val="20"/>
        </w:rPr>
        <w:t xml:space="preserve"> </w:t>
      </w:r>
      <w:r>
        <w:rPr>
          <w:rFonts w:hint="default" w:ascii="Arial" w:hAnsi="Arial"/>
          <w:b w:val="false"/>
          <w:i w:val="false"/>
          <w:color w:val="000000"/>
          <w:sz w:val="20"/>
        </w:rPr>
        <w:t xml:space="preserve">, de 06 de abril de 2021 </w:t>
      </w:r>
      <w:r>
        <w:rPr>
          <w:rFonts w:hint="default" w:ascii="Arial" w:hAnsi="Arial"/>
          <w:b/>
          <w:i w:val="false"/>
          <w:color w:val="000000"/>
          <w:sz w:val="20"/>
        </w:rPr>
        <w:t xml:space="preserve">- </w:t>
      </w:r>
      <w:r>
        <w:rPr>
          <w:rFonts w:hint="default" w:ascii="Arial" w:hAnsi="Arial"/>
          <w:b w:val="false"/>
          <w:i w:val="false"/>
          <w:color w:val="000000"/>
          <w:sz w:val="20"/>
        </w:rPr>
        <w:t>Define normas e procedimentos para aquisições através do SISTEMA DE COMPRA DIRETA através da Cotação Eletrônica nos limites de licitação dispensável e dá outras providências</w:t>
      </w:r>
      <w:r>
        <w:rPr>
          <w:rFonts w:hint="default" w:ascii="Arial" w:hAnsi="Arial"/>
          <w:b w:val="false"/>
          <w:i w:val="false"/>
          <w:color w:val="000000"/>
          <w:sz w:val="20"/>
        </w:rPr>
        <w:t>.</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4.</w:t>
      </w:r>
      <w:r>
        <w:rPr>
          <w:rFonts w:hint="default" w:ascii="Arial" w:hAnsi="Arial"/>
          <w:b/>
          <w:i w:val="false"/>
          <w:color w:val="000000"/>
          <w:sz w:val="20"/>
        </w:rPr>
        <w:t xml:space="preserve"> </w:t>
      </w:r>
      <w:r>
        <w:rPr>
          <w:rFonts w:hint="default" w:ascii="Arial" w:hAnsi="Arial"/>
          <w:b/>
          <w:i w:val="false"/>
          <w:color w:val="000000"/>
          <w:sz w:val="20"/>
        </w:rPr>
        <w:t>DAS ESPECIFICAÇÕES TÉCNICAS DO OBJETO:</w:t>
      </w:r>
      <w:r>
        <w:rPr>
          <w:rFonts w:hint="default" w:ascii="Arial" w:hAnsi="Arial"/>
          <w:b w:val="false"/>
          <w:i w:val="false"/>
          <w:color w:val="000000"/>
          <w:sz w:val="20"/>
        </w:rPr>
        <w:t xml:space="preserve"/>
      </w:r>
    </w:p>
    <w:p>
      <w:pPr>
        <w:spacing w:before="0" w:after="0" w:line="360"/>
        <w:ind w:left="0"/>
        <w:jc w:val="both"/>
      </w:pPr>
    </w:p>
    <w:tbl>
      <w:tblPr>
        <w:tblW w:w="5000" w:type="pct"/>
        <w:jc w:val="center"/>
        <w:tblCellSpacing w:w="0" w:type="auto"/>
        <w:tblBorders>
          <w:top w:val="none"/>
          <w:left w:val="none"/>
          <w:bottom w:val="none"/>
          <w:right w:val="none"/>
          <w:insideH w:val="none"/>
          <w:insideV w:val="none"/>
        </w:tblBorders>
      </w:tblPr>
      <w:tblGrid>
        <w:gridCol w:w="494"/>
        <w:gridCol w:w="354"/>
        <w:gridCol w:w="740"/>
        <w:gridCol w:w="9551"/>
        <w:gridCol w:w="709"/>
        <w:gridCol w:w="340"/>
        <w:gridCol w:w="455"/>
        <w:gridCol w:w="463"/>
        <w:gridCol w:w="528"/>
      </w:tblGrid>
      <w:tr>
        <w:trPr>
          <w:trHeight w:val="225" w:hRule="atLeast"/>
        </w:trPr>
        <w:tc>
          <w:tcPr>
            <w:tcW w:w="0" w:type="auto"/>
            <w:gridSpan w:val="9"/>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Itens</w:t>
            </w:r>
          </w:p>
        </w:tc>
      </w:tr>
      <w:tr>
        <w:trPr>
          <w:trHeight w:val="405" w:hRule="atLeast"/>
        </w:trPr>
        <w:tc>
          <w:tcPr>
            <w:tcW w:w="494"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Tipo</w:t>
            </w:r>
          </w:p>
        </w:tc>
        <w:tc>
          <w:tcPr>
            <w:tcW w:w="354"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Item</w:t>
            </w:r>
          </w:p>
        </w:tc>
        <w:tc>
          <w:tcPr>
            <w:tcW w:w="740"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Código</w:t>
            </w:r>
          </w:p>
        </w:tc>
        <w:tc>
          <w:tcPr>
            <w:tcW w:w="9551"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Descrição</w:t>
            </w:r>
          </w:p>
        </w:tc>
        <w:tc>
          <w:tcPr>
            <w:tcW w:w="709"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Un. Aquisição</w:t>
            </w:r>
          </w:p>
        </w:tc>
        <w:tc>
          <w:tcPr>
            <w:tcW w:w="340"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Qtd.</w:t>
            </w:r>
          </w:p>
        </w:tc>
        <w:tc>
          <w:tcPr>
            <w:tcW w:w="455"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Unit.</w:t>
            </w:r>
          </w:p>
        </w:tc>
        <w:tc>
          <w:tcPr>
            <w:tcW w:w="463"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Total</w:t>
            </w:r>
          </w:p>
        </w:tc>
        <w:tc>
          <w:tcPr>
            <w:tcW w:w="528"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Acum.</w:t>
            </w:r>
          </w:p>
        </w:tc>
      </w:tr>
      <w:tr>
        <w:trPr>
          <w:trHeight w:val="435" w:hRule="atLeast"/>
        </w:trPr>
        <w:tc>
          <w:tcPr>
            <w:tcW w:w="494"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Item 001</w:t>
            </w:r>
          </w:p>
        </w:tc>
        <w:tc>
          <w:tcPr>
            <w:tcW w:w="354"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1</w:t>
            </w:r>
          </w:p>
        </w:tc>
        <w:tc>
          <w:tcPr>
            <w:tcW w:w="740"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00030749</w:t>
            </w:r>
          </w:p>
        </w:tc>
        <w:tc>
          <w:tcPr>
            <w:tcW w:w="9551"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Camiseta - Tecido: malha pv, composta de 67% viscose e 33% poliéster; Gola: redonda; Manga: curta; Cor: branca; Tamanho: a definir; Informações adicionais: com logotipo/logomarca em silk screen.</w:t>
            </w:r>
          </w:p>
        </w:tc>
        <w:tc>
          <w:tcPr>
            <w:tcW w:w="709"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1 - Unidade</w:t>
            </w:r>
          </w:p>
        </w:tc>
        <w:tc>
          <w:tcPr>
            <w:tcW w:w="340"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80</w:t>
            </w:r>
          </w:p>
        </w:tc>
        <w:tc>
          <w:tcPr>
            <w:tcW w:w="45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46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528"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r>
      <w:tr>
        <w:trPr>
          <w:trHeight w:val="435" w:hRule="atLeast"/>
        </w:trPr>
        <w:tc>
          <w:tcPr>
            <w:tcW w:w="494"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Item 001</w:t>
            </w:r>
          </w:p>
        </w:tc>
        <w:tc>
          <w:tcPr>
            <w:tcW w:w="354"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2</w:t>
            </w:r>
          </w:p>
        </w:tc>
        <w:tc>
          <w:tcPr>
            <w:tcW w:w="740"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00030748</w:t>
            </w:r>
          </w:p>
        </w:tc>
        <w:tc>
          <w:tcPr>
            <w:tcW w:w="9551"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Camiseta - Tecido: malha pv, composta de 67% viscose e 33% poliéster; Gola: redonda; Manga: curta; Cor: azul oxford; Tamanho: a definir; Informações adicionais: com logotipo/logomarca em silk screen.</w:t>
            </w:r>
          </w:p>
        </w:tc>
        <w:tc>
          <w:tcPr>
            <w:tcW w:w="709"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1 - Unidade</w:t>
            </w:r>
          </w:p>
        </w:tc>
        <w:tc>
          <w:tcPr>
            <w:tcW w:w="340"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40</w:t>
            </w:r>
          </w:p>
        </w:tc>
        <w:tc>
          <w:tcPr>
            <w:tcW w:w="45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46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528"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r>
      <w:tr>
        <w:trPr>
          <w:trHeight w:val="255" w:hRule="atLeast"/>
        </w:trPr>
        <w:tc>
          <w:tcPr>
            <w:tcW w:w="0" w:type="auto"/>
            <w:gridSpan w:val="6"/>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right"/>
            </w:pPr>
            <w:r>
              <w:rPr>
                <w:rFonts w:ascii="Times New Roman" w:hAnsi="Times New Roman"/>
                <w:b w:val="false"/>
                <w:i w:val="false"/>
                <w:color w:val="000000"/>
                <w:sz w:val="12"/>
              </w:rPr>
              <w:t>Total (R$):</w:t>
            </w:r>
          </w:p>
        </w:tc>
        <w:tc>
          <w:tcPr>
            <w:tcW w:w="45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c>
          <w:tcPr>
            <w:tcW w:w="46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c>
          <w:tcPr>
            <w:tcW w:w="528"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r>
    </w:tbl>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Importante ressaltar que as </w:t>
      </w:r>
      <w:r>
        <w:rPr>
          <w:rFonts w:hint="default" w:ascii="Arial" w:hAnsi="Arial"/>
          <w:b/>
          <w:i w:val="false"/>
          <w:color w:val="000000"/>
          <w:sz w:val="20"/>
        </w:rPr>
        <w:t>80 (oitenta) camisetas</w:t>
      </w:r>
      <w:r>
        <w:rPr>
          <w:rFonts w:hint="default" w:ascii="Arial" w:hAnsi="Arial"/>
          <w:b w:val="false"/>
          <w:i w:val="false"/>
          <w:color w:val="000000"/>
          <w:sz w:val="20"/>
        </w:rPr>
        <w:t xml:space="preserve"> correspondentes ao código SIGA </w:t>
      </w:r>
      <w:r>
        <w:rPr>
          <w:rFonts w:hint="default" w:ascii="Arial" w:hAnsi="Arial"/>
          <w:b/>
          <w:i w:val="false"/>
          <w:color w:val="000000"/>
          <w:sz w:val="20"/>
        </w:rPr>
        <w:t xml:space="preserve">00030749 </w:t>
      </w:r>
      <w:r>
        <w:rPr>
          <w:rFonts w:hint="default" w:ascii="Arial" w:hAnsi="Arial"/>
          <w:b w:val="false"/>
          <w:i w:val="false"/>
          <w:color w:val="000000"/>
          <w:sz w:val="20"/>
        </w:rPr>
        <w:t>serão distribuídas da seguinte forma: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numPr>
          <w:ilvl w:val="0"/>
          <w:numId w:val="3"/>
        </w:numPr>
        <w:spacing w:before="0" w:after="0" w:line="360"/>
        <w:ind w:left="0"/>
        <w:jc w:val="both"/>
      </w:pPr>
      <w:r>
        <w:rPr>
          <w:rFonts w:hint="default" w:ascii="Arial" w:hAnsi="Arial"/>
          <w:b w:val="false"/>
          <w:i w:val="false"/>
          <w:color w:val="000000"/>
          <w:sz w:val="20"/>
        </w:rPr>
        <w:t>30 camisetas tamanho M;</w:t>
      </w:r>
    </w:p>
    <w:p>
      <w:pPr>
        <w:numPr>
          <w:ilvl w:val="0"/>
          <w:numId w:val="3"/>
        </w:numPr>
        <w:spacing w:before="0" w:after="0" w:line="360"/>
        <w:ind w:left="0"/>
        <w:jc w:val="both"/>
      </w:pPr>
      <w:r>
        <w:rPr>
          <w:rFonts w:hint="default" w:ascii="Arial" w:hAnsi="Arial"/>
          <w:b w:val="false"/>
          <w:i w:val="false"/>
          <w:color w:val="000000"/>
          <w:sz w:val="20"/>
        </w:rPr>
        <w:t>36 camisetas tamanho G;</w:t>
      </w:r>
    </w:p>
    <w:p>
      <w:pPr>
        <w:numPr>
          <w:ilvl w:val="0"/>
          <w:numId w:val="3"/>
        </w:numPr>
        <w:spacing w:before="0" w:after="0" w:line="360"/>
        <w:ind w:left="0"/>
        <w:jc w:val="both"/>
      </w:pPr>
      <w:r>
        <w:rPr>
          <w:rFonts w:hint="default" w:ascii="Arial" w:hAnsi="Arial"/>
          <w:b w:val="false"/>
          <w:i w:val="false"/>
          <w:color w:val="000000"/>
          <w:sz w:val="20"/>
        </w:rPr>
        <w:t>10 camisetas tamanho GG;</w:t>
      </w:r>
    </w:p>
    <w:p>
      <w:pPr>
        <w:numPr>
          <w:ilvl w:val="0"/>
          <w:numId w:val="3"/>
        </w:numPr>
        <w:spacing w:before="0" w:after="0" w:line="360"/>
        <w:ind w:left="0"/>
        <w:jc w:val="both"/>
      </w:pPr>
      <w:r>
        <w:rPr>
          <w:rFonts w:hint="default" w:ascii="Arial" w:hAnsi="Arial"/>
          <w:b w:val="false"/>
          <w:i w:val="false"/>
          <w:color w:val="000000"/>
          <w:sz w:val="20"/>
        </w:rPr>
        <w:t>04 camisetas tamanho EGG;</w:t>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Por outro lado, as </w:t>
      </w:r>
      <w:r>
        <w:rPr>
          <w:rFonts w:hint="default" w:ascii="Arial" w:hAnsi="Arial"/>
          <w:b/>
          <w:i w:val="false"/>
          <w:color w:val="000000"/>
          <w:sz w:val="20"/>
        </w:rPr>
        <w:t>40 (quarenta) camisetas</w:t>
      </w:r>
      <w:r>
        <w:rPr>
          <w:rFonts w:hint="default" w:ascii="Arial" w:hAnsi="Arial"/>
          <w:b w:val="false"/>
          <w:i w:val="false"/>
          <w:color w:val="000000"/>
          <w:sz w:val="20"/>
        </w:rPr>
        <w:t xml:space="preserve"> correspondentes ao código SIGA </w:t>
      </w:r>
      <w:r>
        <w:rPr>
          <w:rFonts w:hint="default" w:ascii="Arial" w:hAnsi="Arial"/>
          <w:b/>
          <w:i w:val="false"/>
          <w:color w:val="000000"/>
          <w:sz w:val="20"/>
        </w:rPr>
        <w:t xml:space="preserve">00030748 </w:t>
      </w:r>
      <w:r>
        <w:rPr>
          <w:rFonts w:hint="default" w:ascii="Arial" w:hAnsi="Arial"/>
          <w:b w:val="false"/>
          <w:i w:val="false"/>
          <w:color w:val="000000"/>
          <w:sz w:val="20"/>
        </w:rPr>
        <w:t>serão distribuídas da seguinte forma: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numPr>
          <w:ilvl w:val="0"/>
          <w:numId w:val="4"/>
        </w:numPr>
        <w:spacing w:before="0" w:after="0" w:line="360"/>
        <w:ind w:left="0"/>
        <w:jc w:val="both"/>
      </w:pPr>
      <w:r>
        <w:rPr>
          <w:rFonts w:hint="default" w:ascii="Arial" w:hAnsi="Arial"/>
          <w:b w:val="false"/>
          <w:i w:val="false"/>
          <w:color w:val="000000"/>
          <w:sz w:val="20"/>
        </w:rPr>
        <w:t>08 camisetas tamanho M;</w:t>
      </w:r>
    </w:p>
    <w:p>
      <w:pPr>
        <w:numPr>
          <w:ilvl w:val="0"/>
          <w:numId w:val="4"/>
        </w:numPr>
        <w:spacing w:before="0" w:after="0" w:line="360"/>
        <w:ind w:left="0"/>
        <w:jc w:val="both"/>
      </w:pPr>
      <w:r>
        <w:rPr>
          <w:rFonts w:hint="default" w:ascii="Arial" w:hAnsi="Arial"/>
          <w:b w:val="false"/>
          <w:i w:val="false"/>
          <w:color w:val="000000"/>
          <w:sz w:val="20"/>
        </w:rPr>
        <w:t>20 camisetas tamanho G;</w:t>
      </w:r>
    </w:p>
    <w:p>
      <w:pPr>
        <w:numPr>
          <w:ilvl w:val="0"/>
          <w:numId w:val="4"/>
        </w:numPr>
        <w:spacing w:before="0" w:after="0" w:line="360"/>
        <w:ind w:left="0"/>
        <w:jc w:val="both"/>
      </w:pPr>
      <w:r>
        <w:rPr>
          <w:rFonts w:hint="default" w:ascii="Arial" w:hAnsi="Arial"/>
          <w:b w:val="false"/>
          <w:i w:val="false"/>
          <w:color w:val="000000"/>
          <w:sz w:val="20"/>
        </w:rPr>
        <w:t>10 camisetas tamanho GG;</w:t>
      </w:r>
    </w:p>
    <w:p>
      <w:pPr>
        <w:numPr>
          <w:ilvl w:val="0"/>
          <w:numId w:val="4"/>
        </w:numPr>
        <w:spacing w:before="0" w:after="0" w:line="360"/>
        <w:ind w:left="0"/>
        <w:jc w:val="both"/>
      </w:pPr>
      <w:r>
        <w:rPr>
          <w:rFonts w:hint="default" w:ascii="Arial" w:hAnsi="Arial"/>
          <w:b w:val="false"/>
          <w:i w:val="false"/>
          <w:color w:val="000000"/>
          <w:sz w:val="20"/>
        </w:rPr>
        <w:t>02 camisetas tamanho EGG;</w:t>
      </w: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5.</w:t>
      </w:r>
      <w:r>
        <w:rPr>
          <w:rFonts w:hint="default" w:ascii="Arial" w:hAnsi="Arial"/>
          <w:b/>
          <w:i w:val="false"/>
          <w:color w:val="000000"/>
          <w:sz w:val="20"/>
        </w:rPr>
        <w:t xml:space="preserve"> </w:t>
      </w:r>
      <w:r>
        <w:rPr>
          <w:rFonts w:hint="default" w:ascii="Arial" w:hAnsi="Arial"/>
          <w:b/>
          <w:i w:val="false"/>
          <w:color w:val="000000"/>
          <w:sz w:val="20"/>
        </w:rPr>
        <w:t>DO PRAZO E DA ENTREGA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5.1 - </w:t>
      </w:r>
      <w:r>
        <w:rPr>
          <w:rFonts w:hint="default" w:ascii="Arial" w:hAnsi="Arial"/>
          <w:b w:val="false"/>
          <w:i w:val="false"/>
          <w:color w:val="000000"/>
          <w:sz w:val="20"/>
        </w:rPr>
        <w:t xml:space="preserve">O prazo de entrega será de 30 dias corridos contados a partir do recebimento da nota de empenho.</w:t>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5.2 - A entrega dos referidos materiais será efetuada em horário de expediente, no seguinte endereço: </w:t>
      </w:r>
      <w:r>
        <w:rPr>
          <w:rFonts w:hint="default" w:ascii="Arial" w:hAnsi="Arial"/>
          <w:b w:val="false"/>
          <w:i w:val="false"/>
          <w:color w:val="000000"/>
          <w:sz w:val="20"/>
        </w:rPr>
        <w:t>Almoxarifado da SETAS. Localizado na Quadra 112 SUL, RUA SR-03, LOTE 36, CENTRO, PALMAS-TO</w:t>
      </w:r>
      <w:r>
        <w:rPr>
          <w:rFonts w:hint="default" w:ascii="Arial" w:hAnsi="Arial"/>
          <w:b w:val="false"/>
          <w:i w:val="false"/>
          <w:color w:val="000000"/>
          <w:sz w:val="20"/>
        </w:rPr>
        <w:t xml:space="preserve"> na presença de servidor devidamente autorizado que terá o prazo de até 05 (cinco) dias corridos para aceitação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5.3 - A responsabilidade pelo recebimento do material ficará a cargo de servidor designado formalmente pela </w:t>
      </w:r>
      <w:r>
        <w:rPr>
          <w:rFonts w:hint="default" w:ascii="Arial" w:hAnsi="Arial"/>
          <w:b w:val="false"/>
          <w:i w:val="false"/>
          <w:color w:val="000000"/>
          <w:sz w:val="20"/>
        </w:rPr>
        <w:t>SETAS</w:t>
      </w:r>
      <w:r>
        <w:rPr>
          <w:rFonts w:hint="default" w:ascii="Arial" w:hAnsi="Arial"/>
          <w:b w:val="false"/>
          <w:i w:val="false"/>
          <w:color w:val="000000"/>
          <w:sz w:val="20"/>
        </w:rPr>
        <w:t>, o qual deverá proceder ao atesto da(s) nota(s) fiscal(is).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6.</w:t>
      </w:r>
      <w:r>
        <w:rPr>
          <w:rFonts w:hint="default" w:ascii="Arial" w:hAnsi="Arial"/>
          <w:b/>
          <w:i w:val="false"/>
          <w:color w:val="000000"/>
          <w:sz w:val="20"/>
        </w:rPr>
        <w:t xml:space="preserve"> </w:t>
      </w:r>
      <w:r>
        <w:rPr>
          <w:rFonts w:hint="default" w:ascii="Arial" w:hAnsi="Arial"/>
          <w:b/>
          <w:i w:val="false"/>
          <w:color w:val="000000"/>
          <w:sz w:val="20"/>
        </w:rPr>
        <w:t>REQUISITOS DA CONTRATAÇÃO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6.1 - </w:t>
      </w:r>
      <w:r>
        <w:rPr>
          <w:rFonts w:hint="default" w:ascii="Arial" w:hAnsi="Arial"/>
          <w:b w:val="false"/>
          <w:i w:val="false"/>
          <w:color w:val="000000"/>
          <w:sz w:val="20"/>
        </w:rPr>
        <w:t>A presente contratação de dispensa será realizada por meio de cotação eletrônica, do tipo “</w:t>
      </w:r>
      <w:r>
        <w:rPr>
          <w:rFonts w:hint="default" w:ascii="Arial" w:hAnsi="Arial"/>
          <w:b w:val="false"/>
          <w:i w:val="false"/>
          <w:color w:val="000000"/>
          <w:sz w:val="20"/>
        </w:rPr>
        <w:t xml:space="preserve"> </w:t>
      </w:r>
      <w:r>
        <w:rPr>
          <w:rFonts w:hint="default" w:ascii="Arial" w:hAnsi="Arial"/>
          <w:b w:val="false"/>
          <w:i w:val="false"/>
          <w:color w:val="000000"/>
          <w:sz w:val="20"/>
        </w:rPr>
        <w:t>MENOR PREÇO UNITÁRIO” ou “MENOR PREÇO TOTAL POR ITEM OU GRUPO</w:t>
      </w:r>
      <w:r>
        <w:rPr>
          <w:rFonts w:hint="default" w:ascii="Arial" w:hAnsi="Arial"/>
          <w:b w:val="false"/>
          <w:i w:val="false"/>
          <w:color w:val="000000"/>
          <w:sz w:val="20"/>
        </w:rPr>
        <w:t xml:space="preserve"> </w:t>
      </w:r>
      <w:r>
        <w:rPr>
          <w:rFonts w:hint="default" w:ascii="Arial" w:hAnsi="Arial"/>
          <w:b w:val="false"/>
          <w:i w:val="false"/>
          <w:color w:val="000000"/>
          <w:sz w:val="20"/>
        </w:rPr>
        <w:t xml:space="preserve">”, realizada através de Sistema Eletrônico, no Portal de Compras do Governo Estadual – localizado no site </w:t>
      </w:r>
      <w:hyperlink r:id="rId7">
        <w:r>
          <w:rPr>
            <w:rStyle w:val="Hyperlink"/>
            <w:rFonts w:hint="default" w:ascii="Arial" w:hAnsi="Arial"/>
            <w:b w:val="false"/>
            <w:i w:val="false"/>
            <w:color w:val="0000ff"/>
            <w:sz w:val="20"/>
            <w:u w:val="single"/>
          </w:rPr>
          <w:t>http://www.siga.to.gov.br/compra-direta</w:t>
        </w:r>
      </w:hyperlink>
      <w:r>
        <w:rPr>
          <w:rFonts w:hint="default" w:ascii="Arial" w:hAnsi="Arial"/>
          <w:b w:val="false"/>
          <w:i w:val="false"/>
          <w:color w:val="000000"/>
          <w:sz w:val="20"/>
        </w:rPr>
        <w:t>.</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7.</w:t>
      </w:r>
      <w:r>
        <w:rPr>
          <w:rFonts w:hint="default" w:ascii="Arial" w:hAnsi="Arial"/>
          <w:b/>
          <w:i w:val="false"/>
          <w:color w:val="000000"/>
          <w:sz w:val="20"/>
        </w:rPr>
        <w:t xml:space="preserve"> </w:t>
      </w:r>
      <w:r>
        <w:rPr>
          <w:rFonts w:hint="default" w:ascii="Arial" w:hAnsi="Arial"/>
          <w:b/>
          <w:i w:val="false"/>
          <w:color w:val="000000"/>
          <w:sz w:val="20"/>
        </w:rPr>
        <w:t>CRITÉRIOS DE ACEITAÇÃO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7.1 </w:t>
      </w:r>
      <w:r>
        <w:rPr>
          <w:rFonts w:hint="default" w:ascii="Arial" w:hAnsi="Arial"/>
          <w:b w:val="false"/>
          <w:i w:val="false"/>
          <w:color w:val="000000"/>
          <w:sz w:val="20"/>
        </w:rPr>
        <w:t>- Os bens serão recebidos provisoriamente no prazo de 5 (cinco) dias, pelo(a) responsável pelo acompanhamento e fiscalização do contrato, para efeito de posterior verificação de sua conformidade com as especificações constantes neste Termo de Referência e na proposta.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7.2 - 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7.3 - Os bens serão recebidos definitivamente no prazo de 20 (vinte) dias, contados do recebimento provisório, após a verificação da qualidade e quantidade do material e consequente aceitação mediante termo circunstanciado.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7.4 - Na hipótese de a verificação a que se refere o subitem anterior não ser procedida dentro do prazo fixado, reputar-se-á como realizada, consumando-se o recebimento definitivo no dia do esgotamento do prazo.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7.5 - O recebimento provisório ou definitivo do objeto não exclui a responsabilidade da contratada pelos prejuízos resultantes da incorreta execução do contrato.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7.6 </w:t>
      </w:r>
      <w:r>
        <w:rPr>
          <w:rFonts w:ascii="Arial" w:hAnsi="Arial"/>
          <w:b w:val="false"/>
          <w:i w:val="false"/>
          <w:color w:val="000000"/>
          <w:sz w:val="20"/>
        </w:rPr>
        <w:t>Antes dos bens serem recebidos é necessária a exposição ao contratante de amostra do material (tecido) no qual as camisetas serão confeccionadas. É necessária, também, amostra de todos os tamanhos solicitados das camisetas, pois caso seja necessário adequações no tamanho das camisetas, estas deverão ser feitas.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8.</w:t>
      </w:r>
      <w:r>
        <w:rPr>
          <w:rFonts w:hint="default" w:ascii="Arial" w:hAnsi="Arial"/>
          <w:b/>
          <w:i w:val="false"/>
          <w:color w:val="000000"/>
          <w:sz w:val="20"/>
        </w:rPr>
        <w:t xml:space="preserve"> OBRIGAÇÕES DA CONTRATANTE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8.1 - Exigir do fornecedor o fiel cumprimento das obrigações decorrentes desta contratação;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8.2 - Verificar a manutenção pelo fornecedor das condições de habilitação, com relação a regularidade fiscal;</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8.3 - Aplicar penalidades ao fornecedor, por descumprimento contratual;</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8.4 - Prestar as informações e os esclarecimentos que venham a ser solicitados pelos funcionários da CONTRATADA;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8.5 - Comunicar à CONTRATADA qualquer irregularidade verificada na execução do fornecimento, determinando, de imediato, as providências necessárias à sua regularização;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8.6 - Acompanhar e fiscalizar rigorosamente o cumprimento do contrato, verificando a qualidade do fornecimento executado;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8.7 - Rejeitar qualquer fornecimento considerado insatisfatório, determinando que seja refeito no prazo a ser estipulado pela fiscalização do contrato;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8.8 - Efetuar o pagamento do fornecimento executado, conforme condições estabelecidas no contrato ou nota de empenho, e conferir as notas fiscais, atestando-as;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8.9 - Anotar, em registro próprio, todas as ocorrências relacionadas com a execução do objeto do contrato, determinando o que for necessário à regularização das faltas ou defeitos observados;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8.10 -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9.</w:t>
      </w:r>
      <w:r>
        <w:rPr>
          <w:rFonts w:hint="default" w:ascii="Arial" w:hAnsi="Arial"/>
          <w:b/>
          <w:i w:val="false"/>
          <w:color w:val="000000"/>
          <w:sz w:val="20"/>
        </w:rPr>
        <w:t xml:space="preserve"> </w:t>
      </w:r>
      <w:r>
        <w:rPr>
          <w:rFonts w:hint="default" w:ascii="Arial" w:hAnsi="Arial"/>
          <w:b/>
          <w:i w:val="false"/>
          <w:color w:val="000000"/>
          <w:sz w:val="20"/>
        </w:rPr>
        <w:t>OBRIGAÇÕES DA CONTRATADA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9.1 - É responsabilidade da CONTRATADA providenciar todos os recursos e insumos necessários ao perfeito cumprimento do objeto contratado, devendo estar incluídos no preço proposto todas as despesas com materiais, insumos, mão de obra, fretes, embalagens, seguros, impostos, taxas, tarifas, encargos sociais e trabalhistas e demais despesas necessárias à perfeita execução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9.2 - A contratada para a execução do objeto estará obrigada a satisfazer todos os requisitos, exigências e condições estabelecidas no termo de referência e seus anexos.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9.3 - Atender prontamente todas as solicitações da Contratante previstas no termo de referência e seus anexos.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9.4 - Garantir a qualidade dos materiais licitado comprometendo-se a substituí-los as suas expensas aqueles que não atendam o padrão de qualidade exigido, apresente defeitos de fabricação ou danos em decorrência do transporte, no prazo máximo de 20 (vinte) dias corridos a partir da notificação oficial.</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9.5 - Efetuar a entrega dos materiais de acordo com as especificações, prazo de entrega e demais condições estipuladas no Termo de Referência, na Nota de Empenho, responsabilizando-se exclusivamente por todas as despesas relativas à execução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9.6 - Comunicar o(a) </w:t>
      </w:r>
      <w:r>
        <w:rPr>
          <w:rFonts w:hint="default" w:ascii="Arial" w:hAnsi="Arial"/>
          <w:b w:val="false"/>
          <w:i w:val="false"/>
          <w:color w:val="000000"/>
          <w:sz w:val="20"/>
        </w:rPr>
        <w:t>SETAS</w:t>
      </w:r>
      <w:r>
        <w:rPr>
          <w:rFonts w:hint="default" w:ascii="Arial" w:hAnsi="Arial"/>
          <w:b w:val="false"/>
          <w:i w:val="false"/>
          <w:color w:val="000000"/>
          <w:sz w:val="20"/>
        </w:rPr>
        <w:t>, imediatamente após o recebimento do pedido de fornecimento, motivos que possam impossibilitar o seu cu</w:t>
      </w:r>
      <w:r>
        <w:rPr>
          <w:rFonts w:hint="default" w:ascii="Arial" w:hAnsi="Arial"/>
          <w:b w:val="false"/>
          <w:i w:val="false"/>
          <w:color w:val="000000"/>
          <w:sz w:val="20"/>
        </w:rPr>
        <w:t>mprimento.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9.7 - Responsabilizar-se com exclusividade por todas as despesas relativas à entrega do objeto, inclusive quanto à retirada do(s) objeto(s) a ser(em) substituído(s), quando houver.</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9.8 - Responsabilizar-se pelo transporte apropriado dos materiais, assumindo a responsabilidade pelos encargos fiscais e comerciais resultante da adjudicação do objeto desta licitação.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9.9 - Não transferir a outrem, no todo ou em parte, o objeto deste termo de referencia.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9.10 - Manter, durante a execução do contrato, todas as condições de habilitação e qualificação exigidas na licitação, em conformidade com art. 92, inciso XVI , da Lei nº 14.133/2021, incluindo a atualização de documentos de controle da arrecadação de tributos e contribuições federais e outras legalmente exigíveis.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10.</w:t>
      </w:r>
      <w:r>
        <w:rPr>
          <w:rFonts w:hint="default" w:ascii="Arial" w:hAnsi="Arial"/>
          <w:b/>
          <w:i w:val="false"/>
          <w:color w:val="000000"/>
          <w:sz w:val="20"/>
        </w:rPr>
        <w:t xml:space="preserve"> </w:t>
      </w:r>
      <w:r>
        <w:rPr>
          <w:rFonts w:hint="default" w:ascii="Arial" w:hAnsi="Arial"/>
          <w:b/>
          <w:i w:val="false"/>
          <w:color w:val="000000"/>
          <w:sz w:val="20"/>
        </w:rPr>
        <w:t>PRAZO DE EXECUÇÃO DO CONTRATO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10.1 - O contrato terá a sua vigência adstrita à dos respectivos créditos orçamentários, a partir da data de sua assinatura ou até a utilização do quantitativo, prevalecendo o que ocorrer primeiro.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10.2 - Após a expiração da vigência, ainda subsistirá a responsabilidade da CONTRATADA quanto à garantia dos materiais entregues, quando for o caso.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11.</w:t>
      </w:r>
      <w:r>
        <w:rPr>
          <w:rFonts w:hint="default" w:ascii="Arial" w:hAnsi="Arial"/>
          <w:b/>
          <w:i w:val="false"/>
          <w:color w:val="000000"/>
          <w:sz w:val="20"/>
        </w:rPr>
        <w:t xml:space="preserve"> </w:t>
      </w:r>
      <w:r>
        <w:rPr>
          <w:rFonts w:hint="default" w:ascii="Arial" w:hAnsi="Arial"/>
          <w:b/>
          <w:i w:val="false"/>
          <w:color w:val="000000"/>
          <w:sz w:val="20"/>
        </w:rPr>
        <w:t>DO CONTROLE E FISCALIZAÇÃO DA EXECUÇÃO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11.1 - Nos termos do art. 117 Lei nº 14.133/2021, será designado servidor para acompanhar e fiscalizar a entrega dos bens, anotando em registro próprio todas as ocorrências relacionadas com a execução e determinando o que for necessário à regularização de falhas ou defeitos observados.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11.2 - O recebimento de material de valor superior ao limite estabelecido na legislação, será confiado a uma comissão de, no mínimo, 3 (t</w:t>
      </w:r>
      <w:r>
        <w:rPr>
          <w:rFonts w:hint="default" w:ascii="Arial" w:hAnsi="Arial"/>
          <w:b w:val="false"/>
          <w:i w:val="false"/>
          <w:color w:val="000000"/>
          <w:sz w:val="20"/>
        </w:rPr>
        <w:t>rês) membros, designados pela autoridade competente.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11.3 -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11.4 -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12.</w:t>
      </w:r>
      <w:r>
        <w:rPr>
          <w:rFonts w:hint="default" w:ascii="Arial" w:hAnsi="Arial"/>
          <w:b/>
          <w:i w:val="false"/>
          <w:color w:val="000000"/>
          <w:sz w:val="20"/>
        </w:rPr>
        <w:t xml:space="preserve"> </w:t>
      </w:r>
      <w:r>
        <w:rPr>
          <w:rFonts w:hint="default" w:ascii="Arial" w:hAnsi="Arial"/>
          <w:b/>
          <w:i w:val="false"/>
          <w:color w:val="000000"/>
          <w:sz w:val="20"/>
        </w:rPr>
        <w:t>DA SUBCONTRATAÇÃO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12.1 - Não será admitida a subcontratação total ou parcial do objeto desta contratação, bem como cedê-lo ou transferi-lo, no todo ou em parte.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13.</w:t>
      </w:r>
      <w:r>
        <w:rPr>
          <w:rFonts w:hint="default" w:ascii="Arial" w:hAnsi="Arial"/>
          <w:b/>
          <w:i w:val="false"/>
          <w:color w:val="000000"/>
          <w:sz w:val="20"/>
        </w:rPr>
        <w:t xml:space="preserve"> </w:t>
      </w:r>
      <w:r>
        <w:rPr>
          <w:rFonts w:hint="default" w:ascii="Arial" w:hAnsi="Arial"/>
          <w:b/>
          <w:i w:val="false"/>
          <w:color w:val="000000"/>
          <w:sz w:val="20"/>
        </w:rPr>
        <w:t>DA CLASSIFICAÇÃO ORCAMENTÁRIA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13.1 - As despesas decorrentes da aquisição do objeto deste Contrato correrão por conta da seguinte classificação orçamentária:</w:t>
      </w:r>
      <w:r>
        <w:rPr>
          <w:rFonts w:hint="default" w:ascii="Arial" w:hAnsi="Arial"/>
          <w:b w:val="false"/>
          <w:i w:val="false"/>
          <w:color w:val="000000"/>
          <w:sz w:val="20"/>
        </w:rPr>
        <w:t xml:space="preserve"/>
      </w:r>
    </w:p>
    <w:p>
      <w:pPr>
        <w:spacing w:before="0" w:after="0" w:line="360"/>
        <w:ind w:left="0"/>
        <w:jc w:val="both"/>
      </w:pPr>
    </w:p>
    <w:tbl>
      <w:tblPr>
        <w:tblW w:w="5000" w:type="pct"/>
        <w:jc w:val="center"/>
        <w:tblCellSpacing w:w="0" w:type="auto"/>
        <w:tblBorders>
          <w:top w:val="none"/>
          <w:left w:val="none"/>
          <w:bottom w:val="none"/>
          <w:right w:val="none"/>
          <w:insideH w:val="none"/>
          <w:insideV w:val="none"/>
        </w:tblBorders>
      </w:tblPr>
      <w:tblGrid>
        <w:gridCol w:w="4793"/>
        <w:gridCol w:w="3332"/>
        <w:gridCol w:w="2805"/>
        <w:gridCol w:w="1008"/>
        <w:gridCol w:w="1696"/>
      </w:tblGrid>
      <w:tr>
        <w:trPr>
          <w:trHeight w:val="225" w:hRule="atLeast"/>
        </w:trPr>
        <w:tc>
          <w:tcPr>
            <w:tcW w:w="0" w:type="auto"/>
            <w:gridSpan w:val="5"/>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Dotação</w:t>
            </w:r>
          </w:p>
        </w:tc>
      </w:tr>
      <w:tr>
        <w:trPr>
          <w:trHeight w:val="225" w:hRule="atLeast"/>
        </w:trPr>
        <w:tc>
          <w:tcPr>
            <w:tcW w:w="4793"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Funcional Programática</w:t>
            </w:r>
          </w:p>
        </w:tc>
        <w:tc>
          <w:tcPr>
            <w:tcW w:w="3332"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Natureza de Despesa</w:t>
            </w:r>
          </w:p>
        </w:tc>
        <w:tc>
          <w:tcPr>
            <w:tcW w:w="2805"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Fonte de Recurso</w:t>
            </w:r>
          </w:p>
        </w:tc>
        <w:tc>
          <w:tcPr>
            <w:tcW w:w="1008"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Valor</w:t>
            </w:r>
          </w:p>
        </w:tc>
        <w:tc>
          <w:tcPr>
            <w:tcW w:w="1696"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Exercício.</w:t>
            </w:r>
          </w:p>
        </w:tc>
      </w:tr>
      <w:tr>
        <w:trPr>
          <w:trHeight w:val="255" w:hRule="atLeast"/>
        </w:trPr>
        <w:tc>
          <w:tcPr>
            <w:tcW w:w="479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426500 41010 812211614073</w:t>
            </w:r>
          </w:p>
        </w:tc>
        <w:tc>
          <w:tcPr>
            <w:tcW w:w="3332"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33903023</w:t>
            </w:r>
          </w:p>
        </w:tc>
        <w:tc>
          <w:tcPr>
            <w:tcW w:w="280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5001666666</w:t>
            </w:r>
          </w:p>
        </w:tc>
        <w:tc>
          <w:tcPr>
            <w:tcW w:w="1008"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1696"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2023</w:t>
            </w:r>
          </w:p>
        </w:tc>
      </w:tr>
      <w:tr>
        <w:trPr>
          <w:trHeight w:val="255" w:hRule="atLeast"/>
        </w:trPr>
        <w:tc>
          <w:tcPr>
            <w:tcW w:w="0" w:type="auto"/>
            <w:gridSpan w:val="3"/>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right"/>
            </w:pPr>
            <w:r>
              <w:rPr>
                <w:rFonts w:ascii="Times New Roman" w:hAnsi="Times New Roman"/>
                <w:b w:val="false"/>
                <w:i w:val="false"/>
                <w:color w:val="000000"/>
                <w:sz w:val="12"/>
              </w:rPr>
              <w:t>Custo total estimado (R$):</w:t>
            </w:r>
          </w:p>
        </w:tc>
        <w:tc>
          <w:tcPr>
            <w:tcW w:w="0" w:type="auto"/>
            <w:gridSpan w:val="2"/>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r>
    </w:tbl>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14.</w:t>
      </w:r>
      <w:r>
        <w:rPr>
          <w:rFonts w:hint="default" w:ascii="Arial" w:hAnsi="Arial"/>
          <w:b/>
          <w:i w:val="false"/>
          <w:color w:val="000000"/>
          <w:sz w:val="20"/>
        </w:rPr>
        <w:t xml:space="preserve"> </w:t>
      </w:r>
      <w:r>
        <w:rPr>
          <w:rFonts w:hint="default" w:ascii="Arial" w:hAnsi="Arial"/>
          <w:b/>
          <w:i w:val="false"/>
          <w:color w:val="000000"/>
          <w:sz w:val="20"/>
        </w:rPr>
        <w:t>DO PAGAMENTO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14.1 - O pagamento será efetuado em até 30 (trinta) dias, após o aceite dos materiais, mediante apresentação da Nota Fiscal/Fatura, devidamente comprovada e em perfeitas condições, atestada pelo setor competente da CONTRATANTE.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14.2 - A Nota Fiscal ou Fatura deverá ser obrigatoriamente acompanhada da comprovação da regularidade fiscal, mediante consulta aos sítios eletrônicos oficiais ou à documentação mencionada no art. 68 da Lei nº 14.133/2021.</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14.3 -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15.</w:t>
      </w:r>
      <w:r>
        <w:rPr>
          <w:rFonts w:hint="default" w:ascii="Arial" w:hAnsi="Arial"/>
          <w:b/>
          <w:i w:val="false"/>
          <w:color w:val="000000"/>
          <w:sz w:val="20"/>
        </w:rPr>
        <w:t xml:space="preserve"> </w:t>
      </w:r>
      <w:r>
        <w:rPr>
          <w:rFonts w:hint="default" w:ascii="Arial" w:hAnsi="Arial"/>
          <w:b/>
          <w:i w:val="false"/>
          <w:color w:val="000000"/>
          <w:sz w:val="20"/>
        </w:rPr>
        <w:t>DAS AMOSTRAS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15.1 - O órgão requisitante poderá solicitar amostra e as empresas deverão apresentá-las no(a) </w:t>
      </w:r>
      <w:r>
        <w:rPr>
          <w:rFonts w:hint="default" w:ascii="Arial" w:hAnsi="Arial"/>
          <w:b w:val="false"/>
          <w:i w:val="false"/>
          <w:color w:val="000000"/>
          <w:sz w:val="20"/>
        </w:rPr>
        <w:t>SETAS</w:t>
      </w:r>
      <w:r>
        <w:rPr>
          <w:rFonts w:hint="default" w:ascii="Arial" w:hAnsi="Arial"/>
          <w:b w:val="false"/>
          <w:i w:val="false"/>
          <w:color w:val="000000"/>
          <w:sz w:val="20"/>
        </w:rPr>
        <w:t xml:space="preserve"> no prazo máximo de 72 (setenta e duas horas) horas após a convocação através de ofício, encaminhado via email. As demais empresas, caso necessário, serão convocadas em ordem de classificação e deverão apresentar as amostras no mesmo prazo.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15.2 - A não apresentação da amostra no prazo estabelecido implicará em desclassificação da empresa e convocação das demais licitantes, em ordem de classificação. A amostra deverá estar devidamente identificada com nome da empresa, nº do edital e do item.</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16.</w:t>
      </w:r>
      <w:r>
        <w:rPr>
          <w:rFonts w:hint="default" w:ascii="Arial" w:hAnsi="Arial"/>
          <w:b/>
          <w:i w:val="false"/>
          <w:color w:val="000000"/>
          <w:sz w:val="20"/>
        </w:rPr>
        <w:t xml:space="preserve"> </w:t>
      </w:r>
      <w:r>
        <w:rPr>
          <w:rFonts w:hint="default" w:ascii="Arial" w:hAnsi="Arial"/>
          <w:b/>
          <w:i w:val="false"/>
          <w:color w:val="000000"/>
          <w:sz w:val="20"/>
        </w:rPr>
        <w:t>DOS PRAZOS PARA APRESENTAÇÃO DA DOCUMENTAÇÃO EXIGIDA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16.1 - Os documentos de habilitação e os complementares à proposta deverão ser encaminhados pelo vencedor, no prazo de 24h (vinte e quatro horas), contado da solicitação do órgão requisitante, sob pena de inabilitação/desclassificação conforme o caso.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16.2 - As microempresas e empresas de pequeno porte deverão apresentar toda a documentação exigida para efeito de comprovação da documentação solicitada, mesmo que esta apresente alguma restrição, sob pena de inabilitação.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16.2.1 - 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17.</w:t>
      </w:r>
      <w:r>
        <w:rPr>
          <w:rFonts w:hint="default" w:ascii="Arial" w:hAnsi="Arial"/>
          <w:b/>
          <w:i w:val="false"/>
          <w:color w:val="000000"/>
          <w:sz w:val="20"/>
        </w:rPr>
        <w:t xml:space="preserve"> </w:t>
      </w:r>
      <w:r>
        <w:rPr>
          <w:rFonts w:hint="default" w:ascii="Arial" w:hAnsi="Arial"/>
          <w:b/>
          <w:i w:val="false"/>
          <w:color w:val="000000"/>
          <w:sz w:val="20"/>
        </w:rPr>
        <w:t>DOS DOCUMENTOS A SEREM ENCAMINHADOS JUNTAMENTE COM A PROPOSTA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17.1 </w:t>
      </w:r>
      <w:r>
        <w:rPr>
          <w:rFonts w:hint="default" w:ascii="Arial" w:hAnsi="Arial"/>
          <w:b w:val="false"/>
          <w:i w:val="false"/>
          <w:color w:val="000000"/>
          <w:sz w:val="20"/>
        </w:rPr>
        <w:t>- Apresentar Declaração de Ciência do Termo de Referência.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right"/>
      </w:pPr>
      <w:r>
        <w:rPr>
          <w:rFonts w:ascii="Times New Roman" w:hAnsi="Times New Roman"/>
          <w:b w:val="false"/>
          <w:i w:val="false"/>
          <w:color w:val="000000"/>
          <w:sz w:val="22"/>
        </w:rPr>
        <w:t xml:space="preserve"/>
      </w:r>
      <w:r>
        <w:rPr>
          <w:rFonts w:hint="default" w:ascii="Arial" w:hAnsi="Arial"/>
          <w:b w:val="false"/>
          <w:i w:val="false"/>
          <w:color w:val="000000"/>
          <w:sz w:val="20"/>
        </w:rPr>
        <w:t>Palmas, 22 de junho de 2023.</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Responsável pela elaboração:</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Assinatura Digital</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SARA ALMEIDA DE AGUIAR</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Analista II</w:t>
      </w:r>
      <w:r>
        <w:rPr>
          <w:rFonts w:hint="default" w:ascii="Arial" w:hAnsi="Arial"/>
          <w:b w:val="false"/>
          <w:i w:val="false"/>
          <w:color w:val="000000"/>
          <w:sz w:val="20"/>
        </w:rPr>
        <w:t xml:space="preserve"/>
      </w: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De acordo:</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Assinatura Digital</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ANDRÉ BERNARDO DE SOUSA</w:t>
      </w:r>
      <w:r>
        <w:rPr>
          <w:rFonts w:hint="default" w:ascii="Arial" w:hAnsi="Arial"/>
          <w:b w:val="false"/>
          <w:i w:val="false"/>
          <w:color w:val="000000"/>
          <w:sz w:val="20"/>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val="false"/>
          <w:i w:val="false"/>
          <w:color w:val="000000"/>
          <w:sz w:val="20"/>
        </w:rPr>
        <w:t>Gerente dos Programas de Gestão do SUAS</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Assinatura Digital</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LUZIA AMÉRICA GAMA DE LIMA</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Diretora do SUAS e Programas Especiais Autorização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GABSEC Autorizo, obedecidas à legalidade e a ética.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Assinatura Digital</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JONISKLEY CALAÇA CAPITULINO RODRIGUES</w:t>
      </w:r>
      <w:r>
        <w:rPr>
          <w:rFonts w:hint="default" w:ascii="Arial" w:hAnsi="Arial"/>
          <w:b w:val="false"/>
          <w:i w:val="false"/>
          <w:color w:val="000000"/>
          <w:sz w:val="20"/>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val="false"/>
          <w:i w:val="false"/>
          <w:color w:val="000000"/>
          <w:sz w:val="20"/>
        </w:rPr>
        <w:t>Secretário de Estado do Trabalho e Desenvolvimento Social</w:t>
      </w:r>
      <w:r>
        <w:rPr>
          <w:rFonts w:ascii="Times New Roman" w:hAnsi="Times New Roman"/>
          <w:b w:val="false"/>
          <w:i w:val="false"/>
          <w:color w:val="000000"/>
          <w:sz w:val="22"/>
        </w:rPr>
        <w:t xml:space="preserve"/>
      </w:r>
    </w:p>
    <w:p>
      <w:pPr>
        <w:spacing w:before="0" w:after="0"/>
        <w:ind w:left="0"/>
        <w:jc w:val="center"/>
      </w:pPr>
      <w:r>
        <w:rPr>
          <w:rFonts w:ascii="Times New Roman" w:hAnsi="Times New Roman"/>
          <w:b w:val="false"/>
          <w:i w:val="false"/>
          <w:color w:val="000000"/>
          <w:sz w:val="21"/>
        </w:rPr>
        <w:t>Palmas/TO, 30 de Junho de 2023</w:t>
      </w:r>
    </w:p>
    <w:p>
      <w:pPr>
        <w:spacing w:before="0" w:after="0"/>
        <w:ind w:left="0"/>
        <w:jc w:val="center"/>
      </w:pPr>
      <w:r>
        <w:rPr>
          <w:rFonts w:ascii="Times New Roman" w:hAnsi="Times New Roman"/>
          <w:b w:val="false"/>
          <w:i w:val="false"/>
          <w:color w:val="000000"/>
          <w:sz w:val="22"/>
        </w:rPr>
        <w:t xml:space="preserve"/>
      </w:r>
      <w:r>
        <w:rPr>
          <w:rFonts w:ascii="Times New Roman" w:hAnsi="Times New Roman"/>
          <w:b w:val="false"/>
          <w:i w:val="false"/>
          <w:color w:val="000000"/>
          <w:sz w:val="21"/>
        </w:rPr>
        <w:t>Termo de Referência analisado e atestado para prosseguimento dos trâmites processuais.</w:t>
      </w:r>
      <w:r>
        <w:rPr>
          <w:rFonts w:ascii="Times New Roman" w:hAnsi="Times New Roman"/>
          <w:b w:val="false"/>
          <w:i w:val="false"/>
          <w:color w:val="000000"/>
          <w:sz w:val="22"/>
        </w:rPr>
        <w:t xml:space="preserve"> </w:t>
      </w:r>
      <w:r>
        <w:rPr>
          <w:rFonts w:ascii="Times New Roman" w:hAnsi="Times New Roman"/>
          <w:b/>
          <w:i w:val="false"/>
          <w:color w:val="000000"/>
          <w:sz w:val="21"/>
        </w:rPr>
        <w:t>David Fontoura Reis</w:t>
      </w:r>
      <w:r>
        <w:rPr>
          <w:rFonts w:ascii="Times New Roman" w:hAnsi="Times New Roman"/>
          <w:b w:val="false"/>
          <w:i w:val="false"/>
          <w:color w:val="000000"/>
          <w:sz w:val="22"/>
        </w:rPr>
        <w:t xml:space="preserve"> </w:t>
      </w:r>
      <w:r>
        <w:rPr>
          <w:rFonts w:ascii="Times New Roman" w:hAnsi="Times New Roman"/>
          <w:b w:val="false"/>
          <w:i w:val="false"/>
          <w:color w:val="000000"/>
          <w:sz w:val="21"/>
        </w:rPr>
        <w:t>Assistente Administrativo</w:t>
      </w:r>
      <w:r>
        <w:rPr>
          <w:rFonts w:ascii="Times New Roman" w:hAnsi="Times New Roman"/>
          <w:b w:val="false"/>
          <w:i w:val="false"/>
          <w:color w:val="000000"/>
          <w:sz w:val="22"/>
        </w:rPr>
        <w:t xml:space="preserve"> </w:t>
      </w:r>
      <w:r>
        <w:rPr>
          <w:rFonts w:ascii="Times New Roman" w:hAnsi="Times New Roman"/>
          <w:b w:val="false"/>
          <w:i w:val="false"/>
          <w:color w:val="000000"/>
          <w:sz w:val="21"/>
        </w:rPr>
        <w:t>para prosseguimento.</w:t>
      </w:r>
      <w:r>
        <w:rPr>
          <w:rFonts w:ascii="Times New Roman" w:hAnsi="Times New Roman"/>
          <w:b w:val="false"/>
          <w:i w:val="false"/>
          <w:color w:val="000000"/>
          <w:sz w:val="22"/>
        </w:rPr>
        <w:t xml:space="preserve"> </w:t>
      </w:r>
      <w:r>
        <w:rPr>
          <w:rFonts w:ascii="Times New Roman" w:hAnsi="Times New Roman"/>
          <w:b/>
          <w:i w:val="false"/>
          <w:color w:val="000000"/>
          <w:sz w:val="21"/>
        </w:rPr>
        <w:t>JONISKLEY CALAÇA CAPITULINO RODRIGUES</w:t>
      </w:r>
      <w:r>
        <w:rPr>
          <w:rFonts w:ascii="Times New Roman" w:hAnsi="Times New Roman"/>
          <w:b w:val="false"/>
          <w:i w:val="false"/>
          <w:color w:val="000000"/>
          <w:sz w:val="22"/>
        </w:rPr>
        <w:t xml:space="preserve"> </w:t>
      </w:r>
      <w:r>
        <w:rPr>
          <w:rFonts w:ascii="Times New Roman" w:hAnsi="Times New Roman"/>
          <w:b w:val="false"/>
          <w:i w:val="false"/>
          <w:color w:val="000000"/>
          <w:sz w:val="21"/>
        </w:rPr>
        <w:t>SECRETÁRIO DE ESTADO</w:t>
      </w:r>
      <w:r>
        <w:rPr>
          <w:rFonts w:ascii="Times New Roman" w:hAnsi="Times New Roman"/>
          <w:b w:val="false"/>
          <w:i w:val="false"/>
          <w:color w:val="000000"/>
          <w:sz w:val="22"/>
        </w:rPr>
        <w:t xml:space="preserve"/>
      </w:r>
    </w:p>
    <w:p>
      <w:pPr>
        <w:spacing w:before="0" w:after="0"/>
        <w:ind w:left="0"/>
        <w:jc w:val="left"/>
      </w:pPr>
    </w:p>
    <w:bookmarkEnd w:id="1"/>
    <w:bookmarkEnd w:id="0"/>
    <w:sectPr>
      <w:headerReference w:type="default" r:id="rId8"/>
      <w:footerReference w:type="default" r:id="rId9"/>
      <w:pgSz w:w="11907" w:h="16839" w:code="9"/>
      <w:pgMar w:top="3969" w:right="1134" w:bottom="2268" w:left="1701"/>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2977"/>
      <w:gridCol w:w="1358"/>
    </w:tblGrid>
    <w:tr>
      <w:trPr>
        <w:trHeight w:val="210" w:hRule="atLeast"/>
      </w:trPr>
      <w:tc>
        <w:tcPr>
          <w:tcW w:w="2977" w:type="dxa"/>
          <w:tcBorders/>
          <w:tcMar>
            <w:top w:w="15" w:type="dxa"/>
            <w:left w:w="15" w:type="dxa"/>
            <w:bottom w:w="15" w:type="dxa"/>
            <w:right w:w="15" w:type="dxa"/>
          </w:tcMar>
          <w:vAlign w:val="center"/>
        </w:tcPr>
        <w:p>
          <w:pPr>
            <w:spacing w:before="0" w:after="0"/>
            <w:ind w:left="0"/>
            <w:jc w:val="left"/>
          </w:pPr>
          <w:r>
            <w:rPr>
              <w:rFonts w:hint="default" w:ascii="Arial" w:hAnsi="Arial"/>
              <w:b w:val="false"/>
              <w:i w:val="false"/>
              <w:color w:val="000000"/>
              <w:sz w:val="16"/>
            </w:rPr>
            <w:t>Governo do Estado do Tocantins</w:t>
          </w:r>
        </w:p>
      </w:tc>
      <w:tc>
        <w:tcPr>
          <w:tcW w:w="1358" w:type="dxa"/>
          <w:tcBorders/>
          <w:tcMar>
            <w:top w:w="15" w:type="dxa"/>
            <w:left w:w="15" w:type="dxa"/>
            <w:bottom w:w="15" w:type="dxa"/>
            <w:right w:w="15" w:type="dxa"/>
          </w:tcMar>
          <w:vAlign w:val="center"/>
        </w:tcPr>
        <w:p>
          <w:pPr>
            <w:spacing w:before="0" w:after="0"/>
            <w:ind w:left="0"/>
            <w:jc w:val="left"/>
          </w:pPr>
          <w:r>
            <w:rPr>
              <w:rFonts w:hint="default" w:ascii="Arial" w:hAnsi="Arial"/>
              <w:b w:val="false"/>
              <w:i w:val="false"/>
              <w:color w:val="000000"/>
              <w:sz w:val="16"/>
            </w:rPr>
            <w:t xml:space="preserve">Pág. </w:t>
          </w:r>
          <w:r>
            <w:rPr>
              <w:rFonts w:hint="default" w:ascii="Arial" w:hAnsi="Arial"/>
              <w:b w:val="false"/>
              <w:i w:val="false"/>
              <w:color w:val="000000"/>
              <w:sz w:val="16"/>
            </w:rPr>
            <w:t>{{page}}</w:t>
          </w:r>
        </w:p>
      </w:tc>
    </w:tr>
  </w:tbl>
</w:ftr>
</file>

<file path=word/header.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5116"/>
      <w:gridCol w:w="440"/>
    </w:tblGrid>
    <w:tr>
      <w:trPr>
        <w:trHeight w:val="1050" w:hRule="atLeast"/>
      </w:trPr>
      <w:tc>
        <w:tcPr>
          <w:tcW w:w="5116" w:type="dxa"/>
          <w:tcBorders/>
          <w:tcMar>
            <w:top w:w="15" w:type="dxa"/>
            <w:left w:w="15" w:type="dxa"/>
            <w:bottom w:w="15" w:type="dxa"/>
            <w:right w:w="15" w:type="dxa"/>
          </w:tcMar>
          <w:vAlign w:val="center"/>
        </w:tcPr>
        <w:p>
          <w:pPr>
            <w:spacing w:before="0" w:after="0"/>
            <w:ind w:left="135"/>
            <w:jc w:val="right"/>
          </w:pPr>
          <w:r>
            <w:rPr>
              <w:rFonts w:hint="default" w:ascii="Arial" w:hAnsi="Arial"/>
              <w:b/>
              <w:i w:val="false"/>
              <w:color w:val="000000"/>
              <w:sz w:val="18"/>
            </w:rPr>
            <w:t xml:space="preserve"> Secretaria do Trabalho e Desenvolvimento Social </w:t>
          </w:r>
        </w:p>
      </w:tc>
      <w:tc>
        <w:tcPr>
          <w:tcW w:w="440" w:type="dxa"/>
          <w:tcBorders/>
          <w:tcMar>
            <w:top w:w="15" w:type="dxa"/>
            <w:left w:w="150" w:type="dxa"/>
            <w:bottom w:w="15" w:type="dxa"/>
            <w:right w:w="150" w:type="dxa"/>
          </w:tcMar>
          <w:vAlign w:val="center"/>
        </w:tcPr>
        <w:p>
          <w:r>
            <w:drawing>
              <wp:inline distT="0" distB="0" distL="0" distR="0">
                <wp:extent cx="1611610" cy="66675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1611610" cy="666750"/>
                        </a:xfrm>
                        <a:prstGeom prst="rect">
                          <a:avLst/>
                        </a:prstGeom>
                      </pic:spPr>
                    </pic:pic>
                  </a:graphicData>
                </a:graphic>
              </wp:inline>
            </w:drawing>
          </w:r>
        </w:p>
      </w:tc>
    </w:tr>
  </w:tbl>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bullet"/>
      <w:lvlText w:val=""/>
      <w:lvlJc w:val="left"/>
      <w:pPr>
        <w:ind w:left="960" w:hanging="360"/>
      </w:pPr>
      <w:rPr>
        <w:rFonts w:hint="default" w:ascii="Symbol" w:hAnsi="Symbol"/>
      </w:rPr>
    </w:lvl>
  </w:abstractNum>
  <w:abstractNum w:abstractNumId="4">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0"/>
  </w:num>
  <w:num w:numId="3">
    <w:abstractNumId w:val="3"/>
  </w:num>
  <w:num w:numId="4">
    <w:abstractNumId w:val="4"/>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planalto.gov.br/ccivil_03/_ato2019-2022/2021/lei/L14133.htm" Type="http://schemas.openxmlformats.org/officeDocument/2006/relationships/hyperlink" Id="rId4"/>
    <Relationship TargetMode="External" Target="http://www.planalto.gov.br/ccivil_03/leis/lcp/lcp123.htm" Type="http://schemas.openxmlformats.org/officeDocument/2006/relationships/hyperlink" Id="rId5"/>
    <Relationship TargetMode="External" Target="http://servicos.casacivil.to.gov.br/decretos/decreto/6084" Type="http://schemas.openxmlformats.org/officeDocument/2006/relationships/hyperlink" Id="rId6"/>
    <Relationship TargetMode="External" Target="http://www.siga.to.gov.br/compra-direta" Type="http://schemas.openxmlformats.org/officeDocument/2006/relationships/hyperlink" Id="rId7"/>
    <Relationship Target="header.xml" Type="http://schemas.openxmlformats.org/officeDocument/2006/relationships/header" Id="rId8"/>
    <Relationship Target="footer.xml" Type="http://schemas.openxmlformats.org/officeDocument/2006/relationships/footer" Id="rId9"/>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