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A0873" w14:textId="77777777" w:rsidR="007C2084" w:rsidRDefault="007C2084" w:rsidP="007C2084">
      <w:pPr>
        <w:jc w:val="center"/>
        <w:rPr>
          <w:rFonts w:ascii="Arial" w:hAnsi="Arial"/>
          <w:caps/>
          <w:color w:val="000000"/>
          <w:sz w:val="24"/>
          <w:szCs w:val="24"/>
        </w:rPr>
      </w:pPr>
      <w:r>
        <w:rPr>
          <w:rFonts w:ascii="Arial" w:hAnsi="Arial" w:cs="Arial"/>
          <w:b/>
          <w:bCs/>
          <w:caps/>
          <w:color w:val="000000"/>
          <w:sz w:val="24"/>
          <w:szCs w:val="24"/>
          <w:u w:val="single"/>
        </w:rPr>
        <w:t>Documento de Formalização de Demanda</w:t>
      </w:r>
    </w:p>
    <w:p w14:paraId="0DC3154C" w14:textId="77777777" w:rsidR="007C2084" w:rsidRDefault="007C2084" w:rsidP="007C2084">
      <w:pPr>
        <w:jc w:val="center"/>
        <w:rPr>
          <w:rFonts w:ascii="Arial" w:hAnsi="Arial"/>
          <w:color w:val="000000"/>
          <w:sz w:val="24"/>
          <w:szCs w:val="24"/>
        </w:rPr>
      </w:pPr>
    </w:p>
    <w:p w14:paraId="1014BF48" w14:textId="77777777" w:rsidR="007C2084" w:rsidRDefault="007C2084" w:rsidP="007C2084">
      <w:pPr>
        <w:jc w:val="both"/>
        <w:rPr>
          <w:rFonts w:ascii="Arial" w:hAnsi="Arial"/>
          <w:color w:val="000000"/>
          <w:sz w:val="24"/>
          <w:szCs w:val="24"/>
        </w:rPr>
      </w:pPr>
      <w:r>
        <w:rPr>
          <w:rFonts w:ascii="Arial" w:hAnsi="Arial" w:cs="Arial"/>
          <w:b/>
          <w:bCs/>
          <w:color w:val="000000"/>
          <w:sz w:val="24"/>
          <w:szCs w:val="24"/>
        </w:rPr>
        <w:t xml:space="preserve">1. </w:t>
      </w:r>
      <w:r>
        <w:rPr>
          <w:rFonts w:ascii="Arial" w:hAnsi="Arial" w:cs="Arial"/>
          <w:b/>
          <w:bCs/>
          <w:color w:val="000000"/>
          <w:sz w:val="24"/>
          <w:szCs w:val="24"/>
          <w:u w:val="single"/>
        </w:rPr>
        <w:t>Do objeto da futura contratação</w:t>
      </w:r>
    </w:p>
    <w:p w14:paraId="14AE4F56" w14:textId="77777777" w:rsidR="0076430D" w:rsidRDefault="00E00730" w:rsidP="0076430D">
      <w:pPr>
        <w:jc w:val="center"/>
      </w:pPr>
      <w:r>
        <w:rPr>
          <w:rFonts w:ascii="Arial" w:eastAsia="Bookman Old Style" w:hAnsi="Arial" w:cs="Arial"/>
          <w:szCs w:val="24"/>
        </w:rPr>
        <w:t xml:space="preserve">Pretende essa Câmara a </w:t>
      </w:r>
      <w:r w:rsidR="009100E1">
        <w:rPr>
          <w:rFonts w:ascii="Arial" w:eastAsia="Bookman Old Style" w:hAnsi="Arial" w:cs="Arial"/>
          <w:szCs w:val="24"/>
        </w:rPr>
        <w:tab/>
      </w:r>
      <w:r w:rsidR="0076430D">
        <w:rPr>
          <w:rFonts w:ascii="Bookman Old Style" w:hAnsi="Bookman Old Style" w:cs="Bookman Old Style"/>
          <w:sz w:val="24"/>
          <w:szCs w:val="24"/>
          <w:lang w:eastAsia="ar-SA"/>
        </w:rPr>
        <w:t>AQUISIÇÃO DE LAMPADAS DE REPOSIÇÃO PARA O PRÉDIO DA CÂMARA.</w:t>
      </w:r>
    </w:p>
    <w:p w14:paraId="7E26473E" w14:textId="77777777" w:rsidR="0076430D" w:rsidRDefault="0076430D" w:rsidP="0076430D">
      <w:pPr>
        <w:jc w:val="center"/>
        <w:rPr>
          <w:rFonts w:ascii="Bookman Old Style" w:hAnsi="Bookman Old Style" w:cs="Bookman Old Style"/>
          <w:sz w:val="24"/>
          <w:szCs w:val="24"/>
          <w:lang w:eastAsia="ar-SA"/>
        </w:rPr>
      </w:pPr>
    </w:p>
    <w:tbl>
      <w:tblPr>
        <w:tblW w:w="10530" w:type="dxa"/>
        <w:jc w:val="center"/>
        <w:tblLayout w:type="fixed"/>
        <w:tblCellMar>
          <w:left w:w="70" w:type="dxa"/>
          <w:right w:w="70" w:type="dxa"/>
        </w:tblCellMar>
        <w:tblLook w:val="04A0" w:firstRow="1" w:lastRow="0" w:firstColumn="1" w:lastColumn="0" w:noHBand="0" w:noVBand="1"/>
      </w:tblPr>
      <w:tblGrid>
        <w:gridCol w:w="897"/>
        <w:gridCol w:w="897"/>
        <w:gridCol w:w="6242"/>
        <w:gridCol w:w="1308"/>
        <w:gridCol w:w="1186"/>
      </w:tblGrid>
      <w:tr w:rsidR="0076430D" w:rsidRPr="006B4997" w14:paraId="733AB9AF" w14:textId="77777777" w:rsidTr="00ED1D80">
        <w:trPr>
          <w:trHeight w:val="994"/>
          <w:jc w:val="center"/>
        </w:trPr>
        <w:tc>
          <w:tcPr>
            <w:tcW w:w="897" w:type="dxa"/>
            <w:tcBorders>
              <w:top w:val="single" w:sz="12" w:space="0" w:color="000000"/>
              <w:left w:val="single" w:sz="12" w:space="0" w:color="000000"/>
              <w:bottom w:val="single" w:sz="12" w:space="0" w:color="000000"/>
              <w:right w:val="single" w:sz="12" w:space="0" w:color="000000"/>
            </w:tcBorders>
            <w:vAlign w:val="center"/>
            <w:hideMark/>
          </w:tcPr>
          <w:p w14:paraId="1D880DC9" w14:textId="77777777" w:rsidR="0076430D" w:rsidRPr="006B4997" w:rsidRDefault="0076430D" w:rsidP="00ED1D80">
            <w:pPr>
              <w:widowControl w:val="0"/>
              <w:jc w:val="center"/>
              <w:rPr>
                <w:rFonts w:ascii="Arial" w:hAnsi="Arial" w:cs="Arial"/>
                <w:b/>
                <w:bCs/>
                <w:sz w:val="24"/>
                <w:szCs w:val="24"/>
                <w:lang w:eastAsia="en-US"/>
              </w:rPr>
            </w:pPr>
            <w:r w:rsidRPr="006B4997">
              <w:rPr>
                <w:rFonts w:ascii="Arial" w:hAnsi="Arial" w:cs="Arial"/>
                <w:b/>
                <w:bCs/>
                <w:sz w:val="24"/>
                <w:szCs w:val="24"/>
              </w:rPr>
              <w:t>Item</w:t>
            </w:r>
          </w:p>
        </w:tc>
        <w:tc>
          <w:tcPr>
            <w:tcW w:w="897" w:type="dxa"/>
            <w:tcBorders>
              <w:top w:val="single" w:sz="12" w:space="0" w:color="000000"/>
              <w:left w:val="single" w:sz="12" w:space="0" w:color="000000"/>
              <w:bottom w:val="single" w:sz="12" w:space="0" w:color="000000"/>
              <w:right w:val="single" w:sz="12" w:space="0" w:color="000000"/>
            </w:tcBorders>
            <w:vAlign w:val="center"/>
            <w:hideMark/>
          </w:tcPr>
          <w:p w14:paraId="0785A008" w14:textId="77777777" w:rsidR="0076430D" w:rsidRPr="006B4997" w:rsidRDefault="0076430D" w:rsidP="00ED1D80">
            <w:pPr>
              <w:widowControl w:val="0"/>
              <w:jc w:val="center"/>
              <w:rPr>
                <w:rFonts w:cs="Times New Roman"/>
              </w:rPr>
            </w:pPr>
            <w:r w:rsidRPr="006B4997">
              <w:rPr>
                <w:rFonts w:ascii="Arial" w:hAnsi="Arial" w:cs="Arial"/>
                <w:b/>
                <w:bCs/>
                <w:sz w:val="24"/>
                <w:szCs w:val="24"/>
              </w:rPr>
              <w:t>Quant</w:t>
            </w:r>
          </w:p>
        </w:tc>
        <w:tc>
          <w:tcPr>
            <w:tcW w:w="6242" w:type="dxa"/>
            <w:tcBorders>
              <w:top w:val="single" w:sz="12" w:space="0" w:color="000000"/>
              <w:left w:val="single" w:sz="12" w:space="0" w:color="000000"/>
              <w:bottom w:val="single" w:sz="12" w:space="0" w:color="000000"/>
              <w:right w:val="nil"/>
            </w:tcBorders>
            <w:vAlign w:val="center"/>
            <w:hideMark/>
          </w:tcPr>
          <w:p w14:paraId="2C58F560" w14:textId="77777777" w:rsidR="0076430D" w:rsidRPr="006B4997" w:rsidRDefault="0076430D" w:rsidP="00ED1D80">
            <w:pPr>
              <w:widowControl w:val="0"/>
              <w:jc w:val="center"/>
            </w:pPr>
            <w:r w:rsidRPr="006B4997">
              <w:rPr>
                <w:rFonts w:ascii="Arial" w:hAnsi="Arial" w:cs="Arial"/>
                <w:b/>
                <w:bCs/>
                <w:sz w:val="24"/>
                <w:szCs w:val="24"/>
              </w:rPr>
              <w:t xml:space="preserve">Descrição </w:t>
            </w:r>
            <w:r w:rsidRPr="006B4997">
              <w:rPr>
                <w:rFonts w:ascii="Arial" w:hAnsi="Arial" w:cs="Arial"/>
                <w:b/>
                <w:bCs/>
                <w:sz w:val="32"/>
                <w:szCs w:val="24"/>
              </w:rPr>
              <w:t>/</w:t>
            </w:r>
            <w:r w:rsidRPr="006B4997">
              <w:rPr>
                <w:rFonts w:ascii="Arial" w:hAnsi="Arial" w:cs="Arial"/>
                <w:b/>
                <w:bCs/>
                <w:sz w:val="24"/>
                <w:szCs w:val="24"/>
              </w:rPr>
              <w:t xml:space="preserve"> Discriminação do serviço</w:t>
            </w:r>
          </w:p>
        </w:tc>
        <w:tc>
          <w:tcPr>
            <w:tcW w:w="1308" w:type="dxa"/>
            <w:tcBorders>
              <w:top w:val="single" w:sz="12" w:space="0" w:color="000000"/>
              <w:left w:val="single" w:sz="12" w:space="0" w:color="000000"/>
              <w:bottom w:val="single" w:sz="12" w:space="0" w:color="000000"/>
              <w:right w:val="nil"/>
            </w:tcBorders>
            <w:vAlign w:val="bottom"/>
            <w:hideMark/>
          </w:tcPr>
          <w:p w14:paraId="6BCA2CA1" w14:textId="77777777" w:rsidR="0076430D" w:rsidRPr="006B4997" w:rsidRDefault="0076430D" w:rsidP="00ED1D80">
            <w:pPr>
              <w:widowControl w:val="0"/>
              <w:jc w:val="center"/>
            </w:pPr>
            <w:r w:rsidRPr="006B4997">
              <w:rPr>
                <w:rFonts w:ascii="Arial" w:hAnsi="Arial" w:cs="Arial"/>
                <w:b/>
                <w:bCs/>
                <w:sz w:val="24"/>
                <w:szCs w:val="24"/>
              </w:rPr>
              <w:t>VALOR</w:t>
            </w:r>
          </w:p>
          <w:p w14:paraId="461F04A3" w14:textId="77777777" w:rsidR="0076430D" w:rsidRPr="006B4997" w:rsidRDefault="0076430D" w:rsidP="00ED1D80">
            <w:pPr>
              <w:widowControl w:val="0"/>
              <w:jc w:val="center"/>
            </w:pPr>
            <w:r w:rsidRPr="006B4997">
              <w:rPr>
                <w:rFonts w:ascii="Arial" w:hAnsi="Arial" w:cs="Arial"/>
                <w:b/>
                <w:bCs/>
                <w:sz w:val="24"/>
                <w:szCs w:val="24"/>
              </w:rPr>
              <w:t>UNITÁRIO</w:t>
            </w:r>
          </w:p>
        </w:tc>
        <w:tc>
          <w:tcPr>
            <w:tcW w:w="1186" w:type="dxa"/>
            <w:tcBorders>
              <w:top w:val="single" w:sz="12" w:space="0" w:color="000000"/>
              <w:left w:val="single" w:sz="12" w:space="0" w:color="000000"/>
              <w:bottom w:val="single" w:sz="12" w:space="0" w:color="000000"/>
              <w:right w:val="single" w:sz="12" w:space="0" w:color="000000"/>
            </w:tcBorders>
            <w:vAlign w:val="bottom"/>
            <w:hideMark/>
          </w:tcPr>
          <w:p w14:paraId="2F01CDA3" w14:textId="77777777" w:rsidR="0076430D" w:rsidRPr="006B4997" w:rsidRDefault="0076430D" w:rsidP="00ED1D80">
            <w:pPr>
              <w:widowControl w:val="0"/>
              <w:jc w:val="center"/>
            </w:pPr>
            <w:r w:rsidRPr="006B4997">
              <w:rPr>
                <w:rFonts w:ascii="Arial" w:hAnsi="Arial" w:cs="Arial"/>
                <w:b/>
                <w:bCs/>
                <w:sz w:val="24"/>
                <w:szCs w:val="24"/>
              </w:rPr>
              <w:t>VALOR TOTAL</w:t>
            </w:r>
          </w:p>
        </w:tc>
      </w:tr>
      <w:tr w:rsidR="0076430D" w:rsidRPr="006B4997" w14:paraId="409E33DA" w14:textId="77777777" w:rsidTr="00ED1D80">
        <w:trPr>
          <w:trHeight w:val="1454"/>
          <w:jc w:val="center"/>
        </w:trPr>
        <w:tc>
          <w:tcPr>
            <w:tcW w:w="897" w:type="dxa"/>
            <w:tcBorders>
              <w:top w:val="nil"/>
              <w:left w:val="single" w:sz="12" w:space="0" w:color="000000"/>
              <w:bottom w:val="single" w:sz="12" w:space="0" w:color="000000"/>
              <w:right w:val="single" w:sz="12" w:space="0" w:color="000000"/>
            </w:tcBorders>
            <w:vAlign w:val="center"/>
            <w:hideMark/>
          </w:tcPr>
          <w:p w14:paraId="2EF255C0" w14:textId="77777777" w:rsidR="0076430D" w:rsidRPr="006B4997" w:rsidRDefault="0076430D" w:rsidP="00ED1D80">
            <w:pPr>
              <w:widowControl w:val="0"/>
              <w:jc w:val="center"/>
              <w:rPr>
                <w:rFonts w:ascii="Bookman Old Style" w:hAnsi="Bookman Old Style" w:cs="Arial"/>
                <w:szCs w:val="20"/>
              </w:rPr>
            </w:pPr>
            <w:r w:rsidRPr="006B4997">
              <w:rPr>
                <w:rFonts w:ascii="Bookman Old Style" w:hAnsi="Bookman Old Style" w:cs="Arial"/>
                <w:szCs w:val="20"/>
              </w:rPr>
              <w:t>01</w:t>
            </w:r>
          </w:p>
        </w:tc>
        <w:tc>
          <w:tcPr>
            <w:tcW w:w="897" w:type="dxa"/>
            <w:tcBorders>
              <w:top w:val="nil"/>
              <w:left w:val="single" w:sz="12" w:space="0" w:color="000000"/>
              <w:bottom w:val="single" w:sz="12" w:space="0" w:color="000000"/>
              <w:right w:val="single" w:sz="12" w:space="0" w:color="000000"/>
            </w:tcBorders>
            <w:vAlign w:val="center"/>
            <w:hideMark/>
          </w:tcPr>
          <w:p w14:paraId="21D0853D" w14:textId="77777777" w:rsidR="0076430D" w:rsidRPr="006B4997" w:rsidRDefault="0076430D" w:rsidP="00ED1D80">
            <w:pPr>
              <w:widowControl w:val="0"/>
              <w:jc w:val="center"/>
              <w:rPr>
                <w:rFonts w:cs="Times New Roman"/>
              </w:rPr>
            </w:pPr>
            <w:r w:rsidRPr="006B4997">
              <w:rPr>
                <w:rFonts w:ascii="Bookman Old Style" w:hAnsi="Bookman Old Style" w:cs="Arial"/>
                <w:szCs w:val="20"/>
              </w:rPr>
              <w:t>06</w:t>
            </w:r>
          </w:p>
        </w:tc>
        <w:tc>
          <w:tcPr>
            <w:tcW w:w="6242" w:type="dxa"/>
            <w:tcBorders>
              <w:top w:val="nil"/>
              <w:left w:val="single" w:sz="12" w:space="0" w:color="000000"/>
              <w:bottom w:val="single" w:sz="12" w:space="0" w:color="000000"/>
              <w:right w:val="nil"/>
            </w:tcBorders>
            <w:vAlign w:val="center"/>
            <w:hideMark/>
          </w:tcPr>
          <w:p w14:paraId="57942A82" w14:textId="77777777" w:rsidR="0076430D" w:rsidRPr="006B4997" w:rsidRDefault="0076430D" w:rsidP="00ED1D80">
            <w:pPr>
              <w:widowControl w:val="0"/>
              <w:shd w:val="clear" w:color="auto" w:fill="FFFFFF"/>
              <w:spacing w:after="0" w:line="320" w:lineRule="exact"/>
              <w:jc w:val="both"/>
            </w:pPr>
            <w:r w:rsidRPr="006B4997">
              <w:rPr>
                <w:rFonts w:ascii="Bookman Old Style" w:hAnsi="Bookman Old Style" w:cs="Arial"/>
                <w:szCs w:val="20"/>
              </w:rPr>
              <w:t xml:space="preserve">REFLETOR LED 200 W, BIVOLT, EFICIENCIA LUMINOSA MINIMA DE 100L/W, MINIMO DE 20.000 LUMENS, VIDA UTIL DE MAIS DE 30.000 HORAS, IRC _&gt;70, CORPO EM ALUMINIO FUNDIDO RESISTENTE A CORROSÃO E VIDRO TEMPERADO, COM SELO DE QUALIDADE </w:t>
            </w:r>
          </w:p>
        </w:tc>
        <w:tc>
          <w:tcPr>
            <w:tcW w:w="1308" w:type="dxa"/>
            <w:tcBorders>
              <w:top w:val="nil"/>
              <w:left w:val="single" w:sz="12" w:space="0" w:color="000000"/>
              <w:bottom w:val="single" w:sz="12" w:space="0" w:color="000000"/>
              <w:right w:val="nil"/>
            </w:tcBorders>
            <w:vAlign w:val="center"/>
          </w:tcPr>
          <w:p w14:paraId="6A2FA3A7"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c>
          <w:tcPr>
            <w:tcW w:w="1186" w:type="dxa"/>
            <w:tcBorders>
              <w:top w:val="nil"/>
              <w:left w:val="single" w:sz="12" w:space="0" w:color="000000"/>
              <w:bottom w:val="single" w:sz="12" w:space="0" w:color="000000"/>
              <w:right w:val="single" w:sz="12" w:space="0" w:color="000000"/>
            </w:tcBorders>
            <w:vAlign w:val="center"/>
          </w:tcPr>
          <w:p w14:paraId="40A6231F"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r>
      <w:tr w:rsidR="0076430D" w:rsidRPr="006B4997" w14:paraId="6E4EEC27" w14:textId="77777777" w:rsidTr="00ED1D80">
        <w:trPr>
          <w:trHeight w:val="1454"/>
          <w:jc w:val="center"/>
        </w:trPr>
        <w:tc>
          <w:tcPr>
            <w:tcW w:w="897" w:type="dxa"/>
            <w:tcBorders>
              <w:top w:val="nil"/>
              <w:left w:val="single" w:sz="12" w:space="0" w:color="000000"/>
              <w:bottom w:val="single" w:sz="12" w:space="0" w:color="000000"/>
              <w:right w:val="single" w:sz="12" w:space="0" w:color="000000"/>
            </w:tcBorders>
            <w:vAlign w:val="center"/>
            <w:hideMark/>
          </w:tcPr>
          <w:p w14:paraId="10381900" w14:textId="77777777" w:rsidR="0076430D" w:rsidRPr="006B4997" w:rsidRDefault="0076430D" w:rsidP="00ED1D80">
            <w:pPr>
              <w:widowControl w:val="0"/>
              <w:jc w:val="center"/>
              <w:rPr>
                <w:rFonts w:ascii="Bookman Old Style" w:hAnsi="Bookman Old Style" w:cs="Arial"/>
                <w:szCs w:val="20"/>
              </w:rPr>
            </w:pPr>
            <w:r w:rsidRPr="006B4997">
              <w:rPr>
                <w:rFonts w:ascii="Bookman Old Style" w:hAnsi="Bookman Old Style" w:cs="Arial"/>
                <w:szCs w:val="20"/>
              </w:rPr>
              <w:t>02</w:t>
            </w:r>
          </w:p>
        </w:tc>
        <w:tc>
          <w:tcPr>
            <w:tcW w:w="897" w:type="dxa"/>
            <w:tcBorders>
              <w:top w:val="nil"/>
              <w:left w:val="single" w:sz="12" w:space="0" w:color="000000"/>
              <w:bottom w:val="single" w:sz="12" w:space="0" w:color="000000"/>
              <w:right w:val="single" w:sz="12" w:space="0" w:color="000000"/>
            </w:tcBorders>
            <w:vAlign w:val="center"/>
            <w:hideMark/>
          </w:tcPr>
          <w:p w14:paraId="5323D091" w14:textId="77777777" w:rsidR="0076430D" w:rsidRPr="006B4997" w:rsidRDefault="0076430D" w:rsidP="00ED1D80">
            <w:pPr>
              <w:widowControl w:val="0"/>
              <w:jc w:val="center"/>
              <w:rPr>
                <w:rFonts w:cs="Times New Roman"/>
              </w:rPr>
            </w:pPr>
            <w:r w:rsidRPr="006B4997">
              <w:rPr>
                <w:rFonts w:ascii="Bookman Old Style" w:hAnsi="Bookman Old Style" w:cs="Arial"/>
                <w:szCs w:val="20"/>
              </w:rPr>
              <w:t>06</w:t>
            </w:r>
          </w:p>
        </w:tc>
        <w:tc>
          <w:tcPr>
            <w:tcW w:w="6242" w:type="dxa"/>
            <w:tcBorders>
              <w:top w:val="nil"/>
              <w:left w:val="single" w:sz="12" w:space="0" w:color="000000"/>
              <w:bottom w:val="single" w:sz="12" w:space="0" w:color="000000"/>
              <w:right w:val="nil"/>
            </w:tcBorders>
            <w:vAlign w:val="center"/>
            <w:hideMark/>
          </w:tcPr>
          <w:p w14:paraId="20053407" w14:textId="77777777" w:rsidR="0076430D" w:rsidRPr="006B4997" w:rsidRDefault="0076430D" w:rsidP="00ED1D80">
            <w:pPr>
              <w:widowControl w:val="0"/>
              <w:shd w:val="clear" w:color="auto" w:fill="FFFFFF"/>
              <w:spacing w:after="0" w:line="320" w:lineRule="exact"/>
              <w:jc w:val="both"/>
            </w:pPr>
            <w:r w:rsidRPr="006B4997">
              <w:rPr>
                <w:rFonts w:ascii="Bookman Old Style" w:hAnsi="Bookman Old Style" w:cs="Arial"/>
                <w:szCs w:val="20"/>
              </w:rPr>
              <w:t>REFLETOR LED 100 BIVOLT, EFICIENCIA LUMINOSA MINIMA DE 100L/W, MINIMO DE 10.000 LUMENS, VIDA UTIL DE MAIS DE 30.000 HORAS, IRC _&gt;70, CORPO EM ALUMINIO FUNDIDO RESISTENTE A CORROSÃO E VIDRO TEMPERADO, COM SELO DE QUALIDADE</w:t>
            </w:r>
          </w:p>
        </w:tc>
        <w:tc>
          <w:tcPr>
            <w:tcW w:w="1308" w:type="dxa"/>
            <w:tcBorders>
              <w:top w:val="nil"/>
              <w:left w:val="single" w:sz="12" w:space="0" w:color="000000"/>
              <w:bottom w:val="single" w:sz="12" w:space="0" w:color="000000"/>
              <w:right w:val="nil"/>
            </w:tcBorders>
            <w:vAlign w:val="center"/>
          </w:tcPr>
          <w:p w14:paraId="02A9B2DC"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c>
          <w:tcPr>
            <w:tcW w:w="1186" w:type="dxa"/>
            <w:tcBorders>
              <w:top w:val="nil"/>
              <w:left w:val="single" w:sz="12" w:space="0" w:color="000000"/>
              <w:bottom w:val="single" w:sz="12" w:space="0" w:color="000000"/>
              <w:right w:val="single" w:sz="12" w:space="0" w:color="000000"/>
            </w:tcBorders>
            <w:vAlign w:val="center"/>
          </w:tcPr>
          <w:p w14:paraId="433F4BE2"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r>
      <w:tr w:rsidR="0076430D" w:rsidRPr="006B4997" w14:paraId="0EF8F330" w14:textId="77777777" w:rsidTr="00ED1D80">
        <w:trPr>
          <w:trHeight w:val="1454"/>
          <w:jc w:val="center"/>
        </w:trPr>
        <w:tc>
          <w:tcPr>
            <w:tcW w:w="897" w:type="dxa"/>
            <w:tcBorders>
              <w:top w:val="nil"/>
              <w:left w:val="single" w:sz="12" w:space="0" w:color="000000"/>
              <w:bottom w:val="single" w:sz="12" w:space="0" w:color="000000"/>
              <w:right w:val="single" w:sz="12" w:space="0" w:color="000000"/>
            </w:tcBorders>
            <w:vAlign w:val="center"/>
            <w:hideMark/>
          </w:tcPr>
          <w:p w14:paraId="64C676D9" w14:textId="77777777" w:rsidR="0076430D" w:rsidRPr="006B4997" w:rsidRDefault="0076430D" w:rsidP="00ED1D80">
            <w:pPr>
              <w:widowControl w:val="0"/>
              <w:jc w:val="center"/>
              <w:rPr>
                <w:rFonts w:ascii="Bookman Old Style" w:hAnsi="Bookman Old Style" w:cs="Arial"/>
                <w:szCs w:val="20"/>
              </w:rPr>
            </w:pPr>
            <w:r w:rsidRPr="006B4997">
              <w:rPr>
                <w:rFonts w:ascii="Bookman Old Style" w:hAnsi="Bookman Old Style" w:cs="Arial"/>
                <w:szCs w:val="20"/>
              </w:rPr>
              <w:t>03</w:t>
            </w:r>
          </w:p>
        </w:tc>
        <w:tc>
          <w:tcPr>
            <w:tcW w:w="897" w:type="dxa"/>
            <w:tcBorders>
              <w:top w:val="nil"/>
              <w:left w:val="single" w:sz="12" w:space="0" w:color="000000"/>
              <w:bottom w:val="single" w:sz="12" w:space="0" w:color="000000"/>
              <w:right w:val="single" w:sz="12" w:space="0" w:color="000000"/>
            </w:tcBorders>
            <w:vAlign w:val="center"/>
            <w:hideMark/>
          </w:tcPr>
          <w:p w14:paraId="2CCA4537" w14:textId="77777777" w:rsidR="0076430D" w:rsidRPr="006B4997" w:rsidRDefault="0076430D" w:rsidP="00ED1D80">
            <w:pPr>
              <w:widowControl w:val="0"/>
              <w:jc w:val="center"/>
              <w:rPr>
                <w:rFonts w:cs="Times New Roman"/>
              </w:rPr>
            </w:pPr>
            <w:r>
              <w:rPr>
                <w:rFonts w:ascii="Bookman Old Style" w:hAnsi="Bookman Old Style" w:cs="Arial"/>
                <w:szCs w:val="20"/>
              </w:rPr>
              <w:t>50</w:t>
            </w:r>
          </w:p>
        </w:tc>
        <w:tc>
          <w:tcPr>
            <w:tcW w:w="6242" w:type="dxa"/>
            <w:tcBorders>
              <w:top w:val="nil"/>
              <w:left w:val="single" w:sz="12" w:space="0" w:color="000000"/>
              <w:bottom w:val="single" w:sz="12" w:space="0" w:color="000000"/>
              <w:right w:val="nil"/>
            </w:tcBorders>
            <w:vAlign w:val="center"/>
            <w:hideMark/>
          </w:tcPr>
          <w:p w14:paraId="66CE1569" w14:textId="77777777" w:rsidR="0076430D" w:rsidRPr="006B4997" w:rsidRDefault="0076430D" w:rsidP="00ED1D80">
            <w:pPr>
              <w:widowControl w:val="0"/>
              <w:shd w:val="clear" w:color="auto" w:fill="FFFFFF"/>
              <w:spacing w:after="0" w:line="320" w:lineRule="exact"/>
              <w:jc w:val="both"/>
            </w:pPr>
            <w:r w:rsidRPr="006B4997">
              <w:rPr>
                <w:rFonts w:ascii="Bookman Old Style" w:hAnsi="Bookman Old Style" w:cs="Arial"/>
                <w:szCs w:val="20"/>
              </w:rPr>
              <w:t>PAINEL LED SOBREPOR 25W 6K, BRANCO FRIO, BIVOLT, EFICIENCIA LUMINOSA MINIMA 100L/W, MINIMO DE 2.500 LUMENS, VIDA UTIL DE MAIS DE 25.000 HORAS, CORPO EM ALUMINIO E DIFUSOR EM ACRILICO LEITOSO, QUADRADO, ILUMINAÇÃO UNIFORME E SEM PONTOS DE SOMBRA, EM CONFORMIDADE COM ABNT E IEC, CERTIFICADO PELO INMETRO</w:t>
            </w:r>
          </w:p>
        </w:tc>
        <w:tc>
          <w:tcPr>
            <w:tcW w:w="1308" w:type="dxa"/>
            <w:tcBorders>
              <w:top w:val="nil"/>
              <w:left w:val="single" w:sz="12" w:space="0" w:color="000000"/>
              <w:bottom w:val="single" w:sz="12" w:space="0" w:color="000000"/>
              <w:right w:val="nil"/>
            </w:tcBorders>
            <w:vAlign w:val="center"/>
          </w:tcPr>
          <w:p w14:paraId="0B185376"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c>
          <w:tcPr>
            <w:tcW w:w="1186" w:type="dxa"/>
            <w:tcBorders>
              <w:top w:val="nil"/>
              <w:left w:val="single" w:sz="12" w:space="0" w:color="000000"/>
              <w:bottom w:val="single" w:sz="12" w:space="0" w:color="000000"/>
              <w:right w:val="single" w:sz="12" w:space="0" w:color="000000"/>
            </w:tcBorders>
            <w:vAlign w:val="center"/>
          </w:tcPr>
          <w:p w14:paraId="3F468213"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r>
      <w:tr w:rsidR="0076430D" w:rsidRPr="006B4997" w14:paraId="2577644A" w14:textId="77777777" w:rsidTr="00ED1D80">
        <w:trPr>
          <w:trHeight w:val="1454"/>
          <w:jc w:val="center"/>
        </w:trPr>
        <w:tc>
          <w:tcPr>
            <w:tcW w:w="897" w:type="dxa"/>
            <w:tcBorders>
              <w:top w:val="nil"/>
              <w:left w:val="single" w:sz="12" w:space="0" w:color="000000"/>
              <w:bottom w:val="single" w:sz="12" w:space="0" w:color="000000"/>
              <w:right w:val="single" w:sz="12" w:space="0" w:color="000000"/>
            </w:tcBorders>
            <w:vAlign w:val="center"/>
            <w:hideMark/>
          </w:tcPr>
          <w:p w14:paraId="7F963B92" w14:textId="77777777" w:rsidR="0076430D" w:rsidRPr="006B4997" w:rsidRDefault="0076430D" w:rsidP="00ED1D80">
            <w:pPr>
              <w:widowControl w:val="0"/>
              <w:jc w:val="center"/>
              <w:rPr>
                <w:rFonts w:ascii="Bookman Old Style" w:hAnsi="Bookman Old Style" w:cs="Arial"/>
                <w:szCs w:val="20"/>
              </w:rPr>
            </w:pPr>
            <w:r w:rsidRPr="006B4997">
              <w:rPr>
                <w:rFonts w:ascii="Bookman Old Style" w:hAnsi="Bookman Old Style" w:cs="Arial"/>
                <w:szCs w:val="20"/>
              </w:rPr>
              <w:t>04</w:t>
            </w:r>
          </w:p>
        </w:tc>
        <w:tc>
          <w:tcPr>
            <w:tcW w:w="897" w:type="dxa"/>
            <w:tcBorders>
              <w:top w:val="nil"/>
              <w:left w:val="single" w:sz="12" w:space="0" w:color="000000"/>
              <w:bottom w:val="single" w:sz="12" w:space="0" w:color="000000"/>
              <w:right w:val="single" w:sz="12" w:space="0" w:color="000000"/>
            </w:tcBorders>
            <w:vAlign w:val="center"/>
            <w:hideMark/>
          </w:tcPr>
          <w:p w14:paraId="417846A7" w14:textId="77777777" w:rsidR="0076430D" w:rsidRPr="006B4997" w:rsidRDefault="0076430D" w:rsidP="00ED1D80">
            <w:pPr>
              <w:widowControl w:val="0"/>
              <w:jc w:val="center"/>
              <w:rPr>
                <w:rFonts w:cs="Times New Roman"/>
              </w:rPr>
            </w:pPr>
            <w:r w:rsidRPr="006B4997">
              <w:rPr>
                <w:rFonts w:ascii="Bookman Old Style" w:hAnsi="Bookman Old Style" w:cs="Arial"/>
                <w:szCs w:val="20"/>
              </w:rPr>
              <w:t>20</w:t>
            </w:r>
          </w:p>
        </w:tc>
        <w:tc>
          <w:tcPr>
            <w:tcW w:w="6242" w:type="dxa"/>
            <w:tcBorders>
              <w:top w:val="nil"/>
              <w:left w:val="single" w:sz="12" w:space="0" w:color="000000"/>
              <w:bottom w:val="single" w:sz="12" w:space="0" w:color="000000"/>
              <w:right w:val="nil"/>
            </w:tcBorders>
            <w:vAlign w:val="center"/>
            <w:hideMark/>
          </w:tcPr>
          <w:p w14:paraId="3E3B3CD3" w14:textId="77777777" w:rsidR="0076430D" w:rsidRPr="006B4997" w:rsidRDefault="0076430D" w:rsidP="00ED1D80">
            <w:pPr>
              <w:widowControl w:val="0"/>
              <w:shd w:val="clear" w:color="auto" w:fill="FFFFFF"/>
              <w:spacing w:after="0" w:line="320" w:lineRule="exact"/>
              <w:jc w:val="both"/>
            </w:pPr>
            <w:r w:rsidRPr="006B4997">
              <w:rPr>
                <w:rFonts w:ascii="Bookman Old Style" w:hAnsi="Bookman Old Style" w:cs="Arial"/>
                <w:szCs w:val="20"/>
              </w:rPr>
              <w:t xml:space="preserve">PAINEL LED SOBREPOR 18W 6K, BRANCO FRIO, BIVOLT, EFICIENCIA LUMINOSA MINIMA 100L/W, MINIMO DE 1.800 LUMENS, VIDA UTIL DE MAIS DE 25.000 HORAS, CORPO EM ALUMINIO E DIFUSOR EM ACRILICO LEITOSO, QUADRADO, ILUMINAÇÃO UNIFORME E SEM PONTOS DE SOMBRA, EM CONFORMIDADE COM ABNT E IEC, CERTIFICADO </w:t>
            </w:r>
            <w:r w:rsidRPr="006B4997">
              <w:rPr>
                <w:rFonts w:ascii="Bookman Old Style" w:hAnsi="Bookman Old Style" w:cs="Arial"/>
                <w:szCs w:val="20"/>
              </w:rPr>
              <w:lastRenderedPageBreak/>
              <w:t>PELO INMETRO</w:t>
            </w:r>
          </w:p>
        </w:tc>
        <w:tc>
          <w:tcPr>
            <w:tcW w:w="1308" w:type="dxa"/>
            <w:tcBorders>
              <w:top w:val="nil"/>
              <w:left w:val="single" w:sz="12" w:space="0" w:color="000000"/>
              <w:bottom w:val="single" w:sz="12" w:space="0" w:color="000000"/>
              <w:right w:val="nil"/>
            </w:tcBorders>
            <w:vAlign w:val="center"/>
          </w:tcPr>
          <w:p w14:paraId="0199416C"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c>
          <w:tcPr>
            <w:tcW w:w="1186" w:type="dxa"/>
            <w:tcBorders>
              <w:top w:val="nil"/>
              <w:left w:val="single" w:sz="12" w:space="0" w:color="000000"/>
              <w:bottom w:val="single" w:sz="12" w:space="0" w:color="000000"/>
              <w:right w:val="single" w:sz="12" w:space="0" w:color="000000"/>
            </w:tcBorders>
            <w:vAlign w:val="center"/>
          </w:tcPr>
          <w:p w14:paraId="6F6F8CBF"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r>
      <w:tr w:rsidR="0076430D" w:rsidRPr="006B4997" w14:paraId="79AA998B" w14:textId="77777777" w:rsidTr="00ED1D80">
        <w:trPr>
          <w:trHeight w:val="1454"/>
          <w:jc w:val="center"/>
        </w:trPr>
        <w:tc>
          <w:tcPr>
            <w:tcW w:w="897" w:type="dxa"/>
            <w:tcBorders>
              <w:top w:val="nil"/>
              <w:left w:val="single" w:sz="12" w:space="0" w:color="000000"/>
              <w:bottom w:val="single" w:sz="12" w:space="0" w:color="000000"/>
              <w:right w:val="single" w:sz="12" w:space="0" w:color="000000"/>
            </w:tcBorders>
            <w:vAlign w:val="center"/>
            <w:hideMark/>
          </w:tcPr>
          <w:p w14:paraId="704F3549" w14:textId="77777777" w:rsidR="0076430D" w:rsidRPr="006B4997" w:rsidRDefault="0076430D" w:rsidP="00ED1D80">
            <w:pPr>
              <w:widowControl w:val="0"/>
              <w:jc w:val="center"/>
              <w:rPr>
                <w:rFonts w:ascii="Bookman Old Style" w:hAnsi="Bookman Old Style" w:cs="Arial"/>
                <w:szCs w:val="20"/>
              </w:rPr>
            </w:pPr>
            <w:r w:rsidRPr="006B4997">
              <w:rPr>
                <w:rFonts w:ascii="Bookman Old Style" w:hAnsi="Bookman Old Style" w:cs="Arial"/>
                <w:szCs w:val="20"/>
              </w:rPr>
              <w:t>05</w:t>
            </w:r>
          </w:p>
        </w:tc>
        <w:tc>
          <w:tcPr>
            <w:tcW w:w="897" w:type="dxa"/>
            <w:tcBorders>
              <w:top w:val="nil"/>
              <w:left w:val="single" w:sz="12" w:space="0" w:color="000000"/>
              <w:bottom w:val="single" w:sz="12" w:space="0" w:color="000000"/>
              <w:right w:val="single" w:sz="12" w:space="0" w:color="000000"/>
            </w:tcBorders>
            <w:vAlign w:val="center"/>
            <w:hideMark/>
          </w:tcPr>
          <w:p w14:paraId="29BC1986" w14:textId="77777777" w:rsidR="0076430D" w:rsidRPr="006B4997" w:rsidRDefault="0076430D" w:rsidP="00ED1D80">
            <w:pPr>
              <w:widowControl w:val="0"/>
              <w:jc w:val="center"/>
              <w:rPr>
                <w:rFonts w:cs="Times New Roman"/>
              </w:rPr>
            </w:pPr>
            <w:r>
              <w:rPr>
                <w:rFonts w:ascii="Bookman Old Style" w:hAnsi="Bookman Old Style" w:cs="Arial"/>
                <w:szCs w:val="20"/>
              </w:rPr>
              <w:t>20</w:t>
            </w:r>
          </w:p>
        </w:tc>
        <w:tc>
          <w:tcPr>
            <w:tcW w:w="6242" w:type="dxa"/>
            <w:tcBorders>
              <w:top w:val="nil"/>
              <w:left w:val="single" w:sz="12" w:space="0" w:color="000000"/>
              <w:bottom w:val="single" w:sz="12" w:space="0" w:color="000000"/>
              <w:right w:val="nil"/>
            </w:tcBorders>
            <w:vAlign w:val="center"/>
            <w:hideMark/>
          </w:tcPr>
          <w:p w14:paraId="302BE1A7" w14:textId="77777777" w:rsidR="0076430D" w:rsidRPr="006B4997" w:rsidRDefault="0076430D" w:rsidP="00ED1D80">
            <w:pPr>
              <w:widowControl w:val="0"/>
              <w:shd w:val="clear" w:color="auto" w:fill="FFFFFF"/>
              <w:spacing w:after="0" w:line="320" w:lineRule="exact"/>
              <w:jc w:val="both"/>
            </w:pPr>
            <w:r w:rsidRPr="006B4997">
              <w:rPr>
                <w:rFonts w:ascii="Bookman Old Style" w:hAnsi="Bookman Old Style" w:cs="Arial"/>
                <w:szCs w:val="20"/>
              </w:rPr>
              <w:t>LAMPADA LED BULBO E27 15W, BRANCO FRIO, BIVOLT, EFICIENCIA LUMINOSA MINIMA 100L/W, MINIMO DE 1.500 LUMENS, VIDA UTIL DE MAIS DE 25.000 HORAS, POLICARBONATO COM DIFUSOR INTERNO, ACENDIMENTO INSTANTANEO, SEM FLICKEROU AQUECIMENTO EXCESSIVO, PARA AREAS INTERNAS, NÃO EMITE RADIAÇÃO UV OU INFRAVERMELHO, EM CONFORMIDADE COM ABNT E IEC, CERTIFICADO PELO INMETRO</w:t>
            </w:r>
          </w:p>
        </w:tc>
        <w:tc>
          <w:tcPr>
            <w:tcW w:w="1308" w:type="dxa"/>
            <w:tcBorders>
              <w:top w:val="nil"/>
              <w:left w:val="single" w:sz="12" w:space="0" w:color="000000"/>
              <w:bottom w:val="single" w:sz="12" w:space="0" w:color="000000"/>
              <w:right w:val="nil"/>
            </w:tcBorders>
            <w:vAlign w:val="center"/>
          </w:tcPr>
          <w:p w14:paraId="1E7C9172"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c>
          <w:tcPr>
            <w:tcW w:w="1186" w:type="dxa"/>
            <w:tcBorders>
              <w:top w:val="nil"/>
              <w:left w:val="single" w:sz="12" w:space="0" w:color="000000"/>
              <w:bottom w:val="single" w:sz="12" w:space="0" w:color="000000"/>
              <w:right w:val="single" w:sz="12" w:space="0" w:color="000000"/>
            </w:tcBorders>
            <w:vAlign w:val="center"/>
          </w:tcPr>
          <w:p w14:paraId="2BE48AB9"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r>
      <w:tr w:rsidR="0076430D" w:rsidRPr="006B4997" w14:paraId="73B5D519" w14:textId="77777777" w:rsidTr="00ED1D80">
        <w:trPr>
          <w:trHeight w:val="1454"/>
          <w:jc w:val="center"/>
        </w:trPr>
        <w:tc>
          <w:tcPr>
            <w:tcW w:w="897" w:type="dxa"/>
            <w:tcBorders>
              <w:top w:val="nil"/>
              <w:left w:val="single" w:sz="12" w:space="0" w:color="000000"/>
              <w:bottom w:val="single" w:sz="12" w:space="0" w:color="000000"/>
              <w:right w:val="single" w:sz="12" w:space="0" w:color="000000"/>
            </w:tcBorders>
            <w:vAlign w:val="center"/>
            <w:hideMark/>
          </w:tcPr>
          <w:p w14:paraId="20D16E7F" w14:textId="77777777" w:rsidR="0076430D" w:rsidRPr="006B4997" w:rsidRDefault="0076430D" w:rsidP="00ED1D80">
            <w:pPr>
              <w:widowControl w:val="0"/>
              <w:jc w:val="center"/>
              <w:rPr>
                <w:rFonts w:ascii="Bookman Old Style" w:hAnsi="Bookman Old Style" w:cs="Arial"/>
                <w:szCs w:val="20"/>
              </w:rPr>
            </w:pPr>
            <w:r w:rsidRPr="006B4997">
              <w:rPr>
                <w:rFonts w:ascii="Bookman Old Style" w:hAnsi="Bookman Old Style" w:cs="Arial"/>
                <w:szCs w:val="20"/>
              </w:rPr>
              <w:t>06</w:t>
            </w:r>
          </w:p>
        </w:tc>
        <w:tc>
          <w:tcPr>
            <w:tcW w:w="897" w:type="dxa"/>
            <w:tcBorders>
              <w:top w:val="nil"/>
              <w:left w:val="single" w:sz="12" w:space="0" w:color="000000"/>
              <w:bottom w:val="single" w:sz="12" w:space="0" w:color="000000"/>
              <w:right w:val="single" w:sz="12" w:space="0" w:color="000000"/>
            </w:tcBorders>
            <w:vAlign w:val="center"/>
            <w:hideMark/>
          </w:tcPr>
          <w:p w14:paraId="1D88C180" w14:textId="77777777" w:rsidR="0076430D" w:rsidRPr="006B4997" w:rsidRDefault="0076430D" w:rsidP="00ED1D80">
            <w:pPr>
              <w:widowControl w:val="0"/>
              <w:jc w:val="center"/>
              <w:rPr>
                <w:rFonts w:cs="Times New Roman"/>
              </w:rPr>
            </w:pPr>
            <w:r>
              <w:rPr>
                <w:rFonts w:ascii="Bookman Old Style" w:hAnsi="Bookman Old Style" w:cs="Arial"/>
                <w:szCs w:val="20"/>
              </w:rPr>
              <w:t>20</w:t>
            </w:r>
          </w:p>
        </w:tc>
        <w:tc>
          <w:tcPr>
            <w:tcW w:w="6242" w:type="dxa"/>
            <w:tcBorders>
              <w:top w:val="nil"/>
              <w:left w:val="single" w:sz="12" w:space="0" w:color="000000"/>
              <w:bottom w:val="single" w:sz="12" w:space="0" w:color="000000"/>
              <w:right w:val="nil"/>
            </w:tcBorders>
            <w:vAlign w:val="center"/>
            <w:hideMark/>
          </w:tcPr>
          <w:p w14:paraId="22740A4B" w14:textId="77777777" w:rsidR="0076430D" w:rsidRPr="006B4997" w:rsidRDefault="0076430D" w:rsidP="00ED1D80">
            <w:pPr>
              <w:widowControl w:val="0"/>
              <w:shd w:val="clear" w:color="auto" w:fill="FFFFFF"/>
              <w:spacing w:after="0" w:line="320" w:lineRule="exact"/>
              <w:jc w:val="both"/>
            </w:pPr>
            <w:r w:rsidRPr="006B4997">
              <w:rPr>
                <w:rFonts w:ascii="Bookman Old Style" w:hAnsi="Bookman Old Style" w:cs="Arial"/>
                <w:szCs w:val="20"/>
              </w:rPr>
              <w:t>LAMPADA LED BULBO E27 30W, BRANCO FRIO, BIVOLT, EFICIENCIA LUMINOSA MINIMA 100L/W, MINIMO DE 3.000 LUMENS, VIDA UTIL DE MAIS DE 25.000 HORAS, POLICARBONATO COM DIFUSOR INTERNO, ACENDIMENTO INSTANTANEO, SEM FLICKEROU AQUECIMENTO EXCESSIVO, PARA AREAS INTERNAS, NÃO EMITE RADIAÇÃO UV OU INFRAVERMELHO, EM CONFORMIDADE COM ABNT E IEC, CERTIFICADO PELO INMETRO</w:t>
            </w:r>
          </w:p>
        </w:tc>
        <w:tc>
          <w:tcPr>
            <w:tcW w:w="1308" w:type="dxa"/>
            <w:tcBorders>
              <w:top w:val="nil"/>
              <w:left w:val="single" w:sz="12" w:space="0" w:color="000000"/>
              <w:bottom w:val="single" w:sz="12" w:space="0" w:color="000000"/>
              <w:right w:val="nil"/>
            </w:tcBorders>
            <w:vAlign w:val="center"/>
          </w:tcPr>
          <w:p w14:paraId="58BB9AF6"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c>
          <w:tcPr>
            <w:tcW w:w="1186" w:type="dxa"/>
            <w:tcBorders>
              <w:top w:val="nil"/>
              <w:left w:val="single" w:sz="12" w:space="0" w:color="000000"/>
              <w:bottom w:val="single" w:sz="12" w:space="0" w:color="000000"/>
              <w:right w:val="single" w:sz="12" w:space="0" w:color="000000"/>
            </w:tcBorders>
            <w:vAlign w:val="center"/>
          </w:tcPr>
          <w:p w14:paraId="3034C6A8" w14:textId="77777777" w:rsidR="0076430D" w:rsidRPr="006B4997" w:rsidRDefault="0076430D" w:rsidP="00ED1D80">
            <w:pPr>
              <w:widowControl w:val="0"/>
              <w:shd w:val="clear" w:color="auto" w:fill="FFFFFF"/>
              <w:spacing w:after="0" w:line="320" w:lineRule="exact"/>
              <w:jc w:val="both"/>
              <w:rPr>
                <w:rFonts w:ascii="Bookman Old Style" w:hAnsi="Bookman Old Style" w:cs="Arial"/>
                <w:szCs w:val="20"/>
              </w:rPr>
            </w:pPr>
          </w:p>
        </w:tc>
      </w:tr>
    </w:tbl>
    <w:p w14:paraId="21BD1785" w14:textId="77777777" w:rsidR="0076430D" w:rsidRDefault="0076430D" w:rsidP="0076430D">
      <w:pPr>
        <w:jc w:val="center"/>
        <w:rPr>
          <w:rFonts w:ascii="Bookman Old Style" w:hAnsi="Bookman Old Style" w:cs="Bookman Old Style"/>
          <w:sz w:val="24"/>
          <w:szCs w:val="24"/>
          <w:lang w:eastAsia="ar-SA"/>
        </w:rPr>
      </w:pPr>
    </w:p>
    <w:p w14:paraId="22EF113C" w14:textId="77777777" w:rsidR="0076430D" w:rsidRDefault="0076430D" w:rsidP="0076430D">
      <w:pPr>
        <w:jc w:val="center"/>
        <w:rPr>
          <w:rFonts w:ascii="Bookman Old Style" w:hAnsi="Bookman Old Style" w:cs="Bookman Old Style"/>
          <w:sz w:val="24"/>
          <w:szCs w:val="24"/>
          <w:lang w:eastAsia="ar-SA"/>
        </w:rPr>
      </w:pPr>
    </w:p>
    <w:p w14:paraId="4D6FCEC7" w14:textId="2FDB0235" w:rsidR="00F452B8" w:rsidRDefault="00F452B8" w:rsidP="0076430D">
      <w:pPr>
        <w:pStyle w:val="Recuodecorpodetexto31"/>
        <w:ind w:firstLine="0"/>
        <w:rPr>
          <w:rFonts w:ascii="Bookman Old Style" w:eastAsia="Bookman Old Style" w:hAnsi="Bookman Old Style" w:cs="Bookman Old Style"/>
          <w:b w:val="0"/>
          <w:sz w:val="20"/>
        </w:rPr>
      </w:pPr>
    </w:p>
    <w:p w14:paraId="099E2112" w14:textId="77777777" w:rsidR="007C2084" w:rsidRDefault="007C2084" w:rsidP="007C2084">
      <w:pPr>
        <w:ind w:left="284" w:hanging="284"/>
        <w:jc w:val="both"/>
        <w:rPr>
          <w:rFonts w:ascii="Arial" w:hAnsi="Arial"/>
          <w:color w:val="000000"/>
          <w:sz w:val="24"/>
          <w:szCs w:val="24"/>
        </w:rPr>
      </w:pPr>
      <w:r>
        <w:rPr>
          <w:rFonts w:ascii="Arial" w:hAnsi="Arial" w:cs="Arial"/>
          <w:b/>
          <w:bCs/>
          <w:color w:val="000000"/>
          <w:sz w:val="24"/>
          <w:szCs w:val="24"/>
        </w:rPr>
        <w:t xml:space="preserve">2. </w:t>
      </w:r>
      <w:r>
        <w:rPr>
          <w:rFonts w:ascii="Arial" w:hAnsi="Arial" w:cs="Arial"/>
          <w:b/>
          <w:bCs/>
          <w:color w:val="000000"/>
          <w:sz w:val="24"/>
          <w:szCs w:val="24"/>
          <w:u w:val="single"/>
        </w:rPr>
        <w:t>Do prazo da contratação, da forma de pagamento e das condições da prestação de serviços, da entrega dos produtos ou da realização da mão de obra</w:t>
      </w:r>
    </w:p>
    <w:p w14:paraId="126771A1" w14:textId="4F238784"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 xml:space="preserve">2.1. O prazo da contratação será por </w:t>
      </w:r>
      <w:r w:rsidR="009100E1">
        <w:rPr>
          <w:rFonts w:ascii="Arial" w:hAnsi="Arial" w:cs="Arial"/>
          <w:color w:val="000000"/>
          <w:sz w:val="24"/>
          <w:szCs w:val="24"/>
        </w:rPr>
        <w:t>30</w:t>
      </w:r>
      <w:r w:rsidR="002E4D19">
        <w:rPr>
          <w:rFonts w:ascii="Arial" w:hAnsi="Arial" w:cs="Arial"/>
          <w:color w:val="000000"/>
          <w:sz w:val="24"/>
          <w:szCs w:val="24"/>
        </w:rPr>
        <w:t xml:space="preserve"> </w:t>
      </w:r>
      <w:r w:rsidR="009100E1">
        <w:rPr>
          <w:rFonts w:ascii="Arial" w:hAnsi="Arial" w:cs="Arial"/>
          <w:color w:val="000000"/>
          <w:sz w:val="24"/>
          <w:szCs w:val="24"/>
        </w:rPr>
        <w:t>dias</w:t>
      </w:r>
      <w:r>
        <w:rPr>
          <w:rFonts w:ascii="Arial" w:hAnsi="Arial" w:cs="Arial"/>
          <w:color w:val="000000"/>
          <w:sz w:val="24"/>
          <w:szCs w:val="24"/>
          <w:shd w:val="clear" w:color="auto" w:fill="FFFFFF"/>
        </w:rPr>
        <w:t xml:space="preserve">, </w:t>
      </w:r>
      <w:r>
        <w:rPr>
          <w:rFonts w:ascii="Arial" w:hAnsi="Arial" w:cs="Arial"/>
          <w:color w:val="000000"/>
          <w:sz w:val="24"/>
          <w:szCs w:val="24"/>
        </w:rPr>
        <w:t>a contar da data da assinatura do instrumento contratual.</w:t>
      </w:r>
    </w:p>
    <w:p w14:paraId="257EE8E9" w14:textId="51897446"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 xml:space="preserve">2.2. O[a] contratado[a] deverá </w:t>
      </w:r>
      <w:r>
        <w:rPr>
          <w:rFonts w:ascii="Arial" w:hAnsi="Arial" w:cs="Arial"/>
          <w:i/>
          <w:iCs/>
          <w:color w:val="000000"/>
          <w:sz w:val="24"/>
          <w:szCs w:val="24"/>
          <w:shd w:val="clear" w:color="auto" w:fill="FFFFFF"/>
        </w:rPr>
        <w:t xml:space="preserve">executar </w:t>
      </w:r>
      <w:r w:rsidR="00F452B8">
        <w:rPr>
          <w:rFonts w:ascii="Arial" w:hAnsi="Arial" w:cs="Arial"/>
          <w:i/>
          <w:iCs/>
          <w:color w:val="000000"/>
          <w:sz w:val="24"/>
          <w:szCs w:val="24"/>
          <w:shd w:val="clear" w:color="auto" w:fill="FFFFFF"/>
        </w:rPr>
        <w:t>a entrega do produto</w:t>
      </w:r>
      <w:r>
        <w:rPr>
          <w:rFonts w:ascii="Arial" w:hAnsi="Arial" w:cs="Arial"/>
          <w:i/>
          <w:iCs/>
          <w:color w:val="000000"/>
          <w:sz w:val="24"/>
          <w:szCs w:val="24"/>
          <w:shd w:val="clear" w:color="auto" w:fill="FFFFFF"/>
        </w:rPr>
        <w:t>, conforme cotação apresentada, fornecendo garantia</w:t>
      </w:r>
      <w:r w:rsidR="00450F74">
        <w:rPr>
          <w:rFonts w:ascii="Arial" w:hAnsi="Arial" w:cs="Arial"/>
          <w:i/>
          <w:iCs/>
          <w:color w:val="000000"/>
          <w:sz w:val="24"/>
          <w:szCs w:val="24"/>
          <w:shd w:val="clear" w:color="auto" w:fill="FFFFFF"/>
        </w:rPr>
        <w:t>.</w:t>
      </w:r>
    </w:p>
    <w:p w14:paraId="10B9E7B2" w14:textId="42F921EA"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 xml:space="preserve">2.3. O valor contratado será pago </w:t>
      </w:r>
      <w:r>
        <w:rPr>
          <w:rFonts w:ascii="Arial" w:hAnsi="Arial" w:cs="Arial"/>
          <w:color w:val="000000"/>
          <w:sz w:val="24"/>
          <w:szCs w:val="24"/>
          <w:shd w:val="clear" w:color="auto" w:fill="FFFFFF"/>
        </w:rPr>
        <w:t xml:space="preserve">integralmente, em 15 dias após a </w:t>
      </w:r>
      <w:r w:rsidR="00450F74">
        <w:rPr>
          <w:rFonts w:ascii="Arial" w:hAnsi="Arial" w:cs="Arial"/>
          <w:color w:val="000000"/>
          <w:sz w:val="24"/>
          <w:szCs w:val="24"/>
          <w:shd w:val="clear" w:color="auto" w:fill="FFFFFF"/>
        </w:rPr>
        <w:t>realização</w:t>
      </w:r>
      <w:r>
        <w:rPr>
          <w:rFonts w:ascii="Arial" w:hAnsi="Arial" w:cs="Arial"/>
          <w:color w:val="000000"/>
          <w:sz w:val="24"/>
          <w:szCs w:val="24"/>
          <w:shd w:val="clear" w:color="auto" w:fill="FFFFFF"/>
        </w:rPr>
        <w:t xml:space="preserve"> </w:t>
      </w:r>
      <w:r w:rsidR="00F452B8">
        <w:rPr>
          <w:rFonts w:ascii="Arial" w:hAnsi="Arial" w:cs="Arial"/>
          <w:color w:val="000000"/>
          <w:sz w:val="24"/>
          <w:szCs w:val="24"/>
          <w:shd w:val="clear" w:color="auto" w:fill="FFFFFF"/>
        </w:rPr>
        <w:t>da entrega</w:t>
      </w:r>
      <w:r>
        <w:rPr>
          <w:rFonts w:ascii="Arial" w:hAnsi="Arial" w:cs="Arial"/>
          <w:color w:val="000000"/>
          <w:sz w:val="24"/>
          <w:szCs w:val="24"/>
          <w:shd w:val="clear" w:color="auto" w:fill="FFFFFF"/>
        </w:rPr>
        <w:t xml:space="preserve"> e emissão da respectiva nota fiscal.</w:t>
      </w:r>
    </w:p>
    <w:p w14:paraId="46FA6238" w14:textId="77777777"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lastRenderedPageBreak/>
        <w:t>2.4. No valor, a empresa deverá considerar todas as despesas que venham a incidir sobre a execução contratual, inclusive as tributárias e encargos sociais de seus colaboradores.</w:t>
      </w:r>
    </w:p>
    <w:p w14:paraId="76987336" w14:textId="77777777" w:rsidR="0050625E" w:rsidRDefault="0050625E" w:rsidP="007C2084">
      <w:pPr>
        <w:ind w:left="426" w:hanging="426"/>
        <w:jc w:val="both"/>
        <w:rPr>
          <w:rFonts w:ascii="Arial" w:hAnsi="Arial" w:cs="Arial"/>
          <w:b/>
          <w:bCs/>
          <w:color w:val="000000"/>
          <w:sz w:val="24"/>
          <w:szCs w:val="24"/>
        </w:rPr>
      </w:pPr>
    </w:p>
    <w:p w14:paraId="4A668677" w14:textId="6BD8C8B3" w:rsidR="007C2084" w:rsidRDefault="007C2084" w:rsidP="007C2084">
      <w:pPr>
        <w:ind w:left="426" w:hanging="426"/>
        <w:jc w:val="both"/>
        <w:rPr>
          <w:rFonts w:ascii="Arial" w:hAnsi="Arial"/>
          <w:color w:val="000000"/>
          <w:sz w:val="24"/>
          <w:szCs w:val="24"/>
        </w:rPr>
      </w:pPr>
      <w:r>
        <w:rPr>
          <w:rFonts w:ascii="Arial" w:hAnsi="Arial" w:cs="Arial"/>
          <w:b/>
          <w:bCs/>
          <w:color w:val="000000"/>
          <w:sz w:val="24"/>
          <w:szCs w:val="24"/>
        </w:rPr>
        <w:t xml:space="preserve">3. </w:t>
      </w:r>
      <w:r>
        <w:rPr>
          <w:rFonts w:ascii="Arial" w:hAnsi="Arial" w:cs="Arial"/>
          <w:b/>
          <w:bCs/>
          <w:color w:val="000000"/>
          <w:sz w:val="24"/>
          <w:szCs w:val="24"/>
          <w:u w:val="single"/>
        </w:rPr>
        <w:t xml:space="preserve"> Da necessidade da contratação dos serviços, dos bens ou produtos </w:t>
      </w:r>
    </w:p>
    <w:p w14:paraId="119F60EB" w14:textId="7A0687A4" w:rsidR="00776288" w:rsidRDefault="007C2084" w:rsidP="007C2084">
      <w:pPr>
        <w:ind w:left="426" w:hanging="426"/>
        <w:jc w:val="both"/>
        <w:rPr>
          <w:rFonts w:ascii="Arial" w:hAnsi="Arial" w:cs="Arial"/>
          <w:b/>
          <w:bCs/>
          <w:color w:val="000000"/>
          <w:sz w:val="24"/>
          <w:szCs w:val="24"/>
        </w:rPr>
      </w:pPr>
      <w:r>
        <w:rPr>
          <w:rFonts w:ascii="Arial" w:hAnsi="Arial" w:cs="Arial"/>
          <w:color w:val="000000"/>
          <w:sz w:val="24"/>
          <w:szCs w:val="24"/>
        </w:rPr>
        <w:t>3.1. Justifica-se a contratação</w:t>
      </w:r>
      <w:r>
        <w:rPr>
          <w:rFonts w:ascii="Arial" w:hAnsi="Arial" w:cs="Arial"/>
          <w:color w:val="000000"/>
          <w:sz w:val="24"/>
          <w:szCs w:val="24"/>
          <w:shd w:val="clear" w:color="auto" w:fill="FFFFFF"/>
        </w:rPr>
        <w:t xml:space="preserve"> com vistas </w:t>
      </w:r>
      <w:r w:rsidR="00F94864">
        <w:rPr>
          <w:rFonts w:ascii="Arial" w:hAnsi="Arial" w:cs="Arial"/>
          <w:color w:val="000000"/>
          <w:sz w:val="24"/>
          <w:szCs w:val="24"/>
          <w:shd w:val="clear" w:color="auto" w:fill="FFFFFF"/>
        </w:rPr>
        <w:t xml:space="preserve">a </w:t>
      </w:r>
      <w:r w:rsidR="00776288">
        <w:rPr>
          <w:rFonts w:ascii="Arial" w:hAnsi="Arial" w:cs="Arial"/>
          <w:color w:val="000000"/>
          <w:sz w:val="24"/>
          <w:szCs w:val="24"/>
          <w:shd w:val="clear" w:color="auto" w:fill="FFFFFF"/>
        </w:rPr>
        <w:t xml:space="preserve">suprir as necessidades de </w:t>
      </w:r>
      <w:r w:rsidR="0076430D">
        <w:rPr>
          <w:rFonts w:ascii="Arial" w:hAnsi="Arial" w:cs="Arial"/>
          <w:color w:val="000000"/>
          <w:sz w:val="24"/>
          <w:szCs w:val="24"/>
          <w:shd w:val="clear" w:color="auto" w:fill="FFFFFF"/>
        </w:rPr>
        <w:t>lâmpadas de reposição</w:t>
      </w:r>
      <w:r w:rsidR="00F8254C">
        <w:rPr>
          <w:rFonts w:ascii="Arial" w:hAnsi="Arial" w:cs="Arial"/>
          <w:color w:val="000000"/>
          <w:sz w:val="24"/>
          <w:szCs w:val="24"/>
          <w:shd w:val="clear" w:color="auto" w:fill="FFFFFF"/>
        </w:rPr>
        <w:t xml:space="preserve"> durante o ano de 2025</w:t>
      </w:r>
      <w:r w:rsidR="00F9486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w:t>
      </w:r>
      <w:r>
        <w:rPr>
          <w:rFonts w:ascii="Arial" w:hAnsi="Arial"/>
          <w:color w:val="000000"/>
          <w:sz w:val="24"/>
          <w:szCs w:val="24"/>
        </w:rPr>
        <w:t xml:space="preserve">onforme estimativa </w:t>
      </w:r>
      <w:r w:rsidR="0092413D">
        <w:rPr>
          <w:rFonts w:ascii="Arial" w:hAnsi="Arial"/>
          <w:color w:val="000000"/>
          <w:sz w:val="24"/>
          <w:szCs w:val="24"/>
        </w:rPr>
        <w:t>prévia, dado</w:t>
      </w:r>
      <w:r>
        <w:rPr>
          <w:rFonts w:ascii="Arial" w:hAnsi="Arial"/>
          <w:color w:val="000000"/>
          <w:sz w:val="24"/>
          <w:szCs w:val="24"/>
        </w:rPr>
        <w:t xml:space="preserve"> o baixo valor do serviço, estará abaixo dos limites exigidos para a dispensa de licitação, definidos no inciso II do art. 75 da Lei 14.133/2021, de maneira a evitar qualquer tipo de fracionamento de despesa e de licitação</w:t>
      </w:r>
      <w:r w:rsidR="00F8254C">
        <w:rPr>
          <w:rFonts w:ascii="Arial" w:hAnsi="Arial"/>
          <w:color w:val="000000"/>
          <w:sz w:val="24"/>
          <w:szCs w:val="24"/>
        </w:rPr>
        <w:t>, a compra é feita conforme capacidade de armazenamento, porem respeitando os limites legais</w:t>
      </w:r>
      <w:r w:rsidR="00A5067B">
        <w:rPr>
          <w:rFonts w:ascii="Arial" w:hAnsi="Arial"/>
          <w:color w:val="000000"/>
          <w:sz w:val="24"/>
          <w:szCs w:val="24"/>
        </w:rPr>
        <w:t>.</w:t>
      </w:r>
    </w:p>
    <w:p w14:paraId="45FCCE55" w14:textId="6A59C9CB" w:rsidR="007C2084" w:rsidRDefault="007C2084" w:rsidP="007C2084">
      <w:pPr>
        <w:ind w:left="426" w:hanging="426"/>
        <w:jc w:val="both"/>
        <w:rPr>
          <w:rFonts w:ascii="Arial" w:hAnsi="Arial"/>
          <w:color w:val="000000"/>
          <w:sz w:val="24"/>
          <w:szCs w:val="24"/>
        </w:rPr>
      </w:pPr>
      <w:r>
        <w:rPr>
          <w:rFonts w:ascii="Arial" w:hAnsi="Arial" w:cs="Arial"/>
          <w:b/>
          <w:bCs/>
          <w:color w:val="000000"/>
          <w:sz w:val="24"/>
          <w:szCs w:val="24"/>
        </w:rPr>
        <w:t xml:space="preserve">4. </w:t>
      </w:r>
      <w:r>
        <w:rPr>
          <w:rFonts w:ascii="Arial" w:hAnsi="Arial" w:cs="Arial"/>
          <w:b/>
          <w:bCs/>
          <w:color w:val="000000"/>
          <w:sz w:val="24"/>
          <w:szCs w:val="24"/>
          <w:u w:val="single"/>
        </w:rPr>
        <w:t xml:space="preserve">Da previsão da contratação no “Plano de Contratações Anual - PCA” </w:t>
      </w:r>
    </w:p>
    <w:p w14:paraId="0E847FAE" w14:textId="79063CF3" w:rsidR="007C2084" w:rsidRDefault="007C2084" w:rsidP="007C2084">
      <w:pPr>
        <w:ind w:left="426" w:hanging="426"/>
        <w:jc w:val="both"/>
        <w:rPr>
          <w:rFonts w:ascii="Arial" w:hAnsi="Arial" w:cs="Arial"/>
          <w:color w:val="000000"/>
          <w:sz w:val="24"/>
          <w:szCs w:val="24"/>
        </w:rPr>
      </w:pPr>
      <w:r>
        <w:rPr>
          <w:rFonts w:ascii="Arial" w:hAnsi="Arial" w:cs="Arial"/>
          <w:color w:val="000000"/>
          <w:sz w:val="24"/>
          <w:szCs w:val="24"/>
        </w:rPr>
        <w:t>4.1. A contratação</w:t>
      </w:r>
      <w:r w:rsidR="0050625E">
        <w:rPr>
          <w:rFonts w:ascii="Arial" w:hAnsi="Arial" w:cs="Arial"/>
          <w:color w:val="000000"/>
          <w:sz w:val="24"/>
          <w:szCs w:val="24"/>
        </w:rPr>
        <w:t xml:space="preserve"> </w:t>
      </w:r>
      <w:r>
        <w:rPr>
          <w:rFonts w:ascii="Arial" w:hAnsi="Arial" w:cs="Arial"/>
          <w:color w:val="000000"/>
          <w:sz w:val="24"/>
          <w:szCs w:val="24"/>
        </w:rPr>
        <w:t>consta no Plano de Contratações Anuais, publicado no dia 20 de dezembro de 2024</w:t>
      </w:r>
      <w:r w:rsidR="00776288">
        <w:rPr>
          <w:rFonts w:ascii="Arial" w:hAnsi="Arial" w:cs="Arial"/>
          <w:color w:val="000000"/>
          <w:sz w:val="24"/>
          <w:szCs w:val="24"/>
        </w:rPr>
        <w:t>.</w:t>
      </w:r>
    </w:p>
    <w:p w14:paraId="0C22DFCD" w14:textId="77777777" w:rsidR="007C2084" w:rsidRDefault="007C2084" w:rsidP="007C2084">
      <w:pPr>
        <w:ind w:left="426" w:hanging="426"/>
        <w:jc w:val="both"/>
        <w:rPr>
          <w:rFonts w:ascii="Arial" w:hAnsi="Arial"/>
          <w:color w:val="000000"/>
          <w:sz w:val="24"/>
          <w:szCs w:val="24"/>
        </w:rPr>
      </w:pPr>
    </w:p>
    <w:p w14:paraId="30F067AE" w14:textId="77777777" w:rsidR="007C2084" w:rsidRDefault="007C2084" w:rsidP="007C2084">
      <w:pPr>
        <w:ind w:left="426" w:hanging="426"/>
        <w:jc w:val="both"/>
        <w:rPr>
          <w:rFonts w:ascii="Arial" w:hAnsi="Arial"/>
          <w:color w:val="000000"/>
          <w:sz w:val="24"/>
          <w:szCs w:val="24"/>
        </w:rPr>
      </w:pPr>
      <w:r>
        <w:rPr>
          <w:rFonts w:ascii="Arial" w:hAnsi="Arial" w:cs="Arial"/>
          <w:b/>
          <w:bCs/>
          <w:color w:val="000000"/>
          <w:sz w:val="24"/>
          <w:szCs w:val="24"/>
        </w:rPr>
        <w:t xml:space="preserve">5. </w:t>
      </w:r>
      <w:r>
        <w:rPr>
          <w:rFonts w:ascii="Arial" w:hAnsi="Arial" w:cs="Arial"/>
          <w:b/>
          <w:bCs/>
          <w:color w:val="000000"/>
          <w:sz w:val="24"/>
          <w:szCs w:val="24"/>
          <w:u w:val="single"/>
        </w:rPr>
        <w:t>Dos requisitos da contratação</w:t>
      </w:r>
    </w:p>
    <w:p w14:paraId="11C65E7F" w14:textId="77777777"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5.1.   O[a] contratado[a] deverá comprovar ser do ramo da contratação que se almeja.</w:t>
      </w:r>
    </w:p>
    <w:p w14:paraId="0223F147" w14:textId="77777777"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5.2.  O[a] contratado[a] deverá comprovar sua regularidade jurídica, fiscal e trabalhista, na forma da prevista em Lei.</w:t>
      </w:r>
    </w:p>
    <w:p w14:paraId="37EBDAAE" w14:textId="65668943" w:rsidR="007C2084" w:rsidRDefault="007C2084" w:rsidP="007C2084">
      <w:pPr>
        <w:ind w:left="426" w:hanging="426"/>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5.3. O[a] contratado[a] deverá providenciar e utilizar corretamente os equipamentos de segurança para a equipe, sobretudo os exigidos pelas Normas Regulamentadoras trabalhistas.</w:t>
      </w:r>
    </w:p>
    <w:p w14:paraId="065D625F" w14:textId="77777777" w:rsidR="005A41CC" w:rsidRDefault="005A41CC" w:rsidP="007C2084">
      <w:pPr>
        <w:ind w:left="426" w:hanging="426"/>
        <w:jc w:val="both"/>
        <w:rPr>
          <w:rFonts w:ascii="Arial" w:hAnsi="Arial" w:cs="Arial"/>
          <w:b/>
          <w:bCs/>
          <w:color w:val="000000"/>
          <w:sz w:val="24"/>
          <w:szCs w:val="24"/>
        </w:rPr>
      </w:pPr>
    </w:p>
    <w:p w14:paraId="6AD7DD0C" w14:textId="645E07C8" w:rsidR="007C2084" w:rsidRDefault="007C2084" w:rsidP="007C2084">
      <w:pPr>
        <w:ind w:left="426" w:hanging="426"/>
        <w:jc w:val="both"/>
        <w:rPr>
          <w:rFonts w:ascii="Arial" w:hAnsi="Arial"/>
          <w:color w:val="000000"/>
          <w:sz w:val="24"/>
          <w:szCs w:val="24"/>
        </w:rPr>
      </w:pPr>
      <w:r>
        <w:rPr>
          <w:rFonts w:ascii="Arial" w:hAnsi="Arial" w:cs="Arial"/>
          <w:b/>
          <w:bCs/>
          <w:color w:val="000000"/>
          <w:sz w:val="24"/>
          <w:szCs w:val="24"/>
        </w:rPr>
        <w:t xml:space="preserve">6. </w:t>
      </w:r>
      <w:r>
        <w:rPr>
          <w:rFonts w:ascii="Arial" w:hAnsi="Arial" w:cs="Arial"/>
          <w:b/>
          <w:bCs/>
          <w:color w:val="000000"/>
          <w:sz w:val="24"/>
          <w:szCs w:val="24"/>
          <w:u w:val="single"/>
        </w:rPr>
        <w:t xml:space="preserve">Da estimativa de preços </w:t>
      </w:r>
    </w:p>
    <w:p w14:paraId="7647F74A" w14:textId="77777777"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6.1. A Assessoria legislativa apresentou as cotações realizadas, com empresas que forneceram preço dentro do critério de razoabilidade, além de atender aos requisitos relacionados no item 5, deste Termo de Referência.</w:t>
      </w:r>
    </w:p>
    <w:p w14:paraId="41E6BB4F" w14:textId="77777777" w:rsidR="007C2084" w:rsidRDefault="007C2084" w:rsidP="007C2084">
      <w:pPr>
        <w:ind w:left="426" w:hanging="426"/>
        <w:jc w:val="both"/>
        <w:rPr>
          <w:rFonts w:ascii="Arial" w:hAnsi="Arial"/>
          <w:color w:val="000000"/>
          <w:sz w:val="24"/>
          <w:szCs w:val="24"/>
        </w:rPr>
      </w:pPr>
      <w:r>
        <w:rPr>
          <w:rFonts w:ascii="Arial" w:hAnsi="Arial" w:cs="Arial"/>
          <w:color w:val="000000"/>
          <w:sz w:val="24"/>
          <w:szCs w:val="24"/>
        </w:rPr>
        <w:t>6.2. É importante que o balizamento de preços seja feito também em consultas de contratações feitas por outros órgãos e entidades públicas na região, banco de dados governamentais e pesquisas pela Internet, conforme o caso.</w:t>
      </w:r>
    </w:p>
    <w:p w14:paraId="4BAC8F0E" w14:textId="77777777" w:rsidR="007C2084" w:rsidRDefault="007C2084" w:rsidP="007C2084">
      <w:pPr>
        <w:ind w:left="426" w:hanging="426"/>
        <w:jc w:val="both"/>
        <w:rPr>
          <w:rFonts w:ascii="Arial" w:hAnsi="Arial" w:cs="Arial"/>
          <w:color w:val="000000"/>
          <w:sz w:val="24"/>
          <w:szCs w:val="24"/>
        </w:rPr>
      </w:pPr>
      <w:r>
        <w:rPr>
          <w:rFonts w:ascii="Arial" w:hAnsi="Arial" w:cs="Arial"/>
          <w:color w:val="000000"/>
          <w:sz w:val="24"/>
          <w:szCs w:val="24"/>
        </w:rPr>
        <w:lastRenderedPageBreak/>
        <w:t>6.3. Tratando-se de contratação temporária e por dispensa de licitação [incs. I e II, art. 75, da Lei nº 14.133/2021], de modo que o valor não poderá superar o limite lá definido.</w:t>
      </w:r>
    </w:p>
    <w:p w14:paraId="22E15CC1" w14:textId="77777777" w:rsidR="009100E1" w:rsidRDefault="009100E1" w:rsidP="007C2084">
      <w:pPr>
        <w:ind w:left="426" w:hanging="426"/>
        <w:jc w:val="both"/>
        <w:rPr>
          <w:rFonts w:ascii="Arial" w:hAnsi="Arial"/>
          <w:b/>
          <w:bCs/>
          <w:color w:val="000000"/>
          <w:sz w:val="24"/>
          <w:szCs w:val="24"/>
          <w:u w:val="single"/>
        </w:rPr>
      </w:pPr>
    </w:p>
    <w:p w14:paraId="733F8058" w14:textId="74DB79ED" w:rsidR="007C2084" w:rsidRDefault="007C2084" w:rsidP="007C2084">
      <w:pPr>
        <w:ind w:left="426" w:hanging="426"/>
        <w:jc w:val="both"/>
        <w:rPr>
          <w:rFonts w:ascii="Arial" w:hAnsi="Arial"/>
          <w:b/>
          <w:bCs/>
          <w:color w:val="000000"/>
          <w:sz w:val="24"/>
          <w:szCs w:val="24"/>
          <w:u w:val="single"/>
        </w:rPr>
      </w:pPr>
      <w:r>
        <w:rPr>
          <w:rFonts w:ascii="Arial" w:hAnsi="Arial"/>
          <w:b/>
          <w:bCs/>
          <w:color w:val="000000"/>
          <w:sz w:val="24"/>
          <w:szCs w:val="24"/>
          <w:u w:val="single"/>
        </w:rPr>
        <w:t>7. Da ausência de ETP</w:t>
      </w:r>
    </w:p>
    <w:p w14:paraId="3DDB7627" w14:textId="77777777" w:rsidR="002F3796" w:rsidRPr="008C2568" w:rsidRDefault="002F3796" w:rsidP="002F3796">
      <w:pPr>
        <w:spacing w:before="120" w:after="120" w:line="340" w:lineRule="atLeast"/>
        <w:jc w:val="both"/>
        <w:rPr>
          <w:rFonts w:ascii="Arial" w:hAnsi="Arial"/>
          <w:color w:val="000000"/>
          <w:sz w:val="24"/>
          <w:szCs w:val="24"/>
        </w:rPr>
      </w:pPr>
      <w:r w:rsidRPr="008C2568">
        <w:rPr>
          <w:rFonts w:ascii="Arial" w:hAnsi="Arial"/>
          <w:b/>
          <w:bCs/>
          <w:color w:val="000000"/>
          <w:sz w:val="24"/>
          <w:szCs w:val="24"/>
        </w:rPr>
        <w:t>7.1.</w:t>
      </w:r>
      <w:r w:rsidRPr="008C2568">
        <w:rPr>
          <w:rFonts w:ascii="Arial" w:hAnsi="Arial"/>
          <w:color w:val="000000"/>
          <w:sz w:val="24"/>
          <w:szCs w:val="24"/>
        </w:rPr>
        <w:t xml:space="preserve"> É sabido que a Lei 14.133/2021 traz disciplina específica em relação à instrução dos processos de contratação direta, quando, no seu art. 72 ao se referir ao “estudo técnico preliminar, análise de riscos, termo de referência, projeto básico ou projeto executivo”, emprega a expressão “</w:t>
      </w:r>
      <w:r w:rsidRPr="008C2568">
        <w:rPr>
          <w:rFonts w:ascii="Arial" w:hAnsi="Arial"/>
          <w:b/>
          <w:bCs/>
          <w:color w:val="000000"/>
          <w:sz w:val="24"/>
          <w:szCs w:val="24"/>
        </w:rPr>
        <w:t>se for o caso</w:t>
      </w:r>
      <w:r w:rsidRPr="008C2568">
        <w:rPr>
          <w:rFonts w:ascii="Arial" w:hAnsi="Arial"/>
          <w:color w:val="000000"/>
          <w:sz w:val="24"/>
          <w:szCs w:val="24"/>
        </w:rPr>
        <w:t>” (vide entendimento exarado por consulta pelo Tribunal de Contas do Estado do Espirito Santo – Parecer Consulta nº 00019/2020-1 – Plenário). Desse modo, é possível compreender que nem todo processo de contratação direta necessitará de um Estudo Técnico Preliminar.</w:t>
      </w:r>
    </w:p>
    <w:p w14:paraId="275086DE" w14:textId="77777777" w:rsidR="002F3796" w:rsidRDefault="002F3796" w:rsidP="002F3796">
      <w:pPr>
        <w:spacing w:before="120" w:after="120" w:line="340" w:lineRule="atLeast"/>
        <w:jc w:val="both"/>
        <w:rPr>
          <w:rFonts w:ascii="Arial" w:hAnsi="Arial"/>
          <w:b/>
          <w:bCs/>
          <w:color w:val="000000"/>
          <w:sz w:val="24"/>
          <w:szCs w:val="24"/>
        </w:rPr>
      </w:pPr>
    </w:p>
    <w:p w14:paraId="5752BE2D" w14:textId="77777777" w:rsidR="002F3796" w:rsidRPr="008C2568" w:rsidRDefault="002F3796" w:rsidP="002F3796">
      <w:pPr>
        <w:spacing w:before="120" w:after="120" w:line="340" w:lineRule="atLeast"/>
        <w:jc w:val="both"/>
        <w:rPr>
          <w:rFonts w:ascii="Arial" w:hAnsi="Arial"/>
          <w:color w:val="000000"/>
          <w:sz w:val="24"/>
          <w:szCs w:val="24"/>
        </w:rPr>
      </w:pPr>
      <w:r w:rsidRPr="008C2568">
        <w:rPr>
          <w:rFonts w:ascii="Arial" w:hAnsi="Arial"/>
          <w:b/>
          <w:bCs/>
          <w:color w:val="000000"/>
          <w:sz w:val="24"/>
          <w:szCs w:val="24"/>
        </w:rPr>
        <w:t>7.2.</w:t>
      </w:r>
      <w:r w:rsidRPr="008C2568">
        <w:rPr>
          <w:rFonts w:ascii="Arial" w:hAnsi="Arial"/>
          <w:color w:val="000000"/>
          <w:sz w:val="24"/>
          <w:szCs w:val="24"/>
        </w:rPr>
        <w:t xml:space="preserve"> Há uma clara dispensa da elaboração do ETP para as dispensas de licitação com base no valor estimado para a contratação, o que se afigura bastante razoável, uma vez que em grande parte desses processos, de custos pequenos para o órgão público, o objeto traz obrigações bastante simples, além da dificuldade, pela singeleza, de instruir o ETP nestas modalidades licitatórias.</w:t>
      </w:r>
    </w:p>
    <w:p w14:paraId="1C56A1C9" w14:textId="7ABAE91C" w:rsidR="002F3796" w:rsidRPr="0085439D" w:rsidRDefault="002F3796" w:rsidP="002F3796">
      <w:pPr>
        <w:suppressAutoHyphens w:val="0"/>
        <w:spacing w:before="100" w:beforeAutospacing="1" w:after="100" w:afterAutospacing="1"/>
        <w:jc w:val="both"/>
        <w:rPr>
          <w:rFonts w:ascii="Arial" w:eastAsia="Times New Roman" w:hAnsi="Arial" w:cs="Arial"/>
          <w:sz w:val="24"/>
          <w:szCs w:val="24"/>
        </w:rPr>
      </w:pPr>
      <w:r w:rsidRPr="0085439D">
        <w:rPr>
          <w:rFonts w:ascii="Arial" w:eastAsia="Times New Roman" w:hAnsi="Arial" w:cs="Arial"/>
          <w:sz w:val="24"/>
          <w:szCs w:val="24"/>
        </w:rPr>
        <w:t xml:space="preserve">Considerando o objeto da presente licitação, </w:t>
      </w:r>
      <w:r w:rsidR="009100E1">
        <w:rPr>
          <w:rFonts w:ascii="Arial" w:eastAsia="Times New Roman" w:hAnsi="Arial" w:cs="Arial"/>
          <w:sz w:val="24"/>
          <w:szCs w:val="24"/>
        </w:rPr>
        <w:t xml:space="preserve">que a aquisição de </w:t>
      </w:r>
      <w:r w:rsidR="0076430D">
        <w:rPr>
          <w:rFonts w:ascii="Arial" w:eastAsia="Times New Roman" w:hAnsi="Arial" w:cs="Arial"/>
          <w:sz w:val="24"/>
          <w:szCs w:val="24"/>
        </w:rPr>
        <w:t>lâmpadas de reposição</w:t>
      </w:r>
      <w:r w:rsidR="009100E1">
        <w:rPr>
          <w:rFonts w:ascii="Arial" w:eastAsia="Times New Roman" w:hAnsi="Arial" w:cs="Arial"/>
          <w:sz w:val="24"/>
          <w:szCs w:val="24"/>
        </w:rPr>
        <w:t>,</w:t>
      </w:r>
      <w:r w:rsidR="00E00730">
        <w:rPr>
          <w:rFonts w:ascii="Arial" w:eastAsia="Times New Roman" w:hAnsi="Arial" w:cs="Arial"/>
          <w:sz w:val="24"/>
          <w:szCs w:val="24"/>
        </w:rPr>
        <w:t xml:space="preserve"> </w:t>
      </w:r>
      <w:r w:rsidR="00E61264">
        <w:rPr>
          <w:rFonts w:ascii="Arial" w:eastAsia="Times New Roman" w:hAnsi="Arial" w:cs="Arial"/>
          <w:sz w:val="24"/>
          <w:szCs w:val="24"/>
        </w:rPr>
        <w:t xml:space="preserve">não </w:t>
      </w:r>
      <w:r w:rsidR="00E00730">
        <w:rPr>
          <w:rFonts w:ascii="Arial" w:eastAsia="Times New Roman" w:hAnsi="Arial" w:cs="Arial"/>
          <w:sz w:val="24"/>
          <w:szCs w:val="24"/>
        </w:rPr>
        <w:t xml:space="preserve">existe a opção </w:t>
      </w:r>
      <w:r w:rsidR="00E61264">
        <w:rPr>
          <w:rFonts w:ascii="Arial" w:eastAsia="Times New Roman" w:hAnsi="Arial" w:cs="Arial"/>
          <w:sz w:val="24"/>
          <w:szCs w:val="24"/>
        </w:rPr>
        <w:t xml:space="preserve">de substituição </w:t>
      </w:r>
      <w:r w:rsidR="009100E1">
        <w:rPr>
          <w:rFonts w:ascii="Arial" w:eastAsia="Times New Roman" w:hAnsi="Arial" w:cs="Arial"/>
          <w:sz w:val="24"/>
          <w:szCs w:val="24"/>
        </w:rPr>
        <w:t>da aquisição</w:t>
      </w:r>
      <w:r w:rsidR="00E61264">
        <w:rPr>
          <w:rFonts w:ascii="Arial" w:eastAsia="Times New Roman" w:hAnsi="Arial" w:cs="Arial"/>
          <w:sz w:val="24"/>
          <w:szCs w:val="24"/>
        </w:rPr>
        <w:t xml:space="preserve"> por outra medida.</w:t>
      </w:r>
    </w:p>
    <w:p w14:paraId="428962E7" w14:textId="212134B0" w:rsidR="002F3796" w:rsidRPr="0085439D" w:rsidRDefault="002F3796" w:rsidP="002F3796">
      <w:pPr>
        <w:suppressAutoHyphens w:val="0"/>
        <w:spacing w:before="100" w:beforeAutospacing="1" w:after="100" w:afterAutospacing="1"/>
        <w:jc w:val="both"/>
        <w:rPr>
          <w:rFonts w:ascii="Arial" w:eastAsia="Times New Roman" w:hAnsi="Arial" w:cs="Arial"/>
          <w:sz w:val="24"/>
          <w:szCs w:val="24"/>
        </w:rPr>
      </w:pPr>
      <w:r w:rsidRPr="0085439D">
        <w:rPr>
          <w:rFonts w:ascii="Arial" w:eastAsia="Times New Roman" w:hAnsi="Arial" w:cs="Arial"/>
          <w:sz w:val="24"/>
          <w:szCs w:val="24"/>
        </w:rPr>
        <w:t xml:space="preserve">Após análise técnica preliminar, concluiu-se que não existem alternativas viáveis no mercado que possam atender às necessidades específicas da Administração Pública, uma vez que </w:t>
      </w:r>
      <w:r w:rsidR="009100E1">
        <w:rPr>
          <w:rFonts w:ascii="Arial" w:eastAsia="Times New Roman" w:hAnsi="Arial" w:cs="Arial"/>
          <w:sz w:val="24"/>
          <w:szCs w:val="24"/>
        </w:rPr>
        <w:t>o</w:t>
      </w:r>
      <w:r w:rsidR="00776288">
        <w:rPr>
          <w:rFonts w:ascii="Arial" w:eastAsia="Times New Roman" w:hAnsi="Arial" w:cs="Arial"/>
          <w:sz w:val="24"/>
          <w:szCs w:val="24"/>
        </w:rPr>
        <w:t>s</w:t>
      </w:r>
      <w:r w:rsidR="009100E1">
        <w:rPr>
          <w:rFonts w:ascii="Arial" w:eastAsia="Times New Roman" w:hAnsi="Arial" w:cs="Arial"/>
          <w:sz w:val="24"/>
          <w:szCs w:val="24"/>
        </w:rPr>
        <w:t xml:space="preserve"> produto</w:t>
      </w:r>
      <w:r w:rsidR="00776288">
        <w:rPr>
          <w:rFonts w:ascii="Arial" w:eastAsia="Times New Roman" w:hAnsi="Arial" w:cs="Arial"/>
          <w:sz w:val="24"/>
          <w:szCs w:val="24"/>
        </w:rPr>
        <w:t>s</w:t>
      </w:r>
      <w:r>
        <w:rPr>
          <w:rFonts w:ascii="Arial" w:eastAsia="Times New Roman" w:hAnsi="Arial" w:cs="Arial"/>
          <w:sz w:val="24"/>
          <w:szCs w:val="24"/>
        </w:rPr>
        <w:t>, apesar de ser</w:t>
      </w:r>
      <w:r w:rsidR="00776288">
        <w:rPr>
          <w:rFonts w:ascii="Arial" w:eastAsia="Times New Roman" w:hAnsi="Arial" w:cs="Arial"/>
          <w:sz w:val="24"/>
          <w:szCs w:val="24"/>
        </w:rPr>
        <w:t>em</w:t>
      </w:r>
      <w:r>
        <w:rPr>
          <w:rFonts w:ascii="Arial" w:eastAsia="Times New Roman" w:hAnsi="Arial" w:cs="Arial"/>
          <w:sz w:val="24"/>
          <w:szCs w:val="24"/>
        </w:rPr>
        <w:t xml:space="preserve"> de natureza simples, não possu</w:t>
      </w:r>
      <w:r w:rsidR="00776288">
        <w:rPr>
          <w:rFonts w:ascii="Arial" w:eastAsia="Times New Roman" w:hAnsi="Arial" w:cs="Arial"/>
          <w:sz w:val="24"/>
          <w:szCs w:val="24"/>
        </w:rPr>
        <w:t>em</w:t>
      </w:r>
      <w:r>
        <w:rPr>
          <w:rFonts w:ascii="Arial" w:eastAsia="Times New Roman" w:hAnsi="Arial" w:cs="Arial"/>
          <w:sz w:val="24"/>
          <w:szCs w:val="24"/>
        </w:rPr>
        <w:t xml:space="preserve"> substituto</w:t>
      </w:r>
      <w:r w:rsidR="00776288">
        <w:rPr>
          <w:rFonts w:ascii="Arial" w:eastAsia="Times New Roman" w:hAnsi="Arial" w:cs="Arial"/>
          <w:sz w:val="24"/>
          <w:szCs w:val="24"/>
        </w:rPr>
        <w:t>s</w:t>
      </w:r>
      <w:r w:rsidR="009100E1">
        <w:rPr>
          <w:rFonts w:ascii="Arial" w:eastAsia="Times New Roman" w:hAnsi="Arial" w:cs="Arial"/>
          <w:sz w:val="24"/>
          <w:szCs w:val="24"/>
        </w:rPr>
        <w:t xml:space="preserve"> </w:t>
      </w:r>
      <w:r>
        <w:rPr>
          <w:rFonts w:ascii="Arial" w:eastAsia="Times New Roman" w:hAnsi="Arial" w:cs="Arial"/>
          <w:sz w:val="24"/>
          <w:szCs w:val="24"/>
        </w:rPr>
        <w:t>ou equivalentes para a necessidade apresentada</w:t>
      </w:r>
      <w:r w:rsidRPr="0085439D">
        <w:rPr>
          <w:rFonts w:ascii="Arial" w:eastAsia="Times New Roman" w:hAnsi="Arial" w:cs="Arial"/>
          <w:sz w:val="24"/>
          <w:szCs w:val="24"/>
        </w:rPr>
        <w:t>. Dada a inexistência de outras opções, o Estudo Técnico Preliminar (ETP), cujo objetivo principal é identificar e avaliar diferentes soluções, não se aplica ao presente caso, uma vez que a análise de alternativas se revela impraticável.</w:t>
      </w:r>
    </w:p>
    <w:p w14:paraId="2BA40B51" w14:textId="77777777" w:rsidR="002F3796" w:rsidRPr="0085439D" w:rsidRDefault="002F3796" w:rsidP="002F3796">
      <w:pPr>
        <w:suppressAutoHyphens w:val="0"/>
        <w:spacing w:before="100" w:beforeAutospacing="1" w:after="100" w:afterAutospacing="1"/>
        <w:jc w:val="both"/>
        <w:rPr>
          <w:rFonts w:ascii="Arial" w:eastAsia="Times New Roman" w:hAnsi="Arial" w:cs="Arial"/>
          <w:sz w:val="24"/>
          <w:szCs w:val="24"/>
        </w:rPr>
      </w:pPr>
      <w:r w:rsidRPr="0085439D">
        <w:rPr>
          <w:rFonts w:ascii="Arial" w:eastAsia="Times New Roman" w:hAnsi="Arial" w:cs="Arial"/>
          <w:sz w:val="24"/>
          <w:szCs w:val="24"/>
        </w:rPr>
        <w:t>Além disso, todos os requisitos técnicos, funcionais e operacionais necessários para a execução dos serviços e fornecimento das soluções estão devidamente detalhados no Termo de Referência, garantindo o atendimento aos princípios da economicidade, eficiência e transparência.</w:t>
      </w:r>
    </w:p>
    <w:p w14:paraId="4F52DC45" w14:textId="77777777" w:rsidR="002F3796" w:rsidRPr="0085439D" w:rsidRDefault="002F3796" w:rsidP="002F3796">
      <w:pPr>
        <w:suppressAutoHyphens w:val="0"/>
        <w:spacing w:before="100" w:beforeAutospacing="1" w:after="100" w:afterAutospacing="1"/>
        <w:jc w:val="both"/>
        <w:rPr>
          <w:rFonts w:ascii="Arial" w:eastAsia="Times New Roman" w:hAnsi="Arial" w:cs="Arial"/>
          <w:sz w:val="24"/>
          <w:szCs w:val="24"/>
        </w:rPr>
      </w:pPr>
      <w:r w:rsidRPr="0085439D">
        <w:rPr>
          <w:rFonts w:ascii="Arial" w:eastAsia="Times New Roman" w:hAnsi="Arial" w:cs="Arial"/>
          <w:sz w:val="24"/>
          <w:szCs w:val="24"/>
        </w:rPr>
        <w:lastRenderedPageBreak/>
        <w:t xml:space="preserve">Portanto, a ausência do ETP encontra respaldo na excepcionalidade da situação e na necessidade de assegurar a </w:t>
      </w:r>
      <w:r>
        <w:rPr>
          <w:rFonts w:ascii="Arial" w:eastAsia="Times New Roman" w:hAnsi="Arial" w:cs="Arial"/>
          <w:sz w:val="24"/>
          <w:szCs w:val="24"/>
        </w:rPr>
        <w:t>segurança da</w:t>
      </w:r>
      <w:r w:rsidRPr="0085439D">
        <w:rPr>
          <w:rFonts w:ascii="Arial" w:eastAsia="Times New Roman" w:hAnsi="Arial" w:cs="Arial"/>
          <w:sz w:val="24"/>
          <w:szCs w:val="24"/>
        </w:rPr>
        <w:t xml:space="preserve"> Câmara Municipal, em conformidade com os princípios que regem a Administração Pública.</w:t>
      </w:r>
    </w:p>
    <w:p w14:paraId="38D92599" w14:textId="77777777" w:rsidR="002F3796" w:rsidRDefault="002F3796" w:rsidP="002F3796">
      <w:pPr>
        <w:spacing w:before="120" w:after="120"/>
        <w:jc w:val="both"/>
        <w:rPr>
          <w:rFonts w:ascii="Arial" w:hAnsi="Arial"/>
          <w:color w:val="000000"/>
          <w:sz w:val="24"/>
          <w:szCs w:val="24"/>
        </w:rPr>
      </w:pPr>
      <w:r w:rsidRPr="008C2568">
        <w:rPr>
          <w:rFonts w:ascii="Arial" w:hAnsi="Arial"/>
          <w:b/>
          <w:bCs/>
          <w:color w:val="000000"/>
          <w:sz w:val="24"/>
          <w:szCs w:val="24"/>
        </w:rPr>
        <w:t>7.3.</w:t>
      </w:r>
      <w:r w:rsidRPr="008C2568">
        <w:rPr>
          <w:rFonts w:ascii="Arial" w:hAnsi="Arial"/>
          <w:color w:val="000000"/>
          <w:sz w:val="24"/>
          <w:szCs w:val="24"/>
        </w:rPr>
        <w:t xml:space="preserve"> Ademais, a exigência de confecção do ETP em contratações corriqueiras, ordinárias, de baixo valor, de baixa complexidade e baixo quantitativo atenta contra a eficiência e a economicidade do procedimento mais célere, além de induzir um comportamento que banaliza a importância este instrumento, passando a ser usado de maneira meramente formalista apenas para compor processos, fragilizando sua relevância valor quando necessário.</w:t>
      </w:r>
    </w:p>
    <w:p w14:paraId="7D8432F3" w14:textId="77777777" w:rsidR="002F3796" w:rsidRDefault="002F3796" w:rsidP="002F3796">
      <w:pPr>
        <w:spacing w:before="120" w:after="120"/>
        <w:jc w:val="both"/>
        <w:rPr>
          <w:rFonts w:ascii="Arial" w:hAnsi="Arial"/>
          <w:color w:val="000000"/>
          <w:sz w:val="24"/>
          <w:szCs w:val="24"/>
        </w:rPr>
      </w:pPr>
      <w:r w:rsidRPr="008C2568">
        <w:rPr>
          <w:rFonts w:ascii="Arial" w:hAnsi="Arial"/>
          <w:color w:val="000000"/>
          <w:sz w:val="24"/>
          <w:szCs w:val="24"/>
        </w:rPr>
        <w:t>Isso posto, entende-se por justificada a não apresentação de Estudo Técnico Preliminar para esta contratação.</w:t>
      </w:r>
    </w:p>
    <w:p w14:paraId="31DC3EB8" w14:textId="77777777" w:rsidR="007C2084" w:rsidRDefault="007C2084" w:rsidP="007C2084">
      <w:pPr>
        <w:ind w:left="426" w:hanging="426"/>
        <w:jc w:val="both"/>
        <w:rPr>
          <w:rFonts w:ascii="Arial" w:hAnsi="Arial" w:cs="Arial"/>
          <w:color w:val="000000"/>
          <w:sz w:val="24"/>
          <w:szCs w:val="24"/>
        </w:rPr>
      </w:pPr>
    </w:p>
    <w:p w14:paraId="695EEE8F" w14:textId="2E4E2E62" w:rsidR="007C2084" w:rsidRDefault="002F3796" w:rsidP="007C2084">
      <w:pPr>
        <w:ind w:left="426" w:hanging="426"/>
        <w:jc w:val="both"/>
        <w:rPr>
          <w:rFonts w:ascii="Arial" w:hAnsi="Arial"/>
          <w:color w:val="000000"/>
          <w:sz w:val="24"/>
          <w:szCs w:val="24"/>
        </w:rPr>
      </w:pPr>
      <w:r>
        <w:rPr>
          <w:rFonts w:ascii="Arial" w:hAnsi="Arial" w:cs="Arial"/>
          <w:b/>
          <w:bCs/>
          <w:color w:val="000000"/>
          <w:sz w:val="24"/>
          <w:szCs w:val="24"/>
        </w:rPr>
        <w:t>8</w:t>
      </w:r>
      <w:r w:rsidR="007C2084">
        <w:rPr>
          <w:rFonts w:ascii="Arial" w:hAnsi="Arial" w:cs="Arial"/>
          <w:b/>
          <w:bCs/>
          <w:color w:val="000000"/>
          <w:sz w:val="24"/>
          <w:szCs w:val="24"/>
        </w:rPr>
        <w:t xml:space="preserve">. </w:t>
      </w:r>
      <w:r w:rsidR="007C2084">
        <w:rPr>
          <w:rFonts w:ascii="Arial" w:hAnsi="Arial" w:cs="Arial"/>
          <w:b/>
          <w:bCs/>
          <w:color w:val="000000"/>
          <w:sz w:val="24"/>
          <w:szCs w:val="24"/>
          <w:u w:val="single"/>
        </w:rPr>
        <w:t xml:space="preserve">Da Conclusão sobre a adequação da contratação para o atendimento da necessidade a que se destina </w:t>
      </w:r>
    </w:p>
    <w:p w14:paraId="79F2DC5B" w14:textId="6C8A5147" w:rsidR="007C2084" w:rsidRDefault="002F3796" w:rsidP="007C2084">
      <w:pPr>
        <w:ind w:left="426" w:hanging="426"/>
        <w:jc w:val="both"/>
        <w:rPr>
          <w:rFonts w:ascii="Arial" w:hAnsi="Arial"/>
          <w:color w:val="000000"/>
          <w:sz w:val="24"/>
          <w:szCs w:val="24"/>
        </w:rPr>
      </w:pPr>
      <w:r>
        <w:rPr>
          <w:rFonts w:ascii="Arial" w:hAnsi="Arial" w:cs="Arial"/>
          <w:color w:val="000000"/>
          <w:sz w:val="24"/>
          <w:szCs w:val="24"/>
        </w:rPr>
        <w:t>8</w:t>
      </w:r>
      <w:r w:rsidR="007C2084">
        <w:rPr>
          <w:rFonts w:ascii="Arial" w:hAnsi="Arial" w:cs="Arial"/>
          <w:color w:val="000000"/>
          <w:sz w:val="24"/>
          <w:szCs w:val="24"/>
        </w:rPr>
        <w:t xml:space="preserve">.1. A contratação </w:t>
      </w:r>
      <w:r w:rsidR="007C2084">
        <w:rPr>
          <w:rFonts w:ascii="Arial" w:hAnsi="Arial" w:cs="Arial"/>
          <w:color w:val="000000"/>
          <w:sz w:val="24"/>
          <w:szCs w:val="24"/>
          <w:shd w:val="clear" w:color="auto" w:fill="FFFFFF"/>
        </w:rPr>
        <w:t>deste serviço</w:t>
      </w:r>
      <w:r w:rsidR="007C2084">
        <w:rPr>
          <w:rFonts w:ascii="Arial" w:hAnsi="Arial" w:cs="Arial"/>
          <w:i/>
          <w:iCs/>
          <w:color w:val="000000"/>
          <w:sz w:val="24"/>
          <w:szCs w:val="24"/>
          <w:shd w:val="clear" w:color="auto" w:fill="FFFFFF"/>
        </w:rPr>
        <w:t xml:space="preserve"> </w:t>
      </w:r>
      <w:r w:rsidR="007C2084">
        <w:rPr>
          <w:rFonts w:ascii="Arial" w:hAnsi="Arial" w:cs="Arial"/>
          <w:color w:val="000000"/>
          <w:sz w:val="24"/>
          <w:szCs w:val="24"/>
        </w:rPr>
        <w:t>é uma necessidade preeminente desta Câmara Municipal, conforme justificativas constantes neste termo de referência.</w:t>
      </w:r>
    </w:p>
    <w:p w14:paraId="17787605" w14:textId="1010DBD2" w:rsidR="007C2084" w:rsidRDefault="002F3796" w:rsidP="007C2084">
      <w:pPr>
        <w:ind w:left="426" w:hanging="426"/>
        <w:jc w:val="both"/>
        <w:rPr>
          <w:rFonts w:ascii="Arial" w:hAnsi="Arial"/>
          <w:color w:val="000000"/>
          <w:sz w:val="24"/>
          <w:szCs w:val="24"/>
        </w:rPr>
      </w:pPr>
      <w:r>
        <w:rPr>
          <w:rFonts w:ascii="Arial" w:hAnsi="Arial" w:cs="Arial"/>
          <w:color w:val="000000"/>
          <w:sz w:val="24"/>
          <w:szCs w:val="24"/>
        </w:rPr>
        <w:t>8</w:t>
      </w:r>
      <w:r w:rsidR="007C2084">
        <w:rPr>
          <w:rFonts w:ascii="Arial" w:hAnsi="Arial" w:cs="Arial"/>
          <w:color w:val="000000"/>
          <w:sz w:val="24"/>
          <w:szCs w:val="24"/>
        </w:rPr>
        <w:t xml:space="preserve">.2. Com a referida contratação será possível atender </w:t>
      </w:r>
      <w:r w:rsidR="007C2084">
        <w:rPr>
          <w:rFonts w:ascii="Arial" w:hAnsi="Arial" w:cs="Arial"/>
          <w:color w:val="000000"/>
          <w:sz w:val="24"/>
          <w:szCs w:val="24"/>
          <w:shd w:val="clear" w:color="auto" w:fill="FFFFFF"/>
        </w:rPr>
        <w:t xml:space="preserve">a demanda da assessoria legislativa, bem como </w:t>
      </w:r>
      <w:r w:rsidR="00776288">
        <w:rPr>
          <w:rFonts w:ascii="Arial" w:hAnsi="Arial" w:cs="Arial"/>
          <w:color w:val="000000"/>
          <w:sz w:val="24"/>
          <w:szCs w:val="24"/>
          <w:shd w:val="clear" w:color="auto" w:fill="FFFFFF"/>
        </w:rPr>
        <w:t xml:space="preserve">suprir as necessidades </w:t>
      </w:r>
      <w:r w:rsidR="00A5067B">
        <w:rPr>
          <w:rFonts w:ascii="Arial" w:hAnsi="Arial" w:cs="Arial"/>
          <w:color w:val="000000"/>
          <w:sz w:val="24"/>
          <w:szCs w:val="24"/>
          <w:shd w:val="clear" w:color="auto" w:fill="FFFFFF"/>
        </w:rPr>
        <w:t xml:space="preserve">de </w:t>
      </w:r>
      <w:r w:rsidR="0076430D">
        <w:rPr>
          <w:rFonts w:ascii="Arial" w:hAnsi="Arial" w:cs="Arial"/>
          <w:color w:val="000000"/>
          <w:sz w:val="24"/>
          <w:szCs w:val="24"/>
          <w:shd w:val="clear" w:color="auto" w:fill="FFFFFF"/>
        </w:rPr>
        <w:t>lâmpadas de reposição</w:t>
      </w:r>
      <w:r w:rsidR="00F8254C">
        <w:rPr>
          <w:rFonts w:ascii="Arial" w:hAnsi="Arial" w:cs="Arial"/>
          <w:color w:val="000000"/>
          <w:sz w:val="24"/>
          <w:szCs w:val="24"/>
          <w:shd w:val="clear" w:color="auto" w:fill="FFFFFF"/>
        </w:rPr>
        <w:t xml:space="preserve"> durante o </w:t>
      </w:r>
      <w:r w:rsidR="0076430D">
        <w:rPr>
          <w:rFonts w:ascii="Arial" w:hAnsi="Arial" w:cs="Arial"/>
          <w:color w:val="000000"/>
          <w:sz w:val="24"/>
          <w:szCs w:val="24"/>
          <w:shd w:val="clear" w:color="auto" w:fill="FFFFFF"/>
        </w:rPr>
        <w:t>ano de 2025</w:t>
      </w:r>
      <w:r w:rsidR="00776288">
        <w:rPr>
          <w:rFonts w:ascii="Arial" w:hAnsi="Arial" w:cs="Arial"/>
          <w:color w:val="000000"/>
          <w:sz w:val="24"/>
          <w:szCs w:val="24"/>
          <w:shd w:val="clear" w:color="auto" w:fill="FFFFFF"/>
        </w:rPr>
        <w:t>.</w:t>
      </w:r>
    </w:p>
    <w:p w14:paraId="550478D0" w14:textId="3CF87F74" w:rsidR="007C2084" w:rsidRDefault="007C2084" w:rsidP="007C2084">
      <w:pPr>
        <w:ind w:left="426" w:hanging="426"/>
        <w:jc w:val="both"/>
        <w:rPr>
          <w:rFonts w:ascii="Arial" w:hAnsi="Arial" w:cs="Arial"/>
          <w:color w:val="000000"/>
          <w:sz w:val="24"/>
          <w:szCs w:val="24"/>
        </w:rPr>
      </w:pPr>
      <w:r>
        <w:rPr>
          <w:rFonts w:ascii="Arial" w:hAnsi="Arial" w:cs="Arial"/>
          <w:color w:val="000000"/>
          <w:sz w:val="24"/>
          <w:szCs w:val="24"/>
          <w:shd w:val="clear" w:color="auto" w:fill="FFFFFF"/>
        </w:rPr>
        <w:t xml:space="preserve">Chegou se ao valor de R$ </w:t>
      </w:r>
      <w:r w:rsidR="0076430D">
        <w:rPr>
          <w:rFonts w:ascii="Arial" w:hAnsi="Arial" w:cs="Arial"/>
          <w:color w:val="000000"/>
          <w:sz w:val="24"/>
          <w:szCs w:val="24"/>
          <w:shd w:val="clear" w:color="auto" w:fill="FFFFFF"/>
        </w:rPr>
        <w:t>3.839</w:t>
      </w:r>
      <w:r w:rsidR="00F8254C">
        <w:rPr>
          <w:rFonts w:ascii="Arial" w:hAnsi="Arial" w:cs="Arial"/>
          <w:color w:val="000000"/>
          <w:sz w:val="24"/>
          <w:szCs w:val="24"/>
          <w:shd w:val="clear" w:color="auto" w:fill="FFFFFF"/>
        </w:rPr>
        <w:t>,00</w:t>
      </w:r>
      <w:r>
        <w:rPr>
          <w:rFonts w:ascii="Arial" w:hAnsi="Arial" w:cs="Arial"/>
          <w:color w:val="000000"/>
          <w:sz w:val="24"/>
          <w:szCs w:val="24"/>
          <w:shd w:val="clear" w:color="auto" w:fill="FFFFFF"/>
        </w:rPr>
        <w:t xml:space="preserve"> (</w:t>
      </w:r>
      <w:r w:rsidR="0076430D">
        <w:rPr>
          <w:rFonts w:ascii="Arial" w:hAnsi="Arial" w:cs="Arial"/>
          <w:color w:val="000000"/>
          <w:sz w:val="24"/>
          <w:szCs w:val="24"/>
          <w:shd w:val="clear" w:color="auto" w:fill="FFFFFF"/>
        </w:rPr>
        <w:t>três</w:t>
      </w:r>
      <w:r w:rsidR="00F8254C">
        <w:rPr>
          <w:rFonts w:ascii="Arial" w:hAnsi="Arial" w:cs="Arial"/>
          <w:color w:val="000000"/>
          <w:sz w:val="24"/>
          <w:szCs w:val="24"/>
          <w:shd w:val="clear" w:color="auto" w:fill="FFFFFF"/>
        </w:rPr>
        <w:t xml:space="preserve"> mil, </w:t>
      </w:r>
      <w:r w:rsidR="0076430D">
        <w:rPr>
          <w:rFonts w:ascii="Arial" w:hAnsi="Arial" w:cs="Arial"/>
          <w:color w:val="000000"/>
          <w:sz w:val="24"/>
          <w:szCs w:val="24"/>
          <w:shd w:val="clear" w:color="auto" w:fill="FFFFFF"/>
        </w:rPr>
        <w:t>oitocentos e trinta e nove</w:t>
      </w:r>
      <w:r w:rsidR="00A5067B">
        <w:rPr>
          <w:rFonts w:ascii="Arial" w:hAnsi="Arial" w:cs="Arial"/>
          <w:color w:val="000000"/>
          <w:sz w:val="24"/>
          <w:szCs w:val="24"/>
          <w:shd w:val="clear" w:color="auto" w:fill="FFFFFF"/>
        </w:rPr>
        <w:t xml:space="preserve"> reais</w:t>
      </w:r>
      <w:r>
        <w:rPr>
          <w:rFonts w:ascii="Arial" w:hAnsi="Arial" w:cs="Arial"/>
          <w:color w:val="000000"/>
          <w:sz w:val="24"/>
          <w:szCs w:val="24"/>
          <w:shd w:val="clear" w:color="auto" w:fill="FFFFFF"/>
        </w:rPr>
        <w:t>) de mediana.</w:t>
      </w:r>
    </w:p>
    <w:p w14:paraId="279BAD24" w14:textId="2A6CFD3D" w:rsidR="007C2084" w:rsidRDefault="007C2084" w:rsidP="007C2084">
      <w:pPr>
        <w:ind w:left="426" w:hanging="426"/>
        <w:jc w:val="right"/>
        <w:rPr>
          <w:rFonts w:ascii="Arial" w:hAnsi="Arial"/>
          <w:color w:val="000000"/>
          <w:sz w:val="24"/>
          <w:szCs w:val="24"/>
        </w:rPr>
      </w:pPr>
      <w:r>
        <w:rPr>
          <w:rFonts w:ascii="Arial" w:hAnsi="Arial"/>
          <w:color w:val="000000"/>
          <w:sz w:val="24"/>
          <w:szCs w:val="24"/>
        </w:rPr>
        <w:t xml:space="preserve">Charqueada, </w:t>
      </w:r>
      <w:r w:rsidR="00F8254C">
        <w:rPr>
          <w:rFonts w:ascii="Arial" w:hAnsi="Arial"/>
          <w:color w:val="000000"/>
          <w:sz w:val="24"/>
          <w:szCs w:val="24"/>
        </w:rPr>
        <w:t>21</w:t>
      </w:r>
      <w:r w:rsidR="00651D14">
        <w:rPr>
          <w:rFonts w:ascii="Arial" w:hAnsi="Arial"/>
          <w:color w:val="000000"/>
          <w:sz w:val="24"/>
          <w:szCs w:val="24"/>
        </w:rPr>
        <w:t xml:space="preserve"> de março</w:t>
      </w:r>
      <w:r>
        <w:rPr>
          <w:rFonts w:ascii="Arial" w:hAnsi="Arial"/>
          <w:color w:val="000000"/>
          <w:sz w:val="24"/>
          <w:szCs w:val="24"/>
        </w:rPr>
        <w:t xml:space="preserve"> de 2025</w:t>
      </w:r>
    </w:p>
    <w:p w14:paraId="7F891A86" w14:textId="77777777" w:rsidR="007C2084" w:rsidRDefault="007C2084" w:rsidP="007C2084">
      <w:pPr>
        <w:ind w:left="426" w:hanging="426"/>
        <w:jc w:val="center"/>
        <w:rPr>
          <w:rFonts w:ascii="Arial" w:hAnsi="Arial"/>
          <w:color w:val="000000"/>
          <w:sz w:val="24"/>
          <w:szCs w:val="24"/>
        </w:rPr>
      </w:pPr>
      <w:r>
        <w:rPr>
          <w:rFonts w:ascii="Arial" w:hAnsi="Arial"/>
          <w:color w:val="000000"/>
          <w:sz w:val="24"/>
          <w:szCs w:val="24"/>
        </w:rPr>
        <w:t>______________________________</w:t>
      </w:r>
    </w:p>
    <w:p w14:paraId="49CB79FE" w14:textId="77777777" w:rsidR="007C2084" w:rsidRDefault="007C2084" w:rsidP="007C2084">
      <w:pPr>
        <w:ind w:left="426" w:hanging="426"/>
        <w:jc w:val="center"/>
        <w:rPr>
          <w:rFonts w:ascii="Arial" w:hAnsi="Arial"/>
          <w:b/>
          <w:bCs/>
          <w:color w:val="000000"/>
          <w:sz w:val="24"/>
          <w:szCs w:val="24"/>
        </w:rPr>
      </w:pPr>
      <w:r>
        <w:rPr>
          <w:rFonts w:ascii="Arial" w:hAnsi="Arial"/>
          <w:b/>
          <w:bCs/>
          <w:color w:val="000000"/>
          <w:sz w:val="24"/>
          <w:szCs w:val="24"/>
        </w:rPr>
        <w:t>ANTÔNIO FRANCISCO GONÇALVES DA FONSECA</w:t>
      </w:r>
    </w:p>
    <w:p w14:paraId="1E13F418" w14:textId="77777777" w:rsidR="007C2084" w:rsidRDefault="007C2084" w:rsidP="007C2084">
      <w:pPr>
        <w:ind w:left="426" w:hanging="426"/>
        <w:jc w:val="center"/>
        <w:rPr>
          <w:rFonts w:ascii="Arial" w:hAnsi="Arial"/>
          <w:color w:val="000000"/>
          <w:sz w:val="24"/>
          <w:szCs w:val="24"/>
        </w:rPr>
      </w:pPr>
      <w:r>
        <w:rPr>
          <w:rFonts w:ascii="Arial" w:hAnsi="Arial"/>
          <w:color w:val="000000"/>
          <w:sz w:val="24"/>
          <w:szCs w:val="24"/>
        </w:rPr>
        <w:t>Assessor Legislativo, servidor formalizador da demanda.</w:t>
      </w:r>
    </w:p>
    <w:p w14:paraId="43CDF507" w14:textId="77777777" w:rsidR="007C2084" w:rsidRDefault="007C2084" w:rsidP="007C2084">
      <w:pPr>
        <w:ind w:left="426" w:hanging="426"/>
        <w:jc w:val="center"/>
        <w:rPr>
          <w:rFonts w:ascii="Arial" w:hAnsi="Arial"/>
          <w:color w:val="000000"/>
          <w:sz w:val="24"/>
          <w:szCs w:val="24"/>
        </w:rPr>
      </w:pPr>
    </w:p>
    <w:p w14:paraId="4F3DF804" w14:textId="77777777" w:rsidR="007C2084" w:rsidRDefault="007C2084" w:rsidP="007C2084">
      <w:pPr>
        <w:ind w:left="426" w:hanging="426"/>
        <w:jc w:val="center"/>
        <w:rPr>
          <w:rFonts w:ascii="Arial" w:hAnsi="Arial"/>
          <w:color w:val="000000"/>
          <w:sz w:val="24"/>
          <w:szCs w:val="24"/>
        </w:rPr>
      </w:pPr>
    </w:p>
    <w:p w14:paraId="17608F91" w14:textId="77777777" w:rsidR="007C2084" w:rsidRDefault="007C2084" w:rsidP="007C2084">
      <w:pPr>
        <w:ind w:left="426" w:hanging="426"/>
        <w:jc w:val="center"/>
        <w:rPr>
          <w:rFonts w:ascii="Arial" w:hAnsi="Arial"/>
          <w:color w:val="000000"/>
          <w:sz w:val="24"/>
          <w:szCs w:val="24"/>
        </w:rPr>
      </w:pPr>
      <w:r>
        <w:rPr>
          <w:rFonts w:ascii="Arial" w:hAnsi="Arial"/>
          <w:color w:val="000000"/>
          <w:sz w:val="24"/>
          <w:szCs w:val="24"/>
        </w:rPr>
        <w:t>_____________________________</w:t>
      </w:r>
    </w:p>
    <w:p w14:paraId="1BB7A545" w14:textId="7FCB9B7A" w:rsidR="00C20EA8" w:rsidRPr="007C2084" w:rsidRDefault="007C2084" w:rsidP="005A41CC">
      <w:pPr>
        <w:ind w:left="426" w:hanging="426"/>
        <w:jc w:val="center"/>
      </w:pPr>
      <w:r>
        <w:rPr>
          <w:rFonts w:ascii="Arial" w:hAnsi="Arial"/>
          <w:color w:val="000000"/>
          <w:sz w:val="24"/>
          <w:szCs w:val="24"/>
        </w:rPr>
        <w:t xml:space="preserve">Eu, </w:t>
      </w:r>
      <w:r>
        <w:rPr>
          <w:rFonts w:ascii="Arial" w:hAnsi="Arial"/>
          <w:b/>
          <w:bCs/>
          <w:color w:val="000000"/>
          <w:sz w:val="24"/>
          <w:szCs w:val="24"/>
        </w:rPr>
        <w:t>FERNANDO PIVA CIARAMELLO</w:t>
      </w:r>
      <w:r>
        <w:rPr>
          <w:rFonts w:ascii="Arial" w:hAnsi="Arial"/>
          <w:color w:val="000000"/>
          <w:sz w:val="24"/>
          <w:szCs w:val="24"/>
        </w:rPr>
        <w:t>, Presidente da Câmara Municipal, autorizo que se dê prosseguimento a demanda formalizada.</w:t>
      </w:r>
    </w:p>
    <w:sectPr w:rsidR="00C20EA8" w:rsidRPr="007C2084" w:rsidSect="00FE262A">
      <w:headerReference w:type="even" r:id="rId8"/>
      <w:headerReference w:type="default" r:id="rId9"/>
      <w:footerReference w:type="even" r:id="rId10"/>
      <w:footerReference w:type="default" r:id="rId11"/>
      <w:headerReference w:type="first" r:id="rId12"/>
      <w:footerReference w:type="first" r:id="rId13"/>
      <w:pgSz w:w="11906" w:h="16838" w:code="9"/>
      <w:pgMar w:top="2495" w:right="1191" w:bottom="1021" w:left="1588" w:header="624" w:footer="62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CB53F" w14:textId="77777777" w:rsidR="00F70563" w:rsidRDefault="005D48F5">
      <w:pPr>
        <w:spacing w:after="0" w:line="240" w:lineRule="auto"/>
      </w:pPr>
      <w:r>
        <w:separator/>
      </w:r>
    </w:p>
  </w:endnote>
  <w:endnote w:type="continuationSeparator" w:id="0">
    <w:p w14:paraId="16033D1F" w14:textId="77777777" w:rsidR="00F70563" w:rsidRDefault="005D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33818" w14:textId="77777777" w:rsidR="00B0111E" w:rsidRDefault="00B0111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CB7AB" w14:textId="4D357469" w:rsidR="00C20EA8" w:rsidRDefault="005D48F5">
    <w:pPr>
      <w:pStyle w:val="Rodap"/>
      <w:pBdr>
        <w:top w:val="single" w:sz="4" w:space="1" w:color="000000"/>
      </w:pBdr>
      <w:jc w:val="center"/>
      <w:rPr>
        <w:rFonts w:ascii="Lucida Fax" w:hAnsi="Lucida Fax"/>
        <w:sz w:val="18"/>
        <w:szCs w:val="18"/>
      </w:rPr>
    </w:pPr>
    <w:r>
      <w:rPr>
        <w:rFonts w:ascii="Lucida Fax" w:hAnsi="Lucida Fax"/>
        <w:sz w:val="18"/>
        <w:szCs w:val="18"/>
      </w:rPr>
      <w:t>Avenida Ítalo Lorandi, 500 – Fone/Fax 3486-</w:t>
    </w:r>
    <w:r w:rsidR="00B0111E">
      <w:rPr>
        <w:rFonts w:ascii="Lucida Fax" w:hAnsi="Lucida Fax"/>
        <w:sz w:val="18"/>
        <w:szCs w:val="18"/>
      </w:rPr>
      <w:t>2997</w:t>
    </w:r>
    <w:r>
      <w:rPr>
        <w:rFonts w:ascii="Lucida Fax" w:hAnsi="Lucida Fax"/>
        <w:sz w:val="18"/>
        <w:szCs w:val="18"/>
      </w:rPr>
      <w:t xml:space="preserve"> – CEP 13515-000      CHARQUEADA/SP</w:t>
    </w:r>
  </w:p>
  <w:p w14:paraId="18EED7D1" w14:textId="534822FF" w:rsidR="00C20EA8" w:rsidRDefault="005D48F5">
    <w:pPr>
      <w:pStyle w:val="Rodap"/>
      <w:pBdr>
        <w:top w:val="single" w:sz="4" w:space="1" w:color="000000"/>
      </w:pBdr>
      <w:jc w:val="center"/>
      <w:rPr>
        <w:rFonts w:ascii="Lucida Fax" w:hAnsi="Lucida Fax"/>
        <w:sz w:val="18"/>
        <w:szCs w:val="18"/>
      </w:rPr>
    </w:pPr>
    <w:r>
      <w:rPr>
        <w:rFonts w:ascii="Lucida Fax" w:hAnsi="Lucida Fax"/>
        <w:sz w:val="18"/>
        <w:szCs w:val="18"/>
      </w:rPr>
      <w:t xml:space="preserve">               e-mail:  </w:t>
    </w:r>
    <w:hyperlink r:id="rId1" w:history="1">
      <w:r w:rsidR="00865A0B" w:rsidRPr="00E86394">
        <w:rPr>
          <w:rStyle w:val="Hyperlink"/>
          <w:rFonts w:ascii="Lucida Fax" w:hAnsi="Lucida Fax"/>
          <w:sz w:val="18"/>
          <w:szCs w:val="18"/>
        </w:rPr>
        <w:t>camara@camaracharqueada.sp.gov.br</w:t>
      </w:r>
    </w:hyperlink>
    <w:r>
      <w:rPr>
        <w:rFonts w:ascii="Lucida Fax" w:hAnsi="Lucida Fax"/>
        <w:sz w:val="18"/>
        <w:szCs w:val="18"/>
      </w:rPr>
      <w:t xml:space="preserve">  -     site </w:t>
    </w:r>
    <w:hyperlink r:id="rId2">
      <w:r>
        <w:rPr>
          <w:rStyle w:val="LinkdaInternet"/>
          <w:rFonts w:ascii="Lucida Fax" w:hAnsi="Lucida Fax"/>
          <w:color w:val="auto"/>
          <w:sz w:val="18"/>
          <w:szCs w:val="18"/>
          <w:u w:val="none"/>
        </w:rPr>
        <w:t>www.camaracharqueada.sp.gov.br</w:t>
      </w:r>
    </w:hyperlink>
    <w:r>
      <w:rPr>
        <w:rFonts w:ascii="Lucida Fax" w:hAnsi="Lucida Fax"/>
        <w:sz w:val="18"/>
        <w:szCs w:val="18"/>
      </w:rPr>
      <w:t xml:space="preserve">                  </w:t>
    </w:r>
    <w:r>
      <w:rPr>
        <w:rFonts w:ascii="Lucida Fax" w:hAnsi="Lucida Fax"/>
        <w:sz w:val="18"/>
        <w:szCs w:val="18"/>
      </w:rPr>
      <w:fldChar w:fldCharType="begin"/>
    </w:r>
    <w:r>
      <w:rPr>
        <w:rFonts w:ascii="Lucida Fax" w:hAnsi="Lucida Fax"/>
        <w:sz w:val="18"/>
        <w:szCs w:val="18"/>
      </w:rPr>
      <w:instrText xml:space="preserve"> PAGE </w:instrText>
    </w:r>
    <w:r>
      <w:rPr>
        <w:rFonts w:ascii="Lucida Fax" w:hAnsi="Lucida Fax"/>
        <w:sz w:val="18"/>
        <w:szCs w:val="18"/>
      </w:rPr>
      <w:fldChar w:fldCharType="separate"/>
    </w:r>
    <w:r>
      <w:rPr>
        <w:rFonts w:ascii="Lucida Fax" w:hAnsi="Lucida Fax"/>
        <w:sz w:val="18"/>
        <w:szCs w:val="18"/>
      </w:rPr>
      <w:t>6</w:t>
    </w:r>
    <w:r>
      <w:rPr>
        <w:rFonts w:ascii="Lucida Fax" w:hAnsi="Lucida Fax"/>
        <w:sz w:val="18"/>
        <w:szCs w:val="18"/>
      </w:rPr>
      <w:fldChar w:fldCharType="end"/>
    </w:r>
  </w:p>
  <w:p w14:paraId="1DDA2559" w14:textId="77777777" w:rsidR="00C20EA8" w:rsidRDefault="00C20EA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0F60E" w14:textId="77777777" w:rsidR="00B0111E" w:rsidRDefault="00B0111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BFE3D" w14:textId="77777777" w:rsidR="00F70563" w:rsidRDefault="005D48F5">
      <w:pPr>
        <w:spacing w:after="0" w:line="240" w:lineRule="auto"/>
      </w:pPr>
      <w:r>
        <w:separator/>
      </w:r>
    </w:p>
  </w:footnote>
  <w:footnote w:type="continuationSeparator" w:id="0">
    <w:p w14:paraId="36CE903A" w14:textId="77777777" w:rsidR="00F70563" w:rsidRDefault="005D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8421E" w14:textId="77777777" w:rsidR="00B0111E" w:rsidRDefault="00B0111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E0FE0" w14:textId="0C83141B" w:rsidR="00C20EA8" w:rsidRDefault="00F874B9">
    <w:pPr>
      <w:pStyle w:val="Cabealho"/>
    </w:pPr>
    <w:r>
      <w:rPr>
        <w:noProof/>
      </w:rPr>
      <w:drawing>
        <wp:anchor distT="0" distB="0" distL="114300" distR="114300" simplePos="0" relativeHeight="251666432" behindDoc="1" locked="0" layoutInCell="0" allowOverlap="1" wp14:anchorId="077C97EE" wp14:editId="332A2FE3">
          <wp:simplePos x="0" y="0"/>
          <wp:positionH relativeFrom="column">
            <wp:posOffset>-122555</wp:posOffset>
          </wp:positionH>
          <wp:positionV relativeFrom="paragraph">
            <wp:posOffset>-174625</wp:posOffset>
          </wp:positionV>
          <wp:extent cx="1038225" cy="1114425"/>
          <wp:effectExtent l="0" t="0" r="9525" b="9525"/>
          <wp:wrapSquare wrapText="bothSides"/>
          <wp:docPr id="7"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AO"/>
                  <pic:cNvPicPr>
                    <a:picLocks noChangeAspect="1" noChangeArrowheads="1"/>
                  </pic:cNvPicPr>
                </pic:nvPicPr>
                <pic:blipFill>
                  <a:blip r:embed="rId1"/>
                  <a:stretch>
                    <a:fillRect/>
                  </a:stretch>
                </pic:blipFill>
                <pic:spPr bwMode="auto">
                  <a:xfrm>
                    <a:off x="0" y="0"/>
                    <a:ext cx="1038225" cy="11144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5080" distB="5080" distL="5715" distR="4445" simplePos="0" relativeHeight="251656192" behindDoc="1" locked="0" layoutInCell="0" allowOverlap="1" wp14:anchorId="375202FF" wp14:editId="270FE397">
              <wp:simplePos x="0" y="0"/>
              <wp:positionH relativeFrom="column">
                <wp:posOffset>105410</wp:posOffset>
              </wp:positionH>
              <wp:positionV relativeFrom="paragraph">
                <wp:posOffset>-183516</wp:posOffset>
              </wp:positionV>
              <wp:extent cx="6124575" cy="1376045"/>
              <wp:effectExtent l="0" t="0" r="28575" b="14605"/>
              <wp:wrapNone/>
              <wp:docPr id="1" name="Caixa de Texto 2"/>
              <wp:cNvGraphicFramePr/>
              <a:graphic xmlns:a="http://schemas.openxmlformats.org/drawingml/2006/main">
                <a:graphicData uri="http://schemas.microsoft.com/office/word/2010/wordprocessingShape">
                  <wps:wsp>
                    <wps:cNvSpPr/>
                    <wps:spPr>
                      <a:xfrm>
                        <a:off x="0" y="0"/>
                        <a:ext cx="6124575" cy="1376045"/>
                      </a:xfrm>
                      <a:prstGeom prst="rect">
                        <a:avLst/>
                      </a:prstGeom>
                      <a:solidFill>
                        <a:srgbClr val="FFFFFF"/>
                      </a:solidFill>
                      <a:ln w="9525">
                        <a:solidFill>
                          <a:srgbClr val="FFFFFF"/>
                        </a:solidFill>
                        <a:miter/>
                      </a:ln>
                    </wps:spPr>
                    <wps:style>
                      <a:lnRef idx="0">
                        <a:scrgbClr r="0" g="0" b="0"/>
                      </a:lnRef>
                      <a:fillRef idx="0">
                        <a:scrgbClr r="0" g="0" b="0"/>
                      </a:fillRef>
                      <a:effectRef idx="0">
                        <a:scrgbClr r="0" g="0" b="0"/>
                      </a:effectRef>
                      <a:fontRef idx="minor"/>
                    </wps:style>
                    <wps:txbx>
                      <w:txbxContent>
                        <w:p w14:paraId="2FF7D430" w14:textId="77777777" w:rsidR="00C20EA8" w:rsidRDefault="005D48F5">
                          <w:pPr>
                            <w:pStyle w:val="Contedodoquadro"/>
                            <w:spacing w:before="120" w:after="120" w:line="400" w:lineRule="exact"/>
                            <w:jc w:val="center"/>
                            <w:rPr>
                              <w:rFonts w:ascii="Arial" w:hAnsi="Arial" w:cs="Arial"/>
                              <w:b/>
                              <w:sz w:val="32"/>
                              <w:szCs w:val="36"/>
                            </w:rPr>
                          </w:pPr>
                          <w:r>
                            <w:rPr>
                              <w:rFonts w:ascii="Arial" w:hAnsi="Arial" w:cs="Arial"/>
                              <w:b/>
                              <w:color w:val="000000"/>
                              <w:sz w:val="32"/>
                              <w:szCs w:val="36"/>
                            </w:rPr>
                            <w:t>CÂMARA DO MUNICÍPIO DE CHARQUEADA</w:t>
                          </w:r>
                        </w:p>
                        <w:p w14:paraId="5193FA98" w14:textId="77777777" w:rsidR="00C20EA8" w:rsidRDefault="005D48F5">
                          <w:pPr>
                            <w:pStyle w:val="Contedodoquadro"/>
                            <w:spacing w:before="120" w:after="120" w:line="400" w:lineRule="exact"/>
                            <w:jc w:val="center"/>
                            <w:rPr>
                              <w:rFonts w:ascii="Arial" w:hAnsi="Arial" w:cs="Arial"/>
                              <w:b/>
                              <w:sz w:val="28"/>
                              <w:szCs w:val="32"/>
                            </w:rPr>
                          </w:pPr>
                          <w:r>
                            <w:rPr>
                              <w:rFonts w:ascii="Arial" w:hAnsi="Arial" w:cs="Arial"/>
                              <w:b/>
                              <w:color w:val="000000"/>
                              <w:sz w:val="28"/>
                              <w:szCs w:val="32"/>
                            </w:rPr>
                            <w:t>Estado de São Paulo</w:t>
                          </w:r>
                        </w:p>
                        <w:p w14:paraId="35018C29" w14:textId="09C09850" w:rsidR="00C20EA8" w:rsidRDefault="005D48F5" w:rsidP="00FE262A">
                          <w:pPr>
                            <w:pStyle w:val="Contedodoquadro"/>
                            <w:pBdr>
                              <w:bottom w:val="single" w:sz="12" w:space="6" w:color="000000"/>
                            </w:pBdr>
                            <w:spacing w:before="120" w:after="120" w:line="400" w:lineRule="exact"/>
                            <w:jc w:val="center"/>
                            <w:rPr>
                              <w:rFonts w:ascii="Arial" w:hAnsi="Arial" w:cs="Arial"/>
                              <w:color w:val="000000"/>
                            </w:rPr>
                          </w:pPr>
                          <w:r>
                            <w:rPr>
                              <w:rFonts w:ascii="Arial" w:hAnsi="Arial" w:cs="Arial"/>
                              <w:color w:val="000000"/>
                            </w:rPr>
                            <w:t>CNPJ 01.044.179/0001-41</w:t>
                          </w:r>
                        </w:p>
                        <w:p w14:paraId="176ACCCD" w14:textId="77777777" w:rsidR="00C20EA8" w:rsidRDefault="00C20EA8">
                          <w:pPr>
                            <w:pStyle w:val="Contedodoquadro"/>
                            <w:spacing w:before="240" w:after="240" w:line="400" w:lineRule="exact"/>
                            <w:jc w:val="center"/>
                            <w:rPr>
                              <w:rFonts w:ascii="Arial" w:hAnsi="Arial" w:cs="Arial"/>
                            </w:rPr>
                          </w:pPr>
                        </w:p>
                      </w:txbxContent>
                    </wps:txbx>
                    <wps:bodyPr wrap="square" anchor="t" upright="1">
                      <a:noAutofit/>
                    </wps:bodyPr>
                  </wps:wsp>
                </a:graphicData>
              </a:graphic>
              <wp14:sizeRelV relativeFrom="margin">
                <wp14:pctHeight>0</wp14:pctHeight>
              </wp14:sizeRelV>
            </wp:anchor>
          </w:drawing>
        </mc:Choice>
        <mc:Fallback>
          <w:pict>
            <v:rect w14:anchorId="375202FF" id="Caixa de Texto 2" o:spid="_x0000_s1026" style="position:absolute;margin-left:8.3pt;margin-top:-14.45pt;width:482.25pt;height:108.35pt;z-index:-251660288;visibility:visible;mso-wrap-style:square;mso-height-percent:0;mso-wrap-distance-left:.45pt;mso-wrap-distance-top:.4pt;mso-wrap-distance-right:.35pt;mso-wrap-distance-bottom:.4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" o:allowincell="f" strokecolor="white">
              <v:textbox>
                <w:txbxContent>
                  <w:p w14:paraId="2FF7D430" w14:textId="77777777" w:rsidR="00C20EA8" w:rsidRDefault="005D48F5">
                    <w:pPr>
                      <w:pStyle w:val="Contedodoquadro"/>
                      <w:spacing w:before="120" w:after="120" w:line="400" w:lineRule="exact"/>
                      <w:jc w:val="center"/>
                      <w:rPr>
                        <w:rFonts w:ascii="Arial" w:hAnsi="Arial" w:cs="Arial"/>
                        <w:b/>
                        <w:sz w:val="32"/>
                        <w:szCs w:val="36"/>
                      </w:rPr>
                    </w:pPr>
                    <w:r>
                      <w:rPr>
                        <w:rFonts w:ascii="Arial" w:hAnsi="Arial" w:cs="Arial"/>
                        <w:b/>
                        <w:color w:val="000000"/>
                        <w:sz w:val="32"/>
                        <w:szCs w:val="36"/>
                      </w:rPr>
                      <w:t>CÂMARA DO MUNICÍPIO DE CHARQUEADA</w:t>
                    </w:r>
                  </w:p>
                  <w:p w14:paraId="5193FA98" w14:textId="77777777" w:rsidR="00C20EA8" w:rsidRDefault="005D48F5">
                    <w:pPr>
                      <w:pStyle w:val="Contedodoquadro"/>
                      <w:spacing w:before="120" w:after="120" w:line="400" w:lineRule="exact"/>
                      <w:jc w:val="center"/>
                      <w:rPr>
                        <w:rFonts w:ascii="Arial" w:hAnsi="Arial" w:cs="Arial"/>
                        <w:b/>
                        <w:sz w:val="28"/>
                        <w:szCs w:val="32"/>
                      </w:rPr>
                    </w:pPr>
                    <w:r>
                      <w:rPr>
                        <w:rFonts w:ascii="Arial" w:hAnsi="Arial" w:cs="Arial"/>
                        <w:b/>
                        <w:color w:val="000000"/>
                        <w:sz w:val="28"/>
                        <w:szCs w:val="32"/>
                      </w:rPr>
                      <w:t>Estado de São Paulo</w:t>
                    </w:r>
                  </w:p>
                  <w:p w14:paraId="35018C29" w14:textId="09C09850" w:rsidR="00C20EA8" w:rsidRDefault="005D48F5" w:rsidP="00FE262A">
                    <w:pPr>
                      <w:pStyle w:val="Contedodoquadro"/>
                      <w:pBdr>
                        <w:bottom w:val="single" w:sz="12" w:space="6" w:color="000000"/>
                      </w:pBdr>
                      <w:spacing w:before="120" w:after="120" w:line="400" w:lineRule="exact"/>
                      <w:jc w:val="center"/>
                      <w:rPr>
                        <w:rFonts w:ascii="Arial" w:hAnsi="Arial" w:cs="Arial"/>
                        <w:color w:val="000000"/>
                      </w:rPr>
                    </w:pPr>
                    <w:r>
                      <w:rPr>
                        <w:rFonts w:ascii="Arial" w:hAnsi="Arial" w:cs="Arial"/>
                        <w:color w:val="000000"/>
                      </w:rPr>
                      <w:t>CNPJ 01.044.179/0001-41</w:t>
                    </w:r>
                  </w:p>
                  <w:p w14:paraId="176ACCCD" w14:textId="77777777" w:rsidR="00C20EA8" w:rsidRDefault="00C20EA8">
                    <w:pPr>
                      <w:pStyle w:val="Contedodoquadro"/>
                      <w:spacing w:before="240" w:after="240" w:line="400" w:lineRule="exact"/>
                      <w:jc w:val="center"/>
                      <w:rPr>
                        <w:rFonts w:ascii="Arial" w:hAnsi="Arial" w:cs="Arial"/>
                      </w:rP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48057" w14:textId="77777777" w:rsidR="00B0111E" w:rsidRDefault="00B01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DD10B8"/>
    <w:multiLevelType w:val="multilevel"/>
    <w:tmpl w:val="09CE8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5F567D"/>
    <w:multiLevelType w:val="multilevel"/>
    <w:tmpl w:val="9F88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191408"/>
    <w:multiLevelType w:val="multilevel"/>
    <w:tmpl w:val="5DC4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921FE1"/>
    <w:multiLevelType w:val="multilevel"/>
    <w:tmpl w:val="8872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B009CC"/>
    <w:multiLevelType w:val="multilevel"/>
    <w:tmpl w:val="F600D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7E4038"/>
    <w:multiLevelType w:val="multilevel"/>
    <w:tmpl w:val="D250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4B6CB9"/>
    <w:multiLevelType w:val="multilevel"/>
    <w:tmpl w:val="7D4A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9B5455"/>
    <w:multiLevelType w:val="multilevel"/>
    <w:tmpl w:val="33A6D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3F1013"/>
    <w:multiLevelType w:val="multilevel"/>
    <w:tmpl w:val="9F9E1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8F4279"/>
    <w:multiLevelType w:val="multilevel"/>
    <w:tmpl w:val="B1721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460A45"/>
    <w:multiLevelType w:val="multilevel"/>
    <w:tmpl w:val="537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6"/>
  </w:num>
  <w:num w:numId="4">
    <w:abstractNumId w:val="0"/>
  </w:num>
  <w:num w:numId="5">
    <w:abstractNumId w:val="2"/>
  </w:num>
  <w:num w:numId="6">
    <w:abstractNumId w:val="10"/>
  </w:num>
  <w:num w:numId="7">
    <w:abstractNumId w:val="3"/>
  </w:num>
  <w:num w:numId="8">
    <w:abstractNumId w:val="9"/>
  </w:num>
  <w:num w:numId="9">
    <w:abstractNumId w:val="7"/>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autoHyphenation/>
  <w:hyphenationZone w:val="425"/>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EA8"/>
    <w:rsid w:val="00153D28"/>
    <w:rsid w:val="0022628F"/>
    <w:rsid w:val="002C6ADF"/>
    <w:rsid w:val="002E4D19"/>
    <w:rsid w:val="002F3796"/>
    <w:rsid w:val="00300C19"/>
    <w:rsid w:val="00385FB7"/>
    <w:rsid w:val="003B7695"/>
    <w:rsid w:val="00450F74"/>
    <w:rsid w:val="004D037E"/>
    <w:rsid w:val="004F0056"/>
    <w:rsid w:val="00503090"/>
    <w:rsid w:val="0050625E"/>
    <w:rsid w:val="005108EE"/>
    <w:rsid w:val="005A41CC"/>
    <w:rsid w:val="005D48F5"/>
    <w:rsid w:val="005E3D75"/>
    <w:rsid w:val="006405FC"/>
    <w:rsid w:val="00651D14"/>
    <w:rsid w:val="006D799F"/>
    <w:rsid w:val="0073715E"/>
    <w:rsid w:val="00746C8A"/>
    <w:rsid w:val="0076155C"/>
    <w:rsid w:val="0076430D"/>
    <w:rsid w:val="00776288"/>
    <w:rsid w:val="007C2084"/>
    <w:rsid w:val="00865A0B"/>
    <w:rsid w:val="008A50A9"/>
    <w:rsid w:val="009100E1"/>
    <w:rsid w:val="0092413D"/>
    <w:rsid w:val="00952689"/>
    <w:rsid w:val="00A36BD3"/>
    <w:rsid w:val="00A5067B"/>
    <w:rsid w:val="00A967C9"/>
    <w:rsid w:val="00AB7373"/>
    <w:rsid w:val="00AD098D"/>
    <w:rsid w:val="00B0111E"/>
    <w:rsid w:val="00B20115"/>
    <w:rsid w:val="00BC11CE"/>
    <w:rsid w:val="00C0623D"/>
    <w:rsid w:val="00C20EA8"/>
    <w:rsid w:val="00C47B43"/>
    <w:rsid w:val="00CC37D3"/>
    <w:rsid w:val="00DC2133"/>
    <w:rsid w:val="00DE2D8A"/>
    <w:rsid w:val="00E00730"/>
    <w:rsid w:val="00E61264"/>
    <w:rsid w:val="00F03634"/>
    <w:rsid w:val="00F452B8"/>
    <w:rsid w:val="00F70563"/>
    <w:rsid w:val="00F8254C"/>
    <w:rsid w:val="00F874B9"/>
    <w:rsid w:val="00F94864"/>
    <w:rsid w:val="00FC76B7"/>
    <w:rsid w:val="00FE262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138EB6C"/>
  <w15:docId w15:val="{A8162D50-DF8F-48FF-9CE5-BBA4E0A4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C18"/>
    <w:pPr>
      <w:spacing w:after="200" w:line="276" w:lineRule="auto"/>
    </w:pPr>
  </w:style>
  <w:style w:type="paragraph" w:styleId="Ttulo1">
    <w:name w:val="heading 1"/>
    <w:basedOn w:val="Normal"/>
    <w:next w:val="Normal"/>
    <w:link w:val="Ttulo1Char"/>
    <w:qFormat/>
    <w:rsid w:val="009E00DA"/>
    <w:pPr>
      <w:keepNext/>
      <w:spacing w:after="0" w:line="240" w:lineRule="auto"/>
      <w:jc w:val="both"/>
      <w:outlineLvl w:val="0"/>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basedOn w:val="Fontepargpadro"/>
    <w:uiPriority w:val="20"/>
    <w:qFormat/>
    <w:rsid w:val="008523E3"/>
    <w:rPr>
      <w:i/>
      <w:iCs/>
    </w:rPr>
  </w:style>
  <w:style w:type="character" w:styleId="Forte">
    <w:name w:val="Strong"/>
    <w:basedOn w:val="Fontepargpadro"/>
    <w:uiPriority w:val="22"/>
    <w:qFormat/>
    <w:rsid w:val="008523E3"/>
    <w:rPr>
      <w:b/>
      <w:bCs/>
    </w:rPr>
  </w:style>
  <w:style w:type="character" w:customStyle="1" w:styleId="apple-converted-space">
    <w:name w:val="apple-converted-space"/>
    <w:basedOn w:val="Fontepargpadro"/>
    <w:qFormat/>
    <w:rsid w:val="008523E3"/>
  </w:style>
  <w:style w:type="character" w:customStyle="1" w:styleId="Recuodecorpodetexto3Char">
    <w:name w:val="Recuo de corpo de texto 3 Char"/>
    <w:basedOn w:val="Fontepargpadro"/>
    <w:link w:val="Recuodecorpodetexto3"/>
    <w:qFormat/>
    <w:rsid w:val="00FF494D"/>
    <w:rPr>
      <w:rFonts w:ascii="Goudy Old Style" w:eastAsia="Times New Roman" w:hAnsi="Goudy Old Style" w:cs="Times New Roman"/>
      <w:sz w:val="28"/>
      <w:szCs w:val="20"/>
    </w:rPr>
  </w:style>
  <w:style w:type="character" w:customStyle="1" w:styleId="LinkdaInternet">
    <w:name w:val="Link da Internet"/>
    <w:basedOn w:val="Fontepargpadro"/>
    <w:uiPriority w:val="99"/>
    <w:unhideWhenUsed/>
    <w:rsid w:val="00BF3EA9"/>
    <w:rPr>
      <w:color w:val="0000FF"/>
      <w:u w:val="single"/>
    </w:rPr>
  </w:style>
  <w:style w:type="character" w:customStyle="1" w:styleId="RecuodecorpodetextoChar">
    <w:name w:val="Recuo de corpo de texto Char"/>
    <w:basedOn w:val="Fontepargpadro"/>
    <w:link w:val="Recuodecorpodetexto"/>
    <w:uiPriority w:val="99"/>
    <w:qFormat/>
    <w:rsid w:val="00332F77"/>
  </w:style>
  <w:style w:type="character" w:customStyle="1" w:styleId="CabealhoChar">
    <w:name w:val="Cabeçalho Char"/>
    <w:basedOn w:val="Fontepargpadro"/>
    <w:link w:val="Cabealho"/>
    <w:uiPriority w:val="99"/>
    <w:qFormat/>
    <w:rsid w:val="0078622C"/>
  </w:style>
  <w:style w:type="character" w:customStyle="1" w:styleId="RodapChar">
    <w:name w:val="Rodapé Char"/>
    <w:basedOn w:val="Fontepargpadro"/>
    <w:link w:val="Rodap"/>
    <w:uiPriority w:val="99"/>
    <w:qFormat/>
    <w:rsid w:val="0078622C"/>
  </w:style>
  <w:style w:type="character" w:customStyle="1" w:styleId="TextodenotaderodapChar">
    <w:name w:val="Texto de nota de rodapé Char"/>
    <w:basedOn w:val="Fontepargpadro"/>
    <w:link w:val="Textodenotaderodap"/>
    <w:uiPriority w:val="99"/>
    <w:semiHidden/>
    <w:qFormat/>
    <w:rsid w:val="00413DCD"/>
    <w:rPr>
      <w:sz w:val="20"/>
      <w:szCs w:val="20"/>
    </w:rPr>
  </w:style>
  <w:style w:type="character" w:customStyle="1" w:styleId="ncoradanotaderodap">
    <w:name w:val="Âncora da nota de rodapé"/>
    <w:rPr>
      <w:vertAlign w:val="superscript"/>
    </w:rPr>
  </w:style>
  <w:style w:type="character" w:customStyle="1" w:styleId="FootnoteCharacters">
    <w:name w:val="Footnote Characters"/>
    <w:basedOn w:val="Fontepargpadro"/>
    <w:uiPriority w:val="99"/>
    <w:semiHidden/>
    <w:unhideWhenUsed/>
    <w:qFormat/>
    <w:rsid w:val="00413DCD"/>
    <w:rPr>
      <w:vertAlign w:val="superscript"/>
    </w:rPr>
  </w:style>
  <w:style w:type="character" w:customStyle="1" w:styleId="Ttulo1Char">
    <w:name w:val="Título 1 Char"/>
    <w:basedOn w:val="Fontepargpadro"/>
    <w:link w:val="Ttulo1"/>
    <w:qFormat/>
    <w:rsid w:val="009E00DA"/>
    <w:rPr>
      <w:rFonts w:ascii="Times New Roman" w:eastAsia="Times New Roman" w:hAnsi="Times New Roman" w:cs="Times New Roman"/>
      <w:sz w:val="24"/>
      <w:szCs w:val="20"/>
    </w:rPr>
  </w:style>
  <w:style w:type="character" w:customStyle="1" w:styleId="TextodenotadefimChar">
    <w:name w:val="Texto de nota de fim Char"/>
    <w:basedOn w:val="Fontepargpadro"/>
    <w:link w:val="Textodenotadefim"/>
    <w:uiPriority w:val="99"/>
    <w:semiHidden/>
    <w:qFormat/>
    <w:rsid w:val="00E80AB8"/>
    <w:rPr>
      <w:sz w:val="20"/>
      <w:szCs w:val="20"/>
    </w:rPr>
  </w:style>
  <w:style w:type="character" w:customStyle="1" w:styleId="ncoradanotadefim">
    <w:name w:val="Âncora da nota de fim"/>
    <w:rPr>
      <w:vertAlign w:val="superscript"/>
    </w:rPr>
  </w:style>
  <w:style w:type="character" w:customStyle="1" w:styleId="EndnoteCharacters">
    <w:name w:val="Endnote Characters"/>
    <w:basedOn w:val="Fontepargpadro"/>
    <w:uiPriority w:val="99"/>
    <w:semiHidden/>
    <w:unhideWhenUsed/>
    <w:qFormat/>
    <w:rsid w:val="00E80AB8"/>
    <w:rPr>
      <w:vertAlign w:val="superscript"/>
    </w:rPr>
  </w:style>
  <w:style w:type="character" w:customStyle="1" w:styleId="CorpodetextoChar">
    <w:name w:val="Corpo de texto Char"/>
    <w:basedOn w:val="Fontepargpadro"/>
    <w:link w:val="Corpodetexto"/>
    <w:uiPriority w:val="99"/>
    <w:semiHidden/>
    <w:qFormat/>
    <w:rsid w:val="00162D67"/>
  </w:style>
  <w:style w:type="character" w:customStyle="1" w:styleId="Pr-formataoHTMLChar">
    <w:name w:val="Pré-formatação HTML Char"/>
    <w:basedOn w:val="Fontepargpadro"/>
    <w:link w:val="Pr-formataoHTML"/>
    <w:uiPriority w:val="99"/>
    <w:semiHidden/>
    <w:qFormat/>
    <w:rsid w:val="00A417EA"/>
    <w:rPr>
      <w:rFonts w:ascii="Courier New" w:eastAsia="Times New Roman" w:hAnsi="Courier New" w:cs="Courier New"/>
      <w:sz w:val="20"/>
      <w:szCs w:val="20"/>
    </w:rPr>
  </w:style>
  <w:style w:type="character" w:customStyle="1" w:styleId="TextodebaloChar">
    <w:name w:val="Texto de balão Char"/>
    <w:basedOn w:val="Fontepargpadro"/>
    <w:link w:val="Textodebalo"/>
    <w:uiPriority w:val="99"/>
    <w:semiHidden/>
    <w:qFormat/>
    <w:rsid w:val="001C27A4"/>
    <w:rPr>
      <w:rFonts w:ascii="Tahoma" w:hAnsi="Tahoma" w:cs="Tahoma"/>
      <w:sz w:val="16"/>
      <w:szCs w:val="16"/>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semiHidden/>
    <w:unhideWhenUsed/>
    <w:rsid w:val="00162D67"/>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D1186B"/>
    <w:pPr>
      <w:ind w:left="720"/>
      <w:contextualSpacing/>
    </w:pPr>
    <w:rPr>
      <w:rFonts w:eastAsiaTheme="minorHAnsi"/>
      <w:lang w:eastAsia="en-US"/>
    </w:rPr>
  </w:style>
  <w:style w:type="paragraph" w:styleId="NormalWeb">
    <w:name w:val="Normal (Web)"/>
    <w:basedOn w:val="Normal"/>
    <w:uiPriority w:val="99"/>
    <w:unhideWhenUsed/>
    <w:qFormat/>
    <w:rsid w:val="008523E3"/>
    <w:pPr>
      <w:spacing w:beforeAutospacing="1" w:afterAutospacing="1" w:line="240" w:lineRule="auto"/>
    </w:pPr>
    <w:rPr>
      <w:rFonts w:ascii="Times New Roman" w:eastAsia="Times New Roman" w:hAnsi="Times New Roman" w:cs="Times New Roman"/>
      <w:sz w:val="24"/>
      <w:szCs w:val="24"/>
    </w:rPr>
  </w:style>
  <w:style w:type="paragraph" w:styleId="Recuodecorpodetexto3">
    <w:name w:val="Body Text Indent 3"/>
    <w:basedOn w:val="Normal"/>
    <w:link w:val="Recuodecorpodetexto3Char"/>
    <w:qFormat/>
    <w:rsid w:val="00FF494D"/>
    <w:pPr>
      <w:spacing w:after="0" w:line="120" w:lineRule="atLeast"/>
      <w:ind w:firstLine="851"/>
      <w:jc w:val="both"/>
    </w:pPr>
    <w:rPr>
      <w:rFonts w:ascii="Goudy Old Style" w:eastAsia="Times New Roman" w:hAnsi="Goudy Old Style" w:cs="Times New Roman"/>
      <w:sz w:val="28"/>
      <w:szCs w:val="20"/>
    </w:rPr>
  </w:style>
  <w:style w:type="paragraph" w:styleId="Recuodecorpodetexto">
    <w:name w:val="Body Text Indent"/>
    <w:basedOn w:val="Normal"/>
    <w:link w:val="RecuodecorpodetextoChar"/>
    <w:uiPriority w:val="99"/>
    <w:unhideWhenUsed/>
    <w:rsid w:val="00332F77"/>
    <w:pPr>
      <w:spacing w:after="120"/>
      <w:ind w:left="283"/>
    </w:p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78622C"/>
    <w:pPr>
      <w:tabs>
        <w:tab w:val="center" w:pos="4252"/>
        <w:tab w:val="right" w:pos="8504"/>
      </w:tabs>
      <w:spacing w:after="0" w:line="240" w:lineRule="auto"/>
    </w:pPr>
  </w:style>
  <w:style w:type="paragraph" w:styleId="Rodap">
    <w:name w:val="footer"/>
    <w:basedOn w:val="Normal"/>
    <w:link w:val="RodapChar"/>
    <w:uiPriority w:val="99"/>
    <w:unhideWhenUsed/>
    <w:rsid w:val="0078622C"/>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rsid w:val="00413DCD"/>
    <w:pPr>
      <w:spacing w:after="0" w:line="240" w:lineRule="auto"/>
    </w:pPr>
    <w:rPr>
      <w:sz w:val="20"/>
      <w:szCs w:val="20"/>
    </w:rPr>
  </w:style>
  <w:style w:type="paragraph" w:customStyle="1" w:styleId="voto">
    <w:name w:val="voto"/>
    <w:basedOn w:val="Normal"/>
    <w:qFormat/>
    <w:rsid w:val="00413DCD"/>
    <w:pPr>
      <w:tabs>
        <w:tab w:val="left" w:pos="2268"/>
      </w:tabs>
      <w:spacing w:after="0" w:line="240" w:lineRule="auto"/>
    </w:pPr>
    <w:rPr>
      <w:rFonts w:ascii="Book Antiqua" w:eastAsia="Times New Roman" w:hAnsi="Book Antiqua" w:cs="Times New Roman"/>
      <w:sz w:val="24"/>
      <w:szCs w:val="20"/>
    </w:rPr>
  </w:style>
  <w:style w:type="paragraph" w:customStyle="1" w:styleId="cab">
    <w:name w:val="cab"/>
    <w:basedOn w:val="Normal"/>
    <w:qFormat/>
    <w:rsid w:val="007931FF"/>
    <w:pPr>
      <w:spacing w:beforeAutospacing="1" w:afterAutospacing="1" w:line="240" w:lineRule="auto"/>
    </w:pPr>
    <w:rPr>
      <w:rFonts w:ascii="Times New Roman" w:eastAsia="Times New Roman" w:hAnsi="Times New Roman" w:cs="Times New Roman"/>
      <w:sz w:val="24"/>
      <w:szCs w:val="24"/>
    </w:rPr>
  </w:style>
  <w:style w:type="paragraph" w:customStyle="1" w:styleId="par">
    <w:name w:val="par"/>
    <w:basedOn w:val="Normal"/>
    <w:qFormat/>
    <w:rsid w:val="007931FF"/>
    <w:pPr>
      <w:spacing w:beforeAutospacing="1" w:afterAutospacing="1" w:line="240" w:lineRule="auto"/>
    </w:pPr>
    <w:rPr>
      <w:rFonts w:ascii="Times New Roman" w:eastAsia="Times New Roman" w:hAnsi="Times New Roman" w:cs="Times New Roman"/>
      <w:sz w:val="24"/>
      <w:szCs w:val="24"/>
    </w:rPr>
  </w:style>
  <w:style w:type="paragraph" w:customStyle="1" w:styleId="Default">
    <w:name w:val="Default"/>
    <w:qFormat/>
    <w:rsid w:val="00B27F83"/>
    <w:rPr>
      <w:rFonts w:ascii="Courier New" w:hAnsi="Courier New" w:cs="Courier New"/>
      <w:color w:val="000000"/>
      <w:sz w:val="24"/>
      <w:szCs w:val="24"/>
    </w:rPr>
  </w:style>
  <w:style w:type="paragraph" w:styleId="Textodenotadefim">
    <w:name w:val="endnote text"/>
    <w:basedOn w:val="Normal"/>
    <w:link w:val="TextodenotadefimChar"/>
    <w:uiPriority w:val="99"/>
    <w:semiHidden/>
    <w:unhideWhenUsed/>
    <w:rsid w:val="00E80AB8"/>
    <w:pPr>
      <w:spacing w:after="0" w:line="240" w:lineRule="auto"/>
    </w:pPr>
    <w:rPr>
      <w:sz w:val="20"/>
      <w:szCs w:val="20"/>
    </w:rPr>
  </w:style>
  <w:style w:type="paragraph" w:styleId="Pr-formataoHTML">
    <w:name w:val="HTML Preformatted"/>
    <w:basedOn w:val="Normal"/>
    <w:link w:val="Pr-formataoHTMLChar"/>
    <w:uiPriority w:val="99"/>
    <w:semiHidden/>
    <w:unhideWhenUsed/>
    <w:qFormat/>
    <w:rsid w:val="00A41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Textodebalo">
    <w:name w:val="Balloon Text"/>
    <w:basedOn w:val="Normal"/>
    <w:link w:val="TextodebaloChar"/>
    <w:uiPriority w:val="99"/>
    <w:semiHidden/>
    <w:unhideWhenUsed/>
    <w:qFormat/>
    <w:rsid w:val="001C27A4"/>
    <w:pPr>
      <w:spacing w:after="0" w:line="240" w:lineRule="auto"/>
    </w:pPr>
    <w:rPr>
      <w:rFonts w:ascii="Tahoma" w:hAnsi="Tahoma" w:cs="Tahoma"/>
      <w:sz w:val="16"/>
      <w:szCs w:val="16"/>
    </w:rPr>
  </w:style>
  <w:style w:type="paragraph" w:customStyle="1" w:styleId="Contedodoquadro">
    <w:name w:val="Conteúdo do quadro"/>
    <w:basedOn w:val="Normal"/>
    <w:qFormat/>
  </w:style>
  <w:style w:type="character" w:styleId="Hyperlink">
    <w:name w:val="Hyperlink"/>
    <w:basedOn w:val="Fontepargpadro"/>
    <w:uiPriority w:val="99"/>
    <w:unhideWhenUsed/>
    <w:rsid w:val="00B0111E"/>
    <w:rPr>
      <w:color w:val="0000FF" w:themeColor="hyperlink"/>
      <w:u w:val="single"/>
    </w:rPr>
  </w:style>
  <w:style w:type="character" w:styleId="MenoPendente">
    <w:name w:val="Unresolved Mention"/>
    <w:basedOn w:val="Fontepargpadro"/>
    <w:uiPriority w:val="99"/>
    <w:semiHidden/>
    <w:unhideWhenUsed/>
    <w:rsid w:val="00B0111E"/>
    <w:rPr>
      <w:color w:val="605E5C"/>
      <w:shd w:val="clear" w:color="auto" w:fill="E1DFDD"/>
    </w:rPr>
  </w:style>
  <w:style w:type="paragraph" w:customStyle="1" w:styleId="Recuodecorpodetexto31">
    <w:name w:val="Recuo de corpo de texto 31"/>
    <w:basedOn w:val="Normal"/>
    <w:qFormat/>
    <w:rsid w:val="004D037E"/>
    <w:pPr>
      <w:keepLines/>
      <w:spacing w:after="0" w:line="240" w:lineRule="auto"/>
      <w:ind w:firstLine="709"/>
      <w:jc w:val="both"/>
    </w:pPr>
    <w:rPr>
      <w:rFonts w:ascii="Times New Roman" w:eastAsia="Times New Roman" w:hAnsi="Times New Roman" w:cs="Times New Roman"/>
      <w:b/>
      <w:sz w:val="24"/>
      <w:szCs w:val="20"/>
      <w:lang w:eastAsia="en-US"/>
    </w:rPr>
  </w:style>
  <w:style w:type="table" w:styleId="Tabelacomgrade">
    <w:name w:val="Table Grid"/>
    <w:basedOn w:val="Tabelanormal"/>
    <w:uiPriority w:val="59"/>
    <w:rsid w:val="00F452B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rsid w:val="00F94864"/>
    <w:pPr>
      <w:widowControl w:val="0"/>
      <w:suppressLineNumbers/>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8780">
      <w:bodyDiv w:val="1"/>
      <w:marLeft w:val="0"/>
      <w:marRight w:val="0"/>
      <w:marTop w:val="0"/>
      <w:marBottom w:val="0"/>
      <w:divBdr>
        <w:top w:val="none" w:sz="0" w:space="0" w:color="auto"/>
        <w:left w:val="none" w:sz="0" w:space="0" w:color="auto"/>
        <w:bottom w:val="none" w:sz="0" w:space="0" w:color="auto"/>
        <w:right w:val="none" w:sz="0" w:space="0" w:color="auto"/>
      </w:divBdr>
    </w:div>
    <w:div w:id="492377439">
      <w:bodyDiv w:val="1"/>
      <w:marLeft w:val="0"/>
      <w:marRight w:val="0"/>
      <w:marTop w:val="0"/>
      <w:marBottom w:val="0"/>
      <w:divBdr>
        <w:top w:val="none" w:sz="0" w:space="0" w:color="auto"/>
        <w:left w:val="none" w:sz="0" w:space="0" w:color="auto"/>
        <w:bottom w:val="none" w:sz="0" w:space="0" w:color="auto"/>
        <w:right w:val="none" w:sz="0" w:space="0" w:color="auto"/>
      </w:divBdr>
    </w:div>
    <w:div w:id="515769528">
      <w:bodyDiv w:val="1"/>
      <w:marLeft w:val="0"/>
      <w:marRight w:val="0"/>
      <w:marTop w:val="0"/>
      <w:marBottom w:val="0"/>
      <w:divBdr>
        <w:top w:val="none" w:sz="0" w:space="0" w:color="auto"/>
        <w:left w:val="none" w:sz="0" w:space="0" w:color="auto"/>
        <w:bottom w:val="none" w:sz="0" w:space="0" w:color="auto"/>
        <w:right w:val="none" w:sz="0" w:space="0" w:color="auto"/>
      </w:divBdr>
    </w:div>
    <w:div w:id="841434532">
      <w:bodyDiv w:val="1"/>
      <w:marLeft w:val="0"/>
      <w:marRight w:val="0"/>
      <w:marTop w:val="0"/>
      <w:marBottom w:val="0"/>
      <w:divBdr>
        <w:top w:val="none" w:sz="0" w:space="0" w:color="auto"/>
        <w:left w:val="none" w:sz="0" w:space="0" w:color="auto"/>
        <w:bottom w:val="none" w:sz="0" w:space="0" w:color="auto"/>
        <w:right w:val="none" w:sz="0" w:space="0" w:color="auto"/>
      </w:divBdr>
    </w:div>
    <w:div w:id="896167546">
      <w:bodyDiv w:val="1"/>
      <w:marLeft w:val="0"/>
      <w:marRight w:val="0"/>
      <w:marTop w:val="0"/>
      <w:marBottom w:val="0"/>
      <w:divBdr>
        <w:top w:val="none" w:sz="0" w:space="0" w:color="auto"/>
        <w:left w:val="none" w:sz="0" w:space="0" w:color="auto"/>
        <w:bottom w:val="none" w:sz="0" w:space="0" w:color="auto"/>
        <w:right w:val="none" w:sz="0" w:space="0" w:color="auto"/>
      </w:divBdr>
    </w:div>
    <w:div w:id="980118098">
      <w:bodyDiv w:val="1"/>
      <w:marLeft w:val="0"/>
      <w:marRight w:val="0"/>
      <w:marTop w:val="0"/>
      <w:marBottom w:val="0"/>
      <w:divBdr>
        <w:top w:val="none" w:sz="0" w:space="0" w:color="auto"/>
        <w:left w:val="none" w:sz="0" w:space="0" w:color="auto"/>
        <w:bottom w:val="none" w:sz="0" w:space="0" w:color="auto"/>
        <w:right w:val="none" w:sz="0" w:space="0" w:color="auto"/>
      </w:divBdr>
    </w:div>
    <w:div w:id="1219245086">
      <w:bodyDiv w:val="1"/>
      <w:marLeft w:val="0"/>
      <w:marRight w:val="0"/>
      <w:marTop w:val="0"/>
      <w:marBottom w:val="0"/>
      <w:divBdr>
        <w:top w:val="none" w:sz="0" w:space="0" w:color="auto"/>
        <w:left w:val="none" w:sz="0" w:space="0" w:color="auto"/>
        <w:bottom w:val="none" w:sz="0" w:space="0" w:color="auto"/>
        <w:right w:val="none" w:sz="0" w:space="0" w:color="auto"/>
      </w:divBdr>
    </w:div>
    <w:div w:id="1224147252">
      <w:bodyDiv w:val="1"/>
      <w:marLeft w:val="0"/>
      <w:marRight w:val="0"/>
      <w:marTop w:val="0"/>
      <w:marBottom w:val="0"/>
      <w:divBdr>
        <w:top w:val="none" w:sz="0" w:space="0" w:color="auto"/>
        <w:left w:val="none" w:sz="0" w:space="0" w:color="auto"/>
        <w:bottom w:val="none" w:sz="0" w:space="0" w:color="auto"/>
        <w:right w:val="none" w:sz="0" w:space="0" w:color="auto"/>
      </w:divBdr>
    </w:div>
    <w:div w:id="1565065683">
      <w:bodyDiv w:val="1"/>
      <w:marLeft w:val="0"/>
      <w:marRight w:val="0"/>
      <w:marTop w:val="0"/>
      <w:marBottom w:val="0"/>
      <w:divBdr>
        <w:top w:val="none" w:sz="0" w:space="0" w:color="auto"/>
        <w:left w:val="none" w:sz="0" w:space="0" w:color="auto"/>
        <w:bottom w:val="none" w:sz="0" w:space="0" w:color="auto"/>
        <w:right w:val="none" w:sz="0" w:space="0" w:color="auto"/>
      </w:divBdr>
    </w:div>
    <w:div w:id="1641228759">
      <w:bodyDiv w:val="1"/>
      <w:marLeft w:val="0"/>
      <w:marRight w:val="0"/>
      <w:marTop w:val="0"/>
      <w:marBottom w:val="0"/>
      <w:divBdr>
        <w:top w:val="none" w:sz="0" w:space="0" w:color="auto"/>
        <w:left w:val="none" w:sz="0" w:space="0" w:color="auto"/>
        <w:bottom w:val="none" w:sz="0" w:space="0" w:color="auto"/>
        <w:right w:val="none" w:sz="0" w:space="0" w:color="auto"/>
      </w:divBdr>
    </w:div>
    <w:div w:id="1843856622">
      <w:bodyDiv w:val="1"/>
      <w:marLeft w:val="0"/>
      <w:marRight w:val="0"/>
      <w:marTop w:val="0"/>
      <w:marBottom w:val="0"/>
      <w:divBdr>
        <w:top w:val="none" w:sz="0" w:space="0" w:color="auto"/>
        <w:left w:val="none" w:sz="0" w:space="0" w:color="auto"/>
        <w:bottom w:val="none" w:sz="0" w:space="0" w:color="auto"/>
        <w:right w:val="none" w:sz="0" w:space="0" w:color="auto"/>
      </w:divBdr>
    </w:div>
    <w:div w:id="1925990477">
      <w:bodyDiv w:val="1"/>
      <w:marLeft w:val="0"/>
      <w:marRight w:val="0"/>
      <w:marTop w:val="0"/>
      <w:marBottom w:val="0"/>
      <w:divBdr>
        <w:top w:val="none" w:sz="0" w:space="0" w:color="auto"/>
        <w:left w:val="none" w:sz="0" w:space="0" w:color="auto"/>
        <w:bottom w:val="none" w:sz="0" w:space="0" w:color="auto"/>
        <w:right w:val="none" w:sz="0" w:space="0" w:color="auto"/>
      </w:divBdr>
    </w:div>
    <w:div w:id="2113166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camaracharqueada.sp.gov.br/" TargetMode="External"/><Relationship Id="rId1" Type="http://schemas.openxmlformats.org/officeDocument/2006/relationships/hyperlink" Target="mailto:camara@camaracharqueada.sp.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4A350-01C4-4841-A273-A892AC6B3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Pages>
  <Words>1252</Words>
  <Characters>6764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eder.nunes</dc:creator>
  <dc:description/>
  <cp:lastModifiedBy>Raphael Rocha</cp:lastModifiedBy>
  <cp:revision>23</cp:revision>
  <cp:lastPrinted>2023-05-31T19:31:00Z</cp:lastPrinted>
  <dcterms:created xsi:type="dcterms:W3CDTF">2025-01-08T16:03:00Z</dcterms:created>
  <dcterms:modified xsi:type="dcterms:W3CDTF">2025-03-21T13:36:00Z</dcterms:modified>
  <dc:language>pt-BR</dc:language>
</cp:coreProperties>
</file>