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CB7C8" w14:textId="02A558CF" w:rsidR="00150077" w:rsidRPr="00B1467E" w:rsidRDefault="00B1467E">
      <w:pPr>
        <w:spacing w:before="240" w:line="360" w:lineRule="auto"/>
        <w:jc w:val="center"/>
        <w:rPr>
          <w:rFonts w:ascii="Cambria" w:hAnsi="Cambria"/>
          <w:b/>
          <w:color w:val="000000" w:themeColor="text1"/>
          <w:sz w:val="32"/>
          <w:szCs w:val="32"/>
        </w:rPr>
      </w:pPr>
      <w:r w:rsidRPr="00B1467E">
        <w:rPr>
          <w:rFonts w:ascii="Cambria" w:hAnsi="Cambria"/>
          <w:b/>
          <w:color w:val="000000" w:themeColor="text1"/>
          <w:sz w:val="32"/>
          <w:szCs w:val="32"/>
        </w:rPr>
        <w:t>CAPA</w:t>
      </w:r>
      <w:r w:rsidR="00000000" w:rsidRPr="00B1467E">
        <w:rPr>
          <w:rFonts w:ascii="Cambria" w:hAnsi="Cambria"/>
          <w:b/>
          <w:color w:val="000000" w:themeColor="text1"/>
          <w:sz w:val="32"/>
          <w:szCs w:val="32"/>
        </w:rPr>
        <w:t xml:space="preserve"> DO EDITAL</w:t>
      </w:r>
    </w:p>
    <w:tbl>
      <w:tblPr>
        <w:tblW w:w="9640" w:type="dxa"/>
        <w:tblInd w:w="-431" w:type="dxa"/>
        <w:tblLayout w:type="fixed"/>
        <w:tblLook w:val="04A0" w:firstRow="1" w:lastRow="0" w:firstColumn="1" w:lastColumn="0" w:noHBand="0" w:noVBand="1"/>
      </w:tblPr>
      <w:tblGrid>
        <w:gridCol w:w="2521"/>
        <w:gridCol w:w="2175"/>
        <w:gridCol w:w="2109"/>
        <w:gridCol w:w="2835"/>
      </w:tblGrid>
      <w:tr w:rsidR="00150077" w14:paraId="74E6FC4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2736E9D" w14:textId="77777777" w:rsidR="00150077" w:rsidRDefault="00000000">
            <w:pPr>
              <w:spacing w:after="0" w:line="276" w:lineRule="auto"/>
              <w:jc w:val="center"/>
              <w:rPr>
                <w:rFonts w:ascii="Cambria" w:hAnsi="Cambria"/>
                <w:b/>
                <w:color w:val="000000" w:themeColor="text1"/>
                <w:sz w:val="23"/>
                <w:szCs w:val="23"/>
              </w:rPr>
            </w:pPr>
            <w:bookmarkStart w:id="0" w:name="_Hlk235688925"/>
            <w:r>
              <w:rPr>
                <w:rFonts w:ascii="Cambria" w:hAnsi="Cambria"/>
                <w:b/>
                <w:color w:val="000000" w:themeColor="text1"/>
                <w:sz w:val="23"/>
                <w:szCs w:val="23"/>
              </w:rPr>
              <w:t>Pregão Eletrônico nº 31/2026</w:t>
            </w:r>
          </w:p>
          <w:p w14:paraId="016759A7" w14:textId="77777777" w:rsidR="00150077" w:rsidRDefault="00000000">
            <w:pPr>
              <w:spacing w:before="0" w:line="276" w:lineRule="auto"/>
              <w:jc w:val="center"/>
              <w:rPr>
                <w:rFonts w:ascii="Cambria" w:hAnsi="Cambria"/>
                <w:b/>
                <w:color w:val="000000" w:themeColor="text1"/>
                <w:sz w:val="23"/>
                <w:szCs w:val="23"/>
              </w:rPr>
            </w:pPr>
            <w:bookmarkStart w:id="1" w:name="_Hlk224652090"/>
            <w:r>
              <w:rPr>
                <w:rFonts w:ascii="Cambria" w:hAnsi="Cambria"/>
                <w:b/>
                <w:color w:val="000000" w:themeColor="text1"/>
                <w:sz w:val="23"/>
                <w:szCs w:val="23"/>
              </w:rPr>
              <w:t>Processo Administrativo nº</w:t>
            </w:r>
            <w:r>
              <w:rPr>
                <w:rFonts w:ascii="Cambria" w:hAnsi="Cambria"/>
                <w:b/>
                <w:color w:val="000000" w:themeColor="text1"/>
                <w:sz w:val="23"/>
                <w:szCs w:val="23"/>
                <w:vertAlign w:val="superscript"/>
              </w:rPr>
              <w:t xml:space="preserve"> </w:t>
            </w:r>
            <w:bookmarkEnd w:id="1"/>
            <w:r>
              <w:rPr>
                <w:rFonts w:ascii="Cambria" w:hAnsi="Cambria"/>
                <w:b/>
                <w:color w:val="000000" w:themeColor="text1"/>
                <w:sz w:val="23"/>
                <w:szCs w:val="23"/>
              </w:rPr>
              <w:t>5091/2026</w:t>
            </w:r>
            <w:bookmarkEnd w:id="0"/>
          </w:p>
        </w:tc>
      </w:tr>
      <w:tr w:rsidR="00150077" w14:paraId="2DC88910"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5C6870B4" w14:textId="77777777" w:rsidR="00150077" w:rsidRDefault="00150077">
            <w:pPr>
              <w:spacing w:before="0" w:after="0" w:line="276" w:lineRule="auto"/>
              <w:jc w:val="center"/>
              <w:rPr>
                <w:rFonts w:ascii="Cambria" w:hAnsi="Cambria"/>
                <w:b/>
                <w:color w:val="000000" w:themeColor="text1"/>
                <w:sz w:val="23"/>
                <w:szCs w:val="23"/>
                <w:highlight w:val="yellow"/>
              </w:rPr>
            </w:pPr>
          </w:p>
          <w:p w14:paraId="2DB89105" w14:textId="5C65D6E5" w:rsidR="00150077" w:rsidRDefault="00000000">
            <w:pPr>
              <w:spacing w:before="0" w:after="0" w:line="276" w:lineRule="auto"/>
              <w:jc w:val="center"/>
              <w:rPr>
                <w:rFonts w:ascii="Cambria" w:hAnsi="Cambria"/>
                <w:b/>
                <w:color w:val="000000" w:themeColor="text1"/>
                <w:sz w:val="23"/>
                <w:szCs w:val="23"/>
              </w:rPr>
            </w:pPr>
            <w:r w:rsidRPr="00B1467E">
              <w:rPr>
                <w:rFonts w:ascii="Cambria" w:hAnsi="Cambria"/>
                <w:b/>
                <w:color w:val="000000" w:themeColor="text1"/>
                <w:sz w:val="23"/>
                <w:szCs w:val="23"/>
              </w:rPr>
              <w:t xml:space="preserve">Abertura dia </w:t>
            </w:r>
            <w:r w:rsidR="00B1467E" w:rsidRPr="00B1467E">
              <w:rPr>
                <w:rFonts w:ascii="Cambria" w:hAnsi="Cambria"/>
                <w:b/>
                <w:color w:val="000000" w:themeColor="text1"/>
                <w:sz w:val="23"/>
                <w:szCs w:val="23"/>
              </w:rPr>
              <w:t>29</w:t>
            </w:r>
            <w:r w:rsidRPr="00B1467E">
              <w:rPr>
                <w:rFonts w:ascii="Cambria" w:hAnsi="Cambria"/>
                <w:b/>
                <w:color w:val="000000" w:themeColor="text1"/>
                <w:sz w:val="23"/>
                <w:szCs w:val="23"/>
              </w:rPr>
              <w:t xml:space="preserve"> de </w:t>
            </w:r>
            <w:r w:rsidR="00B1467E" w:rsidRPr="00B1467E">
              <w:rPr>
                <w:rFonts w:ascii="Cambria" w:hAnsi="Cambria"/>
                <w:b/>
                <w:color w:val="000000" w:themeColor="text1"/>
                <w:sz w:val="23"/>
                <w:szCs w:val="23"/>
              </w:rPr>
              <w:t>outubro</w:t>
            </w:r>
            <w:r w:rsidRPr="00B1467E">
              <w:rPr>
                <w:rFonts w:ascii="Cambria" w:hAnsi="Cambria"/>
                <w:b/>
                <w:color w:val="000000" w:themeColor="text1"/>
                <w:sz w:val="23"/>
                <w:szCs w:val="23"/>
              </w:rPr>
              <w:t xml:space="preserve"> de 2026 às 08 horas</w:t>
            </w:r>
          </w:p>
          <w:p w14:paraId="1CA02850"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(Horário de Brasília/DF)</w:t>
            </w:r>
          </w:p>
          <w:p w14:paraId="47374114" w14:textId="77777777" w:rsidR="00150077" w:rsidRDefault="00000000">
            <w:pPr>
              <w:spacing w:line="276" w:lineRule="auto"/>
              <w:jc w:val="center"/>
              <w:rPr>
                <w:rFonts w:ascii="Cambria" w:hAnsi="Cambria"/>
                <w:color w:val="000000" w:themeColor="text1"/>
                <w:sz w:val="23"/>
                <w:szCs w:val="23"/>
              </w:rPr>
            </w:pPr>
            <w:r>
              <w:rPr>
                <w:rFonts w:ascii="Cambria" w:hAnsi="Cambria"/>
                <w:b/>
                <w:color w:val="000000" w:themeColor="text1"/>
                <w:sz w:val="23"/>
                <w:szCs w:val="23"/>
              </w:rPr>
              <w:t>No</w:t>
            </w:r>
            <w:r>
              <w:rPr>
                <w:rFonts w:ascii="Cambria" w:hAnsi="Cambria"/>
                <w:b/>
                <w:color w:val="000000" w:themeColor="text1"/>
                <w:spacing w:val="-13"/>
                <w:sz w:val="23"/>
                <w:szCs w:val="23"/>
              </w:rPr>
              <w:t xml:space="preserve"> </w:t>
            </w:r>
            <w:r>
              <w:rPr>
                <w:rFonts w:ascii="Cambria" w:hAnsi="Cambria"/>
                <w:b/>
                <w:color w:val="000000" w:themeColor="text1"/>
                <w:sz w:val="23"/>
                <w:szCs w:val="23"/>
              </w:rPr>
              <w:t xml:space="preserve">sítio </w:t>
            </w:r>
            <w:hyperlink r:id="rId8">
              <w:r w:rsidR="00150077" w:rsidRPr="00F467C1">
                <w:rPr>
                  <w:rStyle w:val="Hyperlink"/>
                  <w:rFonts w:ascii="Cambria" w:hAnsi="Cambria"/>
                  <w:color w:val="000000" w:themeColor="text1"/>
                  <w:sz w:val="23"/>
                  <w:szCs w:val="23"/>
                </w:rPr>
                <w:t>www.bnc.org.b</w:t>
              </w:r>
              <w:r w:rsidR="00150077">
                <w:rPr>
                  <w:rStyle w:val="Hyperlink"/>
                  <w:rFonts w:ascii="Cambria" w:hAnsi="Cambria"/>
                  <w:color w:val="000000" w:themeColor="text1"/>
                  <w:sz w:val="23"/>
                  <w:szCs w:val="23"/>
                </w:rPr>
                <w:t>r</w:t>
              </w:r>
            </w:hyperlink>
            <w:r>
              <w:rPr>
                <w:rFonts w:ascii="Cambria" w:hAnsi="Cambria"/>
                <w:color w:val="000000" w:themeColor="text1"/>
                <w:sz w:val="23"/>
                <w:szCs w:val="23"/>
              </w:rPr>
              <w:t xml:space="preserve"> </w:t>
            </w:r>
          </w:p>
        </w:tc>
      </w:tr>
      <w:tr w:rsidR="00150077" w14:paraId="6826DD69"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3EFAC4"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OBJETO</w:t>
            </w:r>
          </w:p>
        </w:tc>
      </w:tr>
      <w:tr w:rsidR="00150077" w14:paraId="0E567B90"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3608E56E" w14:textId="77777777" w:rsidR="00150077" w:rsidRDefault="00000000">
            <w:pPr>
              <w:spacing w:line="276" w:lineRule="auto"/>
              <w:rPr>
                <w:rFonts w:ascii="Cambria" w:hAnsi="Cambria"/>
                <w:b/>
                <w:color w:val="000000" w:themeColor="text1"/>
                <w:sz w:val="23"/>
                <w:szCs w:val="23"/>
              </w:rPr>
            </w:pPr>
            <w:bookmarkStart w:id="2" w:name="_Hlk224652097"/>
            <w:r>
              <w:rPr>
                <w:rFonts w:ascii="Cambria" w:hAnsi="Cambria"/>
                <w:color w:val="000000" w:themeColor="text1"/>
                <w:sz w:val="23"/>
                <w:szCs w:val="23"/>
              </w:rPr>
              <w:t xml:space="preserve">Sistema de Registro de Preços para parcelada, eventual e futura </w:t>
            </w:r>
            <w:r>
              <w:rPr>
                <w:rFonts w:ascii="Cambria" w:hAnsi="Cambria"/>
                <w:sz w:val="23"/>
                <w:szCs w:val="23"/>
              </w:rPr>
              <w:t xml:space="preserve">aquisição de solução completa de visualização e sinalização digital (Digital </w:t>
            </w:r>
            <w:proofErr w:type="spellStart"/>
            <w:r>
              <w:rPr>
                <w:rFonts w:ascii="Cambria" w:hAnsi="Cambria"/>
                <w:sz w:val="23"/>
                <w:szCs w:val="23"/>
              </w:rPr>
              <w:t>Signage</w:t>
            </w:r>
            <w:proofErr w:type="spellEnd"/>
            <w:r>
              <w:rPr>
                <w:rFonts w:ascii="Cambria" w:hAnsi="Cambria"/>
                <w:sz w:val="23"/>
                <w:szCs w:val="23"/>
              </w:rPr>
              <w:t>), composta por painel de LED modular de alta performance híbrido (indoor/outdoor), projetado para operação em eventos culturais e ambientes institucionais, atendendo assim as necessidades da Secretaria Municipal de Cultura de Piracanjuba/GO</w:t>
            </w:r>
            <w:r>
              <w:rPr>
                <w:rFonts w:ascii="Cambria" w:hAnsi="Cambria" w:cs="Segoe UI"/>
                <w:sz w:val="23"/>
                <w:szCs w:val="23"/>
              </w:rPr>
              <w:t>, conforme Termo de Referência e Estudo Técnico Preliminar.</w:t>
            </w:r>
            <w:bookmarkEnd w:id="2"/>
          </w:p>
        </w:tc>
      </w:tr>
      <w:tr w:rsidR="00150077" w14:paraId="6FFAB13B"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CF0B8C"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VALOR TOTAL ESTIMADO</w:t>
            </w:r>
          </w:p>
        </w:tc>
      </w:tr>
      <w:tr w:rsidR="00150077" w14:paraId="3B16A5DD"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7F6E0730" w14:textId="77777777" w:rsidR="00150077" w:rsidRDefault="00000000">
            <w:pPr>
              <w:spacing w:line="276" w:lineRule="auto"/>
              <w:rPr>
                <w:rFonts w:ascii="Cambria" w:hAnsi="Cambria"/>
                <w:bCs/>
                <w:color w:val="000000" w:themeColor="text1"/>
                <w:sz w:val="23"/>
                <w:szCs w:val="23"/>
              </w:rPr>
            </w:pPr>
            <w:r>
              <w:rPr>
                <w:rFonts w:ascii="Cambria" w:hAnsi="Cambria" w:cs="Calibri"/>
                <w:b/>
                <w:bCs/>
                <w:color w:val="000000" w:themeColor="text1"/>
                <w:sz w:val="23"/>
                <w:szCs w:val="23"/>
              </w:rPr>
              <w:t xml:space="preserve">SIGILOSO. </w:t>
            </w:r>
            <w:r>
              <w:rPr>
                <w:rFonts w:ascii="Cambria" w:hAnsi="Cambria" w:cs="Calibri"/>
                <w:color w:val="000000" w:themeColor="text1"/>
                <w:sz w:val="23"/>
                <w:szCs w:val="23"/>
              </w:rPr>
              <w:t xml:space="preserve">O valor total estimado e o valor </w:t>
            </w:r>
            <w:r>
              <w:rPr>
                <w:rFonts w:ascii="Cambria" w:hAnsi="Cambria"/>
                <w:bCs/>
                <w:color w:val="000000" w:themeColor="text1"/>
                <w:sz w:val="23"/>
                <w:szCs w:val="23"/>
              </w:rPr>
              <w:t xml:space="preserve">estimado por item, serão sigilosos com fundamentação no artigo 24 da </w:t>
            </w:r>
            <w:r>
              <w:rPr>
                <w:rFonts w:ascii="Cambria" w:hAnsi="Cambria"/>
                <w:bCs/>
                <w:sz w:val="23"/>
                <w:szCs w:val="23"/>
              </w:rPr>
              <w:t xml:space="preserve">Lei de Licitações e Contratos Administrativos (14.133/2021). Objetivando evitar a </w:t>
            </w:r>
            <w:r>
              <w:rPr>
                <w:rFonts w:ascii="Cambria" w:hAnsi="Cambria" w:cs="Arial"/>
                <w:sz w:val="23"/>
                <w:szCs w:val="23"/>
                <w:shd w:val="clear" w:color="auto" w:fill="FFFFFF"/>
              </w:rPr>
              <w:t>formação de conluios ou prejudicar a obtenção da proposta mais vantajosa para a Administração</w:t>
            </w:r>
            <w:r>
              <w:rPr>
                <w:rFonts w:ascii="Cambria" w:hAnsi="Cambria"/>
                <w:bCs/>
                <w:sz w:val="23"/>
                <w:szCs w:val="23"/>
              </w:rPr>
              <w:t xml:space="preserve"> c/c princípio da economicidade</w:t>
            </w:r>
            <w:r>
              <w:rPr>
                <w:rFonts w:ascii="Cambria" w:hAnsi="Cambria"/>
                <w:bCs/>
                <w:color w:val="000000" w:themeColor="text1"/>
                <w:sz w:val="23"/>
                <w:szCs w:val="23"/>
              </w:rPr>
              <w:t>.</w:t>
            </w:r>
          </w:p>
        </w:tc>
      </w:tr>
      <w:tr w:rsidR="00150077" w14:paraId="09275782"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E5D8A3"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Registro de Preços?</w:t>
            </w:r>
          </w:p>
        </w:tc>
        <w:tc>
          <w:tcPr>
            <w:tcW w:w="21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B4DEC1"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Adjudicação</w:t>
            </w:r>
          </w:p>
        </w:tc>
        <w:tc>
          <w:tcPr>
            <w:tcW w:w="2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D23733"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disputa exclusiva ME/EPP?</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9C9C5C"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ampla disputa?</w:t>
            </w:r>
          </w:p>
        </w:tc>
      </w:tr>
      <w:tr w:rsidR="00150077" w14:paraId="3A11211C"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4554C0DC" w14:textId="77777777" w:rsidR="00150077"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c>
          <w:tcPr>
            <w:tcW w:w="2175" w:type="dxa"/>
            <w:tcBorders>
              <w:top w:val="single" w:sz="4" w:space="0" w:color="000000"/>
              <w:left w:val="single" w:sz="4" w:space="0" w:color="000000"/>
              <w:bottom w:val="single" w:sz="4" w:space="0" w:color="000000"/>
              <w:right w:val="single" w:sz="4" w:space="0" w:color="000000"/>
            </w:tcBorders>
            <w:vAlign w:val="center"/>
          </w:tcPr>
          <w:p w14:paraId="5F779F52" w14:textId="77777777" w:rsidR="00150077"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Por item</w:t>
            </w:r>
          </w:p>
        </w:tc>
        <w:tc>
          <w:tcPr>
            <w:tcW w:w="2109" w:type="dxa"/>
            <w:tcBorders>
              <w:top w:val="single" w:sz="4" w:space="0" w:color="000000"/>
              <w:left w:val="single" w:sz="4" w:space="0" w:color="000000"/>
              <w:bottom w:val="single" w:sz="4" w:space="0" w:color="000000"/>
              <w:right w:val="single" w:sz="4" w:space="0" w:color="000000"/>
            </w:tcBorders>
            <w:vAlign w:val="center"/>
          </w:tcPr>
          <w:p w14:paraId="0B28001B" w14:textId="77777777" w:rsidR="00150077"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Não</w:t>
            </w:r>
          </w:p>
        </w:tc>
        <w:tc>
          <w:tcPr>
            <w:tcW w:w="2835" w:type="dxa"/>
            <w:tcBorders>
              <w:top w:val="single" w:sz="4" w:space="0" w:color="000000"/>
              <w:left w:val="single" w:sz="4" w:space="0" w:color="000000"/>
              <w:bottom w:val="single" w:sz="4" w:space="0" w:color="000000"/>
              <w:right w:val="single" w:sz="4" w:space="0" w:color="000000"/>
            </w:tcBorders>
            <w:vAlign w:val="center"/>
          </w:tcPr>
          <w:p w14:paraId="1898D431" w14:textId="77777777" w:rsidR="00150077"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r>
      <w:tr w:rsidR="00150077" w14:paraId="434F927C"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3009B0"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Modo de disputa</w:t>
            </w:r>
          </w:p>
        </w:tc>
        <w:tc>
          <w:tcPr>
            <w:tcW w:w="42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F06899"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 xml:space="preserve">Instrumento Contratual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E9903F"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Intervalo mínimo entre lances</w:t>
            </w:r>
          </w:p>
        </w:tc>
      </w:tr>
      <w:tr w:rsidR="00150077" w14:paraId="66B5EBF5"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5EB37177" w14:textId="77777777" w:rsidR="00150077"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Aberto e Fechado</w:t>
            </w:r>
          </w:p>
        </w:tc>
        <w:tc>
          <w:tcPr>
            <w:tcW w:w="4284" w:type="dxa"/>
            <w:gridSpan w:val="2"/>
            <w:tcBorders>
              <w:top w:val="single" w:sz="4" w:space="0" w:color="000000"/>
              <w:left w:val="single" w:sz="4" w:space="0" w:color="000000"/>
              <w:bottom w:val="single" w:sz="4" w:space="0" w:color="000000"/>
              <w:right w:val="single" w:sz="4" w:space="0" w:color="000000"/>
            </w:tcBorders>
            <w:vAlign w:val="center"/>
          </w:tcPr>
          <w:p w14:paraId="2514DAF1" w14:textId="77777777" w:rsidR="00150077"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Ata de Registro de Preços</w:t>
            </w:r>
          </w:p>
        </w:tc>
        <w:tc>
          <w:tcPr>
            <w:tcW w:w="2835" w:type="dxa"/>
            <w:tcBorders>
              <w:top w:val="single" w:sz="4" w:space="0" w:color="000000"/>
              <w:left w:val="single" w:sz="4" w:space="0" w:color="000000"/>
              <w:bottom w:val="single" w:sz="4" w:space="0" w:color="000000"/>
              <w:right w:val="single" w:sz="4" w:space="0" w:color="000000"/>
            </w:tcBorders>
            <w:vAlign w:val="center"/>
          </w:tcPr>
          <w:p w14:paraId="2C201AEE" w14:textId="77777777" w:rsidR="00150077" w:rsidRDefault="00000000">
            <w:pPr>
              <w:spacing w:before="0" w:after="0" w:line="276" w:lineRule="auto"/>
              <w:jc w:val="center"/>
              <w:rPr>
                <w:rFonts w:ascii="Cambria" w:hAnsi="Cambria"/>
                <w:color w:val="000000" w:themeColor="text1"/>
                <w:sz w:val="23"/>
                <w:szCs w:val="23"/>
              </w:rPr>
            </w:pPr>
            <w:bookmarkStart w:id="3" w:name="_Hlk235689181"/>
            <w:r>
              <w:rPr>
                <w:rFonts w:ascii="Cambria" w:hAnsi="Cambria"/>
                <w:color w:val="000000" w:themeColor="text1"/>
                <w:sz w:val="23"/>
                <w:szCs w:val="23"/>
              </w:rPr>
              <w:t>R$ 2,00</w:t>
            </w:r>
            <w:bookmarkEnd w:id="3"/>
          </w:p>
        </w:tc>
      </w:tr>
      <w:tr w:rsidR="00150077" w14:paraId="2407B36C"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2A0B7D"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Envio da Proposta Readequada e Documentos de Habilitação</w:t>
            </w:r>
          </w:p>
        </w:tc>
      </w:tr>
      <w:tr w:rsidR="00150077" w14:paraId="466A2583"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567AF732" w14:textId="77777777" w:rsidR="00150077"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Até 02 (duas) horas após a convocação realizada pela Pregoeira.</w:t>
            </w:r>
          </w:p>
        </w:tc>
      </w:tr>
      <w:tr w:rsidR="00150077" w14:paraId="07D460A8"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2DDF17"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Documentos de Habilitação</w:t>
            </w:r>
          </w:p>
        </w:tc>
      </w:tr>
      <w:tr w:rsidR="00150077" w14:paraId="286305A8"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798CC4B3" w14:textId="77777777" w:rsidR="00150077"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Item 09 – Da Habilitação</w:t>
            </w:r>
          </w:p>
        </w:tc>
      </w:tr>
      <w:tr w:rsidR="00150077" w14:paraId="282FD93D"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DCD6F8" w14:textId="77777777" w:rsidR="00150077"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Esclarecimento e Impugnações</w:t>
            </w:r>
          </w:p>
        </w:tc>
      </w:tr>
      <w:tr w:rsidR="00150077" w14:paraId="7962A843"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4EADB76D" w14:textId="77777777" w:rsidR="00150077"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 xml:space="preserve">Até 03 (três) dias úteis anteriores à data fixada para abertura da sessão eletrônica, por meio eletrônico </w:t>
            </w:r>
            <w:r w:rsidRPr="00F467C1">
              <w:rPr>
                <w:rStyle w:val="Hyperlink"/>
                <w:rFonts w:ascii="Cambria" w:hAnsi="Cambria"/>
                <w:color w:val="000000" w:themeColor="text1"/>
                <w:sz w:val="23"/>
                <w:szCs w:val="23"/>
              </w:rPr>
              <w:t>do</w:t>
            </w:r>
            <w:r>
              <w:rPr>
                <w:rFonts w:ascii="Cambria" w:hAnsi="Cambria"/>
                <w:color w:val="000000" w:themeColor="text1"/>
                <w:sz w:val="23"/>
                <w:szCs w:val="23"/>
              </w:rPr>
              <w:t xml:space="preserve"> sítio</w:t>
            </w:r>
            <w:r>
              <w:rPr>
                <w:rFonts w:ascii="Cambria" w:hAnsi="Cambria"/>
                <w:b/>
                <w:color w:val="000000" w:themeColor="text1"/>
                <w:sz w:val="23"/>
                <w:szCs w:val="23"/>
              </w:rPr>
              <w:t xml:space="preserve"> </w:t>
            </w:r>
            <w:hyperlink r:id="rId9">
              <w:r w:rsidR="00150077" w:rsidRPr="00F467C1">
                <w:rPr>
                  <w:rStyle w:val="Hyperlink"/>
                  <w:rFonts w:ascii="Cambria" w:hAnsi="Cambria"/>
                  <w:color w:val="000000" w:themeColor="text1"/>
                  <w:sz w:val="23"/>
                  <w:szCs w:val="23"/>
                </w:rPr>
                <w:t>www.bnc.org.b</w:t>
              </w:r>
              <w:r w:rsidR="00150077">
                <w:rPr>
                  <w:rStyle w:val="Hyperlink"/>
                  <w:rFonts w:ascii="Cambria" w:hAnsi="Cambria"/>
                  <w:color w:val="000000" w:themeColor="text1"/>
                  <w:sz w:val="23"/>
                  <w:szCs w:val="23"/>
                </w:rPr>
                <w:t>r</w:t>
              </w:r>
            </w:hyperlink>
          </w:p>
        </w:tc>
      </w:tr>
    </w:tbl>
    <w:p w14:paraId="58DE001C" w14:textId="77777777" w:rsidR="00150077" w:rsidRDefault="00000000">
      <w:pPr>
        <w:spacing w:line="360" w:lineRule="auto"/>
        <w:rPr>
          <w:rFonts w:ascii="Cambria" w:hAnsi="Cambria"/>
          <w:color w:val="000000" w:themeColor="text1"/>
        </w:rPr>
      </w:pPr>
      <w:r>
        <w:br w:type="page"/>
      </w:r>
    </w:p>
    <w:p w14:paraId="57B7100E" w14:textId="49F207FA" w:rsidR="00150077" w:rsidRDefault="00000000">
      <w:pPr>
        <w:tabs>
          <w:tab w:val="left" w:pos="1701"/>
        </w:tabs>
        <w:spacing w:before="0" w:after="240" w:line="360" w:lineRule="auto"/>
        <w:jc w:val="center"/>
        <w:rPr>
          <w:rFonts w:ascii="Cambria" w:hAnsi="Cambria"/>
          <w:b/>
          <w:color w:val="000000" w:themeColor="text1"/>
          <w:sz w:val="32"/>
          <w:szCs w:val="32"/>
        </w:rPr>
      </w:pPr>
      <w:bookmarkStart w:id="4" w:name="_Hlk105417688"/>
      <w:r w:rsidRPr="00B1467E">
        <w:rPr>
          <w:rFonts w:ascii="Cambria" w:hAnsi="Cambria"/>
          <w:b/>
          <w:color w:val="000000" w:themeColor="text1"/>
          <w:sz w:val="32"/>
          <w:szCs w:val="32"/>
        </w:rPr>
        <w:lastRenderedPageBreak/>
        <w:t>EDITAL</w:t>
      </w:r>
    </w:p>
    <w:p w14:paraId="24EFD9C8" w14:textId="77777777" w:rsidR="00150077" w:rsidRDefault="00000000">
      <w:pPr>
        <w:tabs>
          <w:tab w:val="left" w:pos="1701"/>
        </w:tabs>
        <w:spacing w:after="0" w:line="360" w:lineRule="auto"/>
        <w:jc w:val="center"/>
        <w:rPr>
          <w:rFonts w:ascii="Cambria" w:hAnsi="Cambria"/>
          <w:b/>
          <w:color w:val="000000" w:themeColor="text1"/>
          <w:sz w:val="28"/>
          <w:szCs w:val="28"/>
        </w:rPr>
      </w:pPr>
      <w:r>
        <w:rPr>
          <w:rFonts w:ascii="Cambria" w:hAnsi="Cambria"/>
          <w:b/>
          <w:color w:val="000000" w:themeColor="text1"/>
          <w:sz w:val="28"/>
          <w:szCs w:val="28"/>
        </w:rPr>
        <w:t>PREGÃO ELETRÔNICO Nº 31/2026</w:t>
      </w:r>
    </w:p>
    <w:p w14:paraId="20828854" w14:textId="77777777" w:rsidR="00150077" w:rsidRDefault="00000000">
      <w:pPr>
        <w:tabs>
          <w:tab w:val="left" w:pos="1701"/>
        </w:tabs>
        <w:spacing w:line="360" w:lineRule="auto"/>
        <w:jc w:val="center"/>
        <w:rPr>
          <w:rFonts w:ascii="Cambria" w:hAnsi="Cambria"/>
          <w:b/>
          <w:color w:val="000000" w:themeColor="text1"/>
          <w:sz w:val="26"/>
          <w:szCs w:val="26"/>
        </w:rPr>
      </w:pPr>
      <w:r>
        <w:rPr>
          <w:rFonts w:ascii="Cambria" w:hAnsi="Cambria"/>
          <w:b/>
          <w:color w:val="000000" w:themeColor="text1"/>
          <w:sz w:val="26"/>
          <w:szCs w:val="26"/>
        </w:rPr>
        <w:t>Processo Administrativo nº</w:t>
      </w:r>
      <w:r>
        <w:rPr>
          <w:rFonts w:ascii="Cambria" w:hAnsi="Cambria"/>
          <w:b/>
          <w:color w:val="000000" w:themeColor="text1"/>
          <w:sz w:val="26"/>
          <w:szCs w:val="26"/>
          <w:vertAlign w:val="superscript"/>
        </w:rPr>
        <w:t xml:space="preserve"> </w:t>
      </w:r>
      <w:r>
        <w:rPr>
          <w:rFonts w:ascii="Cambria" w:hAnsi="Cambria"/>
          <w:b/>
          <w:color w:val="000000" w:themeColor="text1"/>
          <w:sz w:val="26"/>
          <w:szCs w:val="26"/>
        </w:rPr>
        <w:t>5091/2026</w:t>
      </w:r>
    </w:p>
    <w:p w14:paraId="4AB4BA9C" w14:textId="65EA6A20" w:rsidR="00150077" w:rsidRDefault="00000000">
      <w:pPr>
        <w:pStyle w:val="NormalWeb"/>
        <w:spacing w:before="280" w:after="280" w:line="360" w:lineRule="auto"/>
        <w:jc w:val="both"/>
        <w:rPr>
          <w:rFonts w:ascii="Cambria" w:hAnsi="Cambria"/>
        </w:rPr>
      </w:pPr>
      <w:r>
        <w:rPr>
          <w:noProof/>
        </w:rPr>
        <w:pict w14:anchorId="423CB51F">
          <v:rect id="Text Box 2" o:spid="_x0000_s1026" style="position:absolute;left:0;text-align:left;margin-left:1.2pt;margin-top:303.9pt;width:444.4pt;height:130.2pt;z-index:196;visibility:visible;mso-wrap-style:square;mso-wrap-distance-left:1.5pt;mso-wrap-distance-top:1.5pt;mso-wrap-distance-right:1.1pt;mso-wrap-distance-bottom:1.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" o:allowincell="f" strokeweight="2.25pt">
            <v:textbox>
              <w:txbxContent>
                <w:p w14:paraId="7C414557" w14:textId="77777777" w:rsidR="00150077" w:rsidRPr="00B1467E" w:rsidRDefault="00000000">
                  <w:pPr>
                    <w:pStyle w:val="NormalWeb"/>
                    <w:spacing w:before="240" w:after="240" w:line="276" w:lineRule="auto"/>
                    <w:ind w:right="-2"/>
                    <w:jc w:val="center"/>
                    <w:rPr>
                      <w:rStyle w:val="nfaseSutil"/>
                      <w:rFonts w:ascii="Cambria" w:hAnsi="Cambria"/>
                      <w:b/>
                      <w:i w:val="0"/>
                      <w:iCs w:val="0"/>
                      <w:color w:val="auto"/>
                      <w:sz w:val="26"/>
                      <w:szCs w:val="26"/>
                    </w:rPr>
                  </w:pPr>
                  <w:r w:rsidRPr="00B1467E">
                    <w:rPr>
                      <w:rStyle w:val="nfaseSutil"/>
                      <w:rFonts w:ascii="Cambria" w:hAnsi="Cambria"/>
                      <w:b/>
                      <w:i w:val="0"/>
                      <w:iCs w:val="0"/>
                      <w:color w:val="auto"/>
                      <w:sz w:val="26"/>
                      <w:szCs w:val="26"/>
                    </w:rPr>
                    <w:t>DA SESSÃO ELETRÔNICA</w:t>
                  </w:r>
                </w:p>
                <w:p w14:paraId="6F0E0EE4" w14:textId="7FC2C3A1" w:rsidR="00150077" w:rsidRPr="00B1467E" w:rsidRDefault="00000000">
                  <w:pPr>
                    <w:pStyle w:val="NormalWeb"/>
                    <w:spacing w:before="280" w:after="280" w:line="276" w:lineRule="auto"/>
                    <w:ind w:right="-2"/>
                    <w:jc w:val="center"/>
                    <w:rPr>
                      <w:rStyle w:val="nfaseSutil"/>
                      <w:rFonts w:ascii="Cambria" w:hAnsi="Cambria"/>
                      <w:i w:val="0"/>
                      <w:iCs w:val="0"/>
                      <w:color w:val="auto"/>
                      <w:sz w:val="26"/>
                      <w:szCs w:val="26"/>
                    </w:rPr>
                  </w:pPr>
                  <w:r w:rsidRPr="00B1467E">
                    <w:rPr>
                      <w:rStyle w:val="nfaseSutil"/>
                      <w:rFonts w:ascii="Cambria" w:hAnsi="Cambria"/>
                      <w:b/>
                      <w:i w:val="0"/>
                      <w:iCs w:val="0"/>
                      <w:color w:val="auto"/>
                      <w:sz w:val="26"/>
                      <w:szCs w:val="26"/>
                    </w:rPr>
                    <w:t>Dia:</w:t>
                  </w:r>
                  <w:r w:rsidRPr="00B1467E">
                    <w:rPr>
                      <w:rStyle w:val="nfaseSutil"/>
                      <w:rFonts w:ascii="Cambria" w:hAnsi="Cambria"/>
                      <w:i w:val="0"/>
                      <w:iCs w:val="0"/>
                      <w:color w:val="auto"/>
                      <w:sz w:val="26"/>
                      <w:szCs w:val="26"/>
                    </w:rPr>
                    <w:t xml:space="preserve"> </w:t>
                  </w:r>
                  <w:r w:rsidR="00B1467E" w:rsidRPr="00B1467E">
                    <w:rPr>
                      <w:rStyle w:val="nfaseSutil"/>
                      <w:rFonts w:ascii="Cambria" w:hAnsi="Cambria"/>
                      <w:i w:val="0"/>
                      <w:iCs w:val="0"/>
                      <w:color w:val="auto"/>
                      <w:sz w:val="26"/>
                      <w:szCs w:val="26"/>
                    </w:rPr>
                    <w:t>29</w:t>
                  </w:r>
                  <w:r w:rsidRPr="00B1467E">
                    <w:rPr>
                      <w:rStyle w:val="nfaseSutil"/>
                      <w:rFonts w:ascii="Cambria" w:hAnsi="Cambria"/>
                      <w:i w:val="0"/>
                      <w:iCs w:val="0"/>
                      <w:color w:val="auto"/>
                      <w:sz w:val="26"/>
                      <w:szCs w:val="26"/>
                    </w:rPr>
                    <w:t xml:space="preserve"> de </w:t>
                  </w:r>
                  <w:r w:rsidR="00B1467E" w:rsidRPr="00B1467E">
                    <w:rPr>
                      <w:rStyle w:val="nfaseSutil"/>
                      <w:rFonts w:ascii="Cambria" w:hAnsi="Cambria"/>
                      <w:i w:val="0"/>
                      <w:iCs w:val="0"/>
                      <w:color w:val="auto"/>
                      <w:sz w:val="26"/>
                      <w:szCs w:val="26"/>
                    </w:rPr>
                    <w:t>outubro</w:t>
                  </w:r>
                  <w:r w:rsidRPr="00B1467E">
                    <w:rPr>
                      <w:rStyle w:val="nfaseSutil"/>
                      <w:rFonts w:ascii="Cambria" w:hAnsi="Cambria"/>
                      <w:i w:val="0"/>
                      <w:iCs w:val="0"/>
                      <w:color w:val="auto"/>
                      <w:sz w:val="26"/>
                      <w:szCs w:val="26"/>
                    </w:rPr>
                    <w:t xml:space="preserve"> de 2026.</w:t>
                  </w:r>
                </w:p>
                <w:p w14:paraId="095E3D70" w14:textId="77777777" w:rsidR="00150077" w:rsidRPr="00B1467E" w:rsidRDefault="00000000">
                  <w:pPr>
                    <w:pStyle w:val="NormalWeb"/>
                    <w:spacing w:before="240" w:after="240" w:line="276" w:lineRule="auto"/>
                    <w:ind w:right="-2"/>
                    <w:jc w:val="center"/>
                    <w:rPr>
                      <w:rStyle w:val="nfaseSutil"/>
                      <w:rFonts w:ascii="Cambria" w:hAnsi="Cambria"/>
                      <w:i w:val="0"/>
                      <w:iCs w:val="0"/>
                      <w:color w:val="auto"/>
                      <w:sz w:val="26"/>
                      <w:szCs w:val="26"/>
                    </w:rPr>
                  </w:pPr>
                  <w:r w:rsidRPr="00B1467E">
                    <w:rPr>
                      <w:rStyle w:val="nfaseSutil"/>
                      <w:rFonts w:ascii="Cambria" w:hAnsi="Cambria"/>
                      <w:b/>
                      <w:i w:val="0"/>
                      <w:iCs w:val="0"/>
                      <w:color w:val="auto"/>
                      <w:sz w:val="26"/>
                      <w:szCs w:val="26"/>
                    </w:rPr>
                    <w:t>Horário:</w:t>
                  </w:r>
                  <w:r w:rsidRPr="00B1467E">
                    <w:rPr>
                      <w:rStyle w:val="nfaseSutil"/>
                      <w:rFonts w:ascii="Cambria" w:hAnsi="Cambria"/>
                      <w:i w:val="0"/>
                      <w:iCs w:val="0"/>
                      <w:color w:val="auto"/>
                      <w:sz w:val="26"/>
                      <w:szCs w:val="26"/>
                    </w:rPr>
                    <w:t xml:space="preserve"> 08 horas (Horário de Brasília/DF)</w:t>
                  </w:r>
                </w:p>
                <w:p w14:paraId="7F67A7DB" w14:textId="77777777" w:rsidR="00150077" w:rsidRPr="00F467C1" w:rsidRDefault="00000000">
                  <w:pPr>
                    <w:pStyle w:val="NormalWeb"/>
                    <w:spacing w:before="280" w:after="280" w:line="276" w:lineRule="auto"/>
                    <w:ind w:right="-2"/>
                    <w:jc w:val="center"/>
                    <w:rPr>
                      <w:rFonts w:ascii="Cambria" w:hAnsi="Cambria"/>
                      <w:b/>
                      <w:i/>
                      <w:iCs/>
                      <w:sz w:val="26"/>
                      <w:szCs w:val="26"/>
                    </w:rPr>
                  </w:pPr>
                  <w:bookmarkStart w:id="5" w:name="_Hlk112158177"/>
                  <w:bookmarkStart w:id="6" w:name="_Hlk112158176"/>
                  <w:r w:rsidRPr="00B1467E">
                    <w:rPr>
                      <w:rStyle w:val="nfaseSutil"/>
                      <w:rFonts w:ascii="Cambria" w:hAnsi="Cambria"/>
                      <w:b/>
                      <w:i w:val="0"/>
                      <w:iCs w:val="0"/>
                      <w:color w:val="auto"/>
                      <w:sz w:val="26"/>
                      <w:szCs w:val="26"/>
                    </w:rPr>
                    <w:t>Endereço Eletrônico:</w:t>
                  </w:r>
                  <w:r w:rsidRPr="00B1467E">
                    <w:rPr>
                      <w:rStyle w:val="nfaseSutil"/>
                      <w:rFonts w:ascii="Cambria" w:hAnsi="Cambria"/>
                      <w:i w:val="0"/>
                      <w:iCs w:val="0"/>
                      <w:color w:val="auto"/>
                      <w:sz w:val="26"/>
                      <w:szCs w:val="26"/>
                    </w:rPr>
                    <w:t xml:space="preserve"> </w:t>
                  </w:r>
                  <w:hyperlink r:id="rId10">
                    <w:r w:rsidR="00150077" w:rsidRPr="00B1467E">
                      <w:rPr>
                        <w:rStyle w:val="Hyperlink"/>
                        <w:rFonts w:ascii="Cambria" w:hAnsi="Cambria"/>
                        <w:i/>
                        <w:iCs/>
                        <w:color w:val="auto"/>
                        <w:sz w:val="26"/>
                        <w:szCs w:val="26"/>
                      </w:rPr>
                      <w:t>www.bnc.org.br</w:t>
                    </w:r>
                  </w:hyperlink>
                  <w:r w:rsidRPr="00F467C1">
                    <w:rPr>
                      <w:rFonts w:ascii="Cambria" w:hAnsi="Cambria"/>
                      <w:i/>
                      <w:iCs/>
                      <w:sz w:val="26"/>
                      <w:szCs w:val="26"/>
                    </w:rPr>
                    <w:t xml:space="preserve"> </w:t>
                  </w:r>
                  <w:bookmarkEnd w:id="5"/>
                  <w:bookmarkEnd w:id="6"/>
                </w:p>
              </w:txbxContent>
            </v:textbox>
            <w10:wrap anchorx="margin"/>
          </v:rect>
        </w:pict>
      </w:r>
      <w:r w:rsidR="00F467C1">
        <w:rPr>
          <w:rFonts w:ascii="Cambria" w:hAnsi="Cambria"/>
        </w:rPr>
        <w:t xml:space="preserve">O </w:t>
      </w:r>
      <w:r w:rsidR="00F467C1">
        <w:rPr>
          <w:rFonts w:ascii="Cambria" w:hAnsi="Cambria"/>
          <w:b/>
        </w:rPr>
        <w:t>FUNDO MUNICIPAL DE CULTURA</w:t>
      </w:r>
      <w:r w:rsidR="00F467C1">
        <w:rPr>
          <w:rFonts w:ascii="Cambria" w:hAnsi="Cambria"/>
        </w:rPr>
        <w:t xml:space="preserve">, Estado de Goiás, Pessoa Jurídica de Direito Público Interno, com sede na </w:t>
      </w:r>
      <w:r w:rsidR="00F467C1">
        <w:rPr>
          <w:rFonts w:ascii="Cambria" w:hAnsi="Cambria" w:cs="Segoe UI"/>
        </w:rPr>
        <w:t>Praça Wilson Eloy Pimenta, nº 100, Centro – Piracanjuba/GO</w:t>
      </w:r>
      <w:r w:rsidR="00F467C1">
        <w:rPr>
          <w:rFonts w:ascii="Cambria" w:hAnsi="Cambria"/>
        </w:rPr>
        <w:t xml:space="preserve">, inscrito no CNPJ sob o nº 22.957.266/0001-60, representado pelo seu atual gestor, </w:t>
      </w:r>
      <w:r w:rsidR="00F467C1">
        <w:rPr>
          <w:rFonts w:ascii="Cambria" w:hAnsi="Cambria"/>
          <w:b/>
          <w:bCs/>
        </w:rPr>
        <w:t xml:space="preserve">Sr. Jovair Antônio Pontes dos Santos, </w:t>
      </w:r>
      <w:r w:rsidR="00F467C1">
        <w:rPr>
          <w:rFonts w:ascii="Cambria" w:hAnsi="Cambria"/>
        </w:rPr>
        <w:t xml:space="preserve">inscrito no CPF sob o nº 364.177.691-00, por intermédio da Agente de Contratação, usando a competência atribuída pelo Decreto Municipal nº 82/2026, torna público para o conhecimento dos interessados que fará realizar licitação na modalidade </w:t>
      </w:r>
      <w:r w:rsidR="00F467C1">
        <w:rPr>
          <w:rFonts w:ascii="Cambria" w:hAnsi="Cambria"/>
          <w:b/>
        </w:rPr>
        <w:t xml:space="preserve">PREGÃO ELETRÔNICO Nº 31/2026 </w:t>
      </w:r>
      <w:r w:rsidR="00F467C1">
        <w:rPr>
          <w:rFonts w:ascii="Cambria" w:hAnsi="Cambria"/>
          <w:bCs/>
        </w:rPr>
        <w:t>– Sistema de Registro de Preços,</w:t>
      </w:r>
      <w:r w:rsidR="00F467C1">
        <w:rPr>
          <w:rFonts w:ascii="Cambria" w:hAnsi="Cambria"/>
        </w:rPr>
        <w:t xml:space="preserve"> do </w:t>
      </w:r>
      <w:r w:rsidR="00F467C1">
        <w:rPr>
          <w:rFonts w:ascii="Cambria" w:hAnsi="Cambria" w:cs="Arial"/>
        </w:rPr>
        <w:t xml:space="preserve">tipo Menor Preço por Item, objetivando a </w:t>
      </w:r>
      <w:r w:rsidR="00F467C1">
        <w:rPr>
          <w:rFonts w:ascii="Cambria" w:hAnsi="Cambria"/>
        </w:rPr>
        <w:t xml:space="preserve">aquisição de solução completa de visualização e sinalização digital (Digital </w:t>
      </w:r>
      <w:proofErr w:type="spellStart"/>
      <w:r w:rsidR="00F467C1">
        <w:rPr>
          <w:rFonts w:ascii="Cambria" w:hAnsi="Cambria"/>
        </w:rPr>
        <w:t>Signage</w:t>
      </w:r>
      <w:proofErr w:type="spellEnd"/>
      <w:r w:rsidR="00F467C1">
        <w:rPr>
          <w:rFonts w:ascii="Cambria" w:hAnsi="Cambria"/>
        </w:rPr>
        <w:t xml:space="preserve">), composta por painel de LED modular de alta performance híbrido (indoor/outdoor), projetado para operação em eventos culturais e ambientes institucionais, atendendo assim as necessidades da Secretaria Municipal de Cultura de Piracanjuba/GO, conforme discriminações e quantidades descritas no Estudo Técnico Preliminar, Termo de Referência </w:t>
      </w:r>
      <w:bookmarkEnd w:id="4"/>
      <w:r w:rsidR="00F467C1">
        <w:rPr>
          <w:rFonts w:ascii="Cambria" w:hAnsi="Cambria"/>
        </w:rPr>
        <w:t xml:space="preserve">e demais anexos. </w:t>
      </w:r>
    </w:p>
    <w:p w14:paraId="1267C013" w14:textId="77777777" w:rsidR="00150077" w:rsidRDefault="00000000">
      <w:pPr>
        <w:pStyle w:val="NormalWeb"/>
        <w:spacing w:before="280" w:after="280" w:line="360" w:lineRule="auto"/>
        <w:jc w:val="both"/>
        <w:rPr>
          <w:rFonts w:ascii="Cambria" w:hAnsi="Cambria"/>
          <w:color w:val="000000" w:themeColor="text1"/>
          <w:sz w:val="22"/>
          <w:szCs w:val="22"/>
        </w:rPr>
      </w:pPr>
      <w:bookmarkStart w:id="7" w:name="_Hlk158814368"/>
      <w:bookmarkStart w:id="8" w:name="_Hlk162956489"/>
      <w:r>
        <w:rPr>
          <w:rFonts w:ascii="Cambria" w:hAnsi="Cambria"/>
          <w:color w:val="000000" w:themeColor="text1"/>
          <w:sz w:val="22"/>
          <w:szCs w:val="22"/>
        </w:rPr>
        <w:t>desde edital.</w:t>
      </w:r>
      <w:bookmarkEnd w:id="7"/>
      <w:bookmarkEnd w:id="8"/>
    </w:p>
    <w:p w14:paraId="314064BB" w14:textId="77777777" w:rsidR="00150077" w:rsidRDefault="00150077">
      <w:pPr>
        <w:pStyle w:val="NormalWeb"/>
        <w:spacing w:before="240" w:after="240" w:line="360" w:lineRule="auto"/>
        <w:jc w:val="both"/>
        <w:rPr>
          <w:rFonts w:ascii="Cambria" w:hAnsi="Cambria"/>
          <w:color w:val="000000" w:themeColor="text1"/>
          <w:sz w:val="22"/>
          <w:szCs w:val="22"/>
        </w:rPr>
      </w:pPr>
      <w:bookmarkStart w:id="9" w:name="_Hlk112158169"/>
      <w:bookmarkEnd w:id="9"/>
    </w:p>
    <w:p w14:paraId="0E652CE2" w14:textId="77777777" w:rsidR="00150077" w:rsidRDefault="00150077">
      <w:pPr>
        <w:pStyle w:val="NormalWeb"/>
        <w:spacing w:before="240" w:after="240" w:line="360" w:lineRule="auto"/>
        <w:jc w:val="both"/>
        <w:rPr>
          <w:rFonts w:ascii="Cambria" w:hAnsi="Cambria"/>
          <w:color w:val="000000" w:themeColor="text1"/>
          <w:sz w:val="22"/>
          <w:szCs w:val="22"/>
        </w:rPr>
      </w:pPr>
    </w:p>
    <w:p w14:paraId="5A779080" w14:textId="77777777" w:rsidR="00150077" w:rsidRDefault="00150077">
      <w:pPr>
        <w:pStyle w:val="NormalWeb"/>
        <w:spacing w:before="240" w:after="240" w:line="360" w:lineRule="auto"/>
        <w:jc w:val="both"/>
        <w:rPr>
          <w:rFonts w:ascii="Cambria" w:hAnsi="Cambria"/>
          <w:color w:val="000000" w:themeColor="text1"/>
          <w:sz w:val="22"/>
          <w:szCs w:val="22"/>
        </w:rPr>
      </w:pPr>
      <w:bookmarkStart w:id="10" w:name="_Hlk171601071"/>
      <w:bookmarkEnd w:id="10"/>
    </w:p>
    <w:p w14:paraId="37EF5365" w14:textId="77777777" w:rsidR="00150077" w:rsidRDefault="00000000">
      <w:pPr>
        <w:pStyle w:val="NormalWeb"/>
        <w:spacing w:before="280" w:after="280" w:line="360" w:lineRule="auto"/>
        <w:jc w:val="both"/>
        <w:rPr>
          <w:rFonts w:ascii="Cambria" w:hAnsi="Cambria"/>
          <w:color w:val="000000" w:themeColor="text1"/>
        </w:rPr>
      </w:pPr>
      <w:r>
        <w:rPr>
          <w:rFonts w:ascii="Cambria" w:hAnsi="Cambria"/>
          <w:color w:val="000000" w:themeColor="text1"/>
        </w:rPr>
        <w:t xml:space="preserve">O presente certame reger-se-á pela Lei Federal nº. 14.133, de 01 de abril de 2021, Lei Complementar nº 123, de 14 de dezembro de 2006, Lei Complementar nº 147, de 07 de agosto de 2014, Decreto Municipal nº 17, de 08 de janeiro de 2024, Decreto Municipal </w:t>
      </w:r>
      <w:r>
        <w:rPr>
          <w:rFonts w:ascii="Cambria" w:hAnsi="Cambria"/>
          <w:color w:val="000000" w:themeColor="text1"/>
        </w:rPr>
        <w:lastRenderedPageBreak/>
        <w:t>nº 18, de 08 de janeiro de 2024, Decreto Municipal nº 21, de 08 de janeiro de 2024 e demais legislações pertinentes.</w:t>
      </w:r>
    </w:p>
    <w:p w14:paraId="735F1BCF" w14:textId="77777777" w:rsidR="00150077" w:rsidRDefault="00000000">
      <w:pPr>
        <w:pStyle w:val="NormalWeb"/>
        <w:spacing w:before="240" w:after="240" w:line="360" w:lineRule="auto"/>
        <w:jc w:val="both"/>
        <w:rPr>
          <w:rFonts w:ascii="Cambria" w:hAnsi="Cambria"/>
          <w:color w:val="000000" w:themeColor="text1"/>
        </w:rPr>
      </w:pPr>
      <w:r>
        <w:rPr>
          <w:rFonts w:ascii="Cambria" w:hAnsi="Cambria"/>
          <w:bCs/>
          <w:color w:val="000000" w:themeColor="text1"/>
        </w:rPr>
        <w:t>O caderno de licitações composto de EDITAL e ANEXOS</w:t>
      </w:r>
      <w:r>
        <w:rPr>
          <w:rFonts w:ascii="Cambria" w:hAnsi="Cambria"/>
          <w:color w:val="000000" w:themeColor="text1"/>
        </w:rPr>
        <w:t xml:space="preserve"> poderá ser adquirido através do link “licitações” da</w:t>
      </w:r>
      <w:r>
        <w:rPr>
          <w:rFonts w:ascii="Cambria" w:hAnsi="Cambria"/>
          <w:i/>
          <w:color w:val="000000" w:themeColor="text1"/>
        </w:rPr>
        <w:t xml:space="preserve"> web site </w:t>
      </w:r>
      <w:r>
        <w:rPr>
          <w:rFonts w:ascii="Cambria" w:hAnsi="Cambria"/>
          <w:color w:val="000000" w:themeColor="text1"/>
        </w:rPr>
        <w:t>oficial do Município &lt;</w:t>
      </w:r>
      <w:hyperlink r:id="rId11">
        <w:r w:rsidR="00150077" w:rsidRPr="00F467C1">
          <w:rPr>
            <w:rStyle w:val="Hyperlink"/>
            <w:rFonts w:ascii="Cambria" w:hAnsi="Cambria"/>
            <w:color w:val="000000" w:themeColor="text1"/>
          </w:rPr>
          <w:t>http://www.piracanjuba.go.gov.br</w:t>
        </w:r>
      </w:hyperlink>
      <w:r>
        <w:rPr>
          <w:rStyle w:val="Hyperlink"/>
          <w:rFonts w:ascii="Cambria" w:hAnsi="Cambria"/>
          <w:color w:val="000000" w:themeColor="text1"/>
        </w:rPr>
        <w:t>&gt;</w:t>
      </w:r>
      <w:r>
        <w:rPr>
          <w:rFonts w:ascii="Cambria" w:hAnsi="Cambria"/>
          <w:color w:val="000000" w:themeColor="text1"/>
        </w:rPr>
        <w:t xml:space="preserve"> e através do Endereço Eletrônico da Bolsa Nacional de Compras – BNC &lt;</w:t>
      </w:r>
      <w:hyperlink r:id="rId12">
        <w:r w:rsidR="00150077" w:rsidRPr="00F467C1">
          <w:rPr>
            <w:rStyle w:val="Hyperlink"/>
            <w:rFonts w:ascii="Cambria" w:hAnsi="Cambria"/>
            <w:color w:val="000000" w:themeColor="text1"/>
          </w:rPr>
          <w:t>www.bnc.org.br</w:t>
        </w:r>
      </w:hyperlink>
      <w:r>
        <w:rPr>
          <w:rFonts w:ascii="Cambria" w:hAnsi="Cambria"/>
          <w:color w:val="000000" w:themeColor="text1"/>
        </w:rPr>
        <w:t>&gt;. Quaisquer informações</w:t>
      </w:r>
      <w:r>
        <w:rPr>
          <w:rFonts w:ascii="Cambria" w:hAnsi="Cambria"/>
          <w:b/>
          <w:color w:val="000000" w:themeColor="text1"/>
        </w:rPr>
        <w:t xml:space="preserve"> </w:t>
      </w:r>
      <w:r>
        <w:rPr>
          <w:rFonts w:ascii="Cambria" w:hAnsi="Cambria"/>
          <w:color w:val="000000" w:themeColor="text1"/>
        </w:rPr>
        <w:t xml:space="preserve">adicionais poderão ser obtidas através do e-mail do Departamento de Licitações: </w:t>
      </w:r>
      <w:hyperlink r:id="rId13">
        <w:r w:rsidR="00150077" w:rsidRPr="00F467C1">
          <w:rPr>
            <w:rStyle w:val="Hyperlink"/>
            <w:rFonts w:ascii="Cambria" w:hAnsi="Cambria"/>
            <w:color w:val="000000" w:themeColor="text1"/>
          </w:rPr>
          <w:t>licitacao.pjba2028@outlook.com</w:t>
        </w:r>
      </w:hyperlink>
      <w:r>
        <w:rPr>
          <w:rFonts w:ascii="Cambria" w:hAnsi="Cambria"/>
          <w:color w:val="000000" w:themeColor="text1"/>
        </w:rPr>
        <w:t>.</w:t>
      </w:r>
    </w:p>
    <w:p w14:paraId="22BAD76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01. DO OBJETO E DEFINIÇÕES</w:t>
      </w:r>
    </w:p>
    <w:p w14:paraId="74E63FFD" w14:textId="77777777" w:rsidR="00150077" w:rsidRDefault="00000000">
      <w:pPr>
        <w:pStyle w:val="NormalWeb"/>
        <w:spacing w:before="280" w:after="280" w:line="360" w:lineRule="auto"/>
        <w:jc w:val="both"/>
        <w:rPr>
          <w:rFonts w:ascii="Cambria" w:hAnsi="Cambria"/>
          <w:bCs/>
          <w:color w:val="000000" w:themeColor="text1"/>
        </w:rPr>
      </w:pPr>
      <w:r>
        <w:rPr>
          <w:rFonts w:ascii="Cambria" w:hAnsi="Cambria"/>
          <w:b/>
          <w:bCs/>
          <w:color w:val="000000" w:themeColor="text1"/>
        </w:rPr>
        <w:t>1.1</w:t>
      </w:r>
      <w:r>
        <w:rPr>
          <w:rFonts w:ascii="Cambria" w:hAnsi="Cambria"/>
          <w:bCs/>
          <w:color w:val="000000" w:themeColor="text1"/>
        </w:rPr>
        <w:t xml:space="preserve"> A presente licitação tem por objeto a </w:t>
      </w:r>
      <w:r>
        <w:rPr>
          <w:rFonts w:ascii="Cambria" w:hAnsi="Cambria"/>
        </w:rPr>
        <w:t xml:space="preserve">aquisição de solução completa de visualização e sinalização digital (Digital </w:t>
      </w:r>
      <w:proofErr w:type="spellStart"/>
      <w:r>
        <w:rPr>
          <w:rFonts w:ascii="Cambria" w:hAnsi="Cambria"/>
        </w:rPr>
        <w:t>Signage</w:t>
      </w:r>
      <w:proofErr w:type="spellEnd"/>
      <w:r>
        <w:rPr>
          <w:rFonts w:ascii="Cambria" w:hAnsi="Cambria"/>
        </w:rPr>
        <w:t>), composta por painel de LED modular de alta performance híbrido (indoor/outdoor), projetado para operação em eventos culturais e ambientes institucionais, atendendo assim as necessidades da Secretaria Municipal de Cultura de Piracanjuba/GO</w:t>
      </w:r>
      <w:r>
        <w:rPr>
          <w:rFonts w:ascii="Cambria" w:hAnsi="Cambria"/>
          <w:color w:val="000000" w:themeColor="text1"/>
        </w:rPr>
        <w:t xml:space="preserve">. Conforme discriminações e quantidades descritas no Estudo Técnico Preliminar e Termo de Referência, anexos deste edital, fornecimento </w:t>
      </w:r>
      <w:r>
        <w:rPr>
          <w:rFonts w:ascii="Cambria" w:hAnsi="Cambria"/>
          <w:bCs/>
          <w:color w:val="000000" w:themeColor="text1"/>
        </w:rPr>
        <w:t xml:space="preserve">mediante requisições expedidas por autoridade competente, conforme a necessidade e interesse público, tendo validade de 01 (um) ano, podendo ser prorrogado nos termos da LLC 14133/2021. </w:t>
      </w:r>
    </w:p>
    <w:p w14:paraId="4031C83E" w14:textId="77777777" w:rsidR="00150077" w:rsidRDefault="00000000">
      <w:pPr>
        <w:pStyle w:val="NormalWeb"/>
        <w:spacing w:before="240" w:after="280" w:line="360" w:lineRule="auto"/>
        <w:ind w:firstLine="567"/>
        <w:jc w:val="both"/>
        <w:rPr>
          <w:rFonts w:ascii="Cambria" w:hAnsi="Cambria"/>
          <w:bCs/>
          <w:color w:val="000000" w:themeColor="text1"/>
        </w:rPr>
      </w:pPr>
      <w:r>
        <w:rPr>
          <w:rFonts w:ascii="Cambria" w:hAnsi="Cambria"/>
          <w:b/>
          <w:color w:val="000000" w:themeColor="text1"/>
        </w:rPr>
        <w:t>I.</w:t>
      </w:r>
      <w:r>
        <w:rPr>
          <w:rFonts w:ascii="Cambria" w:hAnsi="Cambria"/>
          <w:color w:val="000000" w:themeColor="text1"/>
        </w:rPr>
        <w:t xml:space="preserve"> Em caso de discordância existente entre as especificações do objeto descrito na </w:t>
      </w:r>
      <w:bookmarkStart w:id="11" w:name="_Hlk112158267"/>
      <w:r>
        <w:rPr>
          <w:rFonts w:ascii="Cambria" w:hAnsi="Cambria"/>
          <w:color w:val="000000" w:themeColor="text1"/>
        </w:rPr>
        <w:t>BNC (Bolsa Nacional de Compras)</w:t>
      </w:r>
      <w:bookmarkEnd w:id="11"/>
      <w:r>
        <w:rPr>
          <w:rFonts w:ascii="Cambria" w:hAnsi="Cambria"/>
          <w:color w:val="000000" w:themeColor="text1"/>
        </w:rPr>
        <w:t xml:space="preserve"> e as especificações constantes deste Edital, prevalecerão as especificações contidas no Edital.</w:t>
      </w:r>
    </w:p>
    <w:p w14:paraId="50DBCBC3" w14:textId="77777777" w:rsidR="00150077" w:rsidRDefault="00000000">
      <w:pPr>
        <w:pStyle w:val="NormalWeb"/>
        <w:spacing w:before="280" w:after="280" w:line="360" w:lineRule="auto"/>
        <w:jc w:val="both"/>
        <w:rPr>
          <w:rFonts w:ascii="Cambria" w:hAnsi="Cambria"/>
          <w:color w:val="000000" w:themeColor="text1"/>
        </w:rPr>
      </w:pPr>
      <w:r>
        <w:rPr>
          <w:rFonts w:ascii="Cambria" w:hAnsi="Cambria"/>
          <w:b/>
          <w:color w:val="000000" w:themeColor="text1"/>
        </w:rPr>
        <w:t xml:space="preserve">1.2 </w:t>
      </w:r>
      <w:r>
        <w:rPr>
          <w:rFonts w:ascii="Cambria" w:hAnsi="Cambria"/>
          <w:color w:val="000000" w:themeColor="text1"/>
        </w:rPr>
        <w:t xml:space="preserve">Os bens desta licitação deverão ser novos, sem uso anterior, e atender às especificações técnicas estabelecidas neste Edital e seus anexos, observando os padrões de qualidade, segurança e desempenho exigidos pela legislação vigente. Quando aplicável, deverão estar em conformidade com as normas dos órgãos competentes de regulamentação, normalização e fiscalização, bem como possuir as certificações, registros ou selos exigidos pela legislação específica. O fornecimento dos </w:t>
      </w:r>
      <w:r>
        <w:rPr>
          <w:rFonts w:ascii="Cambria" w:hAnsi="Cambria"/>
          <w:color w:val="000000" w:themeColor="text1"/>
        </w:rPr>
        <w:lastRenderedPageBreak/>
        <w:t>bens deverá observar, ainda, as disposições da Lei Federal nº 8.078, de 11 de setembro de 1990 (Código de Defesa do Consumidor), e demais normas aplicáveis ao objeto.</w:t>
      </w:r>
    </w:p>
    <w:p w14:paraId="1B24DE7F" w14:textId="77777777" w:rsidR="00150077" w:rsidRDefault="00000000">
      <w:pPr>
        <w:pStyle w:val="NormalWeb"/>
        <w:spacing w:before="240" w:after="280" w:line="360" w:lineRule="auto"/>
        <w:jc w:val="both"/>
        <w:rPr>
          <w:rFonts w:ascii="Cambria" w:hAnsi="Cambria"/>
          <w:color w:val="000000" w:themeColor="text1"/>
        </w:rPr>
      </w:pPr>
      <w:r>
        <w:rPr>
          <w:rFonts w:ascii="Cambria" w:hAnsi="Cambria"/>
          <w:b/>
          <w:color w:val="000000" w:themeColor="text1"/>
        </w:rPr>
        <w:t xml:space="preserve">1.3 </w:t>
      </w:r>
      <w:r>
        <w:rPr>
          <w:rFonts w:ascii="Cambria" w:hAnsi="Cambria"/>
          <w:color w:val="000000" w:themeColor="text1"/>
        </w:rPr>
        <w:t>Para fins deste Edital consideram-se:</w:t>
      </w:r>
    </w:p>
    <w:p w14:paraId="70785BC4"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 Sistema de Registro de Preços:</w:t>
      </w:r>
      <w:r>
        <w:rPr>
          <w:rFonts w:ascii="Cambria" w:hAnsi="Cambria"/>
          <w:color w:val="000000" w:themeColor="text1"/>
          <w:sz w:val="24"/>
          <w:szCs w:val="24"/>
        </w:rPr>
        <w:t xml:space="preserve">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54655FCB"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 Ata de Registro de Preços:</w:t>
      </w:r>
      <w:r>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conforme disposições contidas no edital da licitação, no aviso ou instrumento de contratação direta e nas propostas apresentadas.</w:t>
      </w:r>
    </w:p>
    <w:p w14:paraId="5018D6AC"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Órgão Gerenciador:</w:t>
      </w:r>
      <w:r>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63F05BD9"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Órgão ou Entidade Participante:</w:t>
      </w:r>
      <w:r>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17008C18" w14:textId="77777777" w:rsidR="00150077" w:rsidRDefault="00000000">
      <w:pPr>
        <w:pStyle w:val="NormalWeb"/>
        <w:spacing w:before="280" w:after="280" w:line="360" w:lineRule="auto"/>
        <w:ind w:firstLine="567"/>
        <w:jc w:val="both"/>
        <w:rPr>
          <w:rFonts w:ascii="Cambria" w:hAnsi="Cambria"/>
          <w:color w:val="000000" w:themeColor="text1"/>
        </w:rPr>
      </w:pPr>
      <w:r>
        <w:rPr>
          <w:rFonts w:ascii="Cambria" w:hAnsi="Cambria"/>
          <w:b/>
          <w:color w:val="000000" w:themeColor="text1"/>
        </w:rPr>
        <w:t>V. Órgão não participante:</w:t>
      </w:r>
      <w:r>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0B0B3CA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02. DAS CONDIÇÕES DE PARTICIPAÇÃO</w:t>
      </w:r>
    </w:p>
    <w:p w14:paraId="49229488" w14:textId="77777777" w:rsidR="00150077" w:rsidRPr="00F467C1" w:rsidRDefault="00000000">
      <w:pPr>
        <w:tabs>
          <w:tab w:val="left" w:pos="1701"/>
          <w:tab w:val="left" w:pos="1843"/>
        </w:tabs>
        <w:spacing w:before="240" w:line="360" w:lineRule="auto"/>
        <w:rPr>
          <w:rFonts w:ascii="Cambria" w:hAnsi="Cambria"/>
          <w:i/>
          <w:iCs/>
          <w:color w:val="000000" w:themeColor="text1"/>
          <w:sz w:val="24"/>
          <w:szCs w:val="24"/>
        </w:rPr>
      </w:pPr>
      <w:r>
        <w:rPr>
          <w:rFonts w:ascii="Cambria" w:hAnsi="Cambria"/>
          <w:b/>
          <w:bCs/>
          <w:color w:val="000000" w:themeColor="text1"/>
          <w:sz w:val="24"/>
          <w:szCs w:val="24"/>
        </w:rPr>
        <w:t xml:space="preserve">2.1 </w:t>
      </w:r>
      <w:r>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w:t>
      </w:r>
      <w:r>
        <w:rPr>
          <w:rFonts w:ascii="Cambria" w:hAnsi="Cambria"/>
          <w:color w:val="000000" w:themeColor="text1"/>
          <w:sz w:val="24"/>
          <w:szCs w:val="24"/>
        </w:rPr>
        <w:lastRenderedPageBreak/>
        <w:t xml:space="preserve">exigências deste Edital, Anexos e ainda devidamente cadastradas junto à BNC – Bolsa Nacional de Compras, através do site </w:t>
      </w:r>
      <w:hyperlink r:id="rId14">
        <w:r w:rsidR="00150077" w:rsidRPr="00F467C1">
          <w:rPr>
            <w:rStyle w:val="Hyperlink"/>
            <w:rFonts w:ascii="Cambria" w:hAnsi="Cambria"/>
            <w:color w:val="000000" w:themeColor="text1"/>
            <w:sz w:val="24"/>
            <w:szCs w:val="24"/>
          </w:rPr>
          <w:t>www.bnc.org.br</w:t>
        </w:r>
      </w:hyperlink>
      <w:r w:rsidRPr="00F467C1">
        <w:rPr>
          <w:rFonts w:ascii="Cambria" w:hAnsi="Cambria"/>
          <w:color w:val="000000" w:themeColor="text1"/>
          <w:sz w:val="24"/>
          <w:szCs w:val="24"/>
        </w:rPr>
        <w:t>.</w:t>
      </w:r>
    </w:p>
    <w:p w14:paraId="4EA8F248" w14:textId="77777777" w:rsidR="00150077" w:rsidRPr="00F467C1" w:rsidRDefault="00000000">
      <w:pPr>
        <w:tabs>
          <w:tab w:val="left" w:pos="1701"/>
          <w:tab w:val="left" w:pos="1843"/>
        </w:tabs>
        <w:spacing w:before="240" w:line="360" w:lineRule="auto"/>
        <w:ind w:firstLine="567"/>
        <w:rPr>
          <w:rFonts w:ascii="Cambria" w:hAnsi="Cambria"/>
          <w:color w:val="000000" w:themeColor="text1"/>
          <w:sz w:val="24"/>
          <w:szCs w:val="24"/>
        </w:rPr>
      </w:pPr>
      <w:r w:rsidRPr="00F467C1">
        <w:rPr>
          <w:rFonts w:ascii="Cambria" w:hAnsi="Cambria"/>
          <w:b/>
          <w:bCs/>
          <w:color w:val="000000" w:themeColor="text1"/>
          <w:sz w:val="24"/>
          <w:szCs w:val="24"/>
        </w:rPr>
        <w:t xml:space="preserve">I. </w:t>
      </w:r>
      <w:r w:rsidRPr="00F467C1">
        <w:rPr>
          <w:rFonts w:ascii="Cambria" w:hAnsi="Cambria"/>
          <w:color w:val="000000" w:themeColor="text1"/>
          <w:sz w:val="24"/>
          <w:szCs w:val="24"/>
        </w:rPr>
        <w:t>O custo de operacionalização pelo uso da Plataforma de Pregão Eletrônico, a título de remuneração pela utilização dos recursos da tecnologia da informação ficará a cargo do licitante participante, que poderá escolher entre os Planos de Adesão disponíveis no site detentor da plataforma eletrônica.</w:t>
      </w:r>
    </w:p>
    <w:p w14:paraId="42639BEF" w14:textId="77777777" w:rsidR="00150077" w:rsidRPr="00F467C1" w:rsidRDefault="00000000">
      <w:pPr>
        <w:tabs>
          <w:tab w:val="left" w:pos="1701"/>
          <w:tab w:val="left" w:pos="1843"/>
        </w:tabs>
        <w:spacing w:before="240" w:line="360" w:lineRule="auto"/>
        <w:ind w:left="567" w:firstLine="567"/>
        <w:rPr>
          <w:rFonts w:ascii="Cambria" w:hAnsi="Cambria"/>
          <w:color w:val="000000" w:themeColor="text1"/>
          <w:sz w:val="24"/>
          <w:szCs w:val="24"/>
        </w:rPr>
      </w:pPr>
      <w:r w:rsidRPr="00F467C1">
        <w:rPr>
          <w:rFonts w:ascii="Cambria" w:hAnsi="Cambria"/>
          <w:b/>
          <w:bCs/>
          <w:color w:val="000000" w:themeColor="text1"/>
          <w:sz w:val="24"/>
          <w:szCs w:val="24"/>
        </w:rPr>
        <w:t>a)</w:t>
      </w:r>
      <w:r w:rsidRPr="00F467C1">
        <w:rPr>
          <w:rFonts w:ascii="Cambria" w:hAnsi="Cambria"/>
          <w:color w:val="000000" w:themeColor="text1"/>
          <w:sz w:val="24"/>
          <w:szCs w:val="24"/>
        </w:rPr>
        <w:t xml:space="preserve"> Correrá por conta das licitantes todos os custos decorrentes da elaboração e apresentação de suas propostas, não sendo devida nenhuma indenização às licitantes pela realização de tais atos.</w:t>
      </w:r>
    </w:p>
    <w:p w14:paraId="0261E942" w14:textId="77777777" w:rsidR="00150077" w:rsidRDefault="00000000">
      <w:pPr>
        <w:tabs>
          <w:tab w:val="left" w:pos="1701"/>
          <w:tab w:val="left" w:pos="1843"/>
        </w:tabs>
        <w:spacing w:before="240" w:line="360" w:lineRule="auto"/>
        <w:rPr>
          <w:rFonts w:ascii="Cambria" w:hAnsi="Cambria"/>
          <w:color w:val="000000" w:themeColor="text1"/>
          <w:sz w:val="24"/>
          <w:szCs w:val="24"/>
        </w:rPr>
      </w:pPr>
      <w:bookmarkStart w:id="12" w:name="_Hlk226361225"/>
      <w:r>
        <w:rPr>
          <w:rFonts w:ascii="Cambria" w:hAnsi="Cambria"/>
          <w:b/>
          <w:bCs/>
          <w:color w:val="000000" w:themeColor="text1"/>
          <w:sz w:val="24"/>
          <w:szCs w:val="24"/>
        </w:rPr>
        <w:t>2.2</w:t>
      </w:r>
      <w:r>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13E3CC2" w14:textId="77777777" w:rsidR="00150077" w:rsidRDefault="00000000">
      <w:pPr>
        <w:pStyle w:val="NormalWeb"/>
        <w:spacing w:before="0" w:beforeAutospacing="0" w:after="0" w:afterAutospacing="0" w:line="360" w:lineRule="auto"/>
        <w:ind w:firstLine="567"/>
        <w:jc w:val="both"/>
        <w:rPr>
          <w:rFonts w:ascii="Cambria" w:hAnsi="Cambria" w:cstheme="minorHAnsi"/>
          <w:color w:val="000000" w:themeColor="text1"/>
        </w:rPr>
      </w:pPr>
      <w:r>
        <w:rPr>
          <w:rFonts w:ascii="Cambria" w:hAnsi="Cambria" w:cstheme="minorHAnsi"/>
          <w:b/>
          <w:bCs/>
          <w:color w:val="000000" w:themeColor="text1"/>
        </w:rPr>
        <w:t>2.2.1</w:t>
      </w:r>
      <w:r>
        <w:rPr>
          <w:rFonts w:ascii="Cambria" w:hAnsi="Cambria" w:cstheme="minorHAnsi"/>
          <w:color w:val="000000" w:themeColor="text1"/>
        </w:rPr>
        <w:tab/>
        <w:t xml:space="preserve">Não se aplica o disposto nos </w:t>
      </w:r>
      <w:proofErr w:type="spellStart"/>
      <w:r>
        <w:rPr>
          <w:rFonts w:ascii="Cambria" w:hAnsi="Cambria" w:cstheme="minorHAnsi"/>
          <w:color w:val="000000" w:themeColor="text1"/>
        </w:rPr>
        <w:t>Arts</w:t>
      </w:r>
      <w:proofErr w:type="spellEnd"/>
      <w:r>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4BAD7F4C" w14:textId="77777777" w:rsidR="00150077" w:rsidRDefault="00000000">
      <w:pPr>
        <w:pStyle w:val="NormalWeb"/>
        <w:spacing w:before="280" w:after="280" w:line="360" w:lineRule="auto"/>
        <w:ind w:firstLine="567"/>
        <w:jc w:val="both"/>
        <w:rPr>
          <w:rFonts w:ascii="Cambria" w:hAnsi="Cambria" w:cstheme="minorHAnsi"/>
          <w:color w:val="000000" w:themeColor="text1"/>
        </w:rPr>
      </w:pPr>
      <w:r>
        <w:rPr>
          <w:rFonts w:ascii="Cambria" w:hAnsi="Cambria" w:cstheme="minorHAnsi"/>
          <w:b/>
          <w:bCs/>
          <w:color w:val="000000" w:themeColor="text1"/>
        </w:rPr>
        <w:t>2.2.2</w:t>
      </w:r>
      <w:r>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59F96683" w14:textId="77777777" w:rsidR="00150077" w:rsidRDefault="00000000">
      <w:pPr>
        <w:tabs>
          <w:tab w:val="left" w:pos="1418"/>
          <w:tab w:val="left" w:pos="1843"/>
        </w:tabs>
        <w:spacing w:before="240" w:line="360" w:lineRule="auto"/>
        <w:ind w:firstLine="567"/>
        <w:rPr>
          <w:rFonts w:ascii="Cambria" w:hAnsi="Cambria"/>
          <w:color w:val="000000" w:themeColor="text1"/>
          <w:sz w:val="24"/>
          <w:szCs w:val="24"/>
        </w:rPr>
      </w:pPr>
      <w:r>
        <w:rPr>
          <w:rFonts w:ascii="Cambria" w:hAnsi="Cambria" w:cstheme="minorHAnsi"/>
          <w:b/>
          <w:bCs/>
          <w:color w:val="000000" w:themeColor="text1"/>
          <w:sz w:val="24"/>
          <w:szCs w:val="24"/>
        </w:rPr>
        <w:t>2.2.3</w:t>
      </w:r>
      <w:r>
        <w:rPr>
          <w:rFonts w:ascii="Cambria" w:hAnsi="Cambria" w:cstheme="minorHAnsi"/>
          <w:color w:val="000000" w:themeColor="text1"/>
          <w:sz w:val="24"/>
          <w:szCs w:val="24"/>
        </w:rPr>
        <w:tab/>
        <w:t xml:space="preserve">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w:t>
      </w:r>
      <w:r>
        <w:rPr>
          <w:rFonts w:ascii="Cambria" w:hAnsi="Cambria" w:cstheme="minorHAnsi"/>
          <w:color w:val="000000" w:themeColor="text1"/>
          <w:sz w:val="24"/>
          <w:szCs w:val="24"/>
        </w:rPr>
        <w:lastRenderedPageBreak/>
        <w:t>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 I).</w:t>
      </w:r>
    </w:p>
    <w:p w14:paraId="4FDE898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2.3</w:t>
      </w:r>
      <w:r>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274DF28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2.4 </w:t>
      </w:r>
      <w:r>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745D142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2.5</w:t>
      </w:r>
      <w:r>
        <w:rPr>
          <w:rFonts w:ascii="Cambria" w:hAnsi="Cambria"/>
          <w:color w:val="000000" w:themeColor="text1"/>
          <w:sz w:val="24"/>
          <w:szCs w:val="24"/>
        </w:rPr>
        <w:t xml:space="preserve"> Não poderão disputar licitação ou participar da execução de contrato, direta ou indiretamente:</w:t>
      </w:r>
    </w:p>
    <w:p w14:paraId="31DA2AF4"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Autor do anteprojeto, do projeto básico ou do projeto executivo, pessoa física ou jurídica.</w:t>
      </w:r>
    </w:p>
    <w:p w14:paraId="19AE9AF3"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A7B1A9E"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3FB8FE09"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w:t>
      </w:r>
      <w:r>
        <w:rPr>
          <w:rFonts w:ascii="Cambria" w:hAnsi="Cambria"/>
          <w:color w:val="000000" w:themeColor="text1"/>
          <w:sz w:val="24"/>
          <w:szCs w:val="24"/>
        </w:rPr>
        <w:lastRenderedPageBreak/>
        <w:t>do contrato, ou que deles seja cônjuge, companheiro ou parente em linha reta, colateral ou por afinidade, até o terceiro grau.</w:t>
      </w:r>
    </w:p>
    <w:p w14:paraId="36F6628E"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Empresas controladoras, controladas ou coligadas, nos termos da Lei Federal nº 6.404, de 15 de dezembro de 1976, concorrendo entre si.</w:t>
      </w:r>
    </w:p>
    <w:p w14:paraId="252FBFC6"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DCCEC5"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VII.</w:t>
      </w:r>
      <w:r>
        <w:rPr>
          <w:rFonts w:ascii="Cambria" w:hAnsi="Cambria"/>
          <w:color w:val="000000" w:themeColor="text1"/>
          <w:sz w:val="24"/>
          <w:szCs w:val="24"/>
        </w:rPr>
        <w:t xml:space="preserve"> Estrangeiras que não funcionem no País.</w:t>
      </w:r>
    </w:p>
    <w:p w14:paraId="38F52C1D"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2.6 </w:t>
      </w:r>
      <w:r>
        <w:rPr>
          <w:rFonts w:ascii="Cambria" w:hAnsi="Cambria"/>
          <w:color w:val="000000" w:themeColor="text1"/>
          <w:sz w:val="24"/>
          <w:szCs w:val="24"/>
        </w:rPr>
        <w:t>A observância das vedações do subitem 2.5 são de inteira responsabilidade do licitante que, pelo descumprimento se sujeita às penalidades cabíveis.</w:t>
      </w:r>
    </w:p>
    <w:p w14:paraId="30AA387E"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2.7</w:t>
      </w:r>
      <w:r>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bookmarkEnd w:id="12"/>
    </w:p>
    <w:p w14:paraId="0D45F91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03. DOS ESCLARECIMENTOS E IMPUGNAÇÃO AO EDITAL</w:t>
      </w:r>
    </w:p>
    <w:p w14:paraId="5071AD7D" w14:textId="77777777" w:rsidR="00150077" w:rsidRDefault="00000000">
      <w:pPr>
        <w:tabs>
          <w:tab w:val="left" w:pos="1701"/>
        </w:tabs>
        <w:spacing w:before="240" w:line="360" w:lineRule="auto"/>
        <w:rPr>
          <w:rFonts w:ascii="Cambria" w:hAnsi="Cambria"/>
          <w:bCs/>
          <w:color w:val="000000" w:themeColor="text1"/>
          <w:sz w:val="24"/>
          <w:szCs w:val="24"/>
        </w:rPr>
      </w:pPr>
      <w:bookmarkStart w:id="13" w:name="_Hlk226361277"/>
      <w:bookmarkStart w:id="14" w:name="_Hlk226361364"/>
      <w:r>
        <w:rPr>
          <w:rFonts w:ascii="Cambria" w:hAnsi="Cambria"/>
          <w:b/>
          <w:bCs/>
          <w:color w:val="000000" w:themeColor="text1"/>
          <w:sz w:val="24"/>
          <w:szCs w:val="24"/>
        </w:rPr>
        <w:t xml:space="preserve">3.1 </w:t>
      </w:r>
      <w:r>
        <w:rPr>
          <w:rFonts w:ascii="Cambria" w:hAnsi="Cambria"/>
          <w:bCs/>
          <w:color w:val="000000" w:themeColor="text1"/>
          <w:sz w:val="24"/>
          <w:szCs w:val="24"/>
        </w:rPr>
        <w:t>Eventuais solicitações de esclarecimentos e impugnações referentes ao Edital, Técnica ou Jurídica deverão ser dirigidas a Pregoeira</w:t>
      </w:r>
      <w:r>
        <w:rPr>
          <w:rFonts w:ascii="Cambria" w:hAnsi="Cambria"/>
          <w:color w:val="000000" w:themeColor="text1"/>
          <w:sz w:val="24"/>
          <w:szCs w:val="24"/>
        </w:rPr>
        <w:t xml:space="preserve"> </w:t>
      </w:r>
      <w:r>
        <w:rPr>
          <w:rFonts w:ascii="Cambria" w:hAnsi="Cambria"/>
          <w:bCs/>
          <w:color w:val="000000" w:themeColor="text1"/>
          <w:sz w:val="24"/>
          <w:szCs w:val="24"/>
        </w:rPr>
        <w:t xml:space="preserve">através do </w:t>
      </w:r>
      <w:r>
        <w:rPr>
          <w:rFonts w:ascii="Cambria" w:hAnsi="Cambria"/>
          <w:color w:val="000000" w:themeColor="text1"/>
          <w:sz w:val="24"/>
          <w:szCs w:val="24"/>
        </w:rPr>
        <w:t xml:space="preserve">provedor </w:t>
      </w:r>
      <w:hyperlink r:id="rId15">
        <w:r w:rsidR="00150077" w:rsidRPr="00F467C1">
          <w:rPr>
            <w:rStyle w:val="Hyperlink"/>
            <w:rFonts w:ascii="Cambria" w:hAnsi="Cambria"/>
            <w:color w:val="000000" w:themeColor="text1"/>
            <w:sz w:val="24"/>
            <w:szCs w:val="24"/>
          </w:rPr>
          <w:t>www.bnc.org.br</w:t>
        </w:r>
      </w:hyperlink>
      <w:r w:rsidRPr="00F467C1">
        <w:rPr>
          <w:rStyle w:val="Hyperlink"/>
          <w:rFonts w:ascii="Cambria" w:hAnsi="Cambria"/>
          <w:color w:val="000000" w:themeColor="text1"/>
          <w:sz w:val="24"/>
          <w:szCs w:val="24"/>
        </w:rPr>
        <w:t xml:space="preserve"> </w:t>
      </w:r>
      <w:r>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bookmarkEnd w:id="13"/>
    </w:p>
    <w:p w14:paraId="34196EDA"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3.2 </w:t>
      </w:r>
      <w:r>
        <w:rPr>
          <w:rFonts w:ascii="Cambria" w:hAnsi="Cambria"/>
          <w:bCs/>
          <w:color w:val="000000" w:themeColor="text1"/>
          <w:sz w:val="24"/>
          <w:szCs w:val="24"/>
        </w:rPr>
        <w:t xml:space="preserve">As respostas aos pedidos de esclarecimentos e impugnações serão divulgadas no site Oficial da Prefeitura de Piracanjuba/GO </w:t>
      </w:r>
      <w:r>
        <w:rPr>
          <w:rFonts w:ascii="Cambria" w:hAnsi="Cambria"/>
          <w:color w:val="000000" w:themeColor="text1"/>
          <w:sz w:val="24"/>
          <w:szCs w:val="24"/>
        </w:rPr>
        <w:t xml:space="preserve">e no provedor </w:t>
      </w:r>
      <w:hyperlink r:id="rId16">
        <w:r w:rsidR="00150077" w:rsidRPr="00F467C1">
          <w:rPr>
            <w:rStyle w:val="Hyperlink"/>
            <w:rFonts w:ascii="Cambria" w:hAnsi="Cambria"/>
            <w:color w:val="000000" w:themeColor="text1"/>
            <w:sz w:val="24"/>
            <w:szCs w:val="24"/>
          </w:rPr>
          <w:t>www.bnc.org.br</w:t>
        </w:r>
      </w:hyperlink>
      <w:r w:rsidRPr="00F467C1">
        <w:rPr>
          <w:rFonts w:ascii="Cambria" w:hAnsi="Cambria"/>
          <w:color w:val="000000" w:themeColor="text1"/>
          <w:sz w:val="24"/>
          <w:szCs w:val="24"/>
        </w:rPr>
        <w:t>.</w:t>
      </w:r>
    </w:p>
    <w:p w14:paraId="4EBE5DE3"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3.3</w:t>
      </w:r>
      <w:r>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7824AC3F"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lastRenderedPageBreak/>
        <w:t xml:space="preserve">3.4 </w:t>
      </w:r>
      <w:r>
        <w:rPr>
          <w:rFonts w:ascii="Cambria" w:hAnsi="Cambria"/>
          <w:bCs/>
          <w:color w:val="000000" w:themeColor="text1"/>
          <w:sz w:val="24"/>
          <w:szCs w:val="24"/>
        </w:rPr>
        <w:t>Caberá a Pregoeira, auxiliada pelos responsáveis pela elaboração do Estudo Técnico Preliminar e Termo de Referência, além</w:t>
      </w:r>
      <w:r>
        <w:rPr>
          <w:rFonts w:ascii="Cambria" w:hAnsi="Cambria"/>
          <w:color w:val="000000" w:themeColor="text1"/>
          <w:sz w:val="24"/>
          <w:szCs w:val="24"/>
        </w:rPr>
        <w:t xml:space="preserve"> da Assessoria Jurídica </w:t>
      </w:r>
      <w:r>
        <w:rPr>
          <w:rFonts w:ascii="Cambria" w:hAnsi="Cambria"/>
          <w:bCs/>
          <w:color w:val="000000" w:themeColor="text1"/>
          <w:sz w:val="24"/>
          <w:szCs w:val="24"/>
        </w:rPr>
        <w:t>decidir sobre eventuais impugnações, bem como responder as questões formuladas pelos licitantes.</w:t>
      </w:r>
    </w:p>
    <w:p w14:paraId="31F0E479"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3.5</w:t>
      </w:r>
      <w:r>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bookmarkEnd w:id="14"/>
    </w:p>
    <w:p w14:paraId="0179CBE7" w14:textId="77777777" w:rsidR="0015007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04. DO CREDENCIAMENTO</w:t>
      </w:r>
    </w:p>
    <w:p w14:paraId="38901D82"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4.1</w:t>
      </w:r>
      <w:r>
        <w:rPr>
          <w:rFonts w:ascii="Cambria" w:hAnsi="Cambria"/>
          <w:bCs/>
          <w:color w:val="000000" w:themeColor="text1"/>
          <w:sz w:val="24"/>
          <w:szCs w:val="24"/>
        </w:rPr>
        <w:t xml:space="preserve"> O licitante deverá estar credenciado, de forma direta ou através de empresas associadas à Bolsa Nacional de Compras.</w:t>
      </w:r>
    </w:p>
    <w:p w14:paraId="0BC8CDBC"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4.2</w:t>
      </w:r>
      <w:r>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31896B82"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4.3</w:t>
      </w:r>
      <w:r>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7FEE1544"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4.4</w:t>
      </w:r>
      <w:r>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6BB2D700"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4.5</w:t>
      </w:r>
      <w:r>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46EEFA3C"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lastRenderedPageBreak/>
        <w:t>4.6</w:t>
      </w:r>
      <w:r>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5902A48A" w14:textId="77777777" w:rsidR="00150077" w:rsidRDefault="00000000">
      <w:pPr>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 xml:space="preserve">4.7 </w:t>
      </w:r>
      <w:r>
        <w:rPr>
          <w:rFonts w:ascii="Cambria" w:hAnsi="Cambria"/>
          <w:bCs/>
          <w:color w:val="000000" w:themeColor="text1"/>
          <w:sz w:val="24"/>
          <w:szCs w:val="24"/>
        </w:rPr>
        <w:t>Durante a sessão eletrônica, a comunicação entre a Pregoeira e as licitantes ocorrerá exclusivamente mediante troca de mensagens, em campo próprio do sistema eletrônico.</w:t>
      </w:r>
    </w:p>
    <w:p w14:paraId="556F2CAE"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4.8</w:t>
      </w:r>
      <w:r>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2511F44B" w14:textId="77777777" w:rsidR="00150077" w:rsidRDefault="00000000">
      <w:pPr>
        <w:tabs>
          <w:tab w:val="left" w:pos="1440"/>
        </w:tabs>
        <w:snapToGrid w:val="0"/>
        <w:rPr>
          <w:rFonts w:ascii="Cambria" w:hAnsi="Cambria" w:cstheme="minorHAnsi"/>
          <w:color w:val="000000" w:themeColor="text1"/>
          <w:sz w:val="24"/>
          <w:szCs w:val="24"/>
        </w:rPr>
      </w:pPr>
      <w:r>
        <w:rPr>
          <w:rFonts w:ascii="Cambria" w:hAnsi="Cambria" w:cstheme="minorHAnsi"/>
          <w:b/>
          <w:bCs/>
          <w:color w:val="000000" w:themeColor="text1"/>
          <w:sz w:val="24"/>
          <w:szCs w:val="24"/>
        </w:rPr>
        <w:t>4.9</w:t>
      </w:r>
      <w:r>
        <w:rPr>
          <w:rFonts w:ascii="Cambria" w:hAnsi="Cambria" w:cstheme="minorHAnsi"/>
          <w:color w:val="000000" w:themeColor="text1"/>
          <w:sz w:val="24"/>
          <w:szCs w:val="24"/>
        </w:rPr>
        <w:t xml:space="preserve"> Decisão do TCU:</w:t>
      </w:r>
    </w:p>
    <w:p w14:paraId="3CD595FF" w14:textId="77777777" w:rsidR="00150077" w:rsidRDefault="00000000">
      <w:pPr>
        <w:tabs>
          <w:tab w:val="left" w:pos="1440"/>
        </w:tabs>
        <w:snapToGrid w:val="0"/>
        <w:spacing w:line="360" w:lineRule="auto"/>
        <w:rPr>
          <w:rFonts w:ascii="Cambria" w:hAnsi="Cambria"/>
          <w:bCs/>
          <w:color w:val="000000" w:themeColor="text1"/>
          <w:sz w:val="24"/>
          <w:szCs w:val="24"/>
        </w:rPr>
      </w:pPr>
      <w:r>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68E82CAE" w14:textId="77777777" w:rsidR="0015007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05. DO ENVIO DA PROPOSTA E HABILITAÇÃO</w:t>
      </w:r>
    </w:p>
    <w:p w14:paraId="2E06EF45"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5.1 </w:t>
      </w:r>
      <w:r>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7">
        <w:r w:rsidR="00150077" w:rsidRPr="00F467C1">
          <w:rPr>
            <w:rStyle w:val="Hyperlink"/>
            <w:rFonts w:ascii="Cambria" w:hAnsi="Cambria"/>
            <w:color w:val="000000" w:themeColor="text1"/>
            <w:sz w:val="24"/>
            <w:szCs w:val="24"/>
          </w:rPr>
          <w:t>www.bnc.org.b</w:t>
        </w:r>
        <w:r w:rsidR="00150077">
          <w:rPr>
            <w:rStyle w:val="Hyperlink"/>
            <w:rFonts w:ascii="Cambria" w:hAnsi="Cambria"/>
            <w:color w:val="000000" w:themeColor="text1"/>
            <w:sz w:val="24"/>
            <w:szCs w:val="24"/>
          </w:rPr>
          <w:t>r</w:t>
        </w:r>
      </w:hyperlink>
      <w:r>
        <w:rPr>
          <w:rStyle w:val="Hyperlink"/>
          <w:rFonts w:ascii="Cambria" w:hAnsi="Cambria"/>
          <w:color w:val="000000" w:themeColor="text1"/>
          <w:sz w:val="24"/>
          <w:szCs w:val="24"/>
        </w:rPr>
        <w:t>)</w:t>
      </w:r>
      <w:r>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5B15FEA9"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5.2</w:t>
      </w:r>
      <w:r>
        <w:rPr>
          <w:rFonts w:ascii="Cambria" w:hAnsi="Cambria"/>
          <w:color w:val="000000" w:themeColor="text1"/>
          <w:sz w:val="24"/>
          <w:szCs w:val="24"/>
        </w:rPr>
        <w:t xml:space="preserve"> As propostas ficarão disponíveis no sistema eletrônico.</w:t>
      </w:r>
    </w:p>
    <w:p w14:paraId="75D77601" w14:textId="77777777" w:rsidR="00150077" w:rsidRDefault="00000000">
      <w:pPr>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I. </w:t>
      </w:r>
      <w:r>
        <w:rPr>
          <w:rFonts w:ascii="Cambria" w:hAnsi="Cambria"/>
          <w:color w:val="000000" w:themeColor="text1"/>
          <w:sz w:val="24"/>
          <w:szCs w:val="24"/>
        </w:rPr>
        <w:t>Qualquer elemento que possa identificar à licitante importa na desclassificação da proposta sem prejuízo das sanções previstas nesse Edital.</w:t>
      </w:r>
    </w:p>
    <w:p w14:paraId="65D6F1AF" w14:textId="77777777" w:rsidR="00150077" w:rsidRDefault="00000000">
      <w:pPr>
        <w:tabs>
          <w:tab w:val="left" w:pos="1701"/>
        </w:tabs>
        <w:spacing w:before="240" w:after="240" w:line="360" w:lineRule="auto"/>
        <w:ind w:left="567" w:firstLine="567"/>
        <w:rPr>
          <w:rFonts w:ascii="Cambria" w:hAnsi="Cambria"/>
          <w:color w:val="000000" w:themeColor="text1"/>
          <w:sz w:val="24"/>
          <w:szCs w:val="24"/>
        </w:rPr>
      </w:pPr>
      <w:r>
        <w:rPr>
          <w:rFonts w:ascii="Cambria" w:hAnsi="Cambria"/>
          <w:b/>
          <w:color w:val="000000" w:themeColor="text1"/>
          <w:sz w:val="24"/>
          <w:szCs w:val="24"/>
        </w:rPr>
        <w:lastRenderedPageBreak/>
        <w:t xml:space="preserve">a) </w:t>
      </w:r>
      <w:r>
        <w:rPr>
          <w:rFonts w:ascii="Cambria" w:hAnsi="Cambria"/>
          <w:color w:val="000000" w:themeColor="text1"/>
          <w:sz w:val="24"/>
          <w:szCs w:val="24"/>
        </w:rPr>
        <w:t>A empresa proponente deverá especificar na proposta de preços cada produto, material, insumo ou serviços, marca, especificação detalhada dos materiais ofertados e demais elementos indispensáveis a sua caracterização e atender ao disposto no art. 31, da Lei nº 8.078, de 1990 – Código de Defesa do Consumidor.</w:t>
      </w:r>
    </w:p>
    <w:p w14:paraId="0202A104" w14:textId="77777777" w:rsidR="00150077" w:rsidRDefault="00000000">
      <w:pPr>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Até a abertura da sessão eletrônica, a licitante poderá retirar ou substituir a proposta anteriormente encaminhada.</w:t>
      </w:r>
    </w:p>
    <w:p w14:paraId="39E7D325" w14:textId="77777777" w:rsidR="00150077" w:rsidRDefault="00000000">
      <w:pPr>
        <w:spacing w:before="240" w:line="360" w:lineRule="auto"/>
        <w:rPr>
          <w:rFonts w:ascii="Cambria" w:hAnsi="Cambria"/>
          <w:sz w:val="24"/>
          <w:szCs w:val="24"/>
        </w:rPr>
      </w:pPr>
      <w:r>
        <w:rPr>
          <w:rFonts w:ascii="Cambria" w:hAnsi="Cambria"/>
          <w:b/>
          <w:sz w:val="24"/>
          <w:szCs w:val="24"/>
        </w:rPr>
        <w:t>5.3</w:t>
      </w:r>
      <w:r>
        <w:rPr>
          <w:rFonts w:ascii="Cambria" w:hAnsi="Cambria"/>
          <w:sz w:val="24"/>
          <w:szCs w:val="24"/>
        </w:rPr>
        <w:t xml:space="preserve"> As propostas deverão ter validade de no mínimo 60 (sessenta) dias, contados da data de abertura da sessão eletrônica estabelecida no preâmbulo deste Edital.</w:t>
      </w:r>
    </w:p>
    <w:p w14:paraId="0D9C113B" w14:textId="77777777" w:rsidR="0015007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06. DA ABERTURA DA SESSÃO ELETRÔNICA</w:t>
      </w:r>
    </w:p>
    <w:p w14:paraId="374DC64C" w14:textId="77777777" w:rsidR="00150077" w:rsidRDefault="00000000">
      <w:pPr>
        <w:spacing w:before="240" w:line="360" w:lineRule="auto"/>
        <w:rPr>
          <w:rFonts w:ascii="Cambria" w:hAnsi="Cambria"/>
          <w:color w:val="000000" w:themeColor="text1"/>
          <w:sz w:val="24"/>
          <w:szCs w:val="24"/>
        </w:rPr>
      </w:pPr>
      <w:bookmarkStart w:id="15" w:name="_Hlk226361722"/>
      <w:r>
        <w:rPr>
          <w:rFonts w:ascii="Cambria" w:hAnsi="Cambria"/>
          <w:b/>
          <w:color w:val="000000" w:themeColor="text1"/>
          <w:sz w:val="24"/>
          <w:szCs w:val="24"/>
        </w:rPr>
        <w:t>6.1</w:t>
      </w:r>
      <w:r>
        <w:rPr>
          <w:rFonts w:ascii="Cambria" w:hAnsi="Cambria"/>
          <w:color w:val="000000" w:themeColor="text1"/>
          <w:sz w:val="24"/>
          <w:szCs w:val="24"/>
        </w:rPr>
        <w:t xml:space="preserve"> A abertura da sessão eletrônica deste Pregão, conduzida pela Pregoeira, ocorrerá na data e horas indicadas no preâmbulo deste Edital, no provedor </w:t>
      </w:r>
      <w:hyperlink r:id="rId18">
        <w:r w:rsidR="00150077" w:rsidRPr="00F467C1">
          <w:rPr>
            <w:rStyle w:val="Hyperlink"/>
            <w:rFonts w:ascii="Cambria" w:hAnsi="Cambria"/>
            <w:color w:val="000000" w:themeColor="text1"/>
            <w:sz w:val="24"/>
            <w:szCs w:val="24"/>
          </w:rPr>
          <w:t>www.bnc.org.br</w:t>
        </w:r>
      </w:hyperlink>
      <w:r>
        <w:rPr>
          <w:rFonts w:ascii="Cambria" w:hAnsi="Cambria"/>
          <w:color w:val="000000" w:themeColor="text1"/>
          <w:sz w:val="24"/>
          <w:szCs w:val="24"/>
        </w:rPr>
        <w:t>.</w:t>
      </w:r>
      <w:bookmarkEnd w:id="15"/>
    </w:p>
    <w:p w14:paraId="3DBD1E7C" w14:textId="77777777" w:rsidR="00150077"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6.2</w:t>
      </w:r>
      <w:r>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1B4762D3" w14:textId="77777777" w:rsidR="00150077"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6.3</w:t>
      </w:r>
      <w:r>
        <w:rPr>
          <w:rFonts w:ascii="Cambria" w:hAnsi="Cambria"/>
          <w:color w:val="000000" w:themeColor="text1"/>
          <w:sz w:val="24"/>
          <w:szCs w:val="24"/>
        </w:rPr>
        <w:t xml:space="preserve"> O sistema ordenará, automaticamente as propostas para participação da etapa de lances.</w:t>
      </w:r>
    </w:p>
    <w:p w14:paraId="1CA70216" w14:textId="77777777" w:rsidR="00150077" w:rsidRDefault="00000000">
      <w:pPr>
        <w:spacing w:before="240" w:line="360" w:lineRule="auto"/>
        <w:rPr>
          <w:rFonts w:ascii="Cambria" w:hAnsi="Cambria"/>
          <w:color w:val="000000" w:themeColor="text1"/>
          <w:sz w:val="24"/>
          <w:szCs w:val="24"/>
          <w:u w:val="thick" w:color="0000FF"/>
        </w:rPr>
      </w:pPr>
      <w:r>
        <w:rPr>
          <w:rFonts w:ascii="Cambria" w:hAnsi="Cambria"/>
          <w:b/>
          <w:bCs/>
          <w:color w:val="000000" w:themeColor="text1"/>
          <w:sz w:val="24"/>
          <w:szCs w:val="24"/>
        </w:rPr>
        <w:t>6.4</w:t>
      </w:r>
      <w:r>
        <w:rPr>
          <w:rFonts w:ascii="Cambria" w:hAnsi="Cambria"/>
          <w:color w:val="000000" w:themeColor="text1"/>
          <w:sz w:val="24"/>
          <w:szCs w:val="24"/>
        </w:rPr>
        <w:t xml:space="preserve"> A etapa de lances será realizada exclusivamente por meio do sistema eletrônico para os autores das propostas classificadas.</w:t>
      </w:r>
    </w:p>
    <w:p w14:paraId="4E07B9C4" w14:textId="77777777" w:rsidR="00150077" w:rsidRDefault="00000000">
      <w:pPr>
        <w:spacing w:before="240" w:line="360" w:lineRule="auto"/>
        <w:rPr>
          <w:rFonts w:ascii="Cambria" w:hAnsi="Cambria"/>
          <w:b/>
          <w:color w:val="000000" w:themeColor="text1"/>
          <w:sz w:val="24"/>
          <w:szCs w:val="24"/>
        </w:rPr>
      </w:pPr>
      <w:r>
        <w:rPr>
          <w:rFonts w:ascii="Cambria" w:hAnsi="Cambria"/>
          <w:b/>
          <w:color w:val="000000" w:themeColor="text1"/>
          <w:sz w:val="24"/>
          <w:szCs w:val="24"/>
        </w:rPr>
        <w:t>6.5</w:t>
      </w:r>
      <w:r>
        <w:rPr>
          <w:rFonts w:ascii="Cambria" w:hAnsi="Cambria"/>
          <w:color w:val="000000" w:themeColor="text1"/>
          <w:sz w:val="24"/>
          <w:szCs w:val="24"/>
        </w:rPr>
        <w:t xml:space="preserve"> Durante a sessão eletrônica a comunicação entre a Pregoeira e as licitantes ocorrerá exclusivamente mediante troca de mensagens em campo próprio do sistema eletrônico</w:t>
      </w:r>
      <w:r>
        <w:rPr>
          <w:rFonts w:ascii="Cambria" w:hAnsi="Cambria"/>
          <w:b/>
          <w:color w:val="000000" w:themeColor="text1"/>
          <w:sz w:val="24"/>
          <w:szCs w:val="24"/>
        </w:rPr>
        <w:t>.</w:t>
      </w:r>
    </w:p>
    <w:p w14:paraId="196E81C0"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6.6</w:t>
      </w:r>
      <w:r>
        <w:rPr>
          <w:rFonts w:ascii="Cambria" w:hAnsi="Cambria"/>
          <w:color w:val="000000" w:themeColor="text1"/>
          <w:sz w:val="24"/>
          <w:szCs w:val="24"/>
        </w:rPr>
        <w:t xml:space="preserve"> Cabe à licitante acompanhar as operações no sistema eletrônico durante a sessão eletrônica do Pregão, ficando responsável pelo ônus decorrente da perda de negócios diante da inobservância de qualquer mensagem emitida pelo sistema ou de sua desconexão.</w:t>
      </w:r>
    </w:p>
    <w:p w14:paraId="3F746BA8" w14:textId="77777777" w:rsidR="0015007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lastRenderedPageBreak/>
        <w:t>07. DA FORMULAÇÃO DE LANCES</w:t>
      </w:r>
    </w:p>
    <w:p w14:paraId="7052DBC1"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7.1 </w:t>
      </w:r>
      <w:r>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35C55F25" w14:textId="77777777" w:rsidR="00150077" w:rsidRDefault="00000000">
      <w:pPr>
        <w:spacing w:before="240" w:line="360" w:lineRule="auto"/>
        <w:rPr>
          <w:rFonts w:ascii="Cambria" w:hAnsi="Cambria"/>
          <w:color w:val="000000" w:themeColor="text1"/>
          <w:sz w:val="24"/>
          <w:szCs w:val="24"/>
        </w:rPr>
      </w:pPr>
      <w:bookmarkStart w:id="16" w:name="_Hlk226375546"/>
      <w:r>
        <w:rPr>
          <w:rFonts w:ascii="Cambria" w:hAnsi="Cambria"/>
          <w:b/>
          <w:bCs/>
          <w:color w:val="000000" w:themeColor="text1"/>
          <w:sz w:val="24"/>
          <w:szCs w:val="24"/>
        </w:rPr>
        <w:t>7.2</w:t>
      </w:r>
      <w:r>
        <w:rPr>
          <w:rFonts w:ascii="Cambria" w:hAnsi="Cambria"/>
          <w:color w:val="000000" w:themeColor="text1"/>
          <w:sz w:val="24"/>
          <w:szCs w:val="24"/>
        </w:rPr>
        <w:t xml:space="preserve"> A sessão do pregão será realizada na sala de disputa, onde poderão ser realizados de forma simultânea até 20 (vinte) itens/lotes, se for o caso, em razão do quantitativo de itens/lotes licitados, proporcionando agilidade ao processo, devendo o licitante, neste caso, efetuar lances simultâneos para os itens/lotes em disputa em que houver enviado proposta.</w:t>
      </w:r>
      <w:bookmarkEnd w:id="16"/>
    </w:p>
    <w:p w14:paraId="6FDFD4CC"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7.3</w:t>
      </w:r>
      <w:r>
        <w:rPr>
          <w:rFonts w:ascii="Cambria" w:hAnsi="Cambria"/>
          <w:color w:val="000000" w:themeColor="text1"/>
          <w:sz w:val="24"/>
          <w:szCs w:val="24"/>
        </w:rPr>
        <w:t xml:space="preserve"> A licitante somente poderá oferecer lance inferior ao último por ela ofertado e registrado no sistema.</w:t>
      </w:r>
    </w:p>
    <w:p w14:paraId="78F38573" w14:textId="77777777" w:rsidR="00150077"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7.4</w:t>
      </w:r>
      <w:r>
        <w:rPr>
          <w:rFonts w:ascii="Cambria" w:hAnsi="Cambria"/>
          <w:color w:val="000000" w:themeColor="text1"/>
          <w:sz w:val="24"/>
          <w:szCs w:val="24"/>
        </w:rPr>
        <w:t xml:space="preserve"> Não serão aceitos dois ou mais lances de mesmo valor, prevalecendo aquele que for recebido e registrado em primeiro lugar.</w:t>
      </w:r>
    </w:p>
    <w:p w14:paraId="315389FC" w14:textId="77777777" w:rsidR="00150077"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7.5</w:t>
      </w:r>
      <w:r>
        <w:rPr>
          <w:rFonts w:ascii="Cambria" w:hAnsi="Cambria"/>
          <w:color w:val="000000" w:themeColor="text1"/>
          <w:sz w:val="24"/>
          <w:szCs w:val="24"/>
        </w:rPr>
        <w:t xml:space="preserve"> Não poderá haver desistência dos lances ofertados, a não ser em situação devidamente justificada e aceita pela Pregoeira, sujeitando-se a licitante às penalidades previstas neste edital.</w:t>
      </w:r>
    </w:p>
    <w:p w14:paraId="6CE1501A"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7.6</w:t>
      </w:r>
      <w:r>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1ACAE132" w14:textId="77777777" w:rsidR="00150077"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7.7</w:t>
      </w:r>
      <w:r>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742DF66E" w14:textId="77777777" w:rsidR="00150077" w:rsidRDefault="00000000">
      <w:pPr>
        <w:spacing w:before="240" w:after="240" w:line="360" w:lineRule="auto"/>
        <w:rPr>
          <w:rFonts w:ascii="Cambria" w:hAnsi="Cambria" w:cstheme="minorHAnsi"/>
          <w:sz w:val="24"/>
          <w:szCs w:val="24"/>
        </w:rPr>
      </w:pPr>
      <w:bookmarkStart w:id="17" w:name="_Hlk226375615"/>
      <w:r>
        <w:rPr>
          <w:rFonts w:ascii="Cambria" w:hAnsi="Cambria"/>
          <w:b/>
          <w:color w:val="000000" w:themeColor="text1"/>
          <w:sz w:val="24"/>
          <w:szCs w:val="24"/>
        </w:rPr>
        <w:t>7.8</w:t>
      </w:r>
      <w:r>
        <w:rPr>
          <w:rFonts w:ascii="Cambria" w:hAnsi="Cambria"/>
          <w:color w:val="000000" w:themeColor="text1"/>
          <w:sz w:val="24"/>
          <w:szCs w:val="24"/>
        </w:rPr>
        <w:t xml:space="preserve"> </w:t>
      </w:r>
      <w:r>
        <w:rPr>
          <w:rFonts w:ascii="Cambria" w:hAnsi="Cambria" w:cstheme="minorHAnsi"/>
          <w:sz w:val="24"/>
          <w:szCs w:val="24"/>
        </w:rPr>
        <w:t xml:space="preserve">Neste Pregão o </w:t>
      </w:r>
      <w:r>
        <w:rPr>
          <w:rFonts w:ascii="Cambria" w:hAnsi="Cambria" w:cstheme="minorHAnsi"/>
          <w:b/>
          <w:sz w:val="24"/>
          <w:szCs w:val="24"/>
        </w:rPr>
        <w:t>modo de disputa adotado é o ABERTO e FECHADO</w:t>
      </w:r>
      <w:r>
        <w:rPr>
          <w:rFonts w:ascii="Cambria" w:hAnsi="Cambria" w:cstheme="minorHAnsi"/>
          <w:sz w:val="24"/>
          <w:szCs w:val="24"/>
        </w:rPr>
        <w:t>, obedecendo ao disposto no art. 33 do Decreto Federal nº 10.024/2019.</w:t>
      </w:r>
      <w:bookmarkEnd w:id="17"/>
    </w:p>
    <w:p w14:paraId="2253CDCD" w14:textId="77777777" w:rsidR="00150077" w:rsidRDefault="00000000">
      <w:pPr>
        <w:spacing w:before="120" w:after="120" w:line="360" w:lineRule="auto"/>
        <w:ind w:firstLine="567"/>
        <w:rPr>
          <w:rFonts w:ascii="Cambria" w:hAnsi="Cambria" w:cs="Times New Roman"/>
          <w:color w:val="000000" w:themeColor="text1"/>
          <w:sz w:val="24"/>
          <w:szCs w:val="24"/>
        </w:rPr>
      </w:pPr>
      <w:r>
        <w:rPr>
          <w:rFonts w:ascii="Cambria" w:hAnsi="Cambria" w:cs="Times New Roman"/>
          <w:b/>
          <w:bCs/>
          <w:color w:val="000000" w:themeColor="text1"/>
          <w:sz w:val="24"/>
          <w:szCs w:val="24"/>
        </w:rPr>
        <w:t>7.8.1</w:t>
      </w:r>
      <w:r>
        <w:rPr>
          <w:rFonts w:ascii="Cambria" w:hAnsi="Cambria" w:cs="Times New Roman"/>
          <w:color w:val="000000" w:themeColor="text1"/>
          <w:sz w:val="24"/>
          <w:szCs w:val="24"/>
        </w:rPr>
        <w:t xml:space="preserve"> A etapa ABERTA de envio de lances da sessão pública terá duração de quinze minutos.</w:t>
      </w:r>
    </w:p>
    <w:p w14:paraId="040B046C" w14:textId="77777777" w:rsidR="00150077"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lastRenderedPageBreak/>
        <w:t>7.8.2</w:t>
      </w:r>
      <w:r>
        <w:rPr>
          <w:rFonts w:ascii="Cambria" w:hAnsi="Cambria"/>
          <w:color w:val="000000" w:themeColor="text1"/>
        </w:rPr>
        <w:t xml:space="preserve"> </w:t>
      </w:r>
      <w:r>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35B559A2" w14:textId="77777777" w:rsidR="00150077"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7.8.3</w:t>
      </w:r>
      <w:r>
        <w:rPr>
          <w:rFonts w:ascii="Cambria" w:hAnsi="Cambria"/>
          <w:color w:val="000000" w:themeColor="text1"/>
        </w:rPr>
        <w:t xml:space="preserve"> </w:t>
      </w:r>
      <w:r>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093C70C0" w14:textId="77777777" w:rsidR="00150077"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6EBE2181" w14:textId="77777777" w:rsidR="00150077"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7.8.5</w:t>
      </w:r>
      <w:r>
        <w:rPr>
          <w:rFonts w:ascii="Cambria" w:hAnsi="Cambria" w:cstheme="minorHAnsi"/>
          <w:color w:val="000000"/>
        </w:rPr>
        <w:t xml:space="preserve"> Encerrados os prazos estabelecidos nos itens 7.8.3 e 7.8.4, o sistema ordenará os lances em ordem crescente de vantajosidade.</w:t>
      </w:r>
    </w:p>
    <w:p w14:paraId="0F185511" w14:textId="77777777" w:rsidR="00150077"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7.8.6</w:t>
      </w:r>
      <w:r>
        <w:rPr>
          <w:rFonts w:ascii="Cambria" w:hAnsi="Cambria" w:cstheme="minorHAnsi"/>
          <w:color w:val="000000"/>
        </w:rPr>
        <w:t xml:space="preserve"> 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338422C0" w14:textId="77777777" w:rsidR="00150077"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7.8.7</w:t>
      </w:r>
      <w:r>
        <w:rPr>
          <w:rFonts w:ascii="Cambria" w:hAnsi="Cambria" w:cstheme="minorHAnsi"/>
          <w:color w:val="000000"/>
        </w:rPr>
        <w:t xml:space="preserve"> Na hipótese de não haver licitante classificado na etapa de lance fechado que atenda às exigências para habilitação, a pregoeira poderá, auxiliado pela equipe de apoio, mediante justificativa, admitir o reinício da etapa fechada, nos termos do disposto no item 7.8.6.</w:t>
      </w:r>
    </w:p>
    <w:p w14:paraId="6F35F4B7" w14:textId="77777777" w:rsidR="00150077" w:rsidRDefault="00000000">
      <w:pPr>
        <w:tabs>
          <w:tab w:val="left" w:pos="1985"/>
        </w:tabs>
        <w:spacing w:before="120" w:after="120" w:line="360" w:lineRule="auto"/>
        <w:ind w:firstLine="567"/>
        <w:rPr>
          <w:rFonts w:ascii="Cambria" w:hAnsi="Cambria" w:cstheme="minorHAnsi"/>
          <w:sz w:val="24"/>
          <w:szCs w:val="24"/>
        </w:rPr>
      </w:pPr>
      <w:r>
        <w:rPr>
          <w:rFonts w:ascii="Cambria" w:hAnsi="Cambria" w:cs="Times New Roman"/>
          <w:b/>
          <w:bCs/>
          <w:color w:val="000000" w:themeColor="text1"/>
          <w:sz w:val="24"/>
          <w:szCs w:val="24"/>
        </w:rPr>
        <w:t>7.8.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igual ou superior a R$ 2,00 (dois reais), tanto em relação aos lances intermediários, quanto em relação do lance que cobrir a melhor oferta.</w:t>
      </w:r>
    </w:p>
    <w:p w14:paraId="03FA0FF0" w14:textId="77777777" w:rsidR="00150077"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bookmarkStart w:id="18" w:name="_Hlk226375809"/>
      <w:r>
        <w:rPr>
          <w:rFonts w:ascii="Cambria" w:hAnsi="Cambria"/>
          <w:b/>
          <w:color w:val="000000" w:themeColor="text1"/>
          <w:sz w:val="24"/>
          <w:szCs w:val="24"/>
        </w:rPr>
        <w:t>7.9</w:t>
      </w:r>
      <w:r>
        <w:rPr>
          <w:rFonts w:ascii="Cambria" w:hAnsi="Cambria"/>
          <w:color w:val="000000" w:themeColor="text1"/>
          <w:sz w:val="24"/>
          <w:szCs w:val="24"/>
        </w:rPr>
        <w:t xml:space="preserve"> No caso de desconexão da Pregoeira, no decorrer da etapa competitiva do Pregão, o sistema eletrônico permanecerá acessível aos licitantes para recepção dos lances.</w:t>
      </w:r>
    </w:p>
    <w:p w14:paraId="2B421C9E" w14:textId="77777777" w:rsidR="00150077"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bCs/>
          <w:color w:val="000000" w:themeColor="text1"/>
          <w:sz w:val="24"/>
          <w:szCs w:val="24"/>
        </w:rPr>
        <w:t>7.10</w:t>
      </w:r>
      <w:r>
        <w:rPr>
          <w:rFonts w:ascii="Cambria" w:hAnsi="Cambria"/>
          <w:color w:val="000000" w:themeColor="text1"/>
          <w:sz w:val="24"/>
          <w:szCs w:val="24"/>
        </w:rPr>
        <w:t xml:space="preserve"> Quando a desconexão do sistema eletrônico para a pregoeira persistir por tempo </w:t>
      </w:r>
      <w:r>
        <w:rPr>
          <w:rFonts w:ascii="Cambria" w:hAnsi="Cambria"/>
          <w:color w:val="000000" w:themeColor="text1"/>
          <w:sz w:val="24"/>
          <w:szCs w:val="24"/>
        </w:rPr>
        <w:lastRenderedPageBreak/>
        <w:t>superior a 10 (dez) minutos, a sessão pública será suspensa e reiniciada somente após decorridas vinte e quatro horas da comunicação do fato pela Pregoeira aos participantes, no sítio eletrônico utilizado pra divulgação.</w:t>
      </w:r>
    </w:p>
    <w:p w14:paraId="2250963E" w14:textId="77777777" w:rsidR="00150077"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7.11</w:t>
      </w:r>
      <w:r>
        <w:rPr>
          <w:rFonts w:ascii="Cambria" w:hAnsi="Cambria"/>
          <w:color w:val="000000" w:themeColor="text1"/>
          <w:sz w:val="24"/>
          <w:szCs w:val="24"/>
        </w:rPr>
        <w:t xml:space="preserve"> Encerrada a etapa de envio de lances da sessão pública, a Pregoeira deverá encaminhar pelo sistema eletrônico contraproposta à licitante que tenha apresentado o melhor preço, para que seja obtida a melhor proposta, vedada a negociação em condições diferentes das previstas neste Edital.</w:t>
      </w:r>
    </w:p>
    <w:p w14:paraId="08A08EE3" w14:textId="77777777" w:rsidR="00150077"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negociação será realizada por meio do sistema, podendo ser acompanhada pelas demais licitantes.</w:t>
      </w:r>
      <w:bookmarkEnd w:id="18"/>
    </w:p>
    <w:p w14:paraId="12963D16" w14:textId="77777777" w:rsidR="0015007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08. DO JULGAMENTO DAS PROPOSTAS</w:t>
      </w:r>
    </w:p>
    <w:p w14:paraId="28B22553" w14:textId="77777777" w:rsidR="00150077" w:rsidRDefault="00000000">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19" w:name="_Hlk226375901"/>
      <w:r>
        <w:rPr>
          <w:rFonts w:ascii="Cambria" w:hAnsi="Cambria"/>
          <w:b/>
          <w:color w:val="000000" w:themeColor="text1"/>
          <w:sz w:val="24"/>
          <w:szCs w:val="24"/>
        </w:rPr>
        <w:t>8.1</w:t>
      </w:r>
      <w:r>
        <w:rPr>
          <w:rFonts w:ascii="Cambria" w:hAnsi="Cambria"/>
          <w:color w:val="000000" w:themeColor="text1"/>
          <w:sz w:val="24"/>
          <w:szCs w:val="24"/>
        </w:rPr>
        <w:t xml:space="preserve"> </w:t>
      </w:r>
      <w:r>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554E9AB2"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8.2</w:t>
      </w:r>
      <w:r>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43918BAF" w14:textId="77777777" w:rsidR="00150077"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41A89D6E" w14:textId="77777777" w:rsidR="00150077"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Não se considerará qualquer oferta de vantagem não prevista neste Edital, inclusive financiamentos subsidiados ou a fundo perdido.</w:t>
      </w:r>
    </w:p>
    <w:p w14:paraId="7CAC4B2A" w14:textId="77777777" w:rsidR="00150077"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w:t>
      </w:r>
      <w:r>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78CC9206" w14:textId="77777777" w:rsidR="00150077"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IV.</w:t>
      </w:r>
      <w:r>
        <w:rPr>
          <w:rFonts w:ascii="Cambria" w:hAnsi="Cambria"/>
          <w:color w:val="000000" w:themeColor="text1"/>
          <w:sz w:val="24"/>
          <w:szCs w:val="24"/>
        </w:rPr>
        <w:t xml:space="preserve"> Não serão aceitas propostas com valores superiores aos estimados ou com preços manifestadamente inexequíveis.</w:t>
      </w:r>
    </w:p>
    <w:p w14:paraId="5B0AF57A"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4E78288E"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72B8A441" w14:textId="77777777" w:rsidR="00150077"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1.</w:t>
      </w:r>
      <w:r>
        <w:rPr>
          <w:rFonts w:ascii="Cambria" w:hAnsi="Cambria"/>
          <w:color w:val="000000" w:themeColor="text1"/>
          <w:sz w:val="24"/>
          <w:szCs w:val="24"/>
        </w:rPr>
        <w:t xml:space="preserve"> Que o custo do licitante ultrapassa o valor da proposta.</w:t>
      </w:r>
    </w:p>
    <w:p w14:paraId="30823532" w14:textId="77777777" w:rsidR="00150077"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2.</w:t>
      </w:r>
      <w:r>
        <w:rPr>
          <w:rFonts w:ascii="Cambria" w:hAnsi="Cambria"/>
          <w:color w:val="000000" w:themeColor="text1"/>
          <w:sz w:val="24"/>
          <w:szCs w:val="24"/>
        </w:rPr>
        <w:t xml:space="preserve"> Inexistirem custos de oportunidade capazes de justificar o vulto da oferta.</w:t>
      </w:r>
    </w:p>
    <w:p w14:paraId="0E3F8214" w14:textId="77777777" w:rsidR="00150077" w:rsidRDefault="00000000">
      <w:pPr>
        <w:pStyle w:val="NormalWeb"/>
        <w:spacing w:before="120" w:beforeAutospacing="0" w:after="0" w:afterAutospacing="0" w:line="360" w:lineRule="auto"/>
        <w:ind w:left="567" w:firstLine="425"/>
        <w:jc w:val="both"/>
        <w:rPr>
          <w:rFonts w:ascii="Cambria" w:hAnsi="Cambria"/>
        </w:rPr>
      </w:pPr>
      <w:r>
        <w:rPr>
          <w:rFonts w:ascii="Cambria" w:hAnsi="Cambria"/>
          <w:b/>
          <w:bCs/>
        </w:rPr>
        <w:t>c)</w:t>
      </w:r>
      <w:r>
        <w:rPr>
          <w:rFonts w:ascii="Cambria" w:hAnsi="Cambria"/>
        </w:rPr>
        <w:t xml:space="preserve"> Quando solicitada por diligência, a licitante poderá </w:t>
      </w:r>
      <w:r>
        <w:rPr>
          <w:rStyle w:val="Forte"/>
          <w:rFonts w:ascii="Cambria" w:hAnsi="Cambria"/>
        </w:rPr>
        <w:t>comprovar a exequibilidade</w:t>
      </w:r>
      <w:r>
        <w:rPr>
          <w:rFonts w:ascii="Cambria" w:hAnsi="Cambria"/>
        </w:rPr>
        <w:t xml:space="preserve"> de sua proposta mediante a </w:t>
      </w:r>
      <w:r>
        <w:rPr>
          <w:rStyle w:val="Forte"/>
          <w:rFonts w:ascii="Cambria" w:hAnsi="Cambria"/>
        </w:rPr>
        <w:t>apresentação</w:t>
      </w:r>
      <w:r>
        <w:rPr>
          <w:rFonts w:ascii="Cambria" w:hAnsi="Cambria"/>
        </w:rPr>
        <w:t xml:space="preserve"> de:</w:t>
      </w:r>
    </w:p>
    <w:p w14:paraId="356DF49C" w14:textId="77777777" w:rsidR="00150077" w:rsidRDefault="00000000">
      <w:pPr>
        <w:pStyle w:val="NormalWeb"/>
        <w:spacing w:before="120" w:beforeAutospacing="0" w:after="0" w:afterAutospacing="0" w:line="360" w:lineRule="auto"/>
        <w:ind w:left="1416"/>
        <w:jc w:val="both"/>
        <w:rPr>
          <w:rFonts w:ascii="Cambria" w:hAnsi="Cambria"/>
        </w:rPr>
      </w:pPr>
      <w:r>
        <w:rPr>
          <w:rFonts w:ascii="Cambria" w:hAnsi="Cambria"/>
          <w:b/>
          <w:bCs/>
        </w:rPr>
        <w:t xml:space="preserve">1. </w:t>
      </w:r>
      <w:r>
        <w:rPr>
          <w:rStyle w:val="Forte"/>
          <w:rFonts w:ascii="Cambria" w:hAnsi="Cambria"/>
        </w:rPr>
        <w:t>Planilha de Composição de Custos</w:t>
      </w:r>
      <w:r>
        <w:rPr>
          <w:rFonts w:ascii="Cambria" w:hAnsi="Cambria"/>
        </w:rPr>
        <w:t xml:space="preserve"> (Anexo V) </w:t>
      </w:r>
      <w:r>
        <w:rPr>
          <w:rStyle w:val="Forte"/>
          <w:rFonts w:ascii="Cambria" w:hAnsi="Cambria"/>
        </w:rPr>
        <w:t>devidamente preenchida</w:t>
      </w:r>
      <w:r>
        <w:rPr>
          <w:rFonts w:ascii="Cambria" w:hAnsi="Cambria"/>
        </w:rPr>
        <w:t>, refletindo os quantitativos e valores ofertados, ou</w:t>
      </w:r>
    </w:p>
    <w:p w14:paraId="564DD91D" w14:textId="77777777" w:rsidR="00150077" w:rsidRDefault="00000000">
      <w:pPr>
        <w:pStyle w:val="NormalWeb"/>
        <w:spacing w:before="120" w:beforeAutospacing="0" w:after="0" w:afterAutospacing="0" w:line="360" w:lineRule="auto"/>
        <w:ind w:left="1416"/>
        <w:jc w:val="both"/>
        <w:rPr>
          <w:rFonts w:ascii="Cambria" w:hAnsi="Cambria"/>
        </w:rPr>
      </w:pPr>
      <w:r>
        <w:rPr>
          <w:rFonts w:ascii="Cambria" w:hAnsi="Cambria"/>
          <w:b/>
          <w:bCs/>
        </w:rPr>
        <w:t>2.</w:t>
      </w:r>
      <w:r>
        <w:rPr>
          <w:rFonts w:ascii="Cambria" w:hAnsi="Cambria"/>
        </w:rPr>
        <w:t xml:space="preserve"> </w:t>
      </w:r>
      <w:r>
        <w:rPr>
          <w:rStyle w:val="Forte"/>
          <w:rFonts w:ascii="Cambria" w:hAnsi="Cambria"/>
        </w:rPr>
        <w:t>Notas fiscais,</w:t>
      </w:r>
      <w:r>
        <w:rPr>
          <w:rFonts w:ascii="Cambria" w:hAnsi="Cambria"/>
        </w:rPr>
        <w:t xml:space="preserve"> emitidas em data anterior, com no máximo 6 (seis) meses, da data da sessão eletrônica, que </w:t>
      </w:r>
      <w:r>
        <w:rPr>
          <w:rStyle w:val="Forte"/>
          <w:rFonts w:ascii="Cambria" w:hAnsi="Cambria"/>
        </w:rPr>
        <w:t>evidenciem os principais componentes do preço</w:t>
      </w:r>
      <w:r>
        <w:rPr>
          <w:rFonts w:ascii="Cambria" w:hAnsi="Cambria"/>
        </w:rPr>
        <w:t xml:space="preserve"> proposto. Não serão aceitos documentos com prazo superior.</w:t>
      </w:r>
    </w:p>
    <w:p w14:paraId="038F2294" w14:textId="77777777" w:rsidR="00150077" w:rsidRDefault="00000000">
      <w:pPr>
        <w:pStyle w:val="NormalWeb"/>
        <w:spacing w:before="120" w:beforeAutospacing="0" w:after="0" w:afterAutospacing="0" w:line="360" w:lineRule="auto"/>
        <w:ind w:left="567" w:firstLine="426"/>
        <w:jc w:val="both"/>
        <w:rPr>
          <w:rFonts w:ascii="Cambria" w:hAnsi="Cambria"/>
        </w:rPr>
      </w:pPr>
      <w:r>
        <w:rPr>
          <w:rFonts w:ascii="Cambria" w:hAnsi="Cambria"/>
          <w:b/>
          <w:bCs/>
        </w:rPr>
        <w:t>d)</w:t>
      </w:r>
      <w:r>
        <w:rPr>
          <w:rFonts w:ascii="Cambria" w:hAnsi="Cambria"/>
        </w:rPr>
        <w:t xml:space="preserve"> A documentação será apresentada </w:t>
      </w:r>
      <w:r>
        <w:rPr>
          <w:rStyle w:val="Forte"/>
          <w:rFonts w:ascii="Cambria" w:hAnsi="Cambria"/>
        </w:rPr>
        <w:t>exclusivamente pelo sistema</w:t>
      </w:r>
      <w:r>
        <w:rPr>
          <w:rFonts w:ascii="Cambria" w:hAnsi="Cambria"/>
        </w:rPr>
        <w:t xml:space="preserve">, em </w:t>
      </w:r>
      <w:r>
        <w:rPr>
          <w:rStyle w:val="Forte"/>
          <w:rFonts w:ascii="Cambria" w:hAnsi="Cambria"/>
        </w:rPr>
        <w:t>formato editável</w:t>
      </w:r>
      <w:r>
        <w:rPr>
          <w:rFonts w:ascii="Cambria" w:hAnsi="Cambria"/>
        </w:rPr>
        <w:t xml:space="preserve"> (.</w:t>
      </w:r>
      <w:proofErr w:type="spellStart"/>
      <w:r>
        <w:rPr>
          <w:rFonts w:ascii="Cambria" w:hAnsi="Cambria"/>
        </w:rPr>
        <w:t>xls</w:t>
      </w:r>
      <w:proofErr w:type="spellEnd"/>
      <w:r>
        <w:rPr>
          <w:rFonts w:ascii="Cambria" w:hAnsi="Cambria"/>
        </w:rPr>
        <w:t>, .</w:t>
      </w:r>
      <w:proofErr w:type="spellStart"/>
      <w:r>
        <w:rPr>
          <w:rFonts w:ascii="Cambria" w:hAnsi="Cambria"/>
        </w:rPr>
        <w:t>xlsx</w:t>
      </w:r>
      <w:proofErr w:type="spellEnd"/>
      <w:r>
        <w:rPr>
          <w:rFonts w:ascii="Cambria" w:hAnsi="Cambria"/>
        </w:rPr>
        <w:t xml:space="preserve"> ou equivalente) e </w:t>
      </w:r>
      <w:r>
        <w:rPr>
          <w:rStyle w:val="Forte"/>
          <w:rFonts w:ascii="Cambria" w:hAnsi="Cambria"/>
        </w:rPr>
        <w:t>não editável</w:t>
      </w:r>
      <w:r>
        <w:rPr>
          <w:rFonts w:ascii="Cambria" w:hAnsi="Cambria"/>
        </w:rPr>
        <w:t xml:space="preserve"> (.</w:t>
      </w:r>
      <w:proofErr w:type="spellStart"/>
      <w:r>
        <w:rPr>
          <w:rFonts w:ascii="Cambria" w:hAnsi="Cambria"/>
        </w:rPr>
        <w:t>pdf</w:t>
      </w:r>
      <w:proofErr w:type="spellEnd"/>
      <w:r>
        <w:rPr>
          <w:rFonts w:ascii="Cambria" w:hAnsi="Cambria"/>
        </w:rPr>
        <w:t xml:space="preserve">), </w:t>
      </w:r>
      <w:r>
        <w:rPr>
          <w:rStyle w:val="Forte"/>
          <w:rFonts w:ascii="Cambria" w:hAnsi="Cambria"/>
        </w:rPr>
        <w:t>assinada digitalmente</w:t>
      </w:r>
      <w:r>
        <w:rPr>
          <w:rFonts w:ascii="Cambria" w:hAnsi="Cambria"/>
        </w:rPr>
        <w:t xml:space="preserve"> pelo representante legal (e, quando couber, pelo responsável técnico).</w:t>
      </w:r>
    </w:p>
    <w:p w14:paraId="252E309A" w14:textId="77777777" w:rsidR="00150077" w:rsidRDefault="00000000">
      <w:pPr>
        <w:pStyle w:val="Nivel2"/>
      </w:pPr>
      <w:r>
        <w:rPr>
          <w:b/>
          <w:bCs/>
        </w:rPr>
        <w:t>V.</w:t>
      </w:r>
      <w:r>
        <w:t xml:space="preserve"> Recebida a convocação no sistema, o licitante deverá comprovar a exequibilidade do preço no prazo de 24 (vinte e quatro) horas.</w:t>
      </w:r>
    </w:p>
    <w:p w14:paraId="780B5D8E" w14:textId="77777777" w:rsidR="00150077" w:rsidRDefault="00000000">
      <w:pPr>
        <w:pStyle w:val="Nivel2"/>
      </w:pPr>
      <w:r>
        <w:rPr>
          <w:b/>
          <w:bCs/>
        </w:rPr>
        <w:t xml:space="preserve">VI. </w:t>
      </w:r>
      <w:r>
        <w:t>Caso não seja possível aferir a exequibilidade do produto ofertado com a documentação apresentada, a Pregoeira poderá solicitar comprovantes complementares que entender pertinentes, a fim de assegurar a devida comprovação.</w:t>
      </w:r>
    </w:p>
    <w:p w14:paraId="67111A14"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lastRenderedPageBreak/>
        <w:t xml:space="preserve">8.3 </w:t>
      </w:r>
      <w:r>
        <w:rPr>
          <w:rFonts w:ascii="Cambria" w:hAnsi="Cambria"/>
          <w:bCs/>
          <w:color w:val="000000" w:themeColor="text1"/>
          <w:sz w:val="24"/>
          <w:szCs w:val="24"/>
        </w:rPr>
        <w:t>A Pregoeira irá convocar a licitante melhor classificada para enviar os documentos em formato digital, por meio da funcionalidade disponível no sistema.</w:t>
      </w:r>
    </w:p>
    <w:p w14:paraId="16225719" w14:textId="77777777" w:rsidR="00150077"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O prazo para envio dos documentos será de 02 (duas) horas, contados a partir da convocação formal realizada pela Pregoeira através do sistema eletrônico.</w:t>
      </w:r>
    </w:p>
    <w:p w14:paraId="3E7407CA" w14:textId="77777777" w:rsidR="00150077"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Fonts w:ascii="Cambria" w:hAnsi="Cambria"/>
          <w:b/>
          <w:color w:val="000000" w:themeColor="text1"/>
          <w:sz w:val="24"/>
          <w:szCs w:val="24"/>
        </w:rPr>
        <w:t xml:space="preserve">8.4 </w:t>
      </w:r>
      <w:r>
        <w:rPr>
          <w:rFonts w:ascii="Cambria" w:hAnsi="Cambria"/>
          <w:bCs/>
          <w:color w:val="000000" w:themeColor="text1"/>
          <w:sz w:val="24"/>
          <w:szCs w:val="24"/>
        </w:rPr>
        <w:t>A licitante que abandonar o certame, deixando de enviar a documentação indicada neste edital na plataforma BNC (</w:t>
      </w:r>
      <w:hyperlink r:id="rId19">
        <w:r w:rsidR="00150077" w:rsidRPr="00F467C1">
          <w:rPr>
            <w:rStyle w:val="Hyperlink"/>
            <w:rFonts w:ascii="Cambria" w:hAnsi="Cambria"/>
            <w:color w:val="000000" w:themeColor="text1"/>
            <w:sz w:val="24"/>
            <w:szCs w:val="24"/>
            <w:u w:val="none"/>
          </w:rPr>
          <w:t>www.bnc.org.br</w:t>
        </w:r>
      </w:hyperlink>
      <w:r>
        <w:rPr>
          <w:rStyle w:val="Hyperlink"/>
          <w:rFonts w:ascii="Cambria" w:hAnsi="Cambria"/>
          <w:color w:val="000000" w:themeColor="text1"/>
          <w:sz w:val="24"/>
          <w:szCs w:val="24"/>
          <w:u w:val="none"/>
        </w:rPr>
        <w:t>), se assim solicitado pela Pregoeira, será desclassificada e sujeitar-se-á às sanções previstas neste instrumento convocatório.</w:t>
      </w:r>
    </w:p>
    <w:p w14:paraId="045BA295" w14:textId="77777777" w:rsidR="00150077"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8.5</w:t>
      </w:r>
      <w:r>
        <w:rPr>
          <w:rStyle w:val="Hyperlink"/>
          <w:rFonts w:ascii="Cambria" w:hAnsi="Cambria"/>
          <w:color w:val="000000" w:themeColor="text1"/>
          <w:sz w:val="24"/>
          <w:szCs w:val="24"/>
          <w:u w:val="none"/>
        </w:rPr>
        <w:t xml:space="preserve"> Se a proposta não for aceitável, ou se a licitante não atender as exigências de habilitação, a Pregoeira examinará a proposta subsequente e assim sucessivamente, na ordem de classificação, até a seleção da proposta que melhor atenda este Edital.</w:t>
      </w:r>
    </w:p>
    <w:p w14:paraId="4A78EB92" w14:textId="77777777" w:rsidR="00150077"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8.6</w:t>
      </w:r>
      <w:r>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1BF217C8" w14:textId="77777777" w:rsidR="00150077"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8.7</w:t>
      </w:r>
      <w:r>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31872208" w14:textId="77777777" w:rsidR="00150077"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8.8</w:t>
      </w:r>
      <w:r>
        <w:rPr>
          <w:rStyle w:val="Hyperlink"/>
          <w:rFonts w:ascii="Cambria" w:hAnsi="Cambria"/>
          <w:color w:val="000000" w:themeColor="text1"/>
          <w:sz w:val="24"/>
          <w:szCs w:val="24"/>
          <w:u w:val="none"/>
        </w:rPr>
        <w:t xml:space="preserve"> Será desclassificada a proposta que: </w:t>
      </w:r>
    </w:p>
    <w:p w14:paraId="28316699" w14:textId="77777777" w:rsidR="00150077"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Não atenda as exigências deste ato convocatório e ou contiver vícios insanáveis.</w:t>
      </w:r>
    </w:p>
    <w:p w14:paraId="0A39BF52" w14:textId="77777777" w:rsidR="00150077"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w:t>
      </w:r>
      <w:r>
        <w:rPr>
          <w:rFonts w:ascii="Cambria" w:hAnsi="Cambria"/>
          <w:bCs/>
          <w:color w:val="000000" w:themeColor="text1"/>
          <w:sz w:val="24"/>
          <w:szCs w:val="24"/>
        </w:rPr>
        <w:t xml:space="preserve"> Não obedecer às especificações técnicas contidas no Edital.</w:t>
      </w:r>
    </w:p>
    <w:p w14:paraId="646D680E" w14:textId="77777777" w:rsidR="00150077"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Esteja o valor, acima do estimado previsto no Edital.</w:t>
      </w:r>
    </w:p>
    <w:p w14:paraId="543DD4ED" w14:textId="77777777" w:rsidR="00150077"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IV.</w:t>
      </w:r>
      <w:r>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631E5AE4"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lastRenderedPageBreak/>
        <w:t>8.9</w:t>
      </w:r>
      <w:r>
        <w:rPr>
          <w:rFonts w:ascii="Cambria" w:hAnsi="Cambria"/>
          <w:bCs/>
          <w:color w:val="000000" w:themeColor="text1"/>
          <w:sz w:val="24"/>
          <w:szCs w:val="24"/>
        </w:rPr>
        <w:t xml:space="preserve"> A desclassificação das propostas será sempre fundamentada e registrada no sistema, com possibilidade de acompanhamento “</w:t>
      </w:r>
      <w:r>
        <w:rPr>
          <w:rFonts w:ascii="Cambria" w:hAnsi="Cambria"/>
          <w:bCs/>
          <w:i/>
          <w:iCs/>
          <w:color w:val="000000" w:themeColor="text1"/>
          <w:sz w:val="24"/>
          <w:szCs w:val="24"/>
        </w:rPr>
        <w:t>on-line</w:t>
      </w:r>
      <w:r>
        <w:rPr>
          <w:rFonts w:ascii="Cambria" w:hAnsi="Cambria"/>
          <w:bCs/>
          <w:color w:val="000000" w:themeColor="text1"/>
          <w:sz w:val="24"/>
          <w:szCs w:val="24"/>
        </w:rPr>
        <w:t>” pelos licitantes.</w:t>
      </w:r>
    </w:p>
    <w:p w14:paraId="1E91D205"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8.10</w:t>
      </w:r>
      <w:r>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5B32C096"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8.11</w:t>
      </w:r>
      <w:r>
        <w:rPr>
          <w:rFonts w:ascii="Cambria" w:hAnsi="Cambria"/>
          <w:bCs/>
          <w:color w:val="000000" w:themeColor="text1"/>
          <w:sz w:val="24"/>
          <w:szCs w:val="24"/>
        </w:rPr>
        <w:t xml:space="preserve"> Ocorrendo divergência entre os valores unitários e o valor total prevalecerá o primeiro.</w:t>
      </w:r>
    </w:p>
    <w:p w14:paraId="4513323A"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8.12</w:t>
      </w:r>
      <w:r>
        <w:rPr>
          <w:rFonts w:ascii="Cambria" w:hAnsi="Cambria"/>
          <w:bCs/>
          <w:color w:val="000000" w:themeColor="text1"/>
          <w:sz w:val="24"/>
          <w:szCs w:val="24"/>
        </w:rPr>
        <w:t xml:space="preserve"> A critério da Pregoeira poderão ser relevados erros ou omissões formais de que não resultem prejuízo para o entendimento das propostas.</w:t>
      </w:r>
    </w:p>
    <w:p w14:paraId="0C7ABEF4"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8.13</w:t>
      </w:r>
      <w:r>
        <w:rPr>
          <w:rFonts w:ascii="Cambria" w:hAnsi="Cambria"/>
          <w:bCs/>
          <w:color w:val="000000" w:themeColor="text1"/>
          <w:sz w:val="24"/>
          <w:szCs w:val="24"/>
        </w:rPr>
        <w:t xml:space="preserve"> Sendo aceitável a oferta, será verificado o atendimento das condições </w:t>
      </w:r>
      <w:proofErr w:type="spellStart"/>
      <w:r>
        <w:rPr>
          <w:rFonts w:ascii="Cambria" w:hAnsi="Cambria"/>
          <w:bCs/>
          <w:color w:val="000000" w:themeColor="text1"/>
          <w:sz w:val="24"/>
          <w:szCs w:val="24"/>
        </w:rPr>
        <w:t>habilitatórias</w:t>
      </w:r>
      <w:proofErr w:type="spellEnd"/>
      <w:r>
        <w:rPr>
          <w:rFonts w:ascii="Cambria" w:hAnsi="Cambria"/>
          <w:bCs/>
          <w:color w:val="000000" w:themeColor="text1"/>
          <w:sz w:val="24"/>
          <w:szCs w:val="24"/>
        </w:rPr>
        <w:t xml:space="preserve"> da licitante que a tiver formulado, com base na documentação e proposta apresentada.</w:t>
      </w:r>
    </w:p>
    <w:p w14:paraId="5BFC4EFC" w14:textId="77777777" w:rsidR="00150077"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8.14</w:t>
      </w:r>
      <w:r>
        <w:rPr>
          <w:rFonts w:ascii="Cambria" w:hAnsi="Cambria"/>
          <w:bCs/>
          <w:color w:val="000000" w:themeColor="text1"/>
          <w:sz w:val="24"/>
          <w:szCs w:val="24"/>
        </w:rPr>
        <w:t xml:space="preserve"> Se a proposta não for aceitável, ou ainda, se não atender as exigências </w:t>
      </w:r>
      <w:proofErr w:type="spellStart"/>
      <w:r>
        <w:rPr>
          <w:rFonts w:ascii="Cambria" w:hAnsi="Cambria"/>
          <w:bCs/>
          <w:color w:val="000000" w:themeColor="text1"/>
          <w:sz w:val="24"/>
          <w:szCs w:val="24"/>
        </w:rPr>
        <w:t>habilitatórias</w:t>
      </w:r>
      <w:proofErr w:type="spellEnd"/>
      <w:r>
        <w:rPr>
          <w:rFonts w:ascii="Cambria" w:hAnsi="Cambria"/>
          <w:bCs/>
          <w:color w:val="000000" w:themeColor="text1"/>
          <w:sz w:val="24"/>
          <w:szCs w:val="24"/>
        </w:rPr>
        <w:t>, a Pregoeira examinará a proposta subsequente e, assim sucessivamente, na ordem de classificação, até a apuração de uma proposta que atenda a este Edital.</w:t>
      </w:r>
    </w:p>
    <w:p w14:paraId="796F0A29" w14:textId="77777777" w:rsidR="00150077"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No caso previsto no subitem 8.14, a Pregoeira deverá negociar com a licitante, para que seja obtido melhor preço.</w:t>
      </w:r>
    </w:p>
    <w:p w14:paraId="33E5C753"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8.15</w:t>
      </w:r>
      <w:r>
        <w:rPr>
          <w:rFonts w:ascii="Cambria" w:hAnsi="Cambria"/>
          <w:color w:val="000000" w:themeColor="text1"/>
          <w:sz w:val="24"/>
          <w:szCs w:val="24"/>
        </w:rPr>
        <w:t xml:space="preserve"> Constatado o atendimento às exigências fixadas neste Edital, à licitante terá a sua proposta aceita.</w:t>
      </w:r>
      <w:bookmarkEnd w:id="19"/>
    </w:p>
    <w:p w14:paraId="111C7B85"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 xml:space="preserve">09. DA HABILITAÇÃO </w:t>
      </w:r>
    </w:p>
    <w:p w14:paraId="0CBB51EB"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9.1</w:t>
      </w:r>
      <w:r>
        <w:rPr>
          <w:rFonts w:ascii="Cambria" w:hAnsi="Cambria"/>
          <w:color w:val="000000" w:themeColor="text1"/>
          <w:sz w:val="24"/>
          <w:szCs w:val="24"/>
        </w:rPr>
        <w:t xml:space="preserve"> Será exigida a apresentação dos documentos de habilitação apenas da licitante vencedora.</w:t>
      </w:r>
    </w:p>
    <w:p w14:paraId="09426B7B" w14:textId="77777777" w:rsidR="00150077" w:rsidRDefault="00000000">
      <w:pPr>
        <w:widowControl w:val="0"/>
        <w:tabs>
          <w:tab w:val="left" w:pos="850"/>
          <w:tab w:val="left" w:pos="1211"/>
        </w:tabs>
        <w:spacing w:before="240" w:line="360" w:lineRule="auto"/>
        <w:rPr>
          <w:rFonts w:ascii="Cambria" w:hAnsi="Cambria"/>
          <w:b/>
          <w:color w:val="000000" w:themeColor="text1"/>
          <w:sz w:val="24"/>
          <w:szCs w:val="24"/>
        </w:rPr>
      </w:pPr>
      <w:r>
        <w:rPr>
          <w:rFonts w:ascii="Cambria" w:hAnsi="Cambria"/>
          <w:b/>
          <w:color w:val="000000" w:themeColor="text1"/>
          <w:sz w:val="24"/>
          <w:szCs w:val="24"/>
        </w:rPr>
        <w:t>9.2 Para fins de habilitação a licitante deverá apresentar toda documentação exigida neste edital no prazo de até 02 (duas) horas, a contar da convocação pela Pregoeira em campo próprio do sistema Bolsa Nacional de Compras – BNC.</w:t>
      </w:r>
    </w:p>
    <w:p w14:paraId="54220F9F" w14:textId="77777777" w:rsidR="00150077"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w:t>
      </w:r>
      <w:r>
        <w:rPr>
          <w:rFonts w:ascii="Cambria" w:hAnsi="Cambria"/>
          <w:color w:val="000000" w:themeColor="text1"/>
          <w:sz w:val="24"/>
          <w:szCs w:val="24"/>
        </w:rPr>
        <w:t xml:space="preserve"> Os documentos de cunho </w:t>
      </w:r>
      <w:proofErr w:type="spellStart"/>
      <w:r>
        <w:rPr>
          <w:rFonts w:ascii="Cambria" w:hAnsi="Cambria"/>
          <w:color w:val="000000" w:themeColor="text1"/>
          <w:sz w:val="24"/>
          <w:szCs w:val="24"/>
        </w:rPr>
        <w:t>habilitatório</w:t>
      </w:r>
      <w:proofErr w:type="spellEnd"/>
      <w:r>
        <w:rPr>
          <w:rFonts w:ascii="Cambria" w:hAnsi="Cambria"/>
          <w:color w:val="000000" w:themeColor="text1"/>
          <w:sz w:val="24"/>
          <w:szCs w:val="24"/>
        </w:rPr>
        <w:t xml:space="preserve"> já constantes do SICAF poderão deixar de ser juntados pelo licitante desde que estejam e mantenham-se devidamente atualizados no curso do certame e contenham todas as informações exigidas no Edital.</w:t>
      </w:r>
    </w:p>
    <w:p w14:paraId="39BE1A9B" w14:textId="77777777" w:rsidR="00150077"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4D0F8FF6" w14:textId="77777777" w:rsidR="00150077" w:rsidRDefault="00000000">
      <w:pPr>
        <w:widowControl w:val="0"/>
        <w:tabs>
          <w:tab w:val="left" w:pos="850"/>
          <w:tab w:val="left" w:pos="1211"/>
        </w:tabs>
        <w:spacing w:before="240" w:line="360" w:lineRule="auto"/>
        <w:ind w:firstLine="567"/>
        <w:rPr>
          <w:rFonts w:ascii="Cambria" w:hAnsi="Cambria"/>
          <w:b/>
          <w:bCs/>
          <w:color w:val="000000" w:themeColor="text1"/>
          <w:sz w:val="24"/>
          <w:szCs w:val="24"/>
        </w:rPr>
      </w:pPr>
      <w:bookmarkStart w:id="20" w:name="_Hlk226375962"/>
      <w:r>
        <w:rPr>
          <w:rFonts w:ascii="Cambria" w:hAnsi="Cambria"/>
          <w:b/>
          <w:bCs/>
          <w:color w:val="000000" w:themeColor="text1"/>
          <w:sz w:val="24"/>
          <w:szCs w:val="24"/>
        </w:rPr>
        <w:t>III. A análise da validade das certidões e dos demais documentos será realizada com base na data da convocação da Agente de Contratação/Pregoeira.</w:t>
      </w:r>
      <w:bookmarkEnd w:id="20"/>
    </w:p>
    <w:p w14:paraId="6912C088" w14:textId="77777777" w:rsidR="00150077" w:rsidRDefault="00000000">
      <w:pPr>
        <w:widowControl w:val="0"/>
        <w:tabs>
          <w:tab w:val="left" w:pos="850"/>
          <w:tab w:val="left" w:pos="1211"/>
        </w:tabs>
        <w:spacing w:before="240" w:line="360" w:lineRule="auto"/>
        <w:rPr>
          <w:rFonts w:ascii="Cambria" w:hAnsi="Cambria" w:cs="Arial"/>
          <w:color w:val="000000" w:themeColor="text1"/>
          <w:sz w:val="24"/>
          <w:szCs w:val="24"/>
        </w:rPr>
      </w:pPr>
      <w:r>
        <w:rPr>
          <w:rFonts w:ascii="Cambria" w:hAnsi="Cambria"/>
          <w:b/>
          <w:bCs/>
          <w:color w:val="000000" w:themeColor="text1"/>
          <w:sz w:val="24"/>
          <w:szCs w:val="24"/>
        </w:rPr>
        <w:t>9.3</w:t>
      </w:r>
      <w:r>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Pr>
          <w:rFonts w:ascii="Cambria" w:hAnsi="Cambria" w:cs="Arial"/>
          <w:color w:val="000000" w:themeColor="text1"/>
          <w:sz w:val="24"/>
          <w:szCs w:val="24"/>
        </w:rPr>
        <w:t>§ 2º, do Decreto Municipal nº 21, de 2024.</w:t>
      </w:r>
    </w:p>
    <w:p w14:paraId="0F711E64"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9.4</w:t>
      </w:r>
      <w:r>
        <w:rPr>
          <w:rFonts w:ascii="Cambria" w:hAnsi="Cambria"/>
          <w:color w:val="000000" w:themeColor="text1"/>
          <w:sz w:val="24"/>
          <w:szCs w:val="24"/>
        </w:rPr>
        <w:t xml:space="preserve"> Não serão aceitos como documentação hábil a suprir exigências deste Edital pedidos de inscrição, protocolos, cartas ou quaisquer outros documentos que visem a substituir os exigidos.</w:t>
      </w:r>
    </w:p>
    <w:p w14:paraId="01A794E9"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9.5</w:t>
      </w:r>
      <w:r>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da Agente de Contratação/Pregoeira para apresentar os documentos de habilitação.</w:t>
      </w:r>
    </w:p>
    <w:p w14:paraId="15085310"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9.6</w:t>
      </w:r>
      <w:r>
        <w:rPr>
          <w:rFonts w:ascii="Cambria" w:hAnsi="Cambria"/>
          <w:color w:val="000000" w:themeColor="text1"/>
          <w:sz w:val="24"/>
          <w:szCs w:val="24"/>
        </w:rPr>
        <w:t xml:space="preserve"> Como condição prévia ao exame da documentação de habilitação do licitante detentor da proposta classificada em primeiro lugar, a Pregoeira verificará eventual descumprimento das condições de participação, especialmente quanto à existência de sanção de impeça a participação no certame ou a futura contratação, mediante a consulta ao SICAF.</w:t>
      </w:r>
    </w:p>
    <w:p w14:paraId="7B674AED"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 xml:space="preserve">9.7 </w:t>
      </w:r>
      <w:r>
        <w:rPr>
          <w:rFonts w:ascii="Cambria" w:hAnsi="Cambria"/>
          <w:color w:val="000000" w:themeColor="text1"/>
          <w:sz w:val="24"/>
          <w:szCs w:val="24"/>
        </w:rPr>
        <w:t xml:space="preserve">A documentação relativa à </w:t>
      </w:r>
      <w:r>
        <w:rPr>
          <w:rFonts w:ascii="Cambria" w:hAnsi="Cambria"/>
          <w:b/>
          <w:color w:val="000000" w:themeColor="text1"/>
          <w:sz w:val="24"/>
          <w:szCs w:val="24"/>
        </w:rPr>
        <w:t>Habilitação</w:t>
      </w:r>
      <w:r>
        <w:rPr>
          <w:rFonts w:ascii="Cambria" w:hAnsi="Cambria"/>
          <w:color w:val="000000" w:themeColor="text1"/>
          <w:sz w:val="24"/>
          <w:szCs w:val="24"/>
        </w:rPr>
        <w:t xml:space="preserve"> deverá ser apresentada em conformidade com a relação descrita a seguir relacionados os quais dizem respeito a:</w:t>
      </w:r>
    </w:p>
    <w:p w14:paraId="44B261B1" w14:textId="77777777" w:rsidR="00150077"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HABILITAÇÃO JURÍDICA</w:t>
      </w:r>
    </w:p>
    <w:p w14:paraId="0A5AA1A4"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 xml:space="preserve">Documento oficial de identificação que contenha foto dos </w:t>
      </w:r>
      <w:r>
        <w:rPr>
          <w:rFonts w:ascii="Cambria" w:hAnsi="Cambria"/>
          <w:b/>
          <w:color w:val="000000" w:themeColor="text1"/>
          <w:sz w:val="24"/>
          <w:szCs w:val="24"/>
        </w:rPr>
        <w:t>Sócios Administradores da Empresa.</w:t>
      </w:r>
    </w:p>
    <w:p w14:paraId="51F7B7FD"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Certidão de Registro Comercial (no caso de empresa individual); ou</w:t>
      </w:r>
    </w:p>
    <w:p w14:paraId="275A5395"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4F453978"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Inscrição do ato constitutivo no caso de sociedades civis, acompanhada de prova de registro de ata de eleição da diretoria em exercício (Registro Civil das Pessoas Jurídicas);</w:t>
      </w:r>
    </w:p>
    <w:p w14:paraId="2DBA8F3B"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9158DB8" w14:textId="77777777" w:rsidR="00150077" w:rsidRDefault="00000000">
      <w:pPr>
        <w:tabs>
          <w:tab w:val="left" w:pos="170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w:t>
      </w:r>
      <w:r>
        <w:rPr>
          <w:rFonts w:ascii="Cambria" w:hAnsi="Cambria"/>
          <w:b/>
          <w:color w:val="000000" w:themeColor="text1"/>
          <w:sz w:val="24"/>
          <w:szCs w:val="24"/>
        </w:rPr>
        <w:t>REGULARIDADE FISCAL, SOCIAL E TRABALHISTA</w:t>
      </w:r>
    </w:p>
    <w:p w14:paraId="7AEAAA06"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Prova de inscrição no Cadastro Nacional da Pessoa Jurídica (CNPJ);</w:t>
      </w:r>
    </w:p>
    <w:p w14:paraId="1789B4BF"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Prova de inscrição no cadastro de contribuintes </w:t>
      </w:r>
      <w:r>
        <w:rPr>
          <w:rFonts w:ascii="Cambria" w:hAnsi="Cambria"/>
          <w:b/>
          <w:color w:val="000000" w:themeColor="text1"/>
          <w:sz w:val="24"/>
          <w:szCs w:val="24"/>
        </w:rPr>
        <w:t>Estadual</w:t>
      </w:r>
      <w:r>
        <w:rPr>
          <w:rFonts w:ascii="Cambria" w:hAnsi="Cambria"/>
          <w:color w:val="000000" w:themeColor="text1"/>
          <w:sz w:val="24"/>
          <w:szCs w:val="24"/>
        </w:rPr>
        <w:t xml:space="preserve"> e/</w:t>
      </w:r>
      <w:r>
        <w:rPr>
          <w:rFonts w:ascii="Cambria" w:hAnsi="Cambria"/>
          <w:i/>
          <w:color w:val="000000" w:themeColor="text1"/>
          <w:sz w:val="24"/>
          <w:szCs w:val="24"/>
          <w:u w:val="single"/>
        </w:rPr>
        <w:t>ou</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se houver, relativo ao domicílio ou sede da licitante, pertinente ao seu ramo de atividade e compatível com o objeto licitado;</w:t>
      </w:r>
    </w:p>
    <w:p w14:paraId="18E7D3F0"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Federal/INSS</w:t>
      </w:r>
      <w:r>
        <w:rPr>
          <w:rFonts w:ascii="Cambria" w:hAnsi="Cambria"/>
          <w:color w:val="000000" w:themeColor="text1"/>
          <w:sz w:val="24"/>
          <w:szCs w:val="24"/>
        </w:rPr>
        <w:t xml:space="preserve"> (Certidão Negativa de Tributos e Contribuições Federais e Dívida Ativa da União);</w:t>
      </w:r>
    </w:p>
    <w:p w14:paraId="10BA5BC8"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lastRenderedPageBreak/>
        <w:t>d)</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Estadual</w:t>
      </w:r>
      <w:r>
        <w:rPr>
          <w:rFonts w:ascii="Cambria" w:hAnsi="Cambria"/>
          <w:color w:val="000000" w:themeColor="text1"/>
          <w:sz w:val="24"/>
          <w:szCs w:val="24"/>
        </w:rPr>
        <w:t xml:space="preserve"> (Certidão Negativa de Débitos relativa ao ICMS);</w:t>
      </w:r>
    </w:p>
    <w:p w14:paraId="585FC6F8"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6D610496"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f)</w:t>
      </w:r>
      <w:r>
        <w:rPr>
          <w:rFonts w:ascii="Cambria" w:hAnsi="Cambria"/>
          <w:color w:val="000000" w:themeColor="text1"/>
          <w:sz w:val="24"/>
          <w:szCs w:val="24"/>
        </w:rPr>
        <w:t xml:space="preserve"> Prova de regularidade relativa ao </w:t>
      </w:r>
      <w:r>
        <w:rPr>
          <w:rFonts w:ascii="Cambria" w:hAnsi="Cambria"/>
          <w:b/>
          <w:color w:val="000000" w:themeColor="text1"/>
          <w:sz w:val="24"/>
          <w:szCs w:val="24"/>
        </w:rPr>
        <w:t>Fundo de Garantia por Tempo de Serviço</w:t>
      </w:r>
      <w:r>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3DF9EF4B"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g)</w:t>
      </w:r>
      <w:r>
        <w:rPr>
          <w:rFonts w:ascii="Cambria" w:hAnsi="Cambria"/>
          <w:color w:val="000000" w:themeColor="text1"/>
          <w:sz w:val="24"/>
          <w:szCs w:val="24"/>
        </w:rPr>
        <w:t xml:space="preserve"> </w:t>
      </w:r>
      <w:r>
        <w:rPr>
          <w:rFonts w:ascii="Cambria" w:hAnsi="Cambria"/>
          <w:b/>
          <w:color w:val="000000" w:themeColor="text1"/>
          <w:sz w:val="24"/>
          <w:szCs w:val="24"/>
        </w:rPr>
        <w:t>Certidão Negativa de Débitos Trabalhistas</w:t>
      </w:r>
      <w:r>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5.452, de 1</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de maio de 1943 e da Lei Federal nº 12.440, de 2011.</w:t>
      </w:r>
    </w:p>
    <w:p w14:paraId="385DF361"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QUALIFICAÇÃO ECONÔMICA - FINANCEIRA</w:t>
      </w:r>
    </w:p>
    <w:p w14:paraId="074E8FA2"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bookmarkStart w:id="21" w:name="_Hlk226376075"/>
      <w:r>
        <w:rPr>
          <w:rFonts w:ascii="Cambria" w:hAnsi="Cambria"/>
          <w:b/>
          <w:color w:val="000000" w:themeColor="text1"/>
          <w:sz w:val="24"/>
          <w:szCs w:val="24"/>
        </w:rPr>
        <w:t>Certidão Negativa de Feitos sobre Falência</w:t>
      </w:r>
      <w:r>
        <w:rPr>
          <w:rFonts w:ascii="Cambria" w:hAnsi="Cambria"/>
          <w:color w:val="000000" w:themeColor="text1"/>
          <w:sz w:val="24"/>
          <w:szCs w:val="24"/>
        </w:rPr>
        <w:t>, expedida pelo Cartório Distribuidor da sede da licitante, dentro do prazo de validade constante no documento, ou se caso não houver a data de validade, com data de emissão de, no máximo, 30 (trinta) dias anteriores à convocação da Agente de Contratação/Pregoeira para apresentar os documentos de habilitação</w:t>
      </w:r>
      <w:bookmarkEnd w:id="21"/>
      <w:r>
        <w:rPr>
          <w:rFonts w:ascii="Cambria" w:hAnsi="Cambria"/>
          <w:color w:val="000000" w:themeColor="text1"/>
          <w:sz w:val="24"/>
          <w:szCs w:val="24"/>
        </w:rPr>
        <w:t>.</w:t>
      </w:r>
    </w:p>
    <w:p w14:paraId="6BE8E096" w14:textId="77777777" w:rsidR="00150077" w:rsidRDefault="00000000">
      <w:pPr>
        <w:spacing w:before="240" w:line="360" w:lineRule="auto"/>
        <w:ind w:left="567" w:firstLine="567"/>
        <w:rPr>
          <w:rFonts w:ascii="Cambria" w:eastAsia="Helvetica" w:hAnsi="Cambria" w:cs="Arial"/>
          <w:color w:val="000000" w:themeColor="text1"/>
          <w:sz w:val="24"/>
          <w:szCs w:val="24"/>
        </w:rPr>
      </w:pPr>
      <w:r>
        <w:rPr>
          <w:rFonts w:ascii="Cambria" w:hAnsi="Cambria" w:cs="Arial"/>
          <w:b/>
          <w:color w:val="000000" w:themeColor="text1"/>
          <w:sz w:val="24"/>
          <w:szCs w:val="24"/>
        </w:rPr>
        <w:t xml:space="preserve">b) Balanço Patrimonial, </w:t>
      </w:r>
      <w:r>
        <w:rPr>
          <w:rFonts w:ascii="Cambria" w:hAnsi="Cambria" w:cs="Arial"/>
          <w:bCs/>
          <w:color w:val="000000" w:themeColor="text1"/>
          <w:sz w:val="24"/>
          <w:szCs w:val="24"/>
        </w:rPr>
        <w:t>demonstração de resultado de exercício e demais demonstrações contábeis dos 02 (dois) últimos exercícios sociais</w:t>
      </w:r>
      <w:r>
        <w:rPr>
          <w:rFonts w:ascii="Cambria" w:eastAsia="Helvetica" w:hAnsi="Cambria" w:cs="Arial"/>
          <w:color w:val="000000" w:themeColor="text1"/>
          <w:sz w:val="24"/>
          <w:szCs w:val="24"/>
        </w:rPr>
        <w:t>.</w:t>
      </w:r>
    </w:p>
    <w:p w14:paraId="5FFCD72C" w14:textId="77777777" w:rsidR="00150077" w:rsidRDefault="00000000">
      <w:pPr>
        <w:spacing w:before="240" w:line="360" w:lineRule="auto"/>
        <w:ind w:left="1134" w:firstLine="567"/>
        <w:rPr>
          <w:rFonts w:ascii="Cambria" w:eastAsia="Helvetica" w:hAnsi="Cambria" w:cs="Arial"/>
          <w:color w:val="000000" w:themeColor="text1"/>
          <w:sz w:val="24"/>
          <w:szCs w:val="24"/>
        </w:rPr>
      </w:pPr>
      <w:r>
        <w:rPr>
          <w:rFonts w:ascii="Cambria" w:eastAsia="Helvetica" w:hAnsi="Cambria" w:cs="Arial"/>
          <w:b/>
          <w:bCs/>
          <w:color w:val="000000" w:themeColor="text1"/>
          <w:sz w:val="24"/>
          <w:szCs w:val="24"/>
        </w:rPr>
        <w:t>1.</w:t>
      </w:r>
      <w:r>
        <w:rPr>
          <w:rFonts w:ascii="Cambria" w:eastAsia="Helvetica" w:hAnsi="Cambria" w:cs="Arial"/>
          <w:color w:val="000000" w:themeColor="text1"/>
          <w:sz w:val="24"/>
          <w:szCs w:val="24"/>
        </w:rPr>
        <w:t xml:space="preserve"> A boa situação financeira da licitante dos </w:t>
      </w:r>
      <w:r>
        <w:rPr>
          <w:rFonts w:ascii="Cambria" w:hAnsi="Cambria" w:cs="Arial"/>
          <w:bCs/>
          <w:color w:val="000000" w:themeColor="text1"/>
          <w:sz w:val="24"/>
          <w:szCs w:val="24"/>
        </w:rPr>
        <w:t>02 (dois) últimos exercícios sociais</w:t>
      </w:r>
      <w:r>
        <w:rPr>
          <w:rFonts w:ascii="Cambria" w:eastAsia="Helvetica" w:hAnsi="Cambria" w:cs="Arial"/>
          <w:color w:val="000000" w:themeColor="text1"/>
          <w:sz w:val="24"/>
          <w:szCs w:val="24"/>
        </w:rPr>
        <w:t xml:space="preserve">, devidamente assinada pelo responsável contábil, terá por base a verificação dos índices de Liquidez Geral (LG), Solvência Geral (SG) e </w:t>
      </w:r>
      <w:r>
        <w:rPr>
          <w:rFonts w:ascii="Cambria" w:eastAsia="Helvetica" w:hAnsi="Cambria" w:cs="Arial"/>
          <w:color w:val="000000" w:themeColor="text1"/>
          <w:sz w:val="24"/>
          <w:szCs w:val="24"/>
        </w:rPr>
        <w:lastRenderedPageBreak/>
        <w:t>Liquidez Corrente (LC), resultantes da aplicação das seguintes formulas, considerando que todos devem ser iguais ou superiores a 1:</w:t>
      </w:r>
    </w:p>
    <w:p w14:paraId="01D7966B" w14:textId="77777777" w:rsidR="00150077" w:rsidRDefault="00000000">
      <w:pPr>
        <w:spacing w:before="240" w:line="360" w:lineRule="auto"/>
        <w:ind w:left="1557" w:firstLine="567"/>
        <w:rPr>
          <w:rFonts w:ascii="Cambria" w:hAnsi="Cambria" w:cs="Times New Roman"/>
          <w:color w:val="000000" w:themeColor="text1"/>
          <w:sz w:val="24"/>
          <w:szCs w:val="24"/>
          <w:lang w:val="en-US"/>
        </w:rPr>
      </w:pPr>
      <w:proofErr w:type="spellStart"/>
      <w:r>
        <w:rPr>
          <w:rFonts w:ascii="Cambria" w:hAnsi="Cambria" w:cs="Times New Roman"/>
          <w:b/>
          <w:color w:val="000000" w:themeColor="text1"/>
          <w:sz w:val="24"/>
          <w:szCs w:val="24"/>
          <w:lang w:val="en-US"/>
        </w:rPr>
        <w:t>Fórmula</w:t>
      </w:r>
      <w:proofErr w:type="spellEnd"/>
      <w:r>
        <w:rPr>
          <w:rFonts w:ascii="Cambria" w:hAnsi="Cambria" w:cs="Times New Roman"/>
          <w:b/>
          <w:color w:val="000000" w:themeColor="text1"/>
          <w:sz w:val="24"/>
          <w:szCs w:val="24"/>
          <w:lang w:val="en-US"/>
        </w:rPr>
        <w:t>:</w:t>
      </w:r>
      <w:r>
        <w:rPr>
          <w:rFonts w:ascii="Cambria" w:hAnsi="Cambria" w:cs="Times New Roman"/>
          <w:color w:val="000000" w:themeColor="text1"/>
          <w:sz w:val="24"/>
          <w:szCs w:val="24"/>
          <w:lang w:val="en-US"/>
        </w:rPr>
        <w:t xml:space="preserve"> LG = (AC + RLP) / (PC + ELP)</w:t>
      </w:r>
    </w:p>
    <w:p w14:paraId="46B23BC5" w14:textId="77777777" w:rsidR="00150077" w:rsidRDefault="00000000">
      <w:pPr>
        <w:spacing w:before="240" w:line="360" w:lineRule="auto"/>
        <w:ind w:left="1983" w:firstLine="141"/>
        <w:rPr>
          <w:rFonts w:ascii="Cambria" w:hAnsi="Cambria" w:cs="Times New Roman"/>
          <w:color w:val="000000" w:themeColor="text1"/>
          <w:sz w:val="24"/>
          <w:szCs w:val="24"/>
          <w:lang w:val="en-US"/>
        </w:rPr>
      </w:pPr>
      <w:proofErr w:type="spellStart"/>
      <w:r>
        <w:rPr>
          <w:rFonts w:ascii="Cambria" w:hAnsi="Cambria" w:cs="Times New Roman"/>
          <w:b/>
          <w:color w:val="000000" w:themeColor="text1"/>
          <w:sz w:val="24"/>
          <w:szCs w:val="24"/>
          <w:lang w:val="en-US"/>
        </w:rPr>
        <w:t>Fórmula</w:t>
      </w:r>
      <w:proofErr w:type="spellEnd"/>
      <w:r>
        <w:rPr>
          <w:rFonts w:ascii="Cambria" w:hAnsi="Cambria" w:cs="Times New Roman"/>
          <w:b/>
          <w:color w:val="000000" w:themeColor="text1"/>
          <w:sz w:val="24"/>
          <w:szCs w:val="24"/>
          <w:lang w:val="en-US"/>
        </w:rPr>
        <w:t>:</w:t>
      </w:r>
      <w:r>
        <w:rPr>
          <w:rFonts w:ascii="Cambria" w:hAnsi="Cambria" w:cs="Times New Roman"/>
          <w:color w:val="000000" w:themeColor="text1"/>
          <w:sz w:val="24"/>
          <w:szCs w:val="24"/>
          <w:lang w:val="en-US"/>
        </w:rPr>
        <w:t xml:space="preserve"> LC = AC/ PC</w:t>
      </w:r>
    </w:p>
    <w:p w14:paraId="3EABD78D" w14:textId="77777777" w:rsidR="00150077" w:rsidRDefault="00000000">
      <w:pPr>
        <w:spacing w:before="240" w:line="360" w:lineRule="auto"/>
        <w:ind w:left="1557" w:firstLine="567"/>
        <w:rPr>
          <w:rFonts w:ascii="Cambria" w:hAnsi="Cambria" w:cs="Times New Roman"/>
          <w:color w:val="000000" w:themeColor="text1"/>
          <w:sz w:val="24"/>
          <w:szCs w:val="24"/>
          <w:lang w:val="en-US"/>
        </w:rPr>
      </w:pPr>
      <w:proofErr w:type="spellStart"/>
      <w:r>
        <w:rPr>
          <w:rFonts w:ascii="Cambria" w:hAnsi="Cambria" w:cs="Times New Roman"/>
          <w:b/>
          <w:color w:val="000000" w:themeColor="text1"/>
          <w:sz w:val="24"/>
          <w:szCs w:val="24"/>
          <w:lang w:val="en-US"/>
        </w:rPr>
        <w:t>Fórmula</w:t>
      </w:r>
      <w:proofErr w:type="spellEnd"/>
      <w:r>
        <w:rPr>
          <w:rFonts w:ascii="Cambria" w:hAnsi="Cambria" w:cs="Times New Roman"/>
          <w:b/>
          <w:color w:val="000000" w:themeColor="text1"/>
          <w:sz w:val="24"/>
          <w:szCs w:val="24"/>
          <w:lang w:val="en-US"/>
        </w:rPr>
        <w:t>:</w:t>
      </w:r>
      <w:r>
        <w:rPr>
          <w:rFonts w:ascii="Cambria" w:hAnsi="Cambria" w:cs="Times New Roman"/>
          <w:color w:val="000000" w:themeColor="text1"/>
          <w:sz w:val="24"/>
          <w:szCs w:val="24"/>
          <w:lang w:val="en-US"/>
        </w:rPr>
        <w:t xml:space="preserve"> SG = AT / (PC + ELP).</w:t>
      </w:r>
    </w:p>
    <w:p w14:paraId="617904AD" w14:textId="77777777" w:rsidR="00150077" w:rsidRDefault="00000000">
      <w:pPr>
        <w:spacing w:before="240" w:line="360" w:lineRule="auto"/>
        <w:ind w:left="1701"/>
        <w:rPr>
          <w:rFonts w:ascii="Cambria" w:hAnsi="Cambria" w:cs="Times New Roman"/>
          <w:color w:val="000000" w:themeColor="text1"/>
          <w:sz w:val="24"/>
          <w:szCs w:val="24"/>
        </w:rPr>
      </w:pPr>
      <w:r>
        <w:rPr>
          <w:rFonts w:ascii="Cambria" w:hAnsi="Cambria" w:cs="Times New Roman"/>
          <w:b/>
          <w:color w:val="000000" w:themeColor="text1"/>
          <w:sz w:val="24"/>
          <w:szCs w:val="24"/>
        </w:rPr>
        <w:t xml:space="preserve">2. </w:t>
      </w:r>
      <w:r>
        <w:rPr>
          <w:rFonts w:ascii="Cambria" w:hAnsi="Cambria" w:cs="Times New Roman"/>
          <w:color w:val="000000" w:themeColor="text1"/>
          <w:sz w:val="24"/>
          <w:szCs w:val="24"/>
        </w:rPr>
        <w:t>Os elementos contábeis contidos nas fórmulas acima são assim identificados:</w:t>
      </w:r>
    </w:p>
    <w:p w14:paraId="7AB5537C" w14:textId="77777777" w:rsidR="00150077"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AC =</w:t>
      </w:r>
      <w:r>
        <w:rPr>
          <w:rFonts w:ascii="Cambria" w:hAnsi="Cambria" w:cs="Times New Roman"/>
          <w:color w:val="000000" w:themeColor="text1"/>
          <w:sz w:val="24"/>
          <w:szCs w:val="24"/>
        </w:rPr>
        <w:t xml:space="preserve"> Ativo Circulante;</w:t>
      </w:r>
    </w:p>
    <w:p w14:paraId="1950B8CE" w14:textId="77777777" w:rsidR="00150077"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RLP =</w:t>
      </w:r>
      <w:r>
        <w:rPr>
          <w:rFonts w:ascii="Cambria" w:hAnsi="Cambria" w:cs="Times New Roman"/>
          <w:color w:val="000000" w:themeColor="text1"/>
          <w:sz w:val="24"/>
          <w:szCs w:val="24"/>
        </w:rPr>
        <w:t xml:space="preserve"> Realizável a Longo Prazo;</w:t>
      </w:r>
    </w:p>
    <w:p w14:paraId="48CE7AF2" w14:textId="77777777" w:rsidR="00150077"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AT = </w:t>
      </w:r>
      <w:r>
        <w:rPr>
          <w:rFonts w:ascii="Cambria" w:hAnsi="Cambria" w:cs="Times New Roman"/>
          <w:color w:val="000000" w:themeColor="text1"/>
          <w:sz w:val="24"/>
          <w:szCs w:val="24"/>
        </w:rPr>
        <w:t>Ativo Total;</w:t>
      </w:r>
    </w:p>
    <w:p w14:paraId="344F7406" w14:textId="77777777" w:rsidR="00150077"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PC = </w:t>
      </w:r>
      <w:r>
        <w:rPr>
          <w:rFonts w:ascii="Cambria" w:hAnsi="Cambria" w:cs="Times New Roman"/>
          <w:color w:val="000000" w:themeColor="text1"/>
          <w:sz w:val="24"/>
          <w:szCs w:val="24"/>
        </w:rPr>
        <w:t>Passivo Circulante;</w:t>
      </w:r>
    </w:p>
    <w:p w14:paraId="6722E969" w14:textId="77777777" w:rsidR="00150077" w:rsidRDefault="00000000">
      <w:pPr>
        <w:spacing w:before="240" w:line="360" w:lineRule="auto"/>
        <w:ind w:left="1134" w:firstLine="1134"/>
        <w:rPr>
          <w:rFonts w:ascii="Cambria" w:eastAsia="Helvetica" w:hAnsi="Cambria" w:cs="Times New Roman"/>
          <w:color w:val="000000" w:themeColor="text1"/>
          <w:sz w:val="24"/>
          <w:szCs w:val="24"/>
        </w:rPr>
      </w:pPr>
      <w:r>
        <w:rPr>
          <w:rFonts w:ascii="Cambria" w:hAnsi="Cambria" w:cs="Times New Roman"/>
          <w:b/>
          <w:bCs/>
          <w:color w:val="000000" w:themeColor="text1"/>
          <w:sz w:val="24"/>
          <w:szCs w:val="24"/>
        </w:rPr>
        <w:t>ELP =</w:t>
      </w:r>
      <w:r>
        <w:rPr>
          <w:rFonts w:ascii="Cambria" w:hAnsi="Cambria" w:cs="Times New Roman"/>
          <w:bCs/>
          <w:color w:val="000000" w:themeColor="text1"/>
          <w:sz w:val="24"/>
          <w:szCs w:val="24"/>
        </w:rPr>
        <w:t xml:space="preserve"> Exigível a Longo Prazo</w:t>
      </w:r>
      <w:r>
        <w:rPr>
          <w:rFonts w:ascii="Cambria" w:eastAsia="Helvetica" w:hAnsi="Cambria" w:cs="Times New Roman"/>
          <w:color w:val="000000" w:themeColor="text1"/>
          <w:sz w:val="24"/>
          <w:szCs w:val="24"/>
        </w:rPr>
        <w:t xml:space="preserve"> </w:t>
      </w:r>
    </w:p>
    <w:p w14:paraId="41615C2D" w14:textId="77777777" w:rsidR="00150077" w:rsidRDefault="00000000">
      <w:pPr>
        <w:spacing w:before="240" w:line="360" w:lineRule="auto"/>
        <w:ind w:left="567" w:firstLine="567"/>
        <w:rPr>
          <w:rFonts w:ascii="Cambria" w:eastAsia="Helvetica" w:hAnsi="Cambria" w:cs="Times New Roman"/>
          <w:color w:val="000000" w:themeColor="text1"/>
          <w:sz w:val="24"/>
          <w:szCs w:val="24"/>
        </w:rPr>
      </w:pPr>
      <w:r>
        <w:rPr>
          <w:rFonts w:ascii="Cambria" w:eastAsia="Helvetica" w:hAnsi="Cambria" w:cs="Times New Roman"/>
          <w:b/>
          <w:bCs/>
          <w:color w:val="000000" w:themeColor="text1"/>
          <w:sz w:val="24"/>
          <w:szCs w:val="24"/>
        </w:rPr>
        <w:t xml:space="preserve">c) </w:t>
      </w:r>
      <w:r>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4F1A0DED" w14:textId="77777777" w:rsidR="00150077" w:rsidRDefault="00000000">
      <w:pPr>
        <w:spacing w:before="240" w:line="360" w:lineRule="auto"/>
        <w:ind w:left="567" w:firstLine="567"/>
        <w:rPr>
          <w:rFonts w:ascii="Cambria" w:eastAsia="Helvetica" w:hAnsi="Cambria" w:cs="Times New Roman"/>
          <w:color w:val="000000" w:themeColor="text1"/>
          <w:sz w:val="24"/>
          <w:szCs w:val="24"/>
        </w:rPr>
      </w:pPr>
      <w:r>
        <w:rPr>
          <w:rFonts w:ascii="Cambria" w:eastAsia="Helvetica" w:hAnsi="Cambria" w:cs="Times New Roman"/>
          <w:b/>
          <w:bCs/>
          <w:sz w:val="24"/>
          <w:szCs w:val="24"/>
        </w:rPr>
        <w:t xml:space="preserve">d) </w:t>
      </w:r>
      <w:r>
        <w:rPr>
          <w:rFonts w:ascii="Cambria" w:eastAsia="Helvetica" w:hAnsi="Cambria" w:cs="Times New Roman"/>
          <w:sz w:val="24"/>
          <w:szCs w:val="24"/>
        </w:rPr>
        <w:t>O Microempreendedor Individual (MEI) fica dispensado da apresentação do balanço patrimonial e das demais demonstrações contábeis, por não estar sujeito à escrituração contábil obrigatória, nos termos da legislação específica que rege a categoria. Para comprovar sua condição, o MEI deverá apresentar o Certificado da Condição de Microempreendedor Individual (CCMEI), sem prejuízo da apresentação dos demais documentos de habilitação exigidos neste edital. Caso o MEI possua escrituração contábil regular e opte por apresentar balanço patrimonial e demonstrações contábeis, tais documentos serão aceitos para fins de análise da qualificação econômico-financeira.</w:t>
      </w:r>
    </w:p>
    <w:p w14:paraId="3595264C"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QUALIFICAÇÃO TÉCNICA</w:t>
      </w:r>
    </w:p>
    <w:p w14:paraId="35EB0C59" w14:textId="77777777" w:rsidR="00150077" w:rsidRDefault="00000000">
      <w:pPr>
        <w:pStyle w:val="PargrafodaLista"/>
        <w:numPr>
          <w:ilvl w:val="0"/>
          <w:numId w:val="2"/>
        </w:numPr>
        <w:tabs>
          <w:tab w:val="left" w:pos="850"/>
          <w:tab w:val="left" w:pos="1211"/>
        </w:tabs>
        <w:spacing w:before="240" w:line="360" w:lineRule="auto"/>
        <w:rPr>
          <w:rFonts w:ascii="Cambria" w:eastAsia="Helvetica" w:hAnsi="Cambria"/>
          <w:color w:val="000000" w:themeColor="text1"/>
          <w:sz w:val="24"/>
          <w:szCs w:val="24"/>
        </w:rPr>
      </w:pPr>
      <w:r>
        <w:rPr>
          <w:rFonts w:ascii="Cambria" w:eastAsia="Helvetica" w:hAnsi="Cambria"/>
          <w:color w:val="000000" w:themeColor="text1"/>
          <w:sz w:val="24"/>
          <w:szCs w:val="24"/>
        </w:rPr>
        <w:lastRenderedPageBreak/>
        <w:t>A Proponente deverá apresentar Atestado de Capacidade Técnica Operacional 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15458AE6" w14:textId="77777777" w:rsidR="00150077"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 MICROEMPRESA OU EMPRESA DE PEQUENO PORTE</w:t>
      </w:r>
    </w:p>
    <w:p w14:paraId="27EE67DB" w14:textId="77777777" w:rsidR="00150077"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As licitantes enquadradas como </w:t>
      </w:r>
      <w:r>
        <w:rPr>
          <w:rFonts w:ascii="Cambria" w:hAnsi="Cambria"/>
          <w:b/>
          <w:color w:val="000000" w:themeColor="text1"/>
          <w:sz w:val="24"/>
          <w:szCs w:val="24"/>
        </w:rPr>
        <w:t>MICROEMPRESA</w:t>
      </w:r>
      <w:r>
        <w:rPr>
          <w:rFonts w:ascii="Cambria" w:hAnsi="Cambria"/>
          <w:color w:val="000000" w:themeColor="text1"/>
          <w:sz w:val="24"/>
          <w:szCs w:val="24"/>
        </w:rPr>
        <w:t xml:space="preserve"> ou </w:t>
      </w:r>
      <w:r>
        <w:rPr>
          <w:rFonts w:ascii="Cambria" w:hAnsi="Cambria"/>
          <w:b/>
          <w:color w:val="000000" w:themeColor="text1"/>
          <w:sz w:val="24"/>
          <w:szCs w:val="24"/>
        </w:rPr>
        <w:t>EMPRESA DE PEQUENO PORTE</w:t>
      </w:r>
      <w:r>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00130F49" w14:textId="77777777" w:rsidR="00150077" w:rsidRDefault="00000000">
      <w:pPr>
        <w:pStyle w:val="SemEspaamento"/>
        <w:spacing w:before="240" w:line="360" w:lineRule="auto"/>
        <w:ind w:left="1134" w:firstLine="567"/>
        <w:jc w:val="both"/>
        <w:rPr>
          <w:rFonts w:ascii="Cambria" w:hAnsi="Cambria"/>
          <w:color w:val="000000" w:themeColor="text1"/>
          <w:sz w:val="24"/>
          <w:szCs w:val="24"/>
        </w:rPr>
      </w:pPr>
      <w:bookmarkStart w:id="22" w:name="_Hlk226376221"/>
      <w:r>
        <w:rPr>
          <w:rFonts w:ascii="Cambria" w:hAnsi="Cambria"/>
          <w:b/>
          <w:bCs/>
          <w:color w:val="000000" w:themeColor="text1"/>
          <w:sz w:val="24"/>
          <w:szCs w:val="24"/>
        </w:rPr>
        <w:t>01.</w:t>
      </w:r>
      <w:r>
        <w:rPr>
          <w:rFonts w:ascii="Cambria" w:hAnsi="Cambria"/>
          <w:color w:val="000000" w:themeColor="text1"/>
          <w:sz w:val="24"/>
          <w:szCs w:val="24"/>
        </w:rPr>
        <w:t xml:space="preserve"> </w:t>
      </w:r>
      <w:r>
        <w:rPr>
          <w:rFonts w:ascii="Cambria" w:hAnsi="Cambria"/>
          <w:bCs/>
          <w:color w:val="000000" w:themeColor="text1"/>
          <w:sz w:val="24"/>
          <w:szCs w:val="24"/>
        </w:rPr>
        <w:t>Declaração que</w:t>
      </w:r>
      <w:r>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da Agente de Contratação/Pregoeira para apresentar os documentos de habilitação.</w:t>
      </w:r>
    </w:p>
    <w:p w14:paraId="763E0502" w14:textId="77777777" w:rsidR="00150077" w:rsidRDefault="00000000">
      <w:pPr>
        <w:tabs>
          <w:tab w:val="left" w:pos="1440"/>
        </w:tabs>
        <w:snapToGrid w:val="0"/>
        <w:spacing w:line="360" w:lineRule="auto"/>
        <w:ind w:left="1134" w:firstLine="567"/>
        <w:rPr>
          <w:rFonts w:ascii="Cambria" w:hAnsi="Cambria" w:cstheme="minorHAnsi"/>
          <w:color w:val="000000"/>
          <w:sz w:val="24"/>
          <w:szCs w:val="24"/>
        </w:rPr>
      </w:pPr>
      <w:r>
        <w:rPr>
          <w:rFonts w:ascii="Cambria" w:hAnsi="Cambria"/>
          <w:b/>
          <w:bCs/>
          <w:color w:val="000000" w:themeColor="text1"/>
          <w:sz w:val="24"/>
          <w:szCs w:val="24"/>
        </w:rPr>
        <w:t>02.</w:t>
      </w:r>
      <w:r>
        <w:rPr>
          <w:rFonts w:ascii="Cambria" w:hAnsi="Cambria"/>
          <w:color w:val="000000" w:themeColor="text1"/>
          <w:sz w:val="24"/>
          <w:szCs w:val="24"/>
        </w:rPr>
        <w:t xml:space="preserve"> </w:t>
      </w:r>
      <w:r>
        <w:rPr>
          <w:rFonts w:ascii="Cambria" w:hAnsi="Cambria" w:cs="Arial"/>
          <w:bCs/>
          <w:sz w:val="24"/>
          <w:szCs w:val="24"/>
        </w:rPr>
        <w:t>Certidão Simplificada, com validade de 60 (sessenta) dias contados da data de convocação para apresentação da documentação, emitida pela Junta Comercial seda da Licitante, para obtenção dos benefícios de ME/EPP, excetuando-se as empresas enquadradas como MEI.</w:t>
      </w:r>
      <w:bookmarkEnd w:id="22"/>
    </w:p>
    <w:p w14:paraId="44532559" w14:textId="77777777" w:rsidR="00150077" w:rsidRDefault="00000000">
      <w:pPr>
        <w:pStyle w:val="SemEspaamento"/>
        <w:spacing w:before="240" w:line="360" w:lineRule="auto"/>
        <w:ind w:firstLine="567"/>
        <w:jc w:val="both"/>
        <w:rPr>
          <w:rFonts w:ascii="Cambria" w:hAnsi="Cambria"/>
          <w:b/>
          <w:color w:val="000000" w:themeColor="text1"/>
          <w:sz w:val="24"/>
          <w:szCs w:val="24"/>
        </w:rPr>
      </w:pPr>
      <w:r>
        <w:rPr>
          <w:rFonts w:ascii="Cambria" w:hAnsi="Cambria"/>
          <w:b/>
          <w:color w:val="000000" w:themeColor="text1"/>
          <w:sz w:val="24"/>
          <w:szCs w:val="24"/>
        </w:rPr>
        <w:t>VI. MICRO EMPREENDEDOR INDIVIDUAL (MEI)</w:t>
      </w:r>
    </w:p>
    <w:p w14:paraId="44CCA61E" w14:textId="77777777" w:rsidR="00150077"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Caso a licitante seja </w:t>
      </w:r>
      <w:r>
        <w:rPr>
          <w:rFonts w:ascii="Cambria" w:hAnsi="Cambria"/>
          <w:b/>
          <w:color w:val="000000" w:themeColor="text1"/>
          <w:sz w:val="24"/>
          <w:szCs w:val="24"/>
        </w:rPr>
        <w:t>MICRO EMPREENDEDOR INDIVIDUAL (MEI)</w:t>
      </w:r>
      <w:r>
        <w:rPr>
          <w:rFonts w:ascii="Cambria" w:hAnsi="Cambria"/>
          <w:color w:val="000000" w:themeColor="text1"/>
          <w:sz w:val="24"/>
          <w:szCs w:val="24"/>
        </w:rPr>
        <w:t>, deverá apresentar os seguintes documentos:</w:t>
      </w:r>
    </w:p>
    <w:p w14:paraId="7A0D9E1E" w14:textId="77777777" w:rsidR="00150077" w:rsidRDefault="00000000">
      <w:pPr>
        <w:pStyle w:val="SemEspaamento"/>
        <w:spacing w:before="240" w:line="360" w:lineRule="auto"/>
        <w:ind w:left="1134" w:firstLine="567"/>
        <w:jc w:val="both"/>
        <w:rPr>
          <w:rFonts w:ascii="Cambria" w:hAnsi="Cambria"/>
          <w:color w:val="000000" w:themeColor="text1"/>
          <w:sz w:val="24"/>
          <w:szCs w:val="24"/>
        </w:rPr>
      </w:pPr>
      <w:bookmarkStart w:id="23" w:name="_Hlk226376260"/>
      <w:r>
        <w:rPr>
          <w:rFonts w:ascii="Cambria" w:hAnsi="Cambria"/>
          <w:b/>
          <w:color w:val="000000" w:themeColor="text1"/>
          <w:sz w:val="24"/>
          <w:szCs w:val="24"/>
        </w:rPr>
        <w:t>01.</w:t>
      </w:r>
      <w:r>
        <w:rPr>
          <w:rFonts w:ascii="Cambria" w:hAnsi="Cambria"/>
          <w:color w:val="000000" w:themeColor="text1"/>
          <w:sz w:val="24"/>
          <w:szCs w:val="24"/>
        </w:rPr>
        <w:t xml:space="preserve"> Certificado de Condição de Micro empreendedor Individual.</w:t>
      </w:r>
    </w:p>
    <w:p w14:paraId="7777E134" w14:textId="77777777" w:rsidR="00150077" w:rsidRDefault="00000000">
      <w:pPr>
        <w:widowControl w:val="0"/>
        <w:tabs>
          <w:tab w:val="left" w:pos="850"/>
          <w:tab w:val="left" w:pos="1211"/>
        </w:tabs>
        <w:spacing w:before="240" w:line="360" w:lineRule="auto"/>
        <w:ind w:left="1134" w:firstLine="567"/>
        <w:rPr>
          <w:rFonts w:ascii="Cambria" w:hAnsi="Cambria"/>
          <w:color w:val="000000" w:themeColor="text1"/>
          <w:sz w:val="24"/>
          <w:szCs w:val="24"/>
        </w:rPr>
      </w:pPr>
      <w:r>
        <w:rPr>
          <w:rFonts w:ascii="Cambria" w:hAnsi="Cambria"/>
          <w:b/>
          <w:color w:val="000000" w:themeColor="text1"/>
          <w:sz w:val="24"/>
          <w:szCs w:val="24"/>
        </w:rPr>
        <w:lastRenderedPageBreak/>
        <w:t>02.</w:t>
      </w:r>
      <w:r>
        <w:rPr>
          <w:rFonts w:ascii="Cambria" w:hAnsi="Cambria"/>
          <w:color w:val="000000" w:themeColor="text1"/>
          <w:sz w:val="24"/>
          <w:szCs w:val="24"/>
        </w:rPr>
        <w:t xml:space="preserve"> Documento que comprove a opção do Simples Nacional.</w:t>
      </w:r>
      <w:bookmarkEnd w:id="23"/>
    </w:p>
    <w:p w14:paraId="4D076EEB" w14:textId="77777777" w:rsidR="00150077"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VII. DOCUMENTAÇÃO COMPLEMENTAR (Modelo Anexo IV)</w:t>
      </w:r>
    </w:p>
    <w:p w14:paraId="3136FDEC" w14:textId="77777777" w:rsidR="00150077"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sob pena de inabilitação, que está ciente e concorda com as condições contidas no edital e seus anexos, bem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25B80454"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1F8AC9D5"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Declaração</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A6DB683"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d) Declaração</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4DFF9A07"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Declaração</w:t>
      </w:r>
      <w:r>
        <w:rPr>
          <w:rFonts w:ascii="Cambria" w:hAnsi="Cambria"/>
          <w:color w:val="000000" w:themeColor="text1"/>
          <w:sz w:val="24"/>
          <w:szCs w:val="24"/>
        </w:rPr>
        <w:t xml:space="preserve">, sob pena de inabilitação, que não possui vínculo de natureza técnica, comercial, econômica, financeira, trabalhista ou civil com dirigente do órgão ou entidade contratante ou com agente público que desempenhe função na </w:t>
      </w:r>
      <w:r>
        <w:rPr>
          <w:rFonts w:ascii="Cambria" w:hAnsi="Cambria"/>
          <w:color w:val="000000" w:themeColor="text1"/>
          <w:sz w:val="24"/>
          <w:szCs w:val="24"/>
        </w:rPr>
        <w:lastRenderedPageBreak/>
        <w:t>licitação ou atue na fiscalização ou na gestão do contrato, ou que deles seja cônjuge, companheiro ou parente em linha reta, colateral ou por afinidade, até o terceiro grau.</w:t>
      </w:r>
    </w:p>
    <w:p w14:paraId="61C4E199" w14:textId="77777777" w:rsidR="00150077"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590F895D"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4415AC5F" w14:textId="77777777" w:rsidR="00150077" w:rsidRDefault="00000000">
      <w:pPr>
        <w:spacing w:before="240" w:after="240" w:line="360" w:lineRule="auto"/>
        <w:ind w:left="567" w:firstLine="567"/>
        <w:rPr>
          <w:rFonts w:ascii="Cambria" w:hAnsi="Cambria" w:cs="Times New Roman"/>
          <w:sz w:val="24"/>
          <w:szCs w:val="24"/>
          <w:lang w:eastAsia="pt-BR"/>
        </w:rPr>
      </w:pPr>
      <w:r>
        <w:rPr>
          <w:rFonts w:ascii="Cambria" w:hAnsi="Cambria" w:cs="Times New Roman"/>
          <w:b/>
          <w:sz w:val="24"/>
          <w:szCs w:val="24"/>
          <w:lang w:eastAsia="pt-BR"/>
        </w:rPr>
        <w:t>h) Declaração</w:t>
      </w:r>
      <w:r>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0E828E75" w14:textId="77777777" w:rsidR="00150077" w:rsidRDefault="00000000">
      <w:pPr>
        <w:pStyle w:val="SemEspaamento"/>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t xml:space="preserve">9.8 </w:t>
      </w:r>
      <w:r>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419FDF18" w14:textId="77777777" w:rsidR="00150077" w:rsidRDefault="00000000">
      <w:pPr>
        <w:pStyle w:val="SemEspaamento"/>
        <w:shd w:val="clear" w:color="auto" w:fill="FFFFFF" w:themeFill="background1"/>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t>9.9</w:t>
      </w:r>
      <w:r>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w:t>
      </w:r>
      <w:r>
        <w:rPr>
          <w:rFonts w:ascii="Cambria" w:hAnsi="Cambria"/>
          <w:color w:val="000000" w:themeColor="text1"/>
          <w:sz w:val="24"/>
          <w:szCs w:val="24"/>
        </w:rPr>
        <w:lastRenderedPageBreak/>
        <w:t>enquadrem em qualquer das exclusões relacionadas no art. 3º, da Lei Complementar nº 123, de 2006.</w:t>
      </w:r>
    </w:p>
    <w:p w14:paraId="2D3E653A"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9.10</w:t>
      </w:r>
      <w:r>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4DBE1CD0" w14:textId="77777777" w:rsidR="00150077" w:rsidRDefault="00000000">
      <w:pPr>
        <w:tabs>
          <w:tab w:val="left" w:pos="1701"/>
        </w:tabs>
        <w:spacing w:before="240" w:line="360" w:lineRule="auto"/>
        <w:rPr>
          <w:rFonts w:ascii="Cambria" w:hAnsi="Cambria"/>
          <w:b/>
          <w:iCs/>
          <w:color w:val="000000" w:themeColor="text1"/>
          <w:sz w:val="24"/>
          <w:szCs w:val="24"/>
        </w:rPr>
      </w:pPr>
      <w:r>
        <w:rPr>
          <w:rFonts w:ascii="Cambria" w:hAnsi="Cambria"/>
          <w:b/>
          <w:color w:val="000000" w:themeColor="text1"/>
          <w:sz w:val="24"/>
          <w:szCs w:val="24"/>
        </w:rPr>
        <w:t>9.11</w:t>
      </w:r>
      <w:r>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Pr>
          <w:rFonts w:ascii="Cambria" w:hAnsi="Cambria"/>
          <w:iCs/>
          <w:color w:val="000000" w:themeColor="text1"/>
          <w:sz w:val="24"/>
          <w:szCs w:val="24"/>
        </w:rPr>
        <w:t>(art. 43, caput da Lei Complementar nº 123, de 2006).</w:t>
      </w:r>
      <w:r>
        <w:rPr>
          <w:rFonts w:ascii="Cambria" w:hAnsi="Cambria"/>
          <w:b/>
          <w:color w:val="000000" w:themeColor="text1"/>
          <w:sz w:val="24"/>
          <w:szCs w:val="24"/>
        </w:rPr>
        <w:t xml:space="preserve"> </w:t>
      </w:r>
    </w:p>
    <w:p w14:paraId="116440FD"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9.12</w:t>
      </w:r>
      <w:r>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4E1DF331"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6E076B00" w14:textId="77777777" w:rsidR="00150077" w:rsidRDefault="00000000">
      <w:pPr>
        <w:widowControl w:val="0"/>
        <w:tabs>
          <w:tab w:val="left" w:pos="850"/>
          <w:tab w:val="left" w:pos="1211"/>
        </w:tabs>
        <w:spacing w:before="0" w:after="0" w:line="360" w:lineRule="auto"/>
        <w:rPr>
          <w:rFonts w:ascii="Cambria" w:hAnsi="Cambria"/>
          <w:color w:val="000000" w:themeColor="text1"/>
          <w:sz w:val="24"/>
          <w:szCs w:val="24"/>
        </w:rPr>
      </w:pPr>
      <w:r>
        <w:rPr>
          <w:rFonts w:ascii="Cambria" w:hAnsi="Cambria"/>
          <w:b/>
          <w:color w:val="000000" w:themeColor="text1"/>
          <w:sz w:val="24"/>
          <w:szCs w:val="24"/>
        </w:rPr>
        <w:t>9.13</w:t>
      </w:r>
      <w:r>
        <w:rPr>
          <w:rFonts w:ascii="Cambria" w:hAnsi="Cambria"/>
          <w:color w:val="000000" w:themeColor="text1"/>
          <w:sz w:val="24"/>
          <w:szCs w:val="24"/>
        </w:rPr>
        <w:t xml:space="preserve"> Se o licitante não atender às exigências de habilitação, a Pregoeira examinará a proposta subsequente e assim sucessivamente na ordem de classificação, até a seleção da proposta que melhor atenda a este Edital.</w:t>
      </w:r>
    </w:p>
    <w:p w14:paraId="2DA0D4CA" w14:textId="77777777" w:rsidR="00150077" w:rsidRDefault="00000000">
      <w:pPr>
        <w:widowControl w:val="0"/>
        <w:tabs>
          <w:tab w:val="left" w:pos="850"/>
          <w:tab w:val="left" w:pos="1211"/>
        </w:tabs>
        <w:spacing w:before="0" w:after="120" w:line="360" w:lineRule="auto"/>
        <w:rPr>
          <w:rFonts w:ascii="Cambria" w:hAnsi="Cambria"/>
          <w:color w:val="000000" w:themeColor="text1"/>
          <w:sz w:val="24"/>
          <w:szCs w:val="24"/>
        </w:rPr>
      </w:pPr>
      <w:r>
        <w:rPr>
          <w:rFonts w:ascii="Cambria" w:hAnsi="Cambria"/>
          <w:b/>
          <w:color w:val="000000" w:themeColor="text1"/>
          <w:sz w:val="24"/>
          <w:szCs w:val="24"/>
        </w:rPr>
        <w:t>9.14</w:t>
      </w:r>
      <w:r>
        <w:rPr>
          <w:rFonts w:ascii="Cambria" w:hAnsi="Cambria"/>
          <w:color w:val="000000" w:themeColor="text1"/>
          <w:sz w:val="24"/>
          <w:szCs w:val="24"/>
        </w:rPr>
        <w:t xml:space="preserve"> Constatado o atendimento às exigências fixadas neste Edital o licitante será declarado vencedor.</w:t>
      </w:r>
    </w:p>
    <w:p w14:paraId="0E10118B"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10. DO ENVIO DA PROPOSTA READEQUADA E DOCUMENTOS DE HABILITAÇÃO</w:t>
      </w:r>
    </w:p>
    <w:p w14:paraId="197DB1E7" w14:textId="77777777" w:rsidR="00150077"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10.1</w:t>
      </w:r>
      <w:r>
        <w:rPr>
          <w:rFonts w:ascii="Cambria" w:hAnsi="Cambria"/>
          <w:color w:val="000000" w:themeColor="text1"/>
          <w:sz w:val="24"/>
          <w:szCs w:val="24"/>
        </w:rPr>
        <w:t xml:space="preserve"> </w:t>
      </w:r>
      <w:r>
        <w:rPr>
          <w:rFonts w:ascii="Cambria" w:hAnsi="Cambria"/>
          <w:b/>
          <w:color w:val="000000" w:themeColor="text1"/>
          <w:sz w:val="24"/>
          <w:szCs w:val="24"/>
        </w:rPr>
        <w:t xml:space="preserve">A licitante melhor classificada deverá encaminhar a proposta de preço adequada ao último lance, bem como os documentos de habilitação, no prazo de </w:t>
      </w:r>
      <w:r>
        <w:rPr>
          <w:rFonts w:ascii="Cambria" w:hAnsi="Cambria"/>
          <w:b/>
          <w:color w:val="000000" w:themeColor="text1"/>
          <w:sz w:val="24"/>
          <w:szCs w:val="24"/>
        </w:rPr>
        <w:lastRenderedPageBreak/>
        <w:t>até 02 (duas) horas</w:t>
      </w:r>
      <w:r>
        <w:rPr>
          <w:rFonts w:ascii="Cambria" w:hAnsi="Cambria"/>
          <w:color w:val="000000" w:themeColor="text1"/>
          <w:sz w:val="24"/>
          <w:szCs w:val="24"/>
        </w:rPr>
        <w:t>, conforme disposto no art. 36, §3º do Decreto Municipal nº 21, de 2024, contado da convocação efetuada pela Pregoeira por meio da opção “</w:t>
      </w:r>
      <w:r w:rsidRPr="00F467C1">
        <w:rPr>
          <w:rFonts w:ascii="Cambria" w:hAnsi="Cambria"/>
          <w:i/>
          <w:iCs/>
          <w:color w:val="000000" w:themeColor="text1"/>
          <w:sz w:val="24"/>
          <w:szCs w:val="24"/>
        </w:rPr>
        <w:t>Documentos Complementares</w:t>
      </w:r>
      <w:r>
        <w:rPr>
          <w:rFonts w:ascii="Cambria" w:hAnsi="Cambria"/>
          <w:color w:val="000000" w:themeColor="text1"/>
          <w:sz w:val="24"/>
          <w:szCs w:val="24"/>
        </w:rPr>
        <w:t>” na Bolsa Nacional de Compras - BNC.</w:t>
      </w:r>
    </w:p>
    <w:p w14:paraId="061EAB6F" w14:textId="77777777" w:rsidR="00150077"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61A383DC" w14:textId="77777777" w:rsidR="00150077"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59067426" w14:textId="77777777" w:rsidR="00150077"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10.2 </w:t>
      </w:r>
      <w:r>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67A2BEDA" w14:textId="77777777" w:rsidR="00150077"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10.3</w:t>
      </w:r>
      <w:r>
        <w:rPr>
          <w:rFonts w:ascii="Cambria" w:hAnsi="Cambria"/>
          <w:color w:val="000000" w:themeColor="text1"/>
          <w:sz w:val="24"/>
          <w:szCs w:val="24"/>
        </w:rPr>
        <w:t xml:space="preserve"> Havendo necessidade de analisar minuciosamente os documentos exigidos, a Pregoeira suspenderá a sessão, informando no “chat” a nova data e horário para a continuidade da mesma.</w:t>
      </w:r>
    </w:p>
    <w:p w14:paraId="6980A45C"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11. DO RECURSO</w:t>
      </w:r>
    </w:p>
    <w:p w14:paraId="072E3E3C" w14:textId="77777777" w:rsidR="00150077"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11.1</w:t>
      </w:r>
      <w:r>
        <w:rPr>
          <w:rFonts w:ascii="Cambria" w:hAnsi="Cambria"/>
          <w:color w:val="000000" w:themeColor="text1"/>
          <w:sz w:val="24"/>
          <w:szCs w:val="24"/>
        </w:rPr>
        <w:t xml:space="preserve"> Declarada a vencedora a Pregoeira abrirá </w:t>
      </w:r>
      <w:r>
        <w:rPr>
          <w:rFonts w:ascii="Cambria" w:hAnsi="Cambria"/>
          <w:b/>
          <w:color w:val="000000" w:themeColor="text1"/>
          <w:sz w:val="24"/>
          <w:szCs w:val="24"/>
        </w:rPr>
        <w:t>prazo de 15 (quinze) minutos</w:t>
      </w:r>
      <w:r>
        <w:rPr>
          <w:rFonts w:ascii="Cambria" w:hAnsi="Cambria"/>
          <w:color w:val="000000" w:themeColor="text1"/>
          <w:sz w:val="24"/>
          <w:szCs w:val="24"/>
        </w:rPr>
        <w:t xml:space="preserve"> durante o qual qualquer licitante poderá de forma imediata e motivada em campo próprio do sistema manifestar sua intenção de recurso.</w:t>
      </w:r>
    </w:p>
    <w:p w14:paraId="14162AFD" w14:textId="77777777" w:rsidR="00150077"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11.2</w:t>
      </w:r>
      <w:r>
        <w:rPr>
          <w:rFonts w:ascii="Cambria" w:hAnsi="Cambria"/>
          <w:color w:val="000000" w:themeColor="text1"/>
          <w:sz w:val="24"/>
          <w:szCs w:val="24"/>
        </w:rPr>
        <w:t xml:space="preserve"> A Pregoeira examinará a intenção de recurso, aceitando-a ou, motivadamente, rejeitando-a, em campo próprio do sistema.</w:t>
      </w:r>
    </w:p>
    <w:p w14:paraId="317BDF50" w14:textId="77777777" w:rsidR="00150077"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11.3</w:t>
      </w:r>
      <w:r>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w:t>
      </w:r>
      <w:r>
        <w:rPr>
          <w:rFonts w:ascii="Cambria" w:hAnsi="Cambria"/>
          <w:color w:val="000000" w:themeColor="text1"/>
          <w:sz w:val="24"/>
          <w:szCs w:val="24"/>
        </w:rPr>
        <w:lastRenderedPageBreak/>
        <w:t>igual prazo, que começará a correr do término do prazo da recorrente.</w:t>
      </w:r>
    </w:p>
    <w:p w14:paraId="7832CAC3" w14:textId="77777777" w:rsidR="00150077"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11.4</w:t>
      </w:r>
      <w:r>
        <w:rPr>
          <w:rFonts w:ascii="Cambria" w:hAnsi="Cambria"/>
          <w:color w:val="000000" w:themeColor="text1"/>
          <w:sz w:val="24"/>
          <w:szCs w:val="24"/>
        </w:rPr>
        <w:t xml:space="preserve"> Será assegurado ao licitante vista dos elementos indispensáveis à defesa de seus interesses.</w:t>
      </w:r>
    </w:p>
    <w:p w14:paraId="4F999EB7" w14:textId="77777777" w:rsidR="00150077"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11.5</w:t>
      </w:r>
      <w:r>
        <w:rPr>
          <w:rFonts w:ascii="Cambria" w:hAnsi="Cambria"/>
          <w:color w:val="000000" w:themeColor="text1"/>
          <w:sz w:val="24"/>
          <w:szCs w:val="24"/>
        </w:rPr>
        <w:t xml:space="preserve"> O acolhimento do recurso implicará a invalidação apenas dos atos insuscetíveis de aproveitamento.</w:t>
      </w:r>
    </w:p>
    <w:p w14:paraId="536AA055" w14:textId="77777777" w:rsidR="00150077"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11.6</w:t>
      </w:r>
      <w:r>
        <w:rPr>
          <w:rFonts w:ascii="Cambria" w:hAnsi="Cambria"/>
          <w:color w:val="000000" w:themeColor="text1"/>
          <w:sz w:val="24"/>
          <w:szCs w:val="24"/>
        </w:rPr>
        <w:t xml:space="preserve"> Os recursos interpostos fora do prazo não serão reconhecidos.</w:t>
      </w:r>
    </w:p>
    <w:p w14:paraId="3C95AC2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Pr>
          <w:rFonts w:ascii="Cambria" w:hAnsi="Cambria"/>
          <w:b/>
          <w:bCs/>
          <w:color w:val="000000" w:themeColor="text1"/>
          <w:sz w:val="24"/>
          <w:szCs w:val="24"/>
        </w:rPr>
        <w:t>12. DA ADJUDICAÇÃO, HOMOLOGAÇÃO E CONTRATAÇÃO</w:t>
      </w:r>
    </w:p>
    <w:p w14:paraId="54FA34C0" w14:textId="77777777" w:rsidR="00150077"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12.1</w:t>
      </w:r>
      <w:r>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1DC688C3" w14:textId="77777777" w:rsidR="00150077"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12.2</w:t>
      </w:r>
      <w:r>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6479609A" w14:textId="77777777" w:rsidR="00150077"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12.3 </w:t>
      </w:r>
      <w:r>
        <w:rPr>
          <w:rFonts w:ascii="Cambria" w:hAnsi="Cambria"/>
          <w:bCs/>
          <w:color w:val="000000" w:themeColor="text1"/>
          <w:sz w:val="24"/>
          <w:szCs w:val="24"/>
        </w:rPr>
        <w:t>Uma vez</w:t>
      </w:r>
      <w:r>
        <w:rPr>
          <w:rFonts w:ascii="Cambria" w:hAnsi="Cambria"/>
          <w:b/>
          <w:color w:val="000000" w:themeColor="text1"/>
          <w:sz w:val="24"/>
          <w:szCs w:val="24"/>
        </w:rPr>
        <w:t xml:space="preserve"> </w:t>
      </w:r>
      <w:r>
        <w:rPr>
          <w:rFonts w:ascii="Cambria" w:hAnsi="Cambria"/>
          <w:color w:val="000000" w:themeColor="text1"/>
          <w:sz w:val="24"/>
          <w:szCs w:val="24"/>
        </w:rPr>
        <w:t>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Fornecimento deverá ser assinado por Representante Legal, Diretor, ou Sócio da Empresa, com apresentação, conforme o caso de procuração ou cédula de identidade.</w:t>
      </w:r>
    </w:p>
    <w:p w14:paraId="1F7BE3E4" w14:textId="77777777" w:rsidR="00150077" w:rsidRDefault="00000000">
      <w:pPr>
        <w:pStyle w:val="SemEspaamento"/>
        <w:spacing w:before="16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 xml:space="preserve">I. </w:t>
      </w:r>
      <w:r>
        <w:rPr>
          <w:rFonts w:ascii="Cambria" w:hAnsi="Cambria"/>
          <w:color w:val="000000" w:themeColor="text1"/>
          <w:sz w:val="24"/>
          <w:szCs w:val="24"/>
        </w:rPr>
        <w:t>A convocação de que trata o subitem 12.3 do se dará via e-mail cadastrado no sistema eletrônico pela licitante.</w:t>
      </w:r>
    </w:p>
    <w:p w14:paraId="6EE2638A" w14:textId="77777777" w:rsidR="00150077" w:rsidRDefault="00000000">
      <w:pPr>
        <w:pStyle w:val="SemEspaamento"/>
        <w:spacing w:before="160" w:line="360" w:lineRule="auto"/>
        <w:jc w:val="both"/>
        <w:rPr>
          <w:rFonts w:ascii="Cambria" w:hAnsi="Cambria"/>
          <w:color w:val="000000" w:themeColor="text1"/>
          <w:sz w:val="24"/>
          <w:szCs w:val="24"/>
        </w:rPr>
      </w:pPr>
      <w:r>
        <w:rPr>
          <w:rFonts w:ascii="Cambria" w:hAnsi="Cambria"/>
          <w:b/>
          <w:color w:val="000000" w:themeColor="text1"/>
          <w:sz w:val="24"/>
          <w:szCs w:val="24"/>
        </w:rPr>
        <w:t>12.4</w:t>
      </w:r>
      <w:r>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Pr>
          <w:rFonts w:ascii="Cambria" w:hAnsi="Cambria"/>
          <w:color w:val="000000" w:themeColor="text1"/>
          <w:sz w:val="24"/>
          <w:szCs w:val="24"/>
        </w:rPr>
        <w:t>.</w:t>
      </w:r>
    </w:p>
    <w:p w14:paraId="7E118A6F" w14:textId="77777777" w:rsidR="00150077" w:rsidRDefault="00000000">
      <w:pPr>
        <w:pStyle w:val="SemEspaamento"/>
        <w:spacing w:before="160" w:line="360" w:lineRule="auto"/>
        <w:jc w:val="both"/>
        <w:rPr>
          <w:rFonts w:ascii="Cambria" w:hAnsi="Cambria"/>
          <w:color w:val="000000" w:themeColor="text1"/>
          <w:sz w:val="24"/>
          <w:szCs w:val="24"/>
        </w:rPr>
      </w:pPr>
      <w:r>
        <w:rPr>
          <w:rFonts w:ascii="Cambria" w:hAnsi="Cambria"/>
          <w:b/>
          <w:bCs/>
          <w:color w:val="000000" w:themeColor="text1"/>
          <w:sz w:val="24"/>
          <w:szCs w:val="24"/>
        </w:rPr>
        <w:lastRenderedPageBreak/>
        <w:t>12.5</w:t>
      </w:r>
      <w:r>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01F8B459" w14:textId="77777777" w:rsidR="00150077" w:rsidRDefault="00000000">
      <w:pPr>
        <w:pStyle w:val="SemEspaamento"/>
        <w:spacing w:before="160" w:line="360" w:lineRule="auto"/>
        <w:jc w:val="both"/>
        <w:rPr>
          <w:rFonts w:ascii="Cambria" w:hAnsi="Cambria"/>
          <w:bCs/>
          <w:color w:val="000000" w:themeColor="text1"/>
          <w:sz w:val="24"/>
          <w:szCs w:val="24"/>
        </w:rPr>
      </w:pPr>
      <w:r>
        <w:rPr>
          <w:rFonts w:ascii="Cambria" w:hAnsi="Cambria"/>
          <w:b/>
          <w:bCs/>
          <w:color w:val="000000" w:themeColor="text1"/>
          <w:sz w:val="24"/>
          <w:szCs w:val="24"/>
        </w:rPr>
        <w:t>12.6</w:t>
      </w:r>
      <w:r>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3D2B5CBA" w14:textId="77777777" w:rsidR="00150077"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12.7 </w:t>
      </w:r>
      <w:r>
        <w:rPr>
          <w:rFonts w:ascii="Cambria" w:hAnsi="Cambria"/>
          <w:color w:val="000000" w:themeColor="text1"/>
          <w:sz w:val="24"/>
          <w:szCs w:val="24"/>
        </w:rPr>
        <w:t>A Ata de Registro de Preços e/ou Contrato de Fornecimento referente ao presente Pregão Eletrônico terá seu extrato publicado no quadro de avisos (Placar) da Prefeitura de Piracanjuba, Jornais Oficiais e Jornal de Grande Circulação, e sua integra no Portal Nacional de Contratações Públicas (PNCP) e site Oficial da Prefeitura de Piracanjuba/GO.</w:t>
      </w:r>
    </w:p>
    <w:p w14:paraId="43910D5C" w14:textId="77777777" w:rsidR="00150077"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12.8 </w:t>
      </w:r>
      <w:r>
        <w:rPr>
          <w:rFonts w:ascii="Cambria" w:hAnsi="Cambria"/>
          <w:color w:val="000000" w:themeColor="text1"/>
          <w:sz w:val="24"/>
          <w:szCs w:val="24"/>
        </w:rPr>
        <w:t>A Licitante não poderá ceder ou transferir o contrato total ou parcialmente a terceiros.</w:t>
      </w:r>
    </w:p>
    <w:p w14:paraId="2EBA5F56" w14:textId="77777777" w:rsidR="00150077" w:rsidRDefault="00000000">
      <w:pPr>
        <w:tabs>
          <w:tab w:val="left" w:pos="1701"/>
        </w:tabs>
        <w:spacing w:after="0" w:line="360" w:lineRule="auto"/>
        <w:rPr>
          <w:rFonts w:ascii="Cambria" w:hAnsi="Cambria"/>
          <w:color w:val="000000" w:themeColor="text1"/>
          <w:sz w:val="24"/>
          <w:szCs w:val="24"/>
        </w:rPr>
      </w:pPr>
      <w:r>
        <w:rPr>
          <w:rFonts w:ascii="Cambria" w:hAnsi="Cambria"/>
          <w:b/>
          <w:bCs/>
          <w:color w:val="000000" w:themeColor="text1"/>
          <w:sz w:val="24"/>
          <w:szCs w:val="24"/>
        </w:rPr>
        <w:t>12.9</w:t>
      </w:r>
      <w:r>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3EE822B6" w14:textId="77777777" w:rsidR="00150077"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Instrumento Contratual.</w:t>
      </w:r>
    </w:p>
    <w:p w14:paraId="6A8869FF" w14:textId="77777777" w:rsidR="00150077"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Nota de Empenho da Despesa.</w:t>
      </w:r>
    </w:p>
    <w:p w14:paraId="0E57393A" w14:textId="77777777" w:rsidR="00150077"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Autorização de Compra/ Ordem de Fornecimento.</w:t>
      </w:r>
    </w:p>
    <w:p w14:paraId="433B1487" w14:textId="77777777" w:rsidR="00150077"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Ordem de Execução de Fornecimento/Serviços; ou </w:t>
      </w:r>
    </w:p>
    <w:p w14:paraId="4C8F4A32" w14:textId="77777777" w:rsidR="00150077"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Outro instrumento hábil.</w:t>
      </w:r>
    </w:p>
    <w:p w14:paraId="301E411F" w14:textId="77777777" w:rsidR="00150077" w:rsidRDefault="00000000">
      <w:pPr>
        <w:tabs>
          <w:tab w:val="left" w:pos="1701"/>
        </w:tabs>
        <w:spacing w:line="360" w:lineRule="auto"/>
        <w:rPr>
          <w:rFonts w:ascii="Cambria" w:hAnsi="Cambria"/>
          <w:color w:val="000000" w:themeColor="text1"/>
          <w:sz w:val="24"/>
          <w:szCs w:val="24"/>
        </w:rPr>
      </w:pPr>
      <w:r>
        <w:rPr>
          <w:rFonts w:ascii="Cambria" w:hAnsi="Cambria"/>
          <w:b/>
          <w:bCs/>
          <w:color w:val="000000" w:themeColor="text1"/>
          <w:sz w:val="24"/>
          <w:szCs w:val="24"/>
        </w:rPr>
        <w:t>12.10</w:t>
      </w:r>
      <w:r>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13B51DC1" w14:textId="77777777" w:rsidR="00150077"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lastRenderedPageBreak/>
        <w:t xml:space="preserve">12.11 </w:t>
      </w:r>
      <w:r>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26432046" w14:textId="77777777" w:rsidR="00150077"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12.12</w:t>
      </w:r>
      <w:r>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7839E8E1"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13. DA </w:t>
      </w:r>
      <w:r>
        <w:rPr>
          <w:rFonts w:ascii="Cambria" w:hAnsi="Cambria"/>
          <w:b/>
          <w:bCs/>
          <w:color w:val="000000" w:themeColor="text1"/>
          <w:sz w:val="24"/>
          <w:szCs w:val="24"/>
        </w:rPr>
        <w:t>VALIDADE DO REGISTRO DE PREÇOS</w:t>
      </w:r>
    </w:p>
    <w:p w14:paraId="60A7FC91" w14:textId="77777777" w:rsidR="00150077" w:rsidRDefault="00000000">
      <w:pPr>
        <w:tabs>
          <w:tab w:val="left" w:pos="1701"/>
        </w:tabs>
        <w:spacing w:before="240" w:after="120" w:line="360" w:lineRule="auto"/>
        <w:rPr>
          <w:rFonts w:ascii="Cambria" w:hAnsi="Cambria"/>
          <w:color w:val="000000" w:themeColor="text1"/>
          <w:sz w:val="24"/>
          <w:szCs w:val="24"/>
        </w:rPr>
      </w:pPr>
      <w:r>
        <w:rPr>
          <w:rFonts w:ascii="Cambria" w:hAnsi="Cambria"/>
          <w:b/>
          <w:color w:val="000000" w:themeColor="text1"/>
          <w:sz w:val="24"/>
          <w:szCs w:val="24"/>
        </w:rPr>
        <w:t>13.1</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27913832" w14:textId="77777777" w:rsidR="00150077"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13.2</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092590C3" w14:textId="77777777" w:rsidR="00150077"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012F3DF8"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14. DA </w:t>
      </w:r>
      <w:r>
        <w:rPr>
          <w:rFonts w:ascii="Cambria" w:hAnsi="Cambria"/>
          <w:b/>
          <w:bCs/>
          <w:color w:val="000000" w:themeColor="text1"/>
          <w:sz w:val="24"/>
          <w:szCs w:val="24"/>
        </w:rPr>
        <w:t>ATA DE REGISTRO DE PREÇOS</w:t>
      </w:r>
    </w:p>
    <w:p w14:paraId="0C68FE42"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32EECF12" w14:textId="77777777" w:rsidR="00150077"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14.2</w:t>
      </w:r>
      <w:r>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0E8AA126" w14:textId="77777777" w:rsidR="00150077"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14.3 </w:t>
      </w:r>
      <w:r>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7754E217" w14:textId="77777777" w:rsidR="00150077"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0E728628"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14.4</w:t>
      </w:r>
      <w:r>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5A9156B7"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14.5</w:t>
      </w:r>
      <w:r>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14B88E70"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14.6</w:t>
      </w:r>
      <w:r>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073D1E0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14.7</w:t>
      </w:r>
      <w:r>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dos itens do instrumento convocatório e registrados na Ata de Registro de Preços para o órgão gerenciador e para os órgãos participantes.</w:t>
      </w:r>
    </w:p>
    <w:p w14:paraId="4EB4D27F"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14.8</w:t>
      </w:r>
      <w:r>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09FC2C94"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14.9</w:t>
      </w:r>
      <w:r>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2A46E676"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14.10</w:t>
      </w:r>
      <w:r>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7D03F549"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14.11</w:t>
      </w:r>
      <w:r>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1BE5E91C"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14.12</w:t>
      </w:r>
      <w:r>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5E2C86C0"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15. DAS ALTERAÇÕES DA ATA DE REGISTRO DE PREÇOS</w:t>
      </w:r>
    </w:p>
    <w:p w14:paraId="6D3A5AB3"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15.1</w:t>
      </w:r>
      <w:r>
        <w:rPr>
          <w:rFonts w:ascii="Cambria" w:hAnsi="Cambria"/>
          <w:color w:val="000000" w:themeColor="text1"/>
          <w:sz w:val="24"/>
          <w:szCs w:val="24"/>
        </w:rPr>
        <w:t xml:space="preserve"> Os preços registrados poderão ser alterados em decorrência de eventual redução dos preços praticados no mercado ou de fato que eleve o custo dos bens, obras ou serviços registrados nas seguintes situações:</w:t>
      </w:r>
    </w:p>
    <w:p w14:paraId="72B674E4"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5CAF565F"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4D916AFB"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5EC1EB4F"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15.2</w:t>
      </w:r>
      <w:r>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506D2484"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061ECE99"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Frustrada a negociação, o fornecedor será liberado do compromisso assumido.</w:t>
      </w:r>
    </w:p>
    <w:p w14:paraId="66E8739C"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Convocar os demais fornecedores registrados, na ordem de classificação, visando igual oportunidade de negociação.</w:t>
      </w:r>
    </w:p>
    <w:p w14:paraId="7EA8121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15.3</w:t>
      </w:r>
      <w:r>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10CA13AF"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3361DDA4"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4C80B7D7"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w:t>
      </w:r>
      <w:r>
        <w:rPr>
          <w:rFonts w:ascii="Cambria" w:hAnsi="Cambria"/>
          <w:color w:val="000000" w:themeColor="text1"/>
          <w:sz w:val="24"/>
          <w:szCs w:val="24"/>
        </w:rPr>
        <w:lastRenderedPageBreak/>
        <w:t>requisitos fixados na alínea “d” do inciso II do caput do art. 124, da Lei Federal nº 14.133, de 2021.</w:t>
      </w:r>
    </w:p>
    <w:p w14:paraId="01199617"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15.4</w:t>
      </w:r>
      <w:r>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4D9FA1CF"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15.5</w:t>
      </w:r>
      <w:r>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000F578C"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16. DO CANCELAMENTO DO REGISTRO DE PREÇOS</w:t>
      </w:r>
    </w:p>
    <w:p w14:paraId="679E5087"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O registro de preços do fornecedor será cancelado pelo Órgão Gerenciador quando o fornecedor:</w:t>
      </w:r>
    </w:p>
    <w:p w14:paraId="3F842D80"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For liberado.</w:t>
      </w:r>
    </w:p>
    <w:p w14:paraId="4CD2628A"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Descumprir as condições da Ata de Registro de Preços, sem justificativa aceitável.</w:t>
      </w:r>
    </w:p>
    <w:p w14:paraId="3E1B1635"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reduzir o seu preço registrado, na hipótese deste se tornar superior àqueles praticados no mercado.</w:t>
      </w:r>
    </w:p>
    <w:p w14:paraId="302FD36F"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 inciso IV do art. 156 da Lei Federal nº 14.133, de 2021.</w:t>
      </w:r>
    </w:p>
    <w:p w14:paraId="35CF1D8B"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Não aceitar o preço revisado pela administração municipal.</w:t>
      </w:r>
    </w:p>
    <w:p w14:paraId="65AD3DA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16.2</w:t>
      </w:r>
      <w:r>
        <w:rPr>
          <w:rFonts w:ascii="Cambria" w:hAnsi="Cambria"/>
          <w:color w:val="000000" w:themeColor="text1"/>
          <w:sz w:val="24"/>
          <w:szCs w:val="24"/>
        </w:rPr>
        <w:t xml:space="preserve"> A Ata de Registro de Preços será cancelada, total ou parcialmente, pelo Órgão Gerenciador:</w:t>
      </w:r>
    </w:p>
    <w:p w14:paraId="4222250D"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Pelo decurso de prazo de vigência.</w:t>
      </w:r>
    </w:p>
    <w:p w14:paraId="32F43C37"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Pelo cancelamento de todos os preços registrados.</w:t>
      </w:r>
    </w:p>
    <w:p w14:paraId="5EB6D150"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Por fato superveniente, decorrente de casos de:</w:t>
      </w:r>
    </w:p>
    <w:p w14:paraId="2688C0E8"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lastRenderedPageBreak/>
        <w:t>a)</w:t>
      </w:r>
      <w:r>
        <w:rPr>
          <w:rFonts w:ascii="Cambria" w:hAnsi="Cambria"/>
          <w:color w:val="000000" w:themeColor="text1"/>
          <w:sz w:val="24"/>
          <w:szCs w:val="24"/>
        </w:rPr>
        <w:t xml:space="preserve"> força maior;</w:t>
      </w:r>
    </w:p>
    <w:p w14:paraId="675D4BC3"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caso fortuito;</w:t>
      </w:r>
    </w:p>
    <w:p w14:paraId="01305C9F"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375DFF01"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Por razões de interesse público, devidamente justificadas.</w:t>
      </w:r>
    </w:p>
    <w:p w14:paraId="2C0C8888"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16.3</w:t>
      </w:r>
      <w:r>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77DE8D10"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2FD69FD7"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17. DA </w:t>
      </w:r>
      <w:r>
        <w:rPr>
          <w:rFonts w:ascii="Cambria" w:hAnsi="Cambria"/>
          <w:b/>
          <w:bCs/>
          <w:color w:val="000000" w:themeColor="text1"/>
          <w:sz w:val="24"/>
          <w:szCs w:val="24"/>
        </w:rPr>
        <w:t>DOTAÇÃO E RECURSOS</w:t>
      </w:r>
    </w:p>
    <w:p w14:paraId="57BECCDA" w14:textId="77777777" w:rsidR="00150077" w:rsidRDefault="00000000">
      <w:pPr>
        <w:tabs>
          <w:tab w:val="left" w:pos="1701"/>
        </w:tabs>
        <w:spacing w:before="240" w:after="240" w:line="360" w:lineRule="auto"/>
        <w:rPr>
          <w:rFonts w:ascii="Cambria" w:hAnsi="Cambria"/>
          <w:color w:val="000000" w:themeColor="text1"/>
          <w:sz w:val="24"/>
          <w:szCs w:val="24"/>
        </w:rPr>
      </w:pPr>
      <w:r>
        <w:rPr>
          <w:rFonts w:ascii="Cambria" w:hAnsi="Cambria"/>
          <w:b/>
          <w:color w:val="000000" w:themeColor="text1"/>
          <w:sz w:val="24"/>
          <w:szCs w:val="24"/>
        </w:rPr>
        <w:t>17.1</w:t>
      </w:r>
      <w:r>
        <w:rPr>
          <w:rFonts w:ascii="Cambria" w:hAnsi="Cambria"/>
          <w:color w:val="000000" w:themeColor="text1"/>
          <w:sz w:val="24"/>
          <w:szCs w:val="24"/>
        </w:rPr>
        <w:t xml:space="preserve"> As despesas decorrentes do fornecimento do objeto desta Licitação, correrão à conta dos recursos das dotações orçamentárias afeta aos órgãos do Município de Piracanjuba/GO, exercício financeiro de 2026, a saber: </w:t>
      </w:r>
    </w:p>
    <w:tbl>
      <w:tblPr>
        <w:tblW w:w="5973" w:type="dxa"/>
        <w:jc w:val="center"/>
        <w:tblLayout w:type="fixed"/>
        <w:tblLook w:val="04A0" w:firstRow="1" w:lastRow="0" w:firstColumn="1" w:lastColumn="0" w:noHBand="0" w:noVBand="1"/>
      </w:tblPr>
      <w:tblGrid>
        <w:gridCol w:w="2693"/>
        <w:gridCol w:w="3280"/>
      </w:tblGrid>
      <w:tr w:rsidR="00150077" w14:paraId="1A889E6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DC5A78D"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32B9BCB1"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68.76.13.392.2818.1096.4.4.90.52</w:t>
            </w:r>
          </w:p>
        </w:tc>
      </w:tr>
      <w:tr w:rsidR="00150077" w14:paraId="5773633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632AA6C"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0C09725"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68.76.00000</w:t>
            </w:r>
          </w:p>
        </w:tc>
      </w:tr>
      <w:tr w:rsidR="00150077" w14:paraId="71E7BB7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0B15F91"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2FABEE75"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466</w:t>
            </w:r>
          </w:p>
        </w:tc>
      </w:tr>
      <w:tr w:rsidR="00150077" w14:paraId="4AB9654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210D6EE"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3B125E53"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33</w:t>
            </w:r>
          </w:p>
        </w:tc>
      </w:tr>
      <w:tr w:rsidR="00150077" w14:paraId="0A040E9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56F2770"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5448DAF0"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150077" w14:paraId="794C01F6"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8AFA14C"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64CBCB88"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bookmarkStart w:id="24" w:name="OLE_LINK1"/>
            <w:bookmarkStart w:id="25" w:name="_Hlk235689933"/>
            <w:bookmarkEnd w:id="24"/>
            <w:bookmarkEnd w:id="25"/>
          </w:p>
        </w:tc>
      </w:tr>
    </w:tbl>
    <w:p w14:paraId="73F4273C"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Pr>
          <w:rFonts w:ascii="Cambria" w:hAnsi="Cambria"/>
          <w:b/>
          <w:color w:val="000000" w:themeColor="text1"/>
          <w:sz w:val="24"/>
          <w:szCs w:val="24"/>
        </w:rPr>
        <w:t>18. DA EXECUÇÃO, RECEBIMENTO E PAGAMENTO</w:t>
      </w:r>
    </w:p>
    <w:p w14:paraId="78922626" w14:textId="77777777" w:rsidR="00150077"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18.1</w:t>
      </w:r>
      <w:r>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19CE7BAA"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19. DAS PENALIDADES</w:t>
      </w:r>
    </w:p>
    <w:p w14:paraId="216AE5FA"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lastRenderedPageBreak/>
        <w:t>19.1</w:t>
      </w:r>
      <w:r>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1D056AA9"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6" w:name="art155i"/>
      <w:bookmarkEnd w:id="26"/>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Dar causa à inexecução parcial do contrato.</w:t>
      </w:r>
    </w:p>
    <w:p w14:paraId="73D989C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7" w:name="art155ii"/>
      <w:bookmarkEnd w:id="27"/>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das atividades públicas ou ao interesse coletivo.</w:t>
      </w:r>
    </w:p>
    <w:p w14:paraId="7B872321"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8" w:name="art155iii"/>
      <w:bookmarkEnd w:id="28"/>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Dar causa à inexecução total do contrato.</w:t>
      </w:r>
    </w:p>
    <w:p w14:paraId="0A5B9DCE"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9" w:name="art155iv"/>
      <w:bookmarkEnd w:id="29"/>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Deixar de entregar a documentação exigida para o certame.</w:t>
      </w:r>
    </w:p>
    <w:p w14:paraId="77C1A23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v"/>
      <w:bookmarkEnd w:id="30"/>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5A7891D6"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vi"/>
      <w:bookmarkEnd w:id="31"/>
      <w:r>
        <w:rPr>
          <w:rFonts w:ascii="Cambria" w:eastAsia="Times New Roman" w:hAnsi="Cambria" w:cs="Arial"/>
          <w:b/>
          <w:bCs/>
          <w:color w:val="000000" w:themeColor="text1"/>
          <w:sz w:val="24"/>
          <w:szCs w:val="24"/>
          <w:lang w:eastAsia="pt-BR"/>
        </w:rPr>
        <w:t>VI.</w:t>
      </w:r>
      <w:r>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5E7F9CC7"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vii"/>
      <w:bookmarkEnd w:id="32"/>
      <w:r>
        <w:rPr>
          <w:rFonts w:ascii="Cambria" w:eastAsia="Times New Roman" w:hAnsi="Cambria" w:cs="Arial"/>
          <w:b/>
          <w:bCs/>
          <w:color w:val="000000" w:themeColor="text1"/>
          <w:sz w:val="24"/>
          <w:szCs w:val="24"/>
          <w:lang w:eastAsia="pt-BR"/>
        </w:rPr>
        <w:t>VII.</w:t>
      </w:r>
      <w:r>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60AE568F"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viii"/>
      <w:bookmarkEnd w:id="33"/>
      <w:r>
        <w:rPr>
          <w:rFonts w:ascii="Cambria" w:eastAsia="Times New Roman" w:hAnsi="Cambria" w:cs="Arial"/>
          <w:b/>
          <w:bCs/>
          <w:color w:val="000000" w:themeColor="text1"/>
          <w:sz w:val="24"/>
          <w:szCs w:val="24"/>
          <w:lang w:eastAsia="pt-BR"/>
        </w:rPr>
        <w:t>VIII.</w:t>
      </w:r>
      <w:r>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1B3B84BE"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ix"/>
      <w:bookmarkEnd w:id="34"/>
      <w:r>
        <w:rPr>
          <w:rFonts w:ascii="Cambria" w:eastAsia="Times New Roman" w:hAnsi="Cambria" w:cs="Arial"/>
          <w:b/>
          <w:bCs/>
          <w:color w:val="000000" w:themeColor="text1"/>
          <w:sz w:val="24"/>
          <w:szCs w:val="24"/>
          <w:lang w:eastAsia="pt-BR"/>
        </w:rPr>
        <w:t>IX.</w:t>
      </w:r>
      <w:r>
        <w:rPr>
          <w:rFonts w:ascii="Cambria" w:eastAsia="Times New Roman" w:hAnsi="Cambria" w:cs="Arial"/>
          <w:color w:val="000000" w:themeColor="text1"/>
          <w:sz w:val="24"/>
          <w:szCs w:val="24"/>
          <w:lang w:eastAsia="pt-BR"/>
        </w:rPr>
        <w:t xml:space="preserve"> Fraudar a licitação ou praticar ato fraudulento na execução do contrato.</w:t>
      </w:r>
    </w:p>
    <w:p w14:paraId="556029DD"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x"/>
      <w:bookmarkEnd w:id="35"/>
      <w:r>
        <w:rPr>
          <w:rFonts w:ascii="Cambria" w:eastAsia="Times New Roman" w:hAnsi="Cambria" w:cs="Arial"/>
          <w:b/>
          <w:bCs/>
          <w:color w:val="000000" w:themeColor="text1"/>
          <w:sz w:val="24"/>
          <w:szCs w:val="24"/>
          <w:lang w:eastAsia="pt-BR"/>
        </w:rPr>
        <w:t>X.</w:t>
      </w:r>
      <w:r>
        <w:rPr>
          <w:rFonts w:ascii="Cambria" w:eastAsia="Times New Roman" w:hAnsi="Cambria" w:cs="Arial"/>
          <w:color w:val="000000" w:themeColor="text1"/>
          <w:sz w:val="24"/>
          <w:szCs w:val="24"/>
          <w:lang w:eastAsia="pt-BR"/>
        </w:rPr>
        <w:t xml:space="preserve"> Comportar-se de modo inidôneo ou cometer fraude de qualquer natureza.</w:t>
      </w:r>
    </w:p>
    <w:p w14:paraId="6532F001"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6" w:name="art155xi"/>
      <w:bookmarkEnd w:id="36"/>
      <w:r>
        <w:rPr>
          <w:rFonts w:ascii="Cambria" w:eastAsia="Times New Roman" w:hAnsi="Cambria" w:cs="Arial"/>
          <w:b/>
          <w:bCs/>
          <w:color w:val="000000" w:themeColor="text1"/>
          <w:sz w:val="24"/>
          <w:szCs w:val="24"/>
          <w:lang w:eastAsia="pt-BR"/>
        </w:rPr>
        <w:t>XI.</w:t>
      </w:r>
      <w:r>
        <w:rPr>
          <w:rFonts w:ascii="Cambria" w:eastAsia="Times New Roman" w:hAnsi="Cambria" w:cs="Arial"/>
          <w:color w:val="000000" w:themeColor="text1"/>
          <w:sz w:val="24"/>
          <w:szCs w:val="24"/>
          <w:lang w:eastAsia="pt-BR"/>
        </w:rPr>
        <w:t xml:space="preserve"> Praticar atos ilícitos com vistas a frustrar os objetivos da licitação.</w:t>
      </w:r>
    </w:p>
    <w:p w14:paraId="6E2E45B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5xii"/>
      <w:bookmarkEnd w:id="37"/>
      <w:r>
        <w:rPr>
          <w:rFonts w:ascii="Cambria" w:eastAsia="Times New Roman" w:hAnsi="Cambria" w:cs="Arial"/>
          <w:b/>
          <w:bCs/>
          <w:color w:val="000000" w:themeColor="text1"/>
          <w:sz w:val="24"/>
          <w:szCs w:val="24"/>
          <w:lang w:eastAsia="pt-BR"/>
        </w:rPr>
        <w:t>XII.</w:t>
      </w:r>
      <w:r>
        <w:rPr>
          <w:rFonts w:ascii="Cambria" w:eastAsia="Times New Roman" w:hAnsi="Cambria" w:cs="Arial"/>
          <w:color w:val="000000" w:themeColor="text1"/>
          <w:sz w:val="24"/>
          <w:szCs w:val="24"/>
          <w:lang w:eastAsia="pt-BR"/>
        </w:rPr>
        <w:t xml:space="preserve"> Praticar ato lesivo previsto no </w:t>
      </w:r>
      <w:hyperlink r:id="rId20" w:anchor="art5" w:history="1">
        <w:r w:rsidR="00150077">
          <w:rPr>
            <w:rFonts w:ascii="Cambria" w:eastAsia="Times New Roman" w:hAnsi="Cambria" w:cs="Arial"/>
            <w:color w:val="000000" w:themeColor="text1"/>
            <w:sz w:val="24"/>
            <w:szCs w:val="24"/>
            <w:lang w:eastAsia="pt-BR"/>
          </w:rPr>
          <w:t>art. 5º da Lei Federal nº 12.846, de 1º de agosto de 2013.</w:t>
        </w:r>
      </w:hyperlink>
    </w:p>
    <w:p w14:paraId="00350773"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38" w:name="art156"/>
      <w:bookmarkEnd w:id="38"/>
      <w:r>
        <w:rPr>
          <w:rFonts w:ascii="Cambria" w:eastAsia="Times New Roman" w:hAnsi="Cambria" w:cs="Arial"/>
          <w:b/>
          <w:bCs/>
          <w:color w:val="000000" w:themeColor="text1"/>
          <w:sz w:val="24"/>
          <w:szCs w:val="24"/>
          <w:lang w:eastAsia="pt-BR"/>
        </w:rPr>
        <w:t>19.2</w:t>
      </w:r>
      <w:r>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0D6B8067"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9" w:name="art156i"/>
      <w:bookmarkEnd w:id="39"/>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Advertência.</w:t>
      </w:r>
    </w:p>
    <w:p w14:paraId="702996AE"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6ii"/>
      <w:bookmarkEnd w:id="40"/>
      <w:r>
        <w:rPr>
          <w:rFonts w:ascii="Cambria" w:eastAsia="Times New Roman" w:hAnsi="Cambria" w:cs="Arial"/>
          <w:b/>
          <w:bCs/>
          <w:color w:val="000000" w:themeColor="text1"/>
          <w:sz w:val="24"/>
          <w:szCs w:val="24"/>
          <w:lang w:eastAsia="pt-BR"/>
        </w:rPr>
        <w:lastRenderedPageBreak/>
        <w:t>II.</w:t>
      </w:r>
      <w:r>
        <w:rPr>
          <w:rFonts w:ascii="Cambria" w:eastAsia="Times New Roman" w:hAnsi="Cambria" w:cs="Arial"/>
          <w:color w:val="000000" w:themeColor="text1"/>
          <w:sz w:val="24"/>
          <w:szCs w:val="24"/>
          <w:lang w:eastAsia="pt-BR"/>
        </w:rPr>
        <w:t xml:space="preserve"> Multa.</w:t>
      </w:r>
    </w:p>
    <w:p w14:paraId="06868051"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1" w:name="art156iii"/>
      <w:bookmarkEnd w:id="41"/>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Impedimento de licitar e contratar.</w:t>
      </w:r>
    </w:p>
    <w:p w14:paraId="70F546B7"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2" w:name="art156iv"/>
      <w:bookmarkEnd w:id="42"/>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Declaração de inidoneidade para licitar ou contratar.</w:t>
      </w:r>
    </w:p>
    <w:p w14:paraId="0CA6C987"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43" w:name="art156§1"/>
      <w:bookmarkEnd w:id="43"/>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Na aplicação das sanções serão considerados:</w:t>
      </w:r>
    </w:p>
    <w:p w14:paraId="758DFB02"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4" w:name="art156§1i"/>
      <w:bookmarkEnd w:id="44"/>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natureza e a gravidade da infração cometida.</w:t>
      </w:r>
    </w:p>
    <w:p w14:paraId="62E37A0E"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1ii"/>
      <w:bookmarkEnd w:id="45"/>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As peculiaridades do caso concreto.</w:t>
      </w:r>
    </w:p>
    <w:p w14:paraId="4BCE4E8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1iii"/>
      <w:bookmarkEnd w:id="46"/>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As circunstâncias agravantes ou atenuantes.</w:t>
      </w:r>
    </w:p>
    <w:p w14:paraId="44A6F937"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7" w:name="art156§1iv"/>
      <w:bookmarkEnd w:id="47"/>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Os danos que dela provierem para a Administração Pública.</w:t>
      </w:r>
    </w:p>
    <w:p w14:paraId="54B395F6"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8" w:name="art156§1v"/>
      <w:bookmarkEnd w:id="48"/>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088CD630"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49" w:name="art156§2"/>
      <w:bookmarkEnd w:id="49"/>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1" w:anchor="art155i" w:history="1">
        <w:r w:rsidR="00150077">
          <w:rPr>
            <w:rFonts w:ascii="Cambria" w:eastAsia="Times New Roman" w:hAnsi="Cambria" w:cs="Arial"/>
            <w:color w:val="000000" w:themeColor="text1"/>
            <w:sz w:val="24"/>
            <w:szCs w:val="24"/>
            <w:lang w:eastAsia="pt-BR"/>
          </w:rPr>
          <w:t xml:space="preserve">inciso 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art. 155 da Lei Federal nº 14.133, de 2021, quando não se justificar a imposição de penalidade mais grave.</w:t>
      </w:r>
    </w:p>
    <w:p w14:paraId="1E019E6C"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19.4</w:t>
      </w:r>
      <w:r>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2" w:anchor="art155i" w:history="1">
        <w:r w:rsidR="00150077">
          <w:rPr>
            <w:rFonts w:ascii="Cambria" w:eastAsia="Times New Roman" w:hAnsi="Cambria" w:cs="Arial"/>
            <w:color w:val="000000" w:themeColor="text1"/>
            <w:sz w:val="24"/>
            <w:szCs w:val="24"/>
            <w:lang w:eastAsia="pt-BR"/>
          </w:rPr>
          <w:t>no art. 155 da</w:t>
        </w:r>
      </w:hyperlink>
      <w:r>
        <w:rPr>
          <w:rFonts w:ascii="Cambria" w:eastAsia="Times New Roman" w:hAnsi="Cambria" w:cs="Arial"/>
          <w:color w:val="000000" w:themeColor="text1"/>
          <w:sz w:val="24"/>
          <w:szCs w:val="24"/>
          <w:lang w:eastAsia="pt-BR"/>
        </w:rPr>
        <w:t xml:space="preserve"> Lei Federal nº 14.133, de 2021.</w:t>
      </w:r>
    </w:p>
    <w:p w14:paraId="3F274471"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0" w:name="art156§4"/>
      <w:bookmarkEnd w:id="50"/>
      <w:r>
        <w:rPr>
          <w:rFonts w:ascii="Cambria" w:eastAsia="Times New Roman" w:hAnsi="Cambria" w:cs="Arial"/>
          <w:b/>
          <w:bCs/>
          <w:color w:val="000000" w:themeColor="text1"/>
          <w:sz w:val="24"/>
          <w:szCs w:val="24"/>
          <w:lang w:eastAsia="pt-BR"/>
        </w:rPr>
        <w:t>19.5</w:t>
      </w:r>
      <w:r>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3" w:anchor="art155ii" w:history="1">
        <w:r w:rsidR="00150077">
          <w:rPr>
            <w:rFonts w:ascii="Cambria" w:eastAsia="Times New Roman" w:hAnsi="Cambria" w:cs="Arial"/>
            <w:color w:val="000000" w:themeColor="text1"/>
            <w:sz w:val="24"/>
            <w:szCs w:val="24"/>
            <w:lang w:eastAsia="pt-BR"/>
          </w:rPr>
          <w:t>incisos II, III, IV, V, VI e VII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art. 155 da Lei Federal nº 14.133, de 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0796729"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1" w:name="art156§5"/>
      <w:bookmarkEnd w:id="51"/>
      <w:r>
        <w:rPr>
          <w:rFonts w:ascii="Cambria" w:eastAsia="Times New Roman" w:hAnsi="Cambria" w:cs="Arial"/>
          <w:b/>
          <w:bCs/>
          <w:color w:val="000000" w:themeColor="text1"/>
          <w:sz w:val="24"/>
          <w:szCs w:val="24"/>
          <w:lang w:eastAsia="pt-BR"/>
        </w:rPr>
        <w:lastRenderedPageBreak/>
        <w:t>19.6</w:t>
      </w:r>
      <w:r>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4" w:anchor="art155viii" w:history="1">
        <w:r w:rsidR="00150077">
          <w:rPr>
            <w:rFonts w:ascii="Cambria" w:eastAsia="Times New Roman" w:hAnsi="Cambria" w:cs="Arial"/>
            <w:color w:val="000000" w:themeColor="text1"/>
            <w:sz w:val="24"/>
            <w:szCs w:val="24"/>
            <w:lang w:eastAsia="pt-BR"/>
          </w:rPr>
          <w:t xml:space="preserve">incisos VIII, IX, X, XI e XII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art. 155 da Lei Federal nº 14.1333, de 2021, bem como pelas infrações administrativas previstas nos incisos II, III, IV, V, VI e VII do </w:t>
      </w:r>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2C776E02"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19.7</w:t>
      </w:r>
      <w:r>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7CC3FB98"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2" w:name="art156§6i"/>
      <w:bookmarkEnd w:id="52"/>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Quando aplicada por órgão do Poder Executivo, será de competência exclusiva da Prefeita de Piracanjuba e, quando aplicada por autarquia ou fundação, será de competência exclusiva da autoridade máxima da entidade.</w:t>
      </w:r>
    </w:p>
    <w:p w14:paraId="0597F141"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3" w:name="art156§7"/>
      <w:bookmarkStart w:id="54" w:name="art156§6ii"/>
      <w:bookmarkEnd w:id="53"/>
      <w:bookmarkEnd w:id="54"/>
      <w:r>
        <w:rPr>
          <w:rFonts w:ascii="Cambria" w:eastAsia="Times New Roman" w:hAnsi="Cambria" w:cs="Arial"/>
          <w:b/>
          <w:bCs/>
          <w:color w:val="000000" w:themeColor="text1"/>
          <w:sz w:val="24"/>
          <w:szCs w:val="24"/>
          <w:lang w:eastAsia="pt-BR"/>
        </w:rPr>
        <w:t>19.8</w:t>
      </w:r>
      <w:r>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310F07FB"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5" w:name="art156§8"/>
      <w:bookmarkEnd w:id="55"/>
      <w:r>
        <w:rPr>
          <w:rFonts w:ascii="Cambria" w:eastAsia="Times New Roman" w:hAnsi="Cambria" w:cs="Arial"/>
          <w:b/>
          <w:bCs/>
          <w:color w:val="000000" w:themeColor="text1"/>
          <w:sz w:val="24"/>
          <w:szCs w:val="24"/>
          <w:lang w:eastAsia="pt-BR"/>
        </w:rPr>
        <w:t>19.9</w:t>
      </w:r>
      <w:r>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8B1F8F5"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6" w:name="art156§9"/>
      <w:bookmarkEnd w:id="56"/>
      <w:r>
        <w:rPr>
          <w:rFonts w:ascii="Cambria" w:eastAsia="Times New Roman" w:hAnsi="Cambria" w:cs="Arial"/>
          <w:b/>
          <w:bCs/>
          <w:color w:val="000000" w:themeColor="text1"/>
          <w:sz w:val="24"/>
          <w:szCs w:val="24"/>
          <w:lang w:eastAsia="pt-BR"/>
        </w:rPr>
        <w:t>19.10</w:t>
      </w:r>
      <w:r>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4EA8A180"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7" w:name="art157"/>
      <w:bookmarkEnd w:id="57"/>
      <w:r>
        <w:rPr>
          <w:rFonts w:ascii="Cambria" w:eastAsia="Times New Roman" w:hAnsi="Cambria" w:cs="Arial"/>
          <w:b/>
          <w:bCs/>
          <w:color w:val="000000" w:themeColor="text1"/>
          <w:sz w:val="24"/>
          <w:szCs w:val="24"/>
          <w:lang w:eastAsia="pt-BR"/>
        </w:rPr>
        <w:t>19.11</w:t>
      </w:r>
      <w:r>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364884D1"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58" w:name="art158"/>
      <w:bookmarkEnd w:id="58"/>
      <w:r>
        <w:rPr>
          <w:rFonts w:ascii="Cambria" w:eastAsia="Times New Roman" w:hAnsi="Cambria" w:cs="Arial"/>
          <w:b/>
          <w:bCs/>
          <w:color w:val="000000" w:themeColor="text1"/>
          <w:sz w:val="24"/>
          <w:szCs w:val="24"/>
          <w:lang w:eastAsia="pt-BR"/>
        </w:rPr>
        <w:t>19.12</w:t>
      </w:r>
      <w:r>
        <w:rPr>
          <w:rFonts w:ascii="Cambria" w:eastAsia="Times New Roman" w:hAnsi="Cambria" w:cs="Arial"/>
          <w:color w:val="000000" w:themeColor="text1"/>
          <w:sz w:val="24"/>
          <w:szCs w:val="24"/>
          <w:lang w:eastAsia="pt-BR"/>
        </w:rPr>
        <w:t xml:space="preserve"> A aplicação das sanções previstas nos </w:t>
      </w:r>
      <w:hyperlink r:id="rId25" w:anchor="art156iii" w:history="1">
        <w:r w:rsidR="00150077">
          <w:rPr>
            <w:rFonts w:ascii="Cambria" w:eastAsia="Times New Roman" w:hAnsi="Cambria" w:cs="Arial"/>
            <w:color w:val="000000" w:themeColor="text1"/>
            <w:sz w:val="24"/>
            <w:szCs w:val="24"/>
            <w:lang w:eastAsia="pt-BR"/>
          </w:rPr>
          <w:t>incisos III e IV do subitem 19.2</w:t>
        </w:r>
      </w:hyperlink>
      <w:r>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w:t>
      </w:r>
      <w:r>
        <w:rPr>
          <w:rFonts w:ascii="Cambria" w:eastAsia="Times New Roman" w:hAnsi="Cambria" w:cs="Arial"/>
          <w:color w:val="000000" w:themeColor="text1"/>
          <w:sz w:val="24"/>
          <w:szCs w:val="24"/>
          <w:lang w:eastAsia="pt-BR"/>
        </w:rPr>
        <w:lastRenderedPageBreak/>
        <w:t>conhecidos e intimará o licitante ou o contratado para, no prazo de 15 (quinze) dias úteis, contado da data de intimação, apresentar defesa escrita e especificar as provas que pretenda produzir.</w:t>
      </w:r>
    </w:p>
    <w:p w14:paraId="171C0D2F"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9" w:name="art158§1"/>
      <w:bookmarkEnd w:id="59"/>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2A3293F3"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0" w:name="art158§2"/>
      <w:bookmarkEnd w:id="60"/>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1629CE1"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1" w:name="art158§3"/>
      <w:bookmarkEnd w:id="61"/>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6F294824"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62" w:name="art158§4"/>
      <w:bookmarkEnd w:id="62"/>
      <w:r>
        <w:rPr>
          <w:rFonts w:ascii="Cambria" w:eastAsia="Times New Roman" w:hAnsi="Cambria" w:cs="Arial"/>
          <w:b/>
          <w:bCs/>
          <w:color w:val="000000" w:themeColor="text1"/>
          <w:sz w:val="24"/>
          <w:szCs w:val="24"/>
          <w:lang w:eastAsia="pt-BR"/>
        </w:rPr>
        <w:t>19.13</w:t>
      </w:r>
      <w:r>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1DC1763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3" w:name="art158§4i"/>
      <w:bookmarkEnd w:id="63"/>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21E07CBD"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4" w:name="art158§4ii"/>
      <w:bookmarkEnd w:id="64"/>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Suspensa pela celebração de acordo de leniência previsto na </w:t>
      </w:r>
      <w:hyperlink r:id="rId26">
        <w:r w:rsidR="00150077">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w:t>
      </w:r>
    </w:p>
    <w:p w14:paraId="3C1E1BF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5" w:name="art158§4iii"/>
      <w:bookmarkEnd w:id="65"/>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6A232971"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66" w:name="art159"/>
      <w:bookmarkEnd w:id="66"/>
      <w:r>
        <w:rPr>
          <w:rFonts w:ascii="Cambria" w:eastAsia="Times New Roman" w:hAnsi="Cambria" w:cs="Arial"/>
          <w:b/>
          <w:bCs/>
          <w:color w:val="000000" w:themeColor="text1"/>
          <w:sz w:val="24"/>
          <w:szCs w:val="24"/>
          <w:lang w:eastAsia="pt-BR"/>
        </w:rPr>
        <w:t>19.14</w:t>
      </w:r>
      <w:r>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7">
        <w:r w:rsidR="00150077">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 xml:space="preserve">, serão apurados e julgados conjuntamente, nos mesmos </w:t>
      </w:r>
      <w:r>
        <w:rPr>
          <w:rFonts w:ascii="Cambria" w:eastAsia="Times New Roman" w:hAnsi="Cambria" w:cs="Arial"/>
          <w:color w:val="000000" w:themeColor="text1"/>
          <w:sz w:val="24"/>
          <w:szCs w:val="24"/>
          <w:lang w:eastAsia="pt-BR"/>
        </w:rPr>
        <w:lastRenderedPageBreak/>
        <w:t>autos, observados o rito procedimental e a autoridade competente definidos na referida Lei.</w:t>
      </w:r>
    </w:p>
    <w:p w14:paraId="61F9D108"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67" w:name="art160"/>
      <w:bookmarkStart w:id="68" w:name="art159p"/>
      <w:bookmarkEnd w:id="67"/>
      <w:bookmarkEnd w:id="68"/>
      <w:r>
        <w:rPr>
          <w:rFonts w:ascii="Cambria" w:eastAsia="Times New Roman" w:hAnsi="Cambria" w:cs="Arial"/>
          <w:b/>
          <w:bCs/>
          <w:color w:val="000000" w:themeColor="text1"/>
          <w:sz w:val="24"/>
          <w:szCs w:val="24"/>
          <w:lang w:eastAsia="pt-BR"/>
        </w:rPr>
        <w:t>19.15</w:t>
      </w:r>
      <w:r>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7D4F8D9"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69" w:name="art161"/>
      <w:bookmarkEnd w:id="69"/>
      <w:r>
        <w:rPr>
          <w:rFonts w:ascii="Cambria" w:eastAsia="Times New Roman" w:hAnsi="Cambria" w:cs="Arial"/>
          <w:b/>
          <w:bCs/>
          <w:color w:val="000000" w:themeColor="text1"/>
          <w:sz w:val="24"/>
          <w:szCs w:val="24"/>
          <w:lang w:eastAsia="pt-BR"/>
        </w:rPr>
        <w:t>19.16</w:t>
      </w:r>
      <w:r>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505B679C"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0" w:name="art161p"/>
      <w:bookmarkEnd w:id="70"/>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5DA2B026"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71" w:name="art162"/>
      <w:bookmarkEnd w:id="71"/>
      <w:r>
        <w:rPr>
          <w:rFonts w:ascii="Cambria" w:eastAsia="Times New Roman" w:hAnsi="Cambria" w:cs="Arial"/>
          <w:b/>
          <w:bCs/>
          <w:color w:val="000000" w:themeColor="text1"/>
          <w:sz w:val="24"/>
          <w:szCs w:val="24"/>
          <w:lang w:eastAsia="pt-BR"/>
        </w:rPr>
        <w:t>19.17</w:t>
      </w:r>
      <w:r>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454C91E6"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2" w:name="art162p"/>
      <w:bookmarkEnd w:id="72"/>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2585F435" w14:textId="77777777" w:rsidR="00150077" w:rsidRDefault="00000000">
      <w:pPr>
        <w:spacing w:before="225" w:after="225" w:line="360" w:lineRule="auto"/>
        <w:rPr>
          <w:rFonts w:ascii="Cambria" w:eastAsia="Times New Roman" w:hAnsi="Cambria" w:cs="Times New Roman"/>
          <w:color w:val="000000" w:themeColor="text1"/>
          <w:sz w:val="24"/>
          <w:szCs w:val="24"/>
          <w:lang w:eastAsia="pt-BR"/>
        </w:rPr>
      </w:pPr>
      <w:bookmarkStart w:id="73" w:name="art163"/>
      <w:bookmarkEnd w:id="73"/>
      <w:r>
        <w:rPr>
          <w:rFonts w:ascii="Cambria" w:eastAsia="Times New Roman" w:hAnsi="Cambria" w:cs="Arial"/>
          <w:b/>
          <w:bCs/>
          <w:color w:val="000000" w:themeColor="text1"/>
          <w:sz w:val="24"/>
          <w:szCs w:val="24"/>
          <w:lang w:eastAsia="pt-BR"/>
        </w:rPr>
        <w:t>19.18</w:t>
      </w:r>
      <w:r>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1EF64BF4"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4" w:name="art163i"/>
      <w:bookmarkEnd w:id="74"/>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Reparação integral do dano causado à Administração Pública.</w:t>
      </w:r>
    </w:p>
    <w:p w14:paraId="69CC9A0B"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5" w:name="art163ii"/>
      <w:bookmarkEnd w:id="75"/>
      <w:r>
        <w:rPr>
          <w:rFonts w:ascii="Cambria" w:eastAsia="Times New Roman" w:hAnsi="Cambria" w:cs="Arial"/>
          <w:b/>
          <w:bCs/>
          <w:color w:val="000000" w:themeColor="text1"/>
          <w:sz w:val="24"/>
          <w:szCs w:val="24"/>
          <w:lang w:eastAsia="pt-BR"/>
        </w:rPr>
        <w:lastRenderedPageBreak/>
        <w:t>II.</w:t>
      </w:r>
      <w:r>
        <w:rPr>
          <w:rFonts w:ascii="Cambria" w:eastAsia="Times New Roman" w:hAnsi="Cambria" w:cs="Arial"/>
          <w:color w:val="000000" w:themeColor="text1"/>
          <w:sz w:val="24"/>
          <w:szCs w:val="24"/>
          <w:lang w:eastAsia="pt-BR"/>
        </w:rPr>
        <w:t xml:space="preserve"> Pagamento da multa.</w:t>
      </w:r>
    </w:p>
    <w:p w14:paraId="693E7FFF"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3iii"/>
      <w:bookmarkEnd w:id="76"/>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1DC137F9"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7" w:name="art163iv"/>
      <w:bookmarkEnd w:id="77"/>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Cumprimento das condições de reabilitação definidas no ato punitivo.</w:t>
      </w:r>
    </w:p>
    <w:p w14:paraId="188D193C" w14:textId="77777777" w:rsidR="00150077"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8" w:name="art163v"/>
      <w:bookmarkEnd w:id="78"/>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780DDB19" w14:textId="77777777" w:rsidR="00150077" w:rsidRDefault="00000000">
      <w:pPr>
        <w:spacing w:before="225" w:after="225" w:line="360" w:lineRule="auto"/>
        <w:ind w:left="567" w:firstLine="570"/>
        <w:rPr>
          <w:rFonts w:ascii="Cambria" w:eastAsia="Times New Roman" w:hAnsi="Cambria" w:cs="Times New Roman"/>
          <w:color w:val="000000" w:themeColor="text1"/>
          <w:sz w:val="24"/>
          <w:szCs w:val="24"/>
          <w:lang w:eastAsia="pt-BR"/>
        </w:rPr>
      </w:pPr>
      <w:bookmarkStart w:id="79" w:name="art163p"/>
      <w:bookmarkEnd w:id="79"/>
      <w:r>
        <w:rPr>
          <w:rFonts w:ascii="Cambria" w:eastAsia="Times New Roman" w:hAnsi="Cambria" w:cs="Arial"/>
          <w:b/>
          <w:bCs/>
          <w:color w:val="000000" w:themeColor="text1"/>
          <w:sz w:val="24"/>
          <w:szCs w:val="24"/>
          <w:lang w:eastAsia="pt-BR"/>
        </w:rPr>
        <w:t>a)</w:t>
      </w:r>
      <w:r>
        <w:rPr>
          <w:rFonts w:ascii="Cambria" w:eastAsia="Times New Roman" w:hAnsi="Cambria" w:cs="Arial"/>
          <w:color w:val="000000" w:themeColor="text1"/>
          <w:sz w:val="24"/>
          <w:szCs w:val="24"/>
          <w:lang w:eastAsia="pt-BR"/>
        </w:rPr>
        <w:t xml:space="preserve"> A sanção pelas infrações previstas nos </w:t>
      </w:r>
      <w:hyperlink r:id="rId28" w:anchor="art155viii" w:history="1">
        <w:r w:rsidR="00150077">
          <w:rPr>
            <w:rFonts w:ascii="Cambria" w:eastAsia="Times New Roman" w:hAnsi="Cambria" w:cs="Arial"/>
            <w:color w:val="000000" w:themeColor="text1"/>
            <w:sz w:val="24"/>
            <w:szCs w:val="24"/>
            <w:lang w:eastAsia="pt-BR"/>
          </w:rPr>
          <w:t>incisos VIII</w:t>
        </w:r>
      </w:hyperlink>
      <w:r>
        <w:rPr>
          <w:rFonts w:ascii="Cambria" w:eastAsia="Times New Roman" w:hAnsi="Cambria" w:cs="Arial"/>
          <w:color w:val="000000" w:themeColor="text1"/>
          <w:sz w:val="24"/>
          <w:szCs w:val="24"/>
          <w:lang w:eastAsia="pt-BR"/>
        </w:rPr>
        <w:t> e </w:t>
      </w:r>
      <w:hyperlink r:id="rId29" w:anchor="art155xii" w:history="1">
        <w:r w:rsidR="00150077">
          <w:rPr>
            <w:rFonts w:ascii="Cambria" w:eastAsia="Times New Roman" w:hAnsi="Cambria" w:cs="Arial"/>
            <w:color w:val="000000" w:themeColor="text1"/>
            <w:sz w:val="24"/>
            <w:szCs w:val="24"/>
            <w:lang w:eastAsia="pt-BR"/>
          </w:rPr>
          <w:t>XII do subitem 19.1</w:t>
        </w:r>
      </w:hyperlink>
      <w:r>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469B5926"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Pr>
          <w:rFonts w:ascii="Cambria" w:hAnsi="Cambria"/>
          <w:b/>
          <w:bCs/>
          <w:color w:val="000000" w:themeColor="text1"/>
          <w:sz w:val="24"/>
          <w:szCs w:val="24"/>
        </w:rPr>
        <w:t>20. DO ÓRGÃO GERENCIADOR E FISCALIZAÇÃO</w:t>
      </w:r>
    </w:p>
    <w:p w14:paraId="50B7E570" w14:textId="77777777" w:rsidR="00150077"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20.1 </w:t>
      </w:r>
      <w:r>
        <w:rPr>
          <w:rFonts w:ascii="Cambria" w:hAnsi="Cambria"/>
          <w:bCs/>
          <w:color w:val="000000" w:themeColor="text1"/>
          <w:sz w:val="24"/>
          <w:szCs w:val="24"/>
        </w:rPr>
        <w:t>O Órgão Gerenciador da Ata de Registro de Preços a ser firmada mediante a realização do presente Pregão Eletrônico será a Secretaria Municipal de Cultura de Piracanjuba/GO.</w:t>
      </w:r>
    </w:p>
    <w:p w14:paraId="39E9E356"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20.2</w:t>
      </w:r>
      <w:r>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respectivas atribuições nos moldes </w:t>
      </w:r>
      <w:r>
        <w:rPr>
          <w:rFonts w:ascii="Cambria" w:hAnsi="Cambria"/>
          <w:color w:val="000000" w:themeColor="text1"/>
          <w:sz w:val="24"/>
          <w:szCs w:val="24"/>
        </w:rPr>
        <w:t>do art. 117, da Lei Federal nº 14.133, de 01 de abril de 2021 e art. 13, da Instrução Normativa nº 09, de 01 de junho de 2023 do Tribunal de Contas dos Municípios do Estado de Goiás.</w:t>
      </w:r>
    </w:p>
    <w:p w14:paraId="5CC3386D"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21. DAS DISPOSIÇÕES FINAIS</w:t>
      </w:r>
    </w:p>
    <w:p w14:paraId="485893CD"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21.1</w:t>
      </w:r>
      <w:r>
        <w:rPr>
          <w:rFonts w:ascii="Cambria" w:hAnsi="Cambria"/>
          <w:color w:val="000000" w:themeColor="text1"/>
          <w:sz w:val="24"/>
          <w:szCs w:val="24"/>
        </w:rPr>
        <w:t xml:space="preserve"> É facultado a Pregoeira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092AF006"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 xml:space="preserve">21.2 </w:t>
      </w:r>
      <w:r>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Pr>
          <w:rFonts w:ascii="Cambria" w:hAnsi="Cambria" w:cs="Arial"/>
          <w:color w:val="000000" w:themeColor="text1"/>
          <w:sz w:val="24"/>
          <w:szCs w:val="24"/>
        </w:rPr>
        <w:t>§</w:t>
      </w:r>
      <w:r>
        <w:rPr>
          <w:rFonts w:ascii="Cambria" w:hAnsi="Cambria"/>
          <w:color w:val="000000" w:themeColor="text1"/>
          <w:sz w:val="24"/>
          <w:szCs w:val="24"/>
        </w:rPr>
        <w:t xml:space="preserve"> 1º, art. 155, de Lei Federal nº 14.133, de 2021.</w:t>
      </w:r>
    </w:p>
    <w:p w14:paraId="4F46D3C5"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21.3</w:t>
      </w:r>
      <w:r>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6B37123E"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21.4</w:t>
      </w:r>
      <w:r>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3AC3C105" w14:textId="77777777" w:rsidR="00150077"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21.5</w:t>
      </w:r>
      <w:r>
        <w:rPr>
          <w:rFonts w:ascii="Cambria" w:hAnsi="Cambria"/>
          <w:color w:val="000000" w:themeColor="text1"/>
          <w:sz w:val="24"/>
          <w:szCs w:val="24"/>
        </w:rPr>
        <w:t xml:space="preserve"> Os casos omissos do presente Pregão serão solucionados </w:t>
      </w:r>
      <w:r>
        <w:rPr>
          <w:rFonts w:ascii="Cambria" w:hAnsi="Cambria"/>
          <w:bCs/>
          <w:color w:val="000000" w:themeColor="text1"/>
          <w:sz w:val="24"/>
          <w:szCs w:val="24"/>
        </w:rPr>
        <w:t>pela Pregoeira</w:t>
      </w:r>
      <w:r>
        <w:rPr>
          <w:rFonts w:ascii="Cambria" w:hAnsi="Cambria"/>
          <w:color w:val="000000" w:themeColor="text1"/>
          <w:sz w:val="24"/>
          <w:szCs w:val="24"/>
        </w:rPr>
        <w:t xml:space="preserve"> ou Autoridade Superior que decidirá com base na legislação em vigor.</w:t>
      </w:r>
    </w:p>
    <w:p w14:paraId="02D0B742"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21.6 </w:t>
      </w:r>
      <w:r>
        <w:rPr>
          <w:rFonts w:ascii="Cambria" w:hAnsi="Cambria"/>
          <w:color w:val="000000" w:themeColor="text1"/>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1C131BAC"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21.7</w:t>
      </w:r>
      <w:r>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24194DE9" w14:textId="77777777" w:rsidR="00150077"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21.8 </w:t>
      </w:r>
      <w:r>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79CEA581"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22. DOS ANEXOS</w:t>
      </w:r>
    </w:p>
    <w:p w14:paraId="07B0391B" w14:textId="77777777" w:rsidR="00150077" w:rsidRDefault="00000000">
      <w:pPr>
        <w:pStyle w:val="SemEspaamento"/>
        <w:spacing w:before="240" w:line="360" w:lineRule="auto"/>
        <w:jc w:val="both"/>
        <w:rPr>
          <w:rFonts w:ascii="Cambria" w:hAnsi="Cambria"/>
          <w:color w:val="000000" w:themeColor="text1"/>
          <w:sz w:val="24"/>
          <w:szCs w:val="24"/>
        </w:rPr>
      </w:pPr>
      <w:r>
        <w:rPr>
          <w:rFonts w:ascii="Cambria" w:hAnsi="Cambria"/>
          <w:b/>
          <w:bCs/>
          <w:color w:val="000000" w:themeColor="text1"/>
          <w:sz w:val="24"/>
          <w:szCs w:val="24"/>
        </w:rPr>
        <w:lastRenderedPageBreak/>
        <w:t>22.1</w:t>
      </w:r>
      <w:r>
        <w:rPr>
          <w:rFonts w:ascii="Cambria" w:hAnsi="Cambria"/>
          <w:color w:val="000000" w:themeColor="text1"/>
          <w:sz w:val="24"/>
          <w:szCs w:val="24"/>
        </w:rPr>
        <w:t xml:space="preserve"> Constituem como parte integrante e complementar do presente Edital, os seguintes elementos:</w:t>
      </w:r>
    </w:p>
    <w:p w14:paraId="0E8B8260" w14:textId="77777777" w:rsidR="00150077" w:rsidRDefault="00000000">
      <w:pPr>
        <w:pStyle w:val="SemEspaamento"/>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I –</w:t>
      </w:r>
      <w:r>
        <w:rPr>
          <w:rFonts w:ascii="Cambria" w:hAnsi="Cambria"/>
          <w:color w:val="000000" w:themeColor="text1"/>
          <w:sz w:val="24"/>
          <w:szCs w:val="24"/>
        </w:rPr>
        <w:t xml:space="preserve"> Termo de Referência;</w:t>
      </w:r>
    </w:p>
    <w:p w14:paraId="19154DE1"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II –</w:t>
      </w:r>
      <w:r>
        <w:rPr>
          <w:rFonts w:ascii="Cambria" w:hAnsi="Cambria"/>
          <w:color w:val="000000" w:themeColor="text1"/>
          <w:sz w:val="24"/>
          <w:szCs w:val="24"/>
        </w:rPr>
        <w:t xml:space="preserve"> Estudo Técnico Preliminar</w:t>
      </w:r>
    </w:p>
    <w:p w14:paraId="615982A2"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III -</w:t>
      </w:r>
      <w:r>
        <w:rPr>
          <w:rFonts w:ascii="Cambria" w:hAnsi="Cambria"/>
          <w:color w:val="000000" w:themeColor="text1"/>
          <w:sz w:val="24"/>
          <w:szCs w:val="24"/>
        </w:rPr>
        <w:t xml:space="preserve"> Modelo de Proposta Comercial;</w:t>
      </w:r>
    </w:p>
    <w:p w14:paraId="41F56F25"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IV –</w:t>
      </w:r>
      <w:r>
        <w:rPr>
          <w:rFonts w:ascii="Cambria" w:hAnsi="Cambria"/>
          <w:color w:val="000000" w:themeColor="text1"/>
          <w:sz w:val="24"/>
          <w:szCs w:val="24"/>
        </w:rPr>
        <w:t xml:space="preserve"> Modelo Declaração Conjunta;</w:t>
      </w:r>
    </w:p>
    <w:p w14:paraId="7FB5C6AA"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 xml:space="preserve">ANEXO V – </w:t>
      </w:r>
      <w:r>
        <w:rPr>
          <w:rFonts w:ascii="Cambria" w:hAnsi="Cambria"/>
          <w:color w:val="000000" w:themeColor="text1"/>
          <w:sz w:val="24"/>
          <w:szCs w:val="24"/>
        </w:rPr>
        <w:t>Planilha de Custo</w:t>
      </w:r>
    </w:p>
    <w:p w14:paraId="7B935AFF"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 –</w:t>
      </w:r>
      <w:r>
        <w:rPr>
          <w:rFonts w:ascii="Cambria" w:hAnsi="Cambria"/>
          <w:color w:val="000000" w:themeColor="text1"/>
          <w:sz w:val="24"/>
          <w:szCs w:val="24"/>
        </w:rPr>
        <w:t xml:space="preserve"> Minuta da Ata de Registro de Preços;</w:t>
      </w:r>
    </w:p>
    <w:p w14:paraId="5F16D090"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VII –</w:t>
      </w:r>
      <w:r>
        <w:rPr>
          <w:rFonts w:ascii="Cambria" w:hAnsi="Cambria"/>
          <w:color w:val="000000" w:themeColor="text1"/>
          <w:sz w:val="24"/>
          <w:szCs w:val="24"/>
        </w:rPr>
        <w:t xml:space="preserve"> Minuta do Contrato de Fornecimento.</w:t>
      </w:r>
    </w:p>
    <w:p w14:paraId="094BFBC2" w14:textId="77777777" w:rsidR="00150077"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VIII</w:t>
      </w:r>
      <w:r>
        <w:rPr>
          <w:rFonts w:ascii="Cambria" w:hAnsi="Cambria"/>
          <w:color w:val="000000" w:themeColor="text1"/>
          <w:sz w:val="24"/>
          <w:szCs w:val="24"/>
        </w:rPr>
        <w:t xml:space="preserve"> – Matriz de Riscos</w:t>
      </w:r>
    </w:p>
    <w:p w14:paraId="4305F3FA" w14:textId="7A4D39C8" w:rsidR="00150077" w:rsidRDefault="00000000">
      <w:pPr>
        <w:pStyle w:val="NormalWeb"/>
        <w:spacing w:before="280" w:after="280" w:line="360" w:lineRule="auto"/>
        <w:jc w:val="right"/>
        <w:rPr>
          <w:rFonts w:ascii="Cambria" w:hAnsi="Cambria"/>
          <w:color w:val="000000" w:themeColor="text1"/>
        </w:rPr>
      </w:pPr>
      <w:r w:rsidRPr="00B1467E">
        <w:rPr>
          <w:rFonts w:ascii="Cambria" w:hAnsi="Cambria"/>
          <w:color w:val="000000" w:themeColor="text1"/>
        </w:rPr>
        <w:t xml:space="preserve">Piracanjuba/GO, aos </w:t>
      </w:r>
      <w:r w:rsidR="00B1467E" w:rsidRPr="00B1467E">
        <w:rPr>
          <w:rFonts w:ascii="Cambria" w:hAnsi="Cambria"/>
          <w:color w:val="000000" w:themeColor="text1"/>
        </w:rPr>
        <w:t>16</w:t>
      </w:r>
      <w:r w:rsidRPr="00B1467E">
        <w:rPr>
          <w:rFonts w:ascii="Cambria" w:hAnsi="Cambria"/>
          <w:color w:val="000000" w:themeColor="text1"/>
        </w:rPr>
        <w:t xml:space="preserve"> dias do mês de </w:t>
      </w:r>
      <w:r w:rsidR="00B1467E" w:rsidRPr="00B1467E">
        <w:rPr>
          <w:rFonts w:ascii="Cambria" w:hAnsi="Cambria"/>
          <w:color w:val="000000" w:themeColor="text1"/>
        </w:rPr>
        <w:t>setembro</w:t>
      </w:r>
      <w:r w:rsidRPr="00B1467E">
        <w:rPr>
          <w:rFonts w:ascii="Cambria" w:hAnsi="Cambria"/>
          <w:color w:val="000000" w:themeColor="text1"/>
        </w:rPr>
        <w:t xml:space="preserve"> do ano de 2026</w:t>
      </w:r>
    </w:p>
    <w:p w14:paraId="566DA7FE" w14:textId="77777777" w:rsidR="00150077" w:rsidRDefault="00150077">
      <w:pPr>
        <w:pStyle w:val="NormalWeb"/>
        <w:spacing w:before="280" w:after="280" w:line="360" w:lineRule="auto"/>
        <w:jc w:val="right"/>
        <w:rPr>
          <w:rFonts w:ascii="Cambria" w:hAnsi="Cambria"/>
          <w:color w:val="000000" w:themeColor="text1"/>
        </w:rPr>
      </w:pPr>
    </w:p>
    <w:p w14:paraId="47D2A3E0" w14:textId="77777777" w:rsidR="00150077" w:rsidRDefault="00150077">
      <w:pPr>
        <w:pStyle w:val="NormalWeb"/>
        <w:spacing w:before="280" w:after="280" w:line="360" w:lineRule="auto"/>
        <w:jc w:val="right"/>
        <w:rPr>
          <w:rFonts w:ascii="Cambria" w:hAnsi="Cambria"/>
          <w:color w:val="000000" w:themeColor="text1"/>
        </w:rPr>
      </w:pPr>
    </w:p>
    <w:p w14:paraId="76E591BA" w14:textId="77777777" w:rsidR="00150077" w:rsidRDefault="00000000">
      <w:pPr>
        <w:pStyle w:val="NormalWeb"/>
        <w:spacing w:before="0" w:beforeAutospacing="0" w:after="0" w:afterAutospacing="0" w:line="276" w:lineRule="auto"/>
        <w:jc w:val="center"/>
        <w:rPr>
          <w:rFonts w:ascii="Cambria" w:hAnsi="Cambria"/>
          <w:b/>
          <w:bCs/>
          <w:color w:val="000000" w:themeColor="text1"/>
        </w:rPr>
      </w:pPr>
      <w:r>
        <w:rPr>
          <w:rFonts w:ascii="Cambria" w:hAnsi="Cambria"/>
          <w:b/>
          <w:bCs/>
          <w:color w:val="000000" w:themeColor="text1"/>
        </w:rPr>
        <w:t>TAYNARA CARDOSO BARBOSA</w:t>
      </w:r>
    </w:p>
    <w:p w14:paraId="6014861A" w14:textId="77777777" w:rsidR="00150077" w:rsidRDefault="00000000">
      <w:pPr>
        <w:pStyle w:val="NormalWeb"/>
        <w:spacing w:before="0" w:beforeAutospacing="0" w:after="0" w:afterAutospacing="0" w:line="276" w:lineRule="auto"/>
        <w:jc w:val="center"/>
        <w:rPr>
          <w:rFonts w:ascii="Cambria" w:hAnsi="Cambria"/>
          <w:color w:val="000000" w:themeColor="text1"/>
        </w:rPr>
      </w:pPr>
      <w:r>
        <w:rPr>
          <w:rFonts w:ascii="Cambria" w:hAnsi="Cambria"/>
          <w:color w:val="000000" w:themeColor="text1"/>
        </w:rPr>
        <w:t>Agente de Contratação</w:t>
      </w:r>
    </w:p>
    <w:p w14:paraId="0E698544" w14:textId="77777777" w:rsidR="00150077" w:rsidRDefault="00000000">
      <w:pPr>
        <w:pStyle w:val="NormalWeb"/>
        <w:spacing w:before="0" w:beforeAutospacing="0" w:after="0" w:afterAutospacing="0" w:line="360" w:lineRule="auto"/>
        <w:jc w:val="center"/>
        <w:rPr>
          <w:rFonts w:ascii="Cambria" w:hAnsi="Cambria"/>
          <w:color w:val="000000" w:themeColor="text1"/>
          <w:sz w:val="22"/>
          <w:szCs w:val="22"/>
        </w:rPr>
      </w:pPr>
      <w:r>
        <w:rPr>
          <w:rFonts w:ascii="Cambria" w:hAnsi="Cambria"/>
          <w:color w:val="000000" w:themeColor="text1"/>
        </w:rPr>
        <w:t>Pregoeira Oficial</w:t>
      </w:r>
      <w:r>
        <w:rPr>
          <w:rFonts w:ascii="Cambria" w:hAnsi="Cambria"/>
          <w:color w:val="000000" w:themeColor="text1"/>
          <w:sz w:val="22"/>
          <w:szCs w:val="22"/>
        </w:rPr>
        <w:t xml:space="preserve"> </w:t>
      </w:r>
      <w:r>
        <w:br w:type="page"/>
      </w:r>
    </w:p>
    <w:p w14:paraId="012A31D0" w14:textId="77777777" w:rsidR="00150077"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31/2026</w:t>
      </w:r>
    </w:p>
    <w:p w14:paraId="4AC59D34" w14:textId="77777777" w:rsidR="00150077"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w:t>
      </w:r>
    </w:p>
    <w:p w14:paraId="1A2CA6EA" w14:textId="77777777" w:rsidR="00150077" w:rsidRDefault="00000000">
      <w:pPr>
        <w:tabs>
          <w:tab w:val="left" w:pos="1701"/>
        </w:tabs>
        <w:spacing w:before="240" w:after="240" w:line="360" w:lineRule="auto"/>
        <w:ind w:right="-1"/>
        <w:jc w:val="center"/>
        <w:rPr>
          <w:rFonts w:ascii="Cambria" w:hAnsi="Cambria" w:cs="Arial"/>
          <w:b/>
          <w:sz w:val="24"/>
          <w:szCs w:val="24"/>
          <w:u w:val="single"/>
        </w:rPr>
      </w:pPr>
      <w:r>
        <w:rPr>
          <w:rFonts w:ascii="Cambria" w:hAnsi="Cambria" w:cs="Arial"/>
          <w:b/>
          <w:sz w:val="24"/>
          <w:szCs w:val="24"/>
          <w:u w:val="single"/>
        </w:rPr>
        <w:t>TERMO DE REFERÊNCIA</w:t>
      </w:r>
    </w:p>
    <w:tbl>
      <w:tblPr>
        <w:tblW w:w="9024" w:type="dxa"/>
        <w:tblInd w:w="-109" w:type="dxa"/>
        <w:tblLayout w:type="fixed"/>
        <w:tblLook w:val="0400" w:firstRow="0" w:lastRow="0" w:firstColumn="0" w:lastColumn="0" w:noHBand="0" w:noVBand="1"/>
      </w:tblPr>
      <w:tblGrid>
        <w:gridCol w:w="9024"/>
      </w:tblGrid>
      <w:tr w:rsidR="00150077" w14:paraId="73612BDC" w14:textId="77777777">
        <w:tc>
          <w:tcPr>
            <w:tcW w:w="9024" w:type="dxa"/>
            <w:tcBorders>
              <w:top w:val="single" w:sz="12" w:space="0" w:color="000000"/>
              <w:left w:val="single" w:sz="12" w:space="0" w:color="000000"/>
              <w:bottom w:val="single" w:sz="12" w:space="0" w:color="000000"/>
              <w:right w:val="single" w:sz="12" w:space="0" w:color="000000"/>
            </w:tcBorders>
            <w:shd w:val="clear" w:color="auto" w:fill="D9D9D9"/>
          </w:tcPr>
          <w:p w14:paraId="3E0C27D7" w14:textId="77777777" w:rsidR="00150077" w:rsidRDefault="00000000">
            <w:pPr>
              <w:spacing w:before="60" w:after="60"/>
              <w:rPr>
                <w:rFonts w:ascii="Cambria" w:eastAsia="Times New Roman" w:hAnsi="Cambria" w:cs="Times New Roman"/>
                <w:b/>
                <w:bCs/>
                <w:sz w:val="24"/>
                <w:szCs w:val="24"/>
              </w:rPr>
            </w:pPr>
            <w:r>
              <w:rPr>
                <w:rFonts w:ascii="Cambria" w:eastAsia="Times New Roman" w:hAnsi="Cambria" w:cs="Times New Roman"/>
                <w:b/>
                <w:bCs/>
                <w:sz w:val="24"/>
                <w:szCs w:val="24"/>
              </w:rPr>
              <w:t>1. CONDIÇÕES GERAIS DA CONTRATAÇÃO</w:t>
            </w:r>
          </w:p>
        </w:tc>
      </w:tr>
    </w:tbl>
    <w:p w14:paraId="71DC7F12"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1.1</w:t>
      </w:r>
      <w:r>
        <w:rPr>
          <w:rFonts w:ascii="Cambria" w:eastAsia="Times New Roman" w:hAnsi="Cambria" w:cs="Times New Roman"/>
          <w:sz w:val="24"/>
          <w:szCs w:val="24"/>
        </w:rPr>
        <w:t xml:space="preserve"> O presente Termo de Referência tem como objeto a contratação de empresa apta no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w:t>
      </w:r>
    </w:p>
    <w:tbl>
      <w:tblPr>
        <w:tblW w:w="9645" w:type="dxa"/>
        <w:tblInd w:w="-345" w:type="dxa"/>
        <w:tblLayout w:type="fixed"/>
        <w:tblLook w:val="0600" w:firstRow="0" w:lastRow="0" w:firstColumn="0" w:lastColumn="0" w:noHBand="1" w:noVBand="1"/>
      </w:tblPr>
      <w:tblGrid>
        <w:gridCol w:w="959"/>
        <w:gridCol w:w="1170"/>
        <w:gridCol w:w="705"/>
        <w:gridCol w:w="691"/>
        <w:gridCol w:w="4980"/>
        <w:gridCol w:w="1140"/>
      </w:tblGrid>
      <w:tr w:rsidR="00150077" w14:paraId="139361EF" w14:textId="77777777">
        <w:tc>
          <w:tcPr>
            <w:tcW w:w="959" w:type="dxa"/>
            <w:tcBorders>
              <w:top w:val="single" w:sz="4" w:space="0" w:color="000000"/>
              <w:left w:val="single" w:sz="4" w:space="0" w:color="000000"/>
              <w:bottom w:val="single" w:sz="4" w:space="0" w:color="000000"/>
              <w:right w:val="single" w:sz="4" w:space="0" w:color="000000"/>
            </w:tcBorders>
            <w:vAlign w:val="center"/>
          </w:tcPr>
          <w:p w14:paraId="3303C1F6" w14:textId="77777777" w:rsidR="00150077" w:rsidRDefault="00000000">
            <w:pPr>
              <w:spacing w:after="0" w:line="240" w:lineRule="auto"/>
              <w:jc w:val="center"/>
              <w:rPr>
                <w:rFonts w:ascii="Times New Roman" w:eastAsia="Times New Roman" w:hAnsi="Times New Roman" w:cs="Times New Roman"/>
                <w:b/>
                <w:bCs/>
              </w:rPr>
            </w:pPr>
            <w:sdt>
              <w:sdtPr>
                <w:tag w:val="goog_rdk_0"/>
                <w:id w:val="-1536098492"/>
                <w:lock w:val="contentLocked"/>
                <w:text/>
              </w:sdtPr>
              <w:sdtContent>
                <w:r>
                  <w:rPr>
                    <w:rFonts w:ascii="Times New Roman" w:eastAsia="Times New Roman" w:hAnsi="Times New Roman" w:cs="Times New Roman"/>
                    <w:b/>
                    <w:bCs/>
                  </w:rPr>
                  <w:t>ITEM</w:t>
                </w:r>
              </w:sdtContent>
            </w:sdt>
          </w:p>
        </w:tc>
        <w:tc>
          <w:tcPr>
            <w:tcW w:w="1170" w:type="dxa"/>
            <w:tcBorders>
              <w:top w:val="single" w:sz="4" w:space="0" w:color="000000"/>
              <w:bottom w:val="single" w:sz="4" w:space="0" w:color="000000"/>
              <w:right w:val="single" w:sz="4" w:space="0" w:color="000000"/>
            </w:tcBorders>
            <w:vAlign w:val="center"/>
          </w:tcPr>
          <w:p w14:paraId="3234CDEA"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CÓDIGO</w:t>
            </w:r>
          </w:p>
        </w:tc>
        <w:tc>
          <w:tcPr>
            <w:tcW w:w="705" w:type="dxa"/>
            <w:tcBorders>
              <w:top w:val="single" w:sz="4" w:space="0" w:color="000000"/>
              <w:bottom w:val="single" w:sz="4" w:space="0" w:color="000000"/>
              <w:right w:val="single" w:sz="4" w:space="0" w:color="000000"/>
            </w:tcBorders>
            <w:vAlign w:val="center"/>
          </w:tcPr>
          <w:p w14:paraId="2ECC51CA"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QNT</w:t>
            </w:r>
          </w:p>
        </w:tc>
        <w:tc>
          <w:tcPr>
            <w:tcW w:w="691" w:type="dxa"/>
            <w:tcBorders>
              <w:top w:val="single" w:sz="4" w:space="0" w:color="000000"/>
              <w:bottom w:val="single" w:sz="4" w:space="0" w:color="000000"/>
              <w:right w:val="single" w:sz="4" w:space="0" w:color="000000"/>
            </w:tcBorders>
            <w:vAlign w:val="center"/>
          </w:tcPr>
          <w:p w14:paraId="6F6A8CAB"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UND</w:t>
            </w:r>
          </w:p>
        </w:tc>
        <w:tc>
          <w:tcPr>
            <w:tcW w:w="4979" w:type="dxa"/>
            <w:tcBorders>
              <w:top w:val="single" w:sz="4" w:space="0" w:color="000000"/>
              <w:bottom w:val="single" w:sz="4" w:space="0" w:color="000000"/>
              <w:right w:val="single" w:sz="4" w:space="0" w:color="000000"/>
            </w:tcBorders>
            <w:vAlign w:val="center"/>
          </w:tcPr>
          <w:p w14:paraId="65A3779A"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ESPECIFICAÇÃO</w:t>
            </w:r>
          </w:p>
        </w:tc>
        <w:tc>
          <w:tcPr>
            <w:tcW w:w="1140" w:type="dxa"/>
            <w:tcBorders>
              <w:top w:val="single" w:sz="4" w:space="0" w:color="000000"/>
              <w:bottom w:val="single" w:sz="4" w:space="0" w:color="000000"/>
              <w:right w:val="single" w:sz="4" w:space="0" w:color="000000"/>
            </w:tcBorders>
            <w:vAlign w:val="center"/>
          </w:tcPr>
          <w:p w14:paraId="4B3035F9"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EXCLUSIVO ME/EPP</w:t>
            </w:r>
          </w:p>
        </w:tc>
      </w:tr>
      <w:tr w:rsidR="00150077" w14:paraId="3040E44D" w14:textId="77777777">
        <w:tc>
          <w:tcPr>
            <w:tcW w:w="959" w:type="dxa"/>
            <w:tcBorders>
              <w:left w:val="single" w:sz="4" w:space="0" w:color="000000"/>
              <w:bottom w:val="single" w:sz="4" w:space="0" w:color="000000"/>
              <w:right w:val="single" w:sz="4" w:space="0" w:color="000000"/>
            </w:tcBorders>
            <w:vAlign w:val="center"/>
          </w:tcPr>
          <w:p w14:paraId="1820C473"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1</w:t>
            </w:r>
          </w:p>
        </w:tc>
        <w:tc>
          <w:tcPr>
            <w:tcW w:w="1170" w:type="dxa"/>
            <w:tcBorders>
              <w:bottom w:val="single" w:sz="4" w:space="0" w:color="000000"/>
              <w:right w:val="single" w:sz="4" w:space="0" w:color="000000"/>
            </w:tcBorders>
            <w:vAlign w:val="center"/>
          </w:tcPr>
          <w:p w14:paraId="3C1D3337" w14:textId="77777777" w:rsidR="00150077" w:rsidRDefault="00150077">
            <w:pPr>
              <w:spacing w:after="0" w:line="240" w:lineRule="auto"/>
              <w:jc w:val="center"/>
              <w:rPr>
                <w:rFonts w:ascii="Times New Roman" w:eastAsia="Times New Roman" w:hAnsi="Times New Roman" w:cs="Times New Roman"/>
              </w:rPr>
            </w:pPr>
          </w:p>
        </w:tc>
        <w:tc>
          <w:tcPr>
            <w:tcW w:w="705" w:type="dxa"/>
            <w:tcBorders>
              <w:bottom w:val="single" w:sz="4" w:space="0" w:color="000000"/>
              <w:right w:val="single" w:sz="4" w:space="0" w:color="000000"/>
            </w:tcBorders>
            <w:vAlign w:val="center"/>
          </w:tcPr>
          <w:p w14:paraId="47428ABD" w14:textId="77777777" w:rsidR="00150077"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691" w:type="dxa"/>
            <w:tcBorders>
              <w:bottom w:val="single" w:sz="4" w:space="0" w:color="000000"/>
              <w:right w:val="single" w:sz="4" w:space="0" w:color="000000"/>
            </w:tcBorders>
            <w:vAlign w:val="center"/>
          </w:tcPr>
          <w:p w14:paraId="5ED1529E" w14:textId="77777777" w:rsidR="00150077"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UN</w:t>
            </w:r>
          </w:p>
        </w:tc>
        <w:tc>
          <w:tcPr>
            <w:tcW w:w="4979" w:type="dxa"/>
            <w:tcBorders>
              <w:bottom w:val="single" w:sz="4" w:space="0" w:color="000000"/>
              <w:right w:val="single" w:sz="4" w:space="0" w:color="000000"/>
            </w:tcBorders>
            <w:vAlign w:val="center"/>
          </w:tcPr>
          <w:p w14:paraId="1F5B6F10" w14:textId="77777777" w:rsidR="00150077"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Fornecimento de solução completa de visualização e sinalização digital (Digital </w:t>
            </w:r>
            <w:proofErr w:type="spellStart"/>
            <w:r>
              <w:rPr>
                <w:rFonts w:ascii="Times New Roman" w:eastAsia="Times New Roman" w:hAnsi="Times New Roman" w:cs="Times New Roman"/>
                <w:sz w:val="24"/>
                <w:szCs w:val="24"/>
              </w:rPr>
              <w:t>Signage</w:t>
            </w:r>
            <w:proofErr w:type="spellEnd"/>
            <w:r>
              <w:rPr>
                <w:rFonts w:ascii="Times New Roman" w:eastAsia="Times New Roman" w:hAnsi="Times New Roman" w:cs="Times New Roman"/>
                <w:sz w:val="24"/>
                <w:szCs w:val="24"/>
              </w:rPr>
              <w:t>), composta por painel de LED modular de alta performance híbrido (indoor/outdoor), projetado para operação em eventos culturais e ambientes institucionais. A solução deve incluir obrigatoriamente:</w:t>
            </w:r>
          </w:p>
          <w:p w14:paraId="11C06F5D" w14:textId="77777777" w:rsidR="00150077" w:rsidRDefault="00000000">
            <w:pPr>
              <w:numPr>
                <w:ilvl w:val="0"/>
                <w:numId w:val="6"/>
              </w:numPr>
              <w:spacing w:before="24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Painel de LED Modular:</w:t>
            </w:r>
            <w:r>
              <w:rPr>
                <w:rFonts w:ascii="Times New Roman" w:eastAsia="Times New Roman" w:hAnsi="Times New Roman" w:cs="Times New Roman"/>
                <w:sz w:val="24"/>
                <w:szCs w:val="24"/>
              </w:rPr>
              <w:t xml:space="preserve"> Área total mínima de 6m² (formato 3m x 2m), com tecnologia SMD de alta densidade e </w:t>
            </w:r>
            <w:r>
              <w:rPr>
                <w:rFonts w:ascii="Times New Roman" w:eastAsia="Times New Roman" w:hAnsi="Times New Roman" w:cs="Times New Roman"/>
                <w:b/>
                <w:bCs/>
                <w:sz w:val="24"/>
                <w:szCs w:val="24"/>
              </w:rPr>
              <w:t xml:space="preserve">Pixel </w:t>
            </w:r>
            <w:proofErr w:type="spellStart"/>
            <w:r>
              <w:rPr>
                <w:rFonts w:ascii="Times New Roman" w:eastAsia="Times New Roman" w:hAnsi="Times New Roman" w:cs="Times New Roman"/>
                <w:b/>
                <w:bCs/>
                <w:sz w:val="24"/>
                <w:szCs w:val="24"/>
              </w:rPr>
              <w:t>Pitch</w:t>
            </w:r>
            <w:proofErr w:type="spellEnd"/>
            <w:r>
              <w:rPr>
                <w:rFonts w:ascii="Times New Roman" w:eastAsia="Times New Roman" w:hAnsi="Times New Roman" w:cs="Times New Roman"/>
                <w:b/>
                <w:bCs/>
                <w:sz w:val="24"/>
                <w:szCs w:val="24"/>
              </w:rPr>
              <w:t xml:space="preserve"> máximo de 3.9mm</w:t>
            </w:r>
            <w:r>
              <w:rPr>
                <w:rFonts w:ascii="Times New Roman" w:eastAsia="Times New Roman" w:hAnsi="Times New Roman" w:cs="Times New Roman"/>
                <w:sz w:val="24"/>
                <w:szCs w:val="24"/>
              </w:rPr>
              <w:t xml:space="preserve">. O painel deve ser composto por gabinetes de alumínio injetado de montagem rápida, permitindo alinhamento perfeito (sem vãos ou sombras) e </w:t>
            </w:r>
            <w:r>
              <w:rPr>
                <w:rFonts w:ascii="Times New Roman" w:eastAsia="Times New Roman" w:hAnsi="Times New Roman" w:cs="Times New Roman"/>
                <w:b/>
                <w:bCs/>
                <w:sz w:val="24"/>
                <w:szCs w:val="24"/>
              </w:rPr>
              <w:t>manutenção 100% frontal</w:t>
            </w:r>
            <w:r>
              <w:rPr>
                <w:rFonts w:ascii="Times New Roman" w:eastAsia="Times New Roman" w:hAnsi="Times New Roman" w:cs="Times New Roman"/>
                <w:sz w:val="24"/>
                <w:szCs w:val="24"/>
              </w:rPr>
              <w:t xml:space="preserve"> por módulos magnéticos.</w:t>
            </w:r>
          </w:p>
          <w:p w14:paraId="1E7CFF41"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 Visual:</w:t>
            </w:r>
            <w:r>
              <w:rPr>
                <w:rFonts w:ascii="Times New Roman" w:eastAsia="Times New Roman" w:hAnsi="Times New Roman" w:cs="Times New Roman"/>
                <w:sz w:val="24"/>
                <w:szCs w:val="24"/>
              </w:rPr>
              <w:t xml:space="preserve"> Taxa de atualização (</w:t>
            </w:r>
            <w:proofErr w:type="spellStart"/>
            <w:r>
              <w:rPr>
                <w:rFonts w:ascii="Times New Roman" w:eastAsia="Times New Roman" w:hAnsi="Times New Roman" w:cs="Times New Roman"/>
                <w:sz w:val="24"/>
                <w:szCs w:val="24"/>
              </w:rPr>
              <w:t>Refresh</w:t>
            </w:r>
            <w:proofErr w:type="spellEnd"/>
            <w:r>
              <w:rPr>
                <w:rFonts w:ascii="Times New Roman" w:eastAsia="Times New Roman" w:hAnsi="Times New Roman" w:cs="Times New Roman"/>
                <w:sz w:val="24"/>
                <w:szCs w:val="24"/>
              </w:rPr>
              <w:t xml:space="preserve"> Rate) mínima de </w:t>
            </w:r>
            <w:r>
              <w:rPr>
                <w:rFonts w:ascii="Times New Roman" w:eastAsia="Times New Roman" w:hAnsi="Times New Roman" w:cs="Times New Roman"/>
                <w:b/>
                <w:bCs/>
                <w:sz w:val="24"/>
                <w:szCs w:val="24"/>
              </w:rPr>
              <w:lastRenderedPageBreak/>
              <w:t>3.840 Hz</w:t>
            </w:r>
            <w:r>
              <w:rPr>
                <w:rFonts w:ascii="Times New Roman" w:eastAsia="Times New Roman" w:hAnsi="Times New Roman" w:cs="Times New Roman"/>
                <w:sz w:val="24"/>
                <w:szCs w:val="24"/>
              </w:rPr>
              <w:t>, garantindo ausência de cintilação em transmissões audiovisuais. Ângulo de visão de no mínimo 160° (horizontal) e 140° (vertical), com brilho adaptável e contraste estático mínimo de 5.000:1.</w:t>
            </w:r>
          </w:p>
          <w:p w14:paraId="3C592A7E"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Processamento e Controle:</w:t>
            </w:r>
            <w:r>
              <w:rPr>
                <w:rFonts w:ascii="Times New Roman" w:eastAsia="Times New Roman" w:hAnsi="Times New Roman" w:cs="Times New Roman"/>
                <w:sz w:val="24"/>
                <w:szCs w:val="24"/>
              </w:rPr>
              <w:t xml:space="preserve"> Controladora de vídeo dedicada do mesmo fabricante do painel, com arquitetura embarcada (não baseada em PC), capaz de gerenciar sinais em tempo real sem perda de quadros. Deve suportar entradas padrão HDMI/</w:t>
            </w:r>
            <w:proofErr w:type="spellStart"/>
            <w:r>
              <w:rPr>
                <w:rFonts w:ascii="Times New Roman" w:eastAsia="Times New Roman" w:hAnsi="Times New Roman" w:cs="Times New Roman"/>
                <w:sz w:val="24"/>
                <w:szCs w:val="24"/>
              </w:rPr>
              <w:t>DisplayPort</w:t>
            </w:r>
            <w:proofErr w:type="spellEnd"/>
            <w:r>
              <w:rPr>
                <w:rFonts w:ascii="Times New Roman" w:eastAsia="Times New Roman" w:hAnsi="Times New Roman" w:cs="Times New Roman"/>
                <w:sz w:val="24"/>
                <w:szCs w:val="24"/>
              </w:rPr>
              <w:t xml:space="preserve"> e ser compatível com sistemas de gerenciamento de conteúdo via rede.</w:t>
            </w:r>
          </w:p>
          <w:p w14:paraId="43C0015C"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Sistema de Gerenciamento de Conteúdo:</w:t>
            </w:r>
            <w:r>
              <w:rPr>
                <w:rFonts w:ascii="Times New Roman" w:eastAsia="Times New Roman" w:hAnsi="Times New Roman" w:cs="Times New Roman"/>
                <w:sz w:val="24"/>
                <w:szCs w:val="24"/>
              </w:rPr>
              <w:t xml:space="preserve"> Software licenciado e homologado pelo fabricante, permitindo agendamento de mídias, criação de </w:t>
            </w:r>
            <w:proofErr w:type="spellStart"/>
            <w:r>
              <w:rPr>
                <w:rFonts w:ascii="Times New Roman" w:eastAsia="Times New Roman" w:hAnsi="Times New Roman" w:cs="Times New Roman"/>
                <w:i/>
                <w:iCs/>
                <w:sz w:val="24"/>
                <w:szCs w:val="24"/>
              </w:rPr>
              <w:t>templates</w:t>
            </w:r>
            <w:proofErr w:type="spellEnd"/>
            <w:r>
              <w:rPr>
                <w:rFonts w:ascii="Times New Roman" w:eastAsia="Times New Roman" w:hAnsi="Times New Roman" w:cs="Times New Roman"/>
                <w:sz w:val="24"/>
                <w:szCs w:val="24"/>
              </w:rPr>
              <w:t xml:space="preserve"> personalizados, gestão remota de grupos de telas e monitoramento de </w:t>
            </w:r>
            <w:r>
              <w:rPr>
                <w:rFonts w:ascii="Times New Roman" w:eastAsia="Times New Roman" w:hAnsi="Times New Roman" w:cs="Times New Roman"/>
                <w:i/>
                <w:iCs/>
                <w:sz w:val="24"/>
                <w:szCs w:val="24"/>
              </w:rPr>
              <w:t>status</w:t>
            </w:r>
            <w:r>
              <w:rPr>
                <w:rFonts w:ascii="Times New Roman" w:eastAsia="Times New Roman" w:hAnsi="Times New Roman" w:cs="Times New Roman"/>
                <w:sz w:val="24"/>
                <w:szCs w:val="24"/>
              </w:rPr>
              <w:t xml:space="preserve"> do sistema (liga/desliga, brilho e temperatura).</w:t>
            </w:r>
          </w:p>
          <w:p w14:paraId="3800FB3E"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Infraestrutura de Sustentabilidade e Transporte:</w:t>
            </w:r>
            <w:r>
              <w:rPr>
                <w:rFonts w:ascii="Times New Roman" w:eastAsia="Times New Roman" w:hAnsi="Times New Roman" w:cs="Times New Roman"/>
                <w:sz w:val="24"/>
                <w:szCs w:val="24"/>
              </w:rPr>
              <w:t xml:space="preserve"> Estrutura metálica autoportante (ou </w:t>
            </w:r>
            <w:proofErr w:type="spellStart"/>
            <w:r>
              <w:rPr>
                <w:rFonts w:ascii="Times New Roman" w:eastAsia="Times New Roman" w:hAnsi="Times New Roman" w:cs="Times New Roman"/>
                <w:i/>
                <w:iCs/>
                <w:sz w:val="24"/>
                <w:szCs w:val="24"/>
              </w:rPr>
              <w:t>ground</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support</w:t>
            </w:r>
            <w:proofErr w:type="spellEnd"/>
            <w:r>
              <w:rPr>
                <w:rFonts w:ascii="Times New Roman" w:eastAsia="Times New Roman" w:hAnsi="Times New Roman" w:cs="Times New Roman"/>
                <w:sz w:val="24"/>
                <w:szCs w:val="24"/>
              </w:rPr>
              <w:t xml:space="preserve">) em aço ou alumínio com pintura eletroestática preta, projetada para estabilidade e nivelamento preciso. Inclui </w:t>
            </w:r>
            <w:proofErr w:type="spellStart"/>
            <w:r>
              <w:rPr>
                <w:rFonts w:ascii="Times New Roman" w:eastAsia="Times New Roman" w:hAnsi="Times New Roman" w:cs="Times New Roman"/>
                <w:b/>
                <w:bCs/>
                <w:sz w:val="24"/>
                <w:szCs w:val="24"/>
              </w:rPr>
              <w:t>Flight</w:t>
            </w:r>
            <w:proofErr w:type="spellEnd"/>
            <w:r>
              <w:rPr>
                <w:rFonts w:ascii="Times New Roman" w:eastAsia="Times New Roman" w:hAnsi="Times New Roman" w:cs="Times New Roman"/>
                <w:b/>
                <w:bCs/>
                <w:sz w:val="24"/>
                <w:szCs w:val="24"/>
              </w:rPr>
              <w:t xml:space="preserve"> Cases profissionais</w:t>
            </w:r>
            <w:r>
              <w:rPr>
                <w:rFonts w:ascii="Times New Roman" w:eastAsia="Times New Roman" w:hAnsi="Times New Roman" w:cs="Times New Roman"/>
                <w:sz w:val="24"/>
                <w:szCs w:val="24"/>
              </w:rPr>
              <w:t xml:space="preserve"> com rodas de alta resistência para armazenamento e transporte seguro.</w:t>
            </w:r>
          </w:p>
          <w:p w14:paraId="18B344AE"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Acessórios e Insumos:</w:t>
            </w:r>
            <w:r>
              <w:rPr>
                <w:rFonts w:ascii="Times New Roman" w:eastAsia="Times New Roman" w:hAnsi="Times New Roman" w:cs="Times New Roman"/>
                <w:sz w:val="24"/>
                <w:szCs w:val="24"/>
              </w:rPr>
              <w:t xml:space="preserve"> Fornecimento completo de cabeamento de dados e de energia (padrão profissional), fontes de alimentação redundantes, peças de reposição (mínimo de 5% de módulos e fontes sobressalentes) e todos os conectores necessários para o funcionamento pleno e integral do sistema.</w:t>
            </w:r>
          </w:p>
          <w:p w14:paraId="305E81CE" w14:textId="77777777" w:rsidR="00150077" w:rsidRDefault="00000000">
            <w:pPr>
              <w:numPr>
                <w:ilvl w:val="0"/>
                <w:numId w:val="6"/>
              </w:numPr>
              <w:spacing w:before="0" w:after="0" w:line="240" w:lineRule="auto"/>
              <w:ind w:left="566"/>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Serviços Inclusos:</w:t>
            </w:r>
            <w:r>
              <w:rPr>
                <w:rFonts w:ascii="Times New Roman" w:eastAsia="Times New Roman" w:hAnsi="Times New Roman" w:cs="Times New Roman"/>
                <w:sz w:val="24"/>
                <w:szCs w:val="24"/>
              </w:rPr>
              <w:t xml:space="preserve"> Instalação, calibração técnica de balanço de branco e uniformidade de cor, e </w:t>
            </w:r>
            <w:r>
              <w:rPr>
                <w:rFonts w:ascii="Times New Roman" w:eastAsia="Times New Roman" w:hAnsi="Times New Roman" w:cs="Times New Roman"/>
                <w:b/>
                <w:bCs/>
                <w:sz w:val="24"/>
                <w:szCs w:val="24"/>
              </w:rPr>
              <w:t>treinamento operacional</w:t>
            </w:r>
            <w:r>
              <w:rPr>
                <w:rFonts w:ascii="Times New Roman" w:eastAsia="Times New Roman" w:hAnsi="Times New Roman" w:cs="Times New Roman"/>
                <w:sz w:val="24"/>
                <w:szCs w:val="24"/>
              </w:rPr>
              <w:t xml:space="preserve"> completo para a equipe da Administração Pública, garantindo a </w:t>
            </w:r>
            <w:r>
              <w:rPr>
                <w:rFonts w:ascii="Times New Roman" w:eastAsia="Times New Roman" w:hAnsi="Times New Roman" w:cs="Times New Roman"/>
                <w:sz w:val="24"/>
                <w:szCs w:val="24"/>
              </w:rPr>
              <w:lastRenderedPageBreak/>
              <w:t>autonomia no manuseio da solução.</w:t>
            </w:r>
          </w:p>
          <w:p w14:paraId="34A69753" w14:textId="77777777" w:rsidR="00150077" w:rsidRDefault="00000000">
            <w:pPr>
              <w:numPr>
                <w:ilvl w:val="0"/>
                <w:numId w:val="6"/>
              </w:numPr>
              <w:spacing w:before="0" w:after="240" w:line="240" w:lineRule="auto"/>
              <w:ind w:left="566"/>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Garantia e Suporte:</w:t>
            </w:r>
            <w:r>
              <w:rPr>
                <w:rFonts w:ascii="Times New Roman" w:eastAsia="Times New Roman" w:hAnsi="Times New Roman" w:cs="Times New Roman"/>
                <w:sz w:val="24"/>
                <w:szCs w:val="24"/>
              </w:rPr>
              <w:t xml:space="preserve"> Garantia mínima de 24 meses com atendimento </w:t>
            </w:r>
            <w:r>
              <w:rPr>
                <w:rFonts w:ascii="Times New Roman" w:eastAsia="Times New Roman" w:hAnsi="Times New Roman" w:cs="Times New Roman"/>
                <w:i/>
                <w:iCs/>
                <w:sz w:val="24"/>
                <w:szCs w:val="24"/>
              </w:rPr>
              <w:t>on-site</w:t>
            </w:r>
            <w:r>
              <w:rPr>
                <w:rFonts w:ascii="Times New Roman" w:eastAsia="Times New Roman" w:hAnsi="Times New Roman" w:cs="Times New Roman"/>
                <w:sz w:val="24"/>
                <w:szCs w:val="24"/>
              </w:rPr>
              <w:t xml:space="preserve"> (local), assegurando a continuidade das atividades da Secretaria de Cultura.</w:t>
            </w:r>
          </w:p>
        </w:tc>
        <w:tc>
          <w:tcPr>
            <w:tcW w:w="1140" w:type="dxa"/>
            <w:tcBorders>
              <w:bottom w:val="single" w:sz="4" w:space="0" w:color="000000"/>
              <w:right w:val="single" w:sz="4" w:space="0" w:color="000000"/>
            </w:tcBorders>
            <w:vAlign w:val="center"/>
          </w:tcPr>
          <w:p w14:paraId="76081CAC" w14:textId="77777777" w:rsidR="00150077"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Não</w:t>
            </w:r>
          </w:p>
        </w:tc>
      </w:tr>
    </w:tbl>
    <w:p w14:paraId="44833484" w14:textId="77777777" w:rsidR="00150077" w:rsidRDefault="00000000">
      <w:pPr>
        <w:spacing w:before="240" w:after="240" w:line="276" w:lineRule="auto"/>
        <w:rPr>
          <w:rFonts w:ascii="Cambria" w:eastAsia="Times New Roman" w:hAnsi="Cambria" w:cs="Times New Roman"/>
          <w:sz w:val="24"/>
          <w:szCs w:val="24"/>
        </w:rPr>
      </w:pPr>
      <w:bookmarkStart w:id="80" w:name="_heading=h.gjdgxs"/>
      <w:bookmarkEnd w:id="80"/>
      <w:r>
        <w:rPr>
          <w:rFonts w:ascii="Cambria" w:eastAsia="Times New Roman" w:hAnsi="Cambria" w:cs="Times New Roman"/>
          <w:b/>
          <w:bCs/>
          <w:sz w:val="24"/>
          <w:szCs w:val="24"/>
        </w:rPr>
        <w:lastRenderedPageBreak/>
        <w:t>1.2</w:t>
      </w:r>
      <w:r>
        <w:rPr>
          <w:rFonts w:ascii="Cambria" w:eastAsia="Times New Roman" w:hAnsi="Cambria" w:cs="Times New Roman"/>
          <w:sz w:val="24"/>
          <w:szCs w:val="24"/>
        </w:rPr>
        <w:t xml:space="preserve"> Os bens objeto desta contratação são caracterizados como comuns, conforme justificativa constante do Estudo Técnico Preliminar.</w:t>
      </w:r>
    </w:p>
    <w:p w14:paraId="78827DE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1.3</w:t>
      </w:r>
      <w:r>
        <w:rPr>
          <w:rFonts w:ascii="Cambria" w:eastAsia="Times New Roman" w:hAnsi="Cambria" w:cs="Times New Roman"/>
          <w:sz w:val="24"/>
          <w:szCs w:val="24"/>
        </w:rPr>
        <w:t xml:space="preserve"> O objeto desta contratação não se enquadra como sendo de bem de luxo, conforme Decreto Federal nº 10.818, de 27 de setembro de 2021.</w:t>
      </w:r>
    </w:p>
    <w:p w14:paraId="4125BBFF" w14:textId="77777777" w:rsidR="00150077" w:rsidRDefault="00000000">
      <w:pPr>
        <w:spacing w:before="240" w:after="288" w:line="276" w:lineRule="auto"/>
        <w:rPr>
          <w:rFonts w:ascii="Cambria" w:eastAsia="Times New Roman" w:hAnsi="Cambria" w:cs="Times New Roman"/>
          <w:sz w:val="24"/>
          <w:szCs w:val="24"/>
        </w:rPr>
      </w:pPr>
      <w:r>
        <w:rPr>
          <w:rFonts w:ascii="Cambria" w:eastAsia="Times New Roman" w:hAnsi="Cambria" w:cs="Times New Roman"/>
          <w:b/>
          <w:bCs/>
          <w:sz w:val="24"/>
          <w:szCs w:val="24"/>
        </w:rPr>
        <w:t>1.4</w:t>
      </w:r>
      <w:r>
        <w:rPr>
          <w:rFonts w:ascii="Cambria" w:eastAsia="Times New Roman" w:hAnsi="Cambria" w:cs="Times New Roman"/>
          <w:sz w:val="24"/>
          <w:szCs w:val="24"/>
        </w:rPr>
        <w:t xml:space="preserve"> O prazo de vigência da contratação é de 01 ano contados da data de sua publicação no Portal Nacional de Contratações Públicas, na forma do artigo 94 da Lei n° 14.133, de 2021, prorrogável por igual período, na forma dos artigos 106 e 107 da Lei n° 14.133, de 2021.</w:t>
      </w:r>
    </w:p>
    <w:p w14:paraId="5FAA09D0" w14:textId="77777777" w:rsidR="00150077" w:rsidRDefault="00000000">
      <w:pPr>
        <w:spacing w:before="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1.5</w:t>
      </w:r>
      <w:r>
        <w:rPr>
          <w:rFonts w:ascii="Cambria" w:eastAsia="Times New Roman" w:hAnsi="Cambria" w:cs="Times New Roman"/>
          <w:sz w:val="24"/>
          <w:szCs w:val="24"/>
        </w:rPr>
        <w:t xml:space="preserve"> A minuta contratual conterá o detalhamento das regras que serão aplicadas em relação à vigência da contratação, nos termos da legislação vigente.</w:t>
      </w:r>
    </w:p>
    <w:tbl>
      <w:tblPr>
        <w:tblW w:w="9165" w:type="dxa"/>
        <w:tblInd w:w="-109" w:type="dxa"/>
        <w:tblLayout w:type="fixed"/>
        <w:tblLook w:val="0400" w:firstRow="0" w:lastRow="0" w:firstColumn="0" w:lastColumn="0" w:noHBand="0" w:noVBand="1"/>
      </w:tblPr>
      <w:tblGrid>
        <w:gridCol w:w="9165"/>
      </w:tblGrid>
      <w:tr w:rsidR="00150077" w14:paraId="63E64A93" w14:textId="77777777">
        <w:trPr>
          <w:trHeight w:val="410"/>
        </w:trPr>
        <w:tc>
          <w:tcPr>
            <w:tcW w:w="9165" w:type="dxa"/>
            <w:tcBorders>
              <w:top w:val="single" w:sz="12" w:space="0" w:color="000000"/>
              <w:left w:val="single" w:sz="12" w:space="0" w:color="000000"/>
              <w:bottom w:val="single" w:sz="12" w:space="0" w:color="000000"/>
              <w:right w:val="single" w:sz="12" w:space="0" w:color="000000"/>
            </w:tcBorders>
            <w:shd w:val="clear" w:color="auto" w:fill="D9D9D9"/>
          </w:tcPr>
          <w:p w14:paraId="19476B26" w14:textId="77777777" w:rsidR="00150077" w:rsidRDefault="00000000">
            <w:pPr>
              <w:spacing w:before="60" w:after="60"/>
              <w:rPr>
                <w:rFonts w:ascii="Cambria" w:eastAsia="Times New Roman" w:hAnsi="Cambria" w:cs="Times New Roman"/>
                <w:b/>
                <w:bCs/>
                <w:sz w:val="24"/>
                <w:szCs w:val="24"/>
              </w:rPr>
            </w:pPr>
            <w:r>
              <w:rPr>
                <w:rFonts w:ascii="Cambria" w:eastAsia="Times New Roman" w:hAnsi="Cambria" w:cs="Times New Roman"/>
                <w:b/>
                <w:bCs/>
                <w:sz w:val="24"/>
                <w:szCs w:val="24"/>
              </w:rPr>
              <w:t>2. FUNDAMENTAÇÃO E DESCRIÇÃO DA NECESSIDADE DA CONTRATAÇÃO</w:t>
            </w:r>
          </w:p>
        </w:tc>
      </w:tr>
    </w:tbl>
    <w:p w14:paraId="14C7C4F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2.1</w:t>
      </w:r>
      <w:r>
        <w:rPr>
          <w:rFonts w:ascii="Cambria" w:eastAsia="Times New Roman" w:hAnsi="Cambria" w:cs="Times New Roman"/>
          <w:sz w:val="24"/>
          <w:szCs w:val="24"/>
        </w:rPr>
        <w:t xml:space="preserve"> A Fundamentação da Contratação com seus quantitativos encontra-se pormenorizada em Tópico específico do Estudo Técnico Preliminar, apêndice deste Termo de Referência.</w:t>
      </w:r>
    </w:p>
    <w:tbl>
      <w:tblPr>
        <w:tblW w:w="9165" w:type="dxa"/>
        <w:tblInd w:w="-109" w:type="dxa"/>
        <w:tblLayout w:type="fixed"/>
        <w:tblLook w:val="0400" w:firstRow="0" w:lastRow="0" w:firstColumn="0" w:lastColumn="0" w:noHBand="0" w:noVBand="1"/>
      </w:tblPr>
      <w:tblGrid>
        <w:gridCol w:w="9165"/>
      </w:tblGrid>
      <w:tr w:rsidR="00150077" w14:paraId="6B672209" w14:textId="77777777">
        <w:tc>
          <w:tcPr>
            <w:tcW w:w="9165" w:type="dxa"/>
            <w:tcBorders>
              <w:top w:val="single" w:sz="12" w:space="0" w:color="000000"/>
              <w:left w:val="single" w:sz="12" w:space="0" w:color="000000"/>
              <w:bottom w:val="single" w:sz="12" w:space="0" w:color="000000"/>
              <w:right w:val="single" w:sz="12" w:space="0" w:color="000000"/>
            </w:tcBorders>
            <w:shd w:val="clear" w:color="auto" w:fill="D9D9D9"/>
          </w:tcPr>
          <w:p w14:paraId="4EDC1038" w14:textId="77777777" w:rsidR="00150077" w:rsidRDefault="00000000">
            <w:pPr>
              <w:spacing w:before="60" w:after="60" w:line="276" w:lineRule="auto"/>
              <w:ind w:right="-97"/>
              <w:rPr>
                <w:rFonts w:ascii="Cambria" w:eastAsia="Times New Roman" w:hAnsi="Cambria" w:cs="Times New Roman"/>
                <w:b/>
                <w:bCs/>
                <w:sz w:val="24"/>
                <w:szCs w:val="24"/>
              </w:rPr>
            </w:pPr>
            <w:r>
              <w:rPr>
                <w:rFonts w:ascii="Cambria" w:eastAsia="Times New Roman" w:hAnsi="Cambria" w:cs="Times New Roman"/>
                <w:b/>
                <w:bCs/>
                <w:sz w:val="24"/>
                <w:szCs w:val="24"/>
              </w:rPr>
              <w:t>3. DESCRIÇÃO DA SOLUÇÃO COMO UM TODO CONSIDERANDO O CICLO DE VIDA DO OBJETO E ESPECIFICAÇÃO DO PRODUTO</w:t>
            </w:r>
          </w:p>
        </w:tc>
      </w:tr>
    </w:tbl>
    <w:p w14:paraId="6E91B079"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3.1</w:t>
      </w:r>
      <w:r>
        <w:rPr>
          <w:rFonts w:ascii="Cambria" w:eastAsia="Times New Roman" w:hAnsi="Cambria" w:cs="Times New Roman"/>
          <w:sz w:val="24"/>
          <w:szCs w:val="24"/>
        </w:rPr>
        <w:t xml:space="preserve"> A descrição da solução como um todo encontra-se pormenorizada em tópico específico do Estudo Técnico Preliminar, apêndice deste Termo de Referência.</w:t>
      </w:r>
    </w:p>
    <w:p w14:paraId="662BFFE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 xml:space="preserve">3.2 A contratação compreende o fornecimento, montagem, instalação, calibração, assistência técnica, treinamento e garantia de uma solução completa de </w:t>
      </w:r>
      <w:r>
        <w:rPr>
          <w:rFonts w:ascii="Cambria" w:eastAsia="Times New Roman" w:hAnsi="Cambria" w:cs="Times New Roman"/>
          <w:b/>
          <w:bCs/>
          <w:sz w:val="24"/>
          <w:szCs w:val="24"/>
        </w:rPr>
        <w:t xml:space="preserve">Solução de Infraestrutura de Visualização e Sinalização Digital (Digital </w:t>
      </w:r>
      <w:proofErr w:type="spellStart"/>
      <w:r>
        <w:rPr>
          <w:rFonts w:ascii="Cambria" w:eastAsia="Times New Roman" w:hAnsi="Cambria" w:cs="Times New Roman"/>
          <w:b/>
          <w:bCs/>
          <w:sz w:val="24"/>
          <w:szCs w:val="24"/>
        </w:rPr>
        <w:t>Signage</w:t>
      </w:r>
      <w:proofErr w:type="spellEnd"/>
      <w:r>
        <w:rPr>
          <w:rFonts w:ascii="Cambria" w:eastAsia="Times New Roman" w:hAnsi="Cambria" w:cs="Times New Roman"/>
          <w:b/>
          <w:bCs/>
          <w:sz w:val="24"/>
          <w:szCs w:val="24"/>
        </w:rPr>
        <w:t>)</w:t>
      </w:r>
      <w:r>
        <w:rPr>
          <w:rFonts w:ascii="Cambria" w:eastAsia="Times New Roman" w:hAnsi="Cambria" w:cs="Times New Roman"/>
          <w:sz w:val="24"/>
          <w:szCs w:val="24"/>
        </w:rPr>
        <w:t>, composta pelo modelo principal de visualização, além de toda a infraestrutura necessária para o funcionamento pleno e integrado:</w:t>
      </w:r>
    </w:p>
    <w:p w14:paraId="41042032"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Painel de LED (P3.9mm)</w:t>
      </w:r>
    </w:p>
    <w:p w14:paraId="5654069D" w14:textId="77777777" w:rsidR="00150077" w:rsidRDefault="00000000">
      <w:pPr>
        <w:numPr>
          <w:ilvl w:val="0"/>
          <w:numId w:val="7"/>
        </w:numPr>
        <w:spacing w:before="24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 xml:space="preserve">Pixel </w:t>
      </w:r>
      <w:proofErr w:type="spellStart"/>
      <w:r>
        <w:rPr>
          <w:rFonts w:ascii="Cambria" w:eastAsia="Times New Roman" w:hAnsi="Cambria" w:cs="Times New Roman"/>
          <w:b/>
          <w:bCs/>
          <w:sz w:val="24"/>
          <w:szCs w:val="24"/>
        </w:rPr>
        <w:t>Pitch</w:t>
      </w:r>
      <w:proofErr w:type="spellEnd"/>
      <w:r>
        <w:rPr>
          <w:rFonts w:ascii="Cambria" w:eastAsia="Times New Roman" w:hAnsi="Cambria" w:cs="Times New Roman"/>
          <w:b/>
          <w:bCs/>
          <w:sz w:val="24"/>
          <w:szCs w:val="24"/>
        </w:rPr>
        <w:t>:</w:t>
      </w:r>
      <w:r>
        <w:rPr>
          <w:rFonts w:ascii="Cambria" w:eastAsia="Times New Roman" w:hAnsi="Cambria" w:cs="Times New Roman"/>
          <w:sz w:val="24"/>
          <w:szCs w:val="24"/>
        </w:rPr>
        <w:t xml:space="preserve"> </w:t>
      </w:r>
      <w:r>
        <w:rPr>
          <w:rFonts w:ascii="Cambria" w:eastAsia="Times New Roman" w:hAnsi="Cambria" w:cs="Times New Roman"/>
          <w:b/>
          <w:bCs/>
          <w:sz w:val="24"/>
          <w:szCs w:val="24"/>
        </w:rPr>
        <w:t>3.9mm</w:t>
      </w:r>
      <w:r>
        <w:rPr>
          <w:rFonts w:ascii="Cambria" w:eastAsia="Times New Roman" w:hAnsi="Cambria" w:cs="Times New Roman"/>
          <w:sz w:val="24"/>
          <w:szCs w:val="24"/>
        </w:rPr>
        <w:t xml:space="preserve"> (tolerância de ± 0,5%)</w:t>
      </w:r>
    </w:p>
    <w:p w14:paraId="708E96D0"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lastRenderedPageBreak/>
        <w:t>Área Total:</w:t>
      </w:r>
      <w:r>
        <w:rPr>
          <w:rFonts w:ascii="Cambria" w:eastAsia="Times New Roman" w:hAnsi="Cambria" w:cs="Times New Roman"/>
          <w:sz w:val="24"/>
          <w:szCs w:val="24"/>
        </w:rPr>
        <w:t xml:space="preserve"> Mínimo de </w:t>
      </w:r>
      <w:r>
        <w:rPr>
          <w:rFonts w:ascii="Cambria" w:eastAsia="Times New Roman" w:hAnsi="Cambria" w:cs="Times New Roman"/>
          <w:b/>
          <w:bCs/>
          <w:sz w:val="24"/>
          <w:szCs w:val="24"/>
        </w:rPr>
        <w:t>6,00 m²</w:t>
      </w:r>
      <w:r>
        <w:rPr>
          <w:rFonts w:ascii="Cambria" w:eastAsia="Times New Roman" w:hAnsi="Cambria" w:cs="Times New Roman"/>
          <w:sz w:val="24"/>
          <w:szCs w:val="24"/>
        </w:rPr>
        <w:t xml:space="preserve"> (exemplo de configuração comum: 3,00m de largura por 2,00m de altura ou formato equivalente que atenda a essa área mínima).</w:t>
      </w:r>
    </w:p>
    <w:p w14:paraId="293CAB57"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Resolução Ajustada:</w:t>
      </w:r>
      <w:r>
        <w:rPr>
          <w:rFonts w:ascii="Cambria" w:eastAsia="Times New Roman" w:hAnsi="Cambria" w:cs="Times New Roman"/>
          <w:sz w:val="24"/>
          <w:szCs w:val="24"/>
        </w:rPr>
        <w:t xml:space="preserve"> Com base na área mínima de 6m², o arranjo deve garantir uma resolução mínima de aproximadamente </w:t>
      </w:r>
      <w:r>
        <w:rPr>
          <w:rFonts w:ascii="Cambria" w:eastAsia="Times New Roman" w:hAnsi="Cambria" w:cs="Times New Roman"/>
          <w:b/>
          <w:bCs/>
          <w:sz w:val="24"/>
          <w:szCs w:val="24"/>
        </w:rPr>
        <w:t>768 x 512 pixels</w:t>
      </w:r>
      <w:r>
        <w:rPr>
          <w:rFonts w:ascii="Cambria" w:eastAsia="Times New Roman" w:hAnsi="Cambria" w:cs="Times New Roman"/>
          <w:sz w:val="24"/>
          <w:szCs w:val="24"/>
        </w:rPr>
        <w:t xml:space="preserve"> (variável conforme o tamanho exato do gabinete adotado pela licitante).</w:t>
      </w:r>
    </w:p>
    <w:p w14:paraId="1785F329"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Gabinetes:</w:t>
      </w:r>
      <w:sdt>
        <w:sdtPr>
          <w:tag w:val="goog_rdk_1"/>
          <w:id w:val="683112821"/>
        </w:sdtPr>
        <w:sdtContent>
          <w:r>
            <w:rPr>
              <w:rFonts w:ascii="Cambria" w:eastAsia="Gungsuh" w:hAnsi="Cambria" w:cs="Gungsuh"/>
              <w:sz w:val="24"/>
              <w:szCs w:val="24"/>
            </w:rPr>
            <w:t xml:space="preserve"> Construção modular em alumínio injetado, com planicidade da superfície ≤ 0.3mm e sem bordas ou molduras visíveis.</w:t>
          </w:r>
        </w:sdtContent>
      </w:sdt>
    </w:p>
    <w:p w14:paraId="08CE3B79"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Brilho:</w:t>
      </w:r>
      <w:r>
        <w:rPr>
          <w:rFonts w:ascii="Cambria" w:eastAsia="Times New Roman" w:hAnsi="Cambria" w:cs="Times New Roman"/>
          <w:sz w:val="24"/>
          <w:szCs w:val="24"/>
        </w:rPr>
        <w:t xml:space="preserve"> Mínimo de 600 </w:t>
      </w:r>
      <w:proofErr w:type="spellStart"/>
      <w:r>
        <w:rPr>
          <w:rFonts w:ascii="Cambria" w:eastAsia="Times New Roman" w:hAnsi="Cambria" w:cs="Times New Roman"/>
          <w:sz w:val="24"/>
          <w:szCs w:val="24"/>
        </w:rPr>
        <w:t>nits</w:t>
      </w:r>
      <w:proofErr w:type="spellEnd"/>
      <w:r>
        <w:rPr>
          <w:rFonts w:ascii="Cambria" w:eastAsia="Times New Roman" w:hAnsi="Cambria" w:cs="Times New Roman"/>
          <w:sz w:val="24"/>
          <w:szCs w:val="24"/>
        </w:rPr>
        <w:t xml:space="preserve"> (adequado para iluminação interna).</w:t>
      </w:r>
    </w:p>
    <w:p w14:paraId="6ACC40AF"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Contraste:</w:t>
      </w:r>
      <w:r>
        <w:rPr>
          <w:rFonts w:ascii="Cambria" w:eastAsia="Times New Roman" w:hAnsi="Cambria" w:cs="Times New Roman"/>
          <w:sz w:val="24"/>
          <w:szCs w:val="24"/>
        </w:rPr>
        <w:t xml:space="preserve"> 5.000:1.</w:t>
      </w:r>
    </w:p>
    <w:p w14:paraId="38DA6E77"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Taxa de Atualização (</w:t>
      </w:r>
      <w:proofErr w:type="spellStart"/>
      <w:r>
        <w:rPr>
          <w:rFonts w:ascii="Cambria" w:eastAsia="Times New Roman" w:hAnsi="Cambria" w:cs="Times New Roman"/>
          <w:b/>
          <w:bCs/>
          <w:sz w:val="24"/>
          <w:szCs w:val="24"/>
        </w:rPr>
        <w:t>Refresh</w:t>
      </w:r>
      <w:proofErr w:type="spellEnd"/>
      <w:r>
        <w:rPr>
          <w:rFonts w:ascii="Cambria" w:eastAsia="Times New Roman" w:hAnsi="Cambria" w:cs="Times New Roman"/>
          <w:b/>
          <w:bCs/>
          <w:sz w:val="24"/>
          <w:szCs w:val="24"/>
        </w:rPr>
        <w:t xml:space="preserve"> Rate):</w:t>
      </w:r>
      <w:r>
        <w:rPr>
          <w:rFonts w:ascii="Cambria" w:eastAsia="Times New Roman" w:hAnsi="Cambria" w:cs="Times New Roman"/>
          <w:sz w:val="24"/>
          <w:szCs w:val="24"/>
        </w:rPr>
        <w:t xml:space="preserve"> </w:t>
      </w:r>
      <w:r>
        <w:rPr>
          <w:rFonts w:ascii="Cambria" w:eastAsia="Times New Roman" w:hAnsi="Cambria" w:cs="Times New Roman"/>
          <w:b/>
          <w:bCs/>
          <w:sz w:val="24"/>
          <w:szCs w:val="24"/>
        </w:rPr>
        <w:t>3.840 Hz</w:t>
      </w:r>
      <w:r>
        <w:rPr>
          <w:rFonts w:ascii="Cambria" w:eastAsia="Times New Roman" w:hAnsi="Cambria" w:cs="Times New Roman"/>
          <w:sz w:val="24"/>
          <w:szCs w:val="24"/>
        </w:rPr>
        <w:t xml:space="preserve"> (obrigatório para eliminação de </w:t>
      </w:r>
      <w:proofErr w:type="spellStart"/>
      <w:r>
        <w:rPr>
          <w:rFonts w:ascii="Cambria" w:eastAsia="Times New Roman" w:hAnsi="Cambria" w:cs="Times New Roman"/>
          <w:i/>
          <w:iCs/>
          <w:sz w:val="24"/>
          <w:szCs w:val="24"/>
        </w:rPr>
        <w:t>flicker</w:t>
      </w:r>
      <w:proofErr w:type="spellEnd"/>
      <w:r>
        <w:rPr>
          <w:rFonts w:ascii="Cambria" w:eastAsia="Times New Roman" w:hAnsi="Cambria" w:cs="Times New Roman"/>
          <w:sz w:val="24"/>
          <w:szCs w:val="24"/>
        </w:rPr>
        <w:t xml:space="preserve"> em captação de vídeo).</w:t>
      </w:r>
    </w:p>
    <w:p w14:paraId="2ECC8C7F"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Ângulo de Visão:</w:t>
      </w:r>
      <w:r>
        <w:rPr>
          <w:rFonts w:ascii="Cambria" w:eastAsia="Times New Roman" w:hAnsi="Cambria" w:cs="Times New Roman"/>
          <w:sz w:val="24"/>
          <w:szCs w:val="24"/>
        </w:rPr>
        <w:t xml:space="preserve"> 160° horizontal / 140° vertical.</w:t>
      </w:r>
    </w:p>
    <w:p w14:paraId="78369FA0"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Uniformidade:</w:t>
      </w:r>
      <w:r>
        <w:rPr>
          <w:rFonts w:ascii="Cambria" w:eastAsia="Times New Roman" w:hAnsi="Cambria" w:cs="Times New Roman"/>
          <w:sz w:val="24"/>
          <w:szCs w:val="24"/>
        </w:rPr>
        <w:t xml:space="preserve"> 97% de uniformidade de brilho e ±0.003 (</w:t>
      </w:r>
      <w:proofErr w:type="spellStart"/>
      <w:r>
        <w:rPr>
          <w:rFonts w:ascii="Cambria" w:eastAsia="Times New Roman" w:hAnsi="Cambria" w:cs="Times New Roman"/>
          <w:sz w:val="24"/>
          <w:szCs w:val="24"/>
        </w:rPr>
        <w:t>Cx</w:t>
      </w:r>
      <w:proofErr w:type="spellEnd"/>
      <w:r>
        <w:rPr>
          <w:rFonts w:ascii="Cambria" w:eastAsia="Times New Roman" w:hAnsi="Cambria" w:cs="Times New Roman"/>
          <w:sz w:val="24"/>
          <w:szCs w:val="24"/>
        </w:rPr>
        <w:t>, Cy) de uniformidade de cor.</w:t>
      </w:r>
    </w:p>
    <w:p w14:paraId="6296C5DE"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Manutenção:</w:t>
      </w:r>
      <w:r>
        <w:rPr>
          <w:rFonts w:ascii="Cambria" w:eastAsia="Times New Roman" w:hAnsi="Cambria" w:cs="Times New Roman"/>
          <w:sz w:val="24"/>
          <w:szCs w:val="24"/>
        </w:rPr>
        <w:t xml:space="preserve"> </w:t>
      </w:r>
      <w:r>
        <w:rPr>
          <w:rFonts w:ascii="Cambria" w:eastAsia="Times New Roman" w:hAnsi="Cambria" w:cs="Times New Roman"/>
          <w:b/>
          <w:bCs/>
          <w:sz w:val="24"/>
          <w:szCs w:val="24"/>
        </w:rPr>
        <w:t>100% frontal</w:t>
      </w:r>
      <w:r>
        <w:rPr>
          <w:rFonts w:ascii="Cambria" w:eastAsia="Times New Roman" w:hAnsi="Cambria" w:cs="Times New Roman"/>
          <w:sz w:val="24"/>
          <w:szCs w:val="24"/>
        </w:rPr>
        <w:t xml:space="preserve"> (acesso a módulos, fontes e placas de recepção sem necessidade de acesso traseiro).</w:t>
      </w:r>
    </w:p>
    <w:p w14:paraId="4D31C285"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Sistema de Ventilação:</w:t>
      </w:r>
      <w:r>
        <w:rPr>
          <w:rFonts w:ascii="Cambria" w:eastAsia="Times New Roman" w:hAnsi="Cambria" w:cs="Times New Roman"/>
          <w:sz w:val="24"/>
          <w:szCs w:val="24"/>
        </w:rPr>
        <w:t xml:space="preserve"> Passivo, sem uso de ventoinhas (silencioso, ideal para auditórios).</w:t>
      </w:r>
    </w:p>
    <w:p w14:paraId="09003F3D"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Estrutura de Sustentação:</w:t>
      </w:r>
      <w:r>
        <w:rPr>
          <w:rFonts w:ascii="Cambria" w:eastAsia="Times New Roman" w:hAnsi="Cambria" w:cs="Times New Roman"/>
          <w:sz w:val="24"/>
          <w:szCs w:val="24"/>
        </w:rPr>
        <w:t xml:space="preserve"> Autoportante em aço ou alumínio (cor preta), com rodízios de alta resistência e ajustes precisos no </w:t>
      </w:r>
      <w:r>
        <w:rPr>
          <w:rFonts w:ascii="Cambria" w:eastAsia="Times New Roman" w:hAnsi="Cambria" w:cs="Times New Roman"/>
          <w:b/>
          <w:bCs/>
          <w:sz w:val="24"/>
          <w:szCs w:val="24"/>
        </w:rPr>
        <w:t>Eixo Z</w:t>
      </w:r>
      <w:r>
        <w:rPr>
          <w:rFonts w:ascii="Cambria" w:eastAsia="Times New Roman" w:hAnsi="Cambria" w:cs="Times New Roman"/>
          <w:sz w:val="24"/>
          <w:szCs w:val="24"/>
        </w:rPr>
        <w:t xml:space="preserve"> (± 0,5mm) para alinhamento perfeito.</w:t>
      </w:r>
    </w:p>
    <w:p w14:paraId="6986AF3F"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Proteção:</w:t>
      </w:r>
      <w:r>
        <w:rPr>
          <w:rFonts w:ascii="Cambria" w:eastAsia="Times New Roman" w:hAnsi="Cambria" w:cs="Times New Roman"/>
          <w:sz w:val="24"/>
          <w:szCs w:val="24"/>
        </w:rPr>
        <w:t xml:space="preserve"> Padrão IP30.</w:t>
      </w:r>
    </w:p>
    <w:p w14:paraId="6EFDE48B"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Tensão:</w:t>
      </w:r>
      <w:r>
        <w:rPr>
          <w:rFonts w:ascii="Cambria" w:eastAsia="Times New Roman" w:hAnsi="Cambria" w:cs="Times New Roman"/>
          <w:sz w:val="24"/>
          <w:szCs w:val="24"/>
        </w:rPr>
        <w:t xml:space="preserve"> 200-240VAC (automática).</w:t>
      </w:r>
    </w:p>
    <w:p w14:paraId="1D358E7A" w14:textId="77777777" w:rsidR="00150077" w:rsidRDefault="00000000">
      <w:pPr>
        <w:numPr>
          <w:ilvl w:val="0"/>
          <w:numId w:val="7"/>
        </w:numPr>
        <w:spacing w:before="0" w:after="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Controladora:</w:t>
      </w:r>
      <w:r>
        <w:rPr>
          <w:rFonts w:ascii="Cambria" w:eastAsia="Times New Roman" w:hAnsi="Cambria" w:cs="Times New Roman"/>
          <w:sz w:val="24"/>
          <w:szCs w:val="24"/>
        </w:rPr>
        <w:t xml:space="preserve"> Arquitetura dedicada de alta velocidade, processamento de baixa latência e suporte a HDCP, HDMI, DVI-D e </w:t>
      </w:r>
      <w:proofErr w:type="spellStart"/>
      <w:r>
        <w:rPr>
          <w:rFonts w:ascii="Cambria" w:eastAsia="Times New Roman" w:hAnsi="Cambria" w:cs="Times New Roman"/>
          <w:sz w:val="24"/>
          <w:szCs w:val="24"/>
        </w:rPr>
        <w:t>DisplayPort</w:t>
      </w:r>
      <w:proofErr w:type="spellEnd"/>
      <w:r>
        <w:rPr>
          <w:rFonts w:ascii="Cambria" w:eastAsia="Times New Roman" w:hAnsi="Cambria" w:cs="Times New Roman"/>
          <w:sz w:val="24"/>
          <w:szCs w:val="24"/>
        </w:rPr>
        <w:t>.</w:t>
      </w:r>
    </w:p>
    <w:p w14:paraId="2AA79A0A" w14:textId="77777777" w:rsidR="00150077" w:rsidRDefault="00000000">
      <w:pPr>
        <w:numPr>
          <w:ilvl w:val="0"/>
          <w:numId w:val="7"/>
        </w:numPr>
        <w:spacing w:before="0" w:after="24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Software:</w:t>
      </w:r>
      <w:r>
        <w:rPr>
          <w:rFonts w:ascii="Cambria" w:eastAsia="Times New Roman" w:hAnsi="Cambria" w:cs="Times New Roman"/>
          <w:sz w:val="24"/>
          <w:szCs w:val="24"/>
        </w:rPr>
        <w:t xml:space="preserve"> Gestão remota com suporte a </w:t>
      </w:r>
      <w:proofErr w:type="spellStart"/>
      <w:r>
        <w:rPr>
          <w:rFonts w:ascii="Cambria" w:eastAsia="Times New Roman" w:hAnsi="Cambria" w:cs="Times New Roman"/>
          <w:i/>
          <w:iCs/>
          <w:sz w:val="24"/>
          <w:szCs w:val="24"/>
        </w:rPr>
        <w:t>templates</w:t>
      </w:r>
      <w:proofErr w:type="spellEnd"/>
      <w:r>
        <w:rPr>
          <w:rFonts w:ascii="Cambria" w:eastAsia="Times New Roman" w:hAnsi="Cambria" w:cs="Times New Roman"/>
          <w:sz w:val="24"/>
          <w:szCs w:val="24"/>
        </w:rPr>
        <w:t xml:space="preserve">, agendamentos, grupos de dispositivos, monitoramento de </w:t>
      </w:r>
      <w:r>
        <w:rPr>
          <w:rFonts w:ascii="Cambria" w:eastAsia="Times New Roman" w:hAnsi="Cambria" w:cs="Times New Roman"/>
          <w:i/>
          <w:iCs/>
          <w:sz w:val="24"/>
          <w:szCs w:val="24"/>
        </w:rPr>
        <w:t>status</w:t>
      </w:r>
      <w:r>
        <w:rPr>
          <w:rFonts w:ascii="Cambria" w:eastAsia="Times New Roman" w:hAnsi="Cambria" w:cs="Times New Roman"/>
          <w:sz w:val="24"/>
          <w:szCs w:val="24"/>
        </w:rPr>
        <w:t xml:space="preserve"> via rede.</w:t>
      </w:r>
    </w:p>
    <w:p w14:paraId="7ACD428D" w14:textId="77777777" w:rsidR="00150077" w:rsidRDefault="00000000">
      <w:pPr>
        <w:spacing w:before="240" w:after="240" w:line="276" w:lineRule="auto"/>
        <w:jc w:val="center"/>
        <w:rPr>
          <w:rFonts w:ascii="Times New Roman" w:eastAsia="Times New Roman" w:hAnsi="Times New Roman" w:cs="Times New Roman"/>
          <w:sz w:val="24"/>
          <w:szCs w:val="24"/>
        </w:rPr>
      </w:pPr>
      <w:r>
        <w:rPr>
          <w:noProof/>
        </w:rPr>
        <w:lastRenderedPageBreak/>
        <w:drawing>
          <wp:inline distT="0" distB="0" distL="0" distR="0" wp14:anchorId="30BA18EF" wp14:editId="6E5B6762">
            <wp:extent cx="5534025" cy="3324225"/>
            <wp:effectExtent l="0" t="0" r="0" b="0"/>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a:picLocks noChangeAspect="1" noChangeArrowheads="1"/>
                    </pic:cNvPicPr>
                  </pic:nvPicPr>
                  <pic:blipFill>
                    <a:blip r:embed="rId30"/>
                    <a:stretch>
                      <a:fillRect/>
                    </a:stretch>
                  </pic:blipFill>
                  <pic:spPr bwMode="auto">
                    <a:xfrm>
                      <a:off x="0" y="0"/>
                      <a:ext cx="5534025" cy="3324225"/>
                    </a:xfrm>
                    <a:prstGeom prst="rect">
                      <a:avLst/>
                    </a:prstGeom>
                  </pic:spPr>
                </pic:pic>
              </a:graphicData>
            </a:graphic>
          </wp:inline>
        </w:drawing>
      </w:r>
    </w:p>
    <w:p w14:paraId="2F7F2205" w14:textId="77777777" w:rsidR="00150077" w:rsidRDefault="00000000">
      <w:pPr>
        <w:spacing w:before="240" w:after="240" w:line="276" w:lineRule="auto"/>
        <w:jc w:val="center"/>
        <w:rPr>
          <w:rFonts w:ascii="Times New Roman" w:eastAsia="Times New Roman" w:hAnsi="Times New Roman" w:cs="Times New Roman"/>
          <w:sz w:val="24"/>
          <w:szCs w:val="24"/>
        </w:rPr>
      </w:pPr>
      <w:r>
        <w:rPr>
          <w:noProof/>
        </w:rPr>
        <w:drawing>
          <wp:inline distT="0" distB="0" distL="0" distR="0" wp14:anchorId="4399FD48" wp14:editId="0596958A">
            <wp:extent cx="5629275" cy="351472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31"/>
                    <a:stretch>
                      <a:fillRect/>
                    </a:stretch>
                  </pic:blipFill>
                  <pic:spPr bwMode="auto">
                    <a:xfrm>
                      <a:off x="0" y="0"/>
                      <a:ext cx="5629275" cy="3514725"/>
                    </a:xfrm>
                    <a:prstGeom prst="rect">
                      <a:avLst/>
                    </a:prstGeom>
                  </pic:spPr>
                </pic:pic>
              </a:graphicData>
            </a:graphic>
          </wp:inline>
        </w:drawing>
      </w:r>
    </w:p>
    <w:p w14:paraId="3B48EAF7" w14:textId="77777777" w:rsidR="00150077" w:rsidRDefault="00000000">
      <w:pPr>
        <w:spacing w:before="240" w:after="240" w:line="276" w:lineRule="auto"/>
        <w:jc w:val="center"/>
        <w:rPr>
          <w:rFonts w:ascii="Times New Roman" w:eastAsia="Times New Roman" w:hAnsi="Times New Roman" w:cs="Times New Roman"/>
        </w:rPr>
      </w:pPr>
      <w:r>
        <w:rPr>
          <w:noProof/>
        </w:rPr>
        <w:lastRenderedPageBreak/>
        <w:drawing>
          <wp:inline distT="0" distB="0" distL="0" distR="0" wp14:anchorId="7CF39590" wp14:editId="27BDABA0">
            <wp:extent cx="5543550" cy="3086100"/>
            <wp:effectExtent l="0" t="0" r="0" b="0"/>
            <wp:docPr id="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a:picLocks noChangeAspect="1" noChangeArrowheads="1"/>
                    </pic:cNvPicPr>
                  </pic:nvPicPr>
                  <pic:blipFill>
                    <a:blip r:embed="rId32"/>
                    <a:stretch>
                      <a:fillRect/>
                    </a:stretch>
                  </pic:blipFill>
                  <pic:spPr bwMode="auto">
                    <a:xfrm>
                      <a:off x="0" y="0"/>
                      <a:ext cx="5543550" cy="3086100"/>
                    </a:xfrm>
                    <a:prstGeom prst="rect">
                      <a:avLst/>
                    </a:prstGeom>
                  </pic:spPr>
                </pic:pic>
              </a:graphicData>
            </a:graphic>
          </wp:inline>
        </w:drawing>
      </w:r>
    </w:p>
    <w:p w14:paraId="776AD4B4" w14:textId="77777777" w:rsidR="00150077" w:rsidRDefault="00000000">
      <w:pPr>
        <w:spacing w:before="240" w:after="240" w:line="276" w:lineRule="auto"/>
        <w:jc w:val="left"/>
        <w:rPr>
          <w:rFonts w:ascii="Cambria" w:eastAsia="Times New Roman" w:hAnsi="Cambria" w:cs="Times New Roman"/>
          <w:sz w:val="24"/>
          <w:szCs w:val="24"/>
        </w:rPr>
      </w:pPr>
      <w:r>
        <w:rPr>
          <w:rFonts w:ascii="Cambria" w:eastAsia="Times New Roman" w:hAnsi="Cambria" w:cs="Times New Roman"/>
          <w:sz w:val="24"/>
          <w:szCs w:val="24"/>
        </w:rPr>
        <w:t>(Imagens meramente ilustrativas)</w:t>
      </w:r>
    </w:p>
    <w:tbl>
      <w:tblPr>
        <w:tblW w:w="9165" w:type="dxa"/>
        <w:tblInd w:w="-109" w:type="dxa"/>
        <w:tblLayout w:type="fixed"/>
        <w:tblLook w:val="0400" w:firstRow="0" w:lastRow="0" w:firstColumn="0" w:lastColumn="0" w:noHBand="0" w:noVBand="1"/>
      </w:tblPr>
      <w:tblGrid>
        <w:gridCol w:w="9165"/>
      </w:tblGrid>
      <w:tr w:rsidR="00150077" w14:paraId="31D8E670" w14:textId="77777777">
        <w:tc>
          <w:tcPr>
            <w:tcW w:w="9165" w:type="dxa"/>
            <w:tcBorders>
              <w:top w:val="single" w:sz="12" w:space="0" w:color="000000"/>
              <w:left w:val="single" w:sz="12" w:space="0" w:color="000000"/>
              <w:bottom w:val="single" w:sz="12" w:space="0" w:color="000000"/>
              <w:right w:val="single" w:sz="12" w:space="0" w:color="000000"/>
            </w:tcBorders>
            <w:shd w:val="clear" w:color="auto" w:fill="D9D9D9"/>
          </w:tcPr>
          <w:p w14:paraId="586EE876"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4. REQUISITOS DA CONTRATAÇÃO</w:t>
            </w:r>
          </w:p>
        </w:tc>
      </w:tr>
    </w:tbl>
    <w:p w14:paraId="690D1BEB" w14:textId="77777777" w:rsidR="00150077" w:rsidRDefault="00000000">
      <w:pPr>
        <w:spacing w:before="240" w:after="240" w:line="276" w:lineRule="auto"/>
        <w:rPr>
          <w:rFonts w:ascii="Cambria" w:eastAsia="Times New Roman" w:hAnsi="Cambria" w:cs="Times New Roman"/>
          <w:b/>
          <w:bCs/>
          <w:sz w:val="24"/>
          <w:szCs w:val="24"/>
        </w:rPr>
      </w:pPr>
      <w:r>
        <w:rPr>
          <w:rFonts w:ascii="Cambria" w:eastAsia="Times New Roman" w:hAnsi="Cambria" w:cs="Times New Roman"/>
          <w:b/>
          <w:bCs/>
          <w:sz w:val="24"/>
          <w:szCs w:val="24"/>
        </w:rPr>
        <w:t xml:space="preserve">4.1 </w:t>
      </w:r>
      <w:r>
        <w:rPr>
          <w:rFonts w:ascii="Cambria" w:eastAsia="Times New Roman" w:hAnsi="Cambria" w:cs="Times New Roman"/>
          <w:sz w:val="24"/>
          <w:szCs w:val="24"/>
        </w:rPr>
        <w:t>A descrição dos requisitos da contratação como um todo encontra-se pormenorizada em tópico específico do Estudo Técnico Preliminar, apêndice deste Termo de Referência.</w:t>
      </w:r>
    </w:p>
    <w:p w14:paraId="36F50048" w14:textId="77777777" w:rsidR="00150077" w:rsidRDefault="00000000">
      <w:pPr>
        <w:spacing w:before="240" w:after="240" w:line="276" w:lineRule="auto"/>
        <w:rPr>
          <w:rFonts w:ascii="Cambria" w:eastAsia="Times New Roman" w:hAnsi="Cambria" w:cs="Times New Roman"/>
          <w:sz w:val="24"/>
          <w:szCs w:val="24"/>
          <w:highlight w:val="white"/>
        </w:rPr>
      </w:pPr>
      <w:r>
        <w:rPr>
          <w:rFonts w:ascii="Cambria" w:eastAsia="Times New Roman" w:hAnsi="Cambria" w:cs="Times New Roman"/>
          <w:b/>
          <w:bCs/>
          <w:sz w:val="24"/>
          <w:szCs w:val="24"/>
        </w:rPr>
        <w:t>4.2</w:t>
      </w:r>
      <w:r>
        <w:rPr>
          <w:rFonts w:ascii="Cambria" w:eastAsia="Times New Roman" w:hAnsi="Cambria" w:cs="Times New Roman"/>
          <w:sz w:val="24"/>
          <w:szCs w:val="24"/>
        </w:rPr>
        <w:t xml:space="preserve"> Além dos critérios de sustentabilidade eventualmente inseridos na descrição do objeto, devem ser atendidos os seguintes requisitos, que se baseiam no Guia Nacional de Contratações Sustentáveis:</w:t>
      </w:r>
    </w:p>
    <w:p w14:paraId="701891EF" w14:textId="77777777" w:rsidR="00150077" w:rsidRDefault="00000000">
      <w:pPr>
        <w:spacing w:before="240" w:after="240" w:line="276" w:lineRule="auto"/>
        <w:ind w:firstLine="1134"/>
        <w:rPr>
          <w:rFonts w:ascii="Cambria" w:eastAsia="Times New Roman" w:hAnsi="Cambria" w:cs="Times New Roman"/>
          <w:sz w:val="24"/>
          <w:szCs w:val="24"/>
          <w:highlight w:val="white"/>
        </w:rPr>
      </w:pPr>
      <w:r>
        <w:rPr>
          <w:rFonts w:ascii="Cambria" w:eastAsia="Times New Roman" w:hAnsi="Cambria" w:cs="Times New Roman"/>
          <w:b/>
          <w:bCs/>
          <w:sz w:val="24"/>
          <w:szCs w:val="24"/>
        </w:rPr>
        <w:t>4.2.1</w:t>
      </w:r>
      <w:r>
        <w:rPr>
          <w:rFonts w:ascii="Cambria" w:eastAsia="Times New Roman" w:hAnsi="Cambria" w:cs="Times New Roman"/>
          <w:sz w:val="24"/>
          <w:szCs w:val="24"/>
        </w:rPr>
        <w:t xml:space="preserve"> Os riscos de impactos ocasionados devido a produção nas indústrias, as empresas deverão atentar para as práticas de mitigação dos impactos na produção, bem como as leis e Resoluções que orientam a produção sustentável dessas atividades.</w:t>
      </w:r>
    </w:p>
    <w:p w14:paraId="79A37E79" w14:textId="77777777" w:rsidR="00150077" w:rsidRDefault="00000000">
      <w:pPr>
        <w:spacing w:before="240" w:after="240" w:line="276" w:lineRule="auto"/>
        <w:ind w:firstLine="1134"/>
        <w:rPr>
          <w:rFonts w:ascii="Cambria" w:eastAsia="Times New Roman" w:hAnsi="Cambria" w:cs="Times New Roman"/>
          <w:sz w:val="24"/>
          <w:szCs w:val="24"/>
          <w:highlight w:val="white"/>
        </w:rPr>
      </w:pPr>
      <w:r>
        <w:rPr>
          <w:rFonts w:ascii="Cambria" w:eastAsia="Times New Roman" w:hAnsi="Cambria" w:cs="Times New Roman"/>
          <w:b/>
          <w:bCs/>
          <w:sz w:val="24"/>
          <w:szCs w:val="24"/>
        </w:rPr>
        <w:t>4.2.2</w:t>
      </w:r>
      <w:r>
        <w:rPr>
          <w:rFonts w:ascii="Cambria" w:eastAsia="Times New Roman" w:hAnsi="Cambria" w:cs="Times New Roman"/>
          <w:sz w:val="24"/>
          <w:szCs w:val="24"/>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w:t>
      </w:r>
    </w:p>
    <w:p w14:paraId="1037E384" w14:textId="77777777" w:rsidR="00150077" w:rsidRDefault="00000000">
      <w:pPr>
        <w:spacing w:before="240" w:after="240" w:line="276" w:lineRule="auto"/>
        <w:ind w:firstLine="1134"/>
        <w:rPr>
          <w:rFonts w:ascii="Cambria" w:eastAsia="Times New Roman" w:hAnsi="Cambria" w:cs="Times New Roman"/>
          <w:sz w:val="24"/>
          <w:szCs w:val="24"/>
        </w:rPr>
      </w:pPr>
      <w:r>
        <w:rPr>
          <w:rFonts w:ascii="Cambria" w:eastAsia="Times New Roman" w:hAnsi="Cambria" w:cs="Times New Roman"/>
          <w:b/>
          <w:bCs/>
          <w:sz w:val="24"/>
          <w:szCs w:val="24"/>
        </w:rPr>
        <w:t>4.2.3</w:t>
      </w:r>
      <w:r>
        <w:rPr>
          <w:rFonts w:ascii="Cambria" w:eastAsia="Times New Roman" w:hAnsi="Cambria" w:cs="Times New Roman"/>
          <w:sz w:val="24"/>
          <w:szCs w:val="24"/>
        </w:rPr>
        <w:t xml:space="preserve"> Que os bens devam ser preferencialmente, acondicionados em embalagem adequada, com o menor volume possível, que utilize materiais recicláveis, de forma a garantir a máxima proteção durante o transporte e o armazenamento.</w:t>
      </w:r>
    </w:p>
    <w:p w14:paraId="4B2006A9"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 xml:space="preserve">4.3 </w:t>
      </w:r>
      <w:r>
        <w:rPr>
          <w:rFonts w:ascii="Cambria" w:eastAsia="Times New Roman" w:hAnsi="Cambria" w:cs="Times New Roman"/>
          <w:sz w:val="24"/>
          <w:szCs w:val="24"/>
        </w:rPr>
        <w:t>Indicação de marcas ou modelos (Art. 41, inciso I, da Lei n.º 14.133, de 2021).</w:t>
      </w:r>
    </w:p>
    <w:p w14:paraId="26AC54B7" w14:textId="77777777" w:rsidR="00150077" w:rsidRDefault="00000000">
      <w:pPr>
        <w:spacing w:before="240" w:after="240" w:line="276" w:lineRule="auto"/>
        <w:ind w:firstLine="1134"/>
        <w:rPr>
          <w:rFonts w:ascii="Cambria" w:eastAsia="Times New Roman" w:hAnsi="Cambria" w:cs="Times New Roman"/>
          <w:sz w:val="24"/>
          <w:szCs w:val="24"/>
        </w:rPr>
      </w:pPr>
      <w:r>
        <w:rPr>
          <w:rFonts w:ascii="Cambria" w:eastAsia="Times New Roman" w:hAnsi="Cambria" w:cs="Times New Roman"/>
          <w:b/>
          <w:bCs/>
          <w:sz w:val="24"/>
          <w:szCs w:val="24"/>
        </w:rPr>
        <w:t xml:space="preserve">4.3.1 </w:t>
      </w:r>
      <w:r>
        <w:rPr>
          <w:rFonts w:ascii="Cambria" w:eastAsia="Times New Roman" w:hAnsi="Cambria" w:cs="Times New Roman"/>
          <w:sz w:val="24"/>
          <w:szCs w:val="24"/>
        </w:rPr>
        <w:t>Na presente contratação não será admitida a indicação da marca.</w:t>
      </w:r>
    </w:p>
    <w:p w14:paraId="3C3AC9B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 xml:space="preserve">4.4 </w:t>
      </w:r>
      <w:r>
        <w:rPr>
          <w:rFonts w:ascii="Cambria" w:eastAsia="Times New Roman" w:hAnsi="Cambria" w:cs="Times New Roman"/>
          <w:sz w:val="24"/>
          <w:szCs w:val="24"/>
        </w:rPr>
        <w:t>Na presente contratação não se aplica a solicitação de amostra.</w:t>
      </w:r>
    </w:p>
    <w:p w14:paraId="36597E7F"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4.5</w:t>
      </w:r>
      <w:r>
        <w:rPr>
          <w:rFonts w:ascii="Cambria" w:eastAsia="Times New Roman" w:hAnsi="Cambria" w:cs="Times New Roman"/>
          <w:sz w:val="24"/>
          <w:szCs w:val="24"/>
        </w:rPr>
        <w:t xml:space="preserve"> Não será admitida a subcontratação do objeto contratual.</w:t>
      </w:r>
    </w:p>
    <w:p w14:paraId="2256A222"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4.6</w:t>
      </w:r>
      <w:r>
        <w:rPr>
          <w:rFonts w:ascii="Cambria" w:eastAsia="Times New Roman" w:hAnsi="Cambria" w:cs="Times New Roman"/>
          <w:sz w:val="24"/>
          <w:szCs w:val="24"/>
        </w:rPr>
        <w:t xml:space="preserve"> Não haverá exigência da garantia da contratação dos </w:t>
      </w:r>
      <w:hyperlink r:id="rId33" w:anchor="art96" w:history="1">
        <w:r w:rsidR="00150077">
          <w:rPr>
            <w:rFonts w:ascii="Cambria" w:eastAsia="Times New Roman" w:hAnsi="Cambria" w:cs="Times New Roman"/>
            <w:sz w:val="24"/>
            <w:szCs w:val="24"/>
            <w:u w:val="single"/>
          </w:rPr>
          <w:t>artigos 96 e seguintes da Lei nº 14.133, de 2021</w:t>
        </w:r>
      </w:hyperlink>
      <w:r>
        <w:rPr>
          <w:rFonts w:ascii="Cambria" w:eastAsia="Times New Roman" w:hAnsi="Cambria" w:cs="Times New Roman"/>
          <w:sz w:val="24"/>
          <w:szCs w:val="24"/>
        </w:rPr>
        <w:t>, pelas razões constantes do Estudo Técnico Preliminar.</w:t>
      </w:r>
    </w:p>
    <w:p w14:paraId="7096BD94"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4.7</w:t>
      </w:r>
      <w:r>
        <w:rPr>
          <w:rFonts w:ascii="Cambria" w:eastAsia="Times New Roman" w:hAnsi="Cambria" w:cs="Times New Roman"/>
          <w:sz w:val="24"/>
          <w:szCs w:val="24"/>
        </w:rPr>
        <w:t xml:space="preserve"> Direitos Autorais e de Propriedade Intelectual</w:t>
      </w:r>
      <w:r>
        <w:rPr>
          <w:rFonts w:ascii="Cambria" w:hAnsi="Cambria"/>
          <w:sz w:val="24"/>
          <w:szCs w:val="24"/>
        </w:rPr>
        <w:t>: p</w:t>
      </w:r>
      <w:r>
        <w:rPr>
          <w:rFonts w:ascii="Cambria" w:eastAsia="Times New Roman" w:hAnsi="Cambria" w:cs="Times New Roman"/>
          <w:sz w:val="24"/>
          <w:szCs w:val="24"/>
        </w:rPr>
        <w:t xml:space="preserve">ertencem à Prefeitura Municipal de Piracanjuba o direito patrimonial e a propriedade intelectual das </w:t>
      </w:r>
      <w:proofErr w:type="spellStart"/>
      <w:r>
        <w:rPr>
          <w:rFonts w:ascii="Cambria" w:eastAsia="Times New Roman" w:hAnsi="Cambria" w:cs="Times New Roman"/>
          <w:sz w:val="24"/>
          <w:szCs w:val="24"/>
        </w:rPr>
        <w:t>informações</w:t>
      </w:r>
      <w:proofErr w:type="spellEnd"/>
      <w:r>
        <w:rPr>
          <w:rFonts w:ascii="Cambria" w:eastAsia="Times New Roman" w:hAnsi="Cambria" w:cs="Times New Roman"/>
          <w:sz w:val="24"/>
          <w:szCs w:val="24"/>
        </w:rPr>
        <w:t xml:space="preserve"> e dados que forem manuseados nos equipamentos e resultados produzidos em </w:t>
      </w:r>
      <w:proofErr w:type="spellStart"/>
      <w:r>
        <w:rPr>
          <w:rFonts w:ascii="Cambria" w:eastAsia="Times New Roman" w:hAnsi="Cambria" w:cs="Times New Roman"/>
          <w:sz w:val="24"/>
          <w:szCs w:val="24"/>
        </w:rPr>
        <w:t>consequência</w:t>
      </w:r>
      <w:proofErr w:type="spellEnd"/>
      <w:r>
        <w:rPr>
          <w:rFonts w:ascii="Cambria" w:eastAsia="Times New Roman" w:hAnsi="Cambria" w:cs="Times New Roman"/>
          <w:sz w:val="24"/>
          <w:szCs w:val="24"/>
        </w:rPr>
        <w:t xml:space="preserve"> da </w:t>
      </w:r>
      <w:proofErr w:type="spellStart"/>
      <w:r>
        <w:rPr>
          <w:rFonts w:ascii="Cambria" w:eastAsia="Times New Roman" w:hAnsi="Cambria" w:cs="Times New Roman"/>
          <w:sz w:val="24"/>
          <w:szCs w:val="24"/>
        </w:rPr>
        <w:t>licitação</w:t>
      </w:r>
      <w:proofErr w:type="spellEnd"/>
      <w:r>
        <w:rPr>
          <w:rFonts w:ascii="Cambria" w:eastAsia="Times New Roman" w:hAnsi="Cambria" w:cs="Times New Roman"/>
          <w:sz w:val="24"/>
          <w:szCs w:val="24"/>
        </w:rPr>
        <w:t xml:space="preserve">, entendendo-se por resultados, quaisquer estudos, </w:t>
      </w:r>
      <w:proofErr w:type="spellStart"/>
      <w:r>
        <w:rPr>
          <w:rFonts w:ascii="Cambria" w:eastAsia="Times New Roman" w:hAnsi="Cambria" w:cs="Times New Roman"/>
          <w:sz w:val="24"/>
          <w:szCs w:val="24"/>
        </w:rPr>
        <w:t>relatórios</w:t>
      </w:r>
      <w:proofErr w:type="spellEnd"/>
      <w:r>
        <w:rPr>
          <w:rFonts w:ascii="Cambria" w:eastAsia="Times New Roman" w:hAnsi="Cambria" w:cs="Times New Roman"/>
          <w:sz w:val="24"/>
          <w:szCs w:val="24"/>
        </w:rPr>
        <w:t xml:space="preserve">, </w:t>
      </w:r>
      <w:proofErr w:type="spellStart"/>
      <w:r>
        <w:rPr>
          <w:rFonts w:ascii="Cambria" w:eastAsia="Times New Roman" w:hAnsi="Cambria" w:cs="Times New Roman"/>
          <w:sz w:val="24"/>
          <w:szCs w:val="24"/>
        </w:rPr>
        <w:t>descrições</w:t>
      </w:r>
      <w:proofErr w:type="spellEnd"/>
      <w:r>
        <w:rPr>
          <w:rFonts w:ascii="Cambria" w:eastAsia="Times New Roman" w:hAnsi="Cambria" w:cs="Times New Roman"/>
          <w:sz w:val="24"/>
          <w:szCs w:val="24"/>
        </w:rPr>
        <w:t xml:space="preserve"> </w:t>
      </w:r>
      <w:proofErr w:type="spellStart"/>
      <w:r>
        <w:rPr>
          <w:rFonts w:ascii="Cambria" w:eastAsia="Times New Roman" w:hAnsi="Cambria" w:cs="Times New Roman"/>
          <w:sz w:val="24"/>
          <w:szCs w:val="24"/>
        </w:rPr>
        <w:t>técnicas</w:t>
      </w:r>
      <w:proofErr w:type="spellEnd"/>
      <w:r>
        <w:rPr>
          <w:rFonts w:ascii="Cambria" w:eastAsia="Times New Roman" w:hAnsi="Cambria" w:cs="Times New Roman"/>
          <w:sz w:val="24"/>
          <w:szCs w:val="24"/>
        </w:rPr>
        <w:t xml:space="preserve"> e </w:t>
      </w:r>
      <w:proofErr w:type="spellStart"/>
      <w:r>
        <w:rPr>
          <w:rFonts w:ascii="Cambria" w:eastAsia="Times New Roman" w:hAnsi="Cambria" w:cs="Times New Roman"/>
          <w:sz w:val="24"/>
          <w:szCs w:val="24"/>
        </w:rPr>
        <w:t>documentação</w:t>
      </w:r>
      <w:proofErr w:type="spellEnd"/>
      <w:r>
        <w:rPr>
          <w:rFonts w:ascii="Cambria" w:eastAsia="Times New Roman" w:hAnsi="Cambria" w:cs="Times New Roman"/>
          <w:sz w:val="24"/>
          <w:szCs w:val="24"/>
        </w:rPr>
        <w:t xml:space="preserve"> </w:t>
      </w:r>
      <w:proofErr w:type="spellStart"/>
      <w:r>
        <w:rPr>
          <w:rFonts w:ascii="Cambria" w:eastAsia="Times New Roman" w:hAnsi="Cambria" w:cs="Times New Roman"/>
          <w:sz w:val="24"/>
          <w:szCs w:val="24"/>
        </w:rPr>
        <w:t>didática</w:t>
      </w:r>
      <w:proofErr w:type="spellEnd"/>
      <w:r>
        <w:rPr>
          <w:rFonts w:ascii="Cambria" w:eastAsia="Times New Roman" w:hAnsi="Cambria" w:cs="Times New Roman"/>
          <w:sz w:val="24"/>
          <w:szCs w:val="24"/>
        </w:rPr>
        <w:t xml:space="preserve">, em papel ou em </w:t>
      </w:r>
      <w:proofErr w:type="spellStart"/>
      <w:r>
        <w:rPr>
          <w:rFonts w:ascii="Cambria" w:eastAsia="Times New Roman" w:hAnsi="Cambria" w:cs="Times New Roman"/>
          <w:sz w:val="24"/>
          <w:szCs w:val="24"/>
        </w:rPr>
        <w:t>mídia</w:t>
      </w:r>
      <w:proofErr w:type="spellEnd"/>
      <w:r>
        <w:rPr>
          <w:rFonts w:ascii="Cambria" w:eastAsia="Times New Roman" w:hAnsi="Cambria" w:cs="Times New Roman"/>
          <w:sz w:val="24"/>
          <w:szCs w:val="24"/>
        </w:rPr>
        <w:t xml:space="preserve"> </w:t>
      </w:r>
      <w:proofErr w:type="spellStart"/>
      <w:r>
        <w:rPr>
          <w:rFonts w:ascii="Cambria" w:eastAsia="Times New Roman" w:hAnsi="Cambria" w:cs="Times New Roman"/>
          <w:sz w:val="24"/>
          <w:szCs w:val="24"/>
        </w:rPr>
        <w:t>eletrônica</w:t>
      </w:r>
      <w:proofErr w:type="spellEnd"/>
      <w:r>
        <w:rPr>
          <w:rFonts w:ascii="Cambria" w:eastAsia="Times New Roman" w:hAnsi="Cambria" w:cs="Times New Roman"/>
          <w:sz w:val="24"/>
          <w:szCs w:val="24"/>
        </w:rPr>
        <w:t>.</w:t>
      </w:r>
    </w:p>
    <w:p w14:paraId="61F3BEB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4.8</w:t>
      </w:r>
      <w:r>
        <w:rPr>
          <w:rFonts w:ascii="Cambria" w:eastAsia="Times New Roman" w:hAnsi="Cambria" w:cs="Times New Roman"/>
          <w:sz w:val="24"/>
          <w:szCs w:val="24"/>
        </w:rPr>
        <w:t xml:space="preserve"> É vedada a participação de consórcio de empresas, qualquer que seja sua forma de constituição. A ausência de consórcio não trará prejuízos à competitividade do certame, uma vez que a vedação visa tratar exatamente o oposto que seria o estímulo da competição entre os fornecedores do ramo. Corroborando essa tese, o professor </w:t>
      </w:r>
      <w:proofErr w:type="spellStart"/>
      <w:r>
        <w:rPr>
          <w:rFonts w:ascii="Cambria" w:eastAsia="Times New Roman" w:hAnsi="Cambria" w:cs="Times New Roman"/>
          <w:sz w:val="24"/>
          <w:szCs w:val="24"/>
        </w:rPr>
        <w:t>Marçal</w:t>
      </w:r>
      <w:proofErr w:type="spellEnd"/>
      <w:r>
        <w:rPr>
          <w:rFonts w:ascii="Cambria" w:eastAsia="Times New Roman" w:hAnsi="Cambria" w:cs="Times New Roman"/>
          <w:sz w:val="24"/>
          <w:szCs w:val="24"/>
        </w:rPr>
        <w:t xml:space="preserve"> </w:t>
      </w:r>
      <w:proofErr w:type="spellStart"/>
      <w:r>
        <w:rPr>
          <w:rFonts w:ascii="Cambria" w:eastAsia="Times New Roman" w:hAnsi="Cambria" w:cs="Times New Roman"/>
          <w:sz w:val="24"/>
          <w:szCs w:val="24"/>
        </w:rPr>
        <w:t>Justen</w:t>
      </w:r>
      <w:proofErr w:type="spellEnd"/>
      <w:r>
        <w:rPr>
          <w:rFonts w:ascii="Cambria" w:eastAsia="Times New Roman" w:hAnsi="Cambria" w:cs="Times New Roman"/>
          <w:sz w:val="24"/>
          <w:szCs w:val="24"/>
        </w:rPr>
        <w:t xml:space="preserve"> Filho, no seu livro Lei de </w:t>
      </w:r>
      <w:proofErr w:type="spellStart"/>
      <w:r>
        <w:rPr>
          <w:rFonts w:ascii="Cambria" w:eastAsia="Times New Roman" w:hAnsi="Cambria" w:cs="Times New Roman"/>
          <w:sz w:val="24"/>
          <w:szCs w:val="24"/>
        </w:rPr>
        <w:t>Licitações</w:t>
      </w:r>
      <w:proofErr w:type="spellEnd"/>
      <w:r>
        <w:rPr>
          <w:rFonts w:ascii="Cambria" w:eastAsia="Times New Roman" w:hAnsi="Cambria" w:cs="Times New Roman"/>
          <w:sz w:val="24"/>
          <w:szCs w:val="24"/>
        </w:rPr>
        <w:t xml:space="preserve"> e Contratos Administrativos, leciona que:</w:t>
      </w:r>
      <w:r>
        <w:rPr>
          <w:rFonts w:ascii="Cambria" w:eastAsia="Times New Roman" w:hAnsi="Cambria" w:cs="Times New Roman"/>
          <w:sz w:val="24"/>
          <w:szCs w:val="24"/>
        </w:rPr>
        <w:tab/>
      </w:r>
      <w:r>
        <w:rPr>
          <w:rFonts w:ascii="Cambria" w:eastAsia="Times New Roman" w:hAnsi="Cambria" w:cs="Times New Roman"/>
          <w:sz w:val="24"/>
          <w:szCs w:val="24"/>
        </w:rPr>
        <w:tab/>
      </w:r>
    </w:p>
    <w:p w14:paraId="5EE763BE" w14:textId="77777777" w:rsidR="00150077" w:rsidRDefault="00000000">
      <w:pPr>
        <w:spacing w:before="240" w:after="240" w:line="276" w:lineRule="auto"/>
        <w:ind w:left="2694"/>
        <w:rPr>
          <w:rFonts w:ascii="Cambria" w:eastAsia="Times New Roman" w:hAnsi="Cambria" w:cs="Times New Roman"/>
          <w:sz w:val="24"/>
          <w:szCs w:val="24"/>
        </w:rPr>
      </w:pPr>
      <w:r>
        <w:rPr>
          <w:rFonts w:ascii="Cambria" w:eastAsia="Times New Roman" w:hAnsi="Cambria" w:cs="Times New Roman"/>
          <w:sz w:val="24"/>
          <w:szCs w:val="24"/>
        </w:rPr>
        <w:t>“</w:t>
      </w:r>
      <w:r>
        <w:rPr>
          <w:rFonts w:ascii="Cambria" w:eastAsia="Times New Roman" w:hAnsi="Cambria" w:cs="Times New Roman"/>
          <w:i/>
          <w:iCs/>
          <w:sz w:val="24"/>
          <w:szCs w:val="24"/>
        </w:rPr>
        <w:t xml:space="preserve">Em regra, o </w:t>
      </w:r>
      <w:proofErr w:type="spellStart"/>
      <w:r>
        <w:rPr>
          <w:rFonts w:ascii="Cambria" w:eastAsia="Times New Roman" w:hAnsi="Cambria" w:cs="Times New Roman"/>
          <w:i/>
          <w:iCs/>
          <w:sz w:val="24"/>
          <w:szCs w:val="24"/>
        </w:rPr>
        <w:t>consórcio</w:t>
      </w:r>
      <w:proofErr w:type="spellEnd"/>
      <w:r>
        <w:rPr>
          <w:rFonts w:ascii="Cambria" w:eastAsia="Times New Roman" w:hAnsi="Cambria" w:cs="Times New Roman"/>
          <w:i/>
          <w:iCs/>
          <w:sz w:val="24"/>
          <w:szCs w:val="24"/>
        </w:rPr>
        <w:t xml:space="preserve"> </w:t>
      </w:r>
      <w:proofErr w:type="spellStart"/>
      <w:r>
        <w:rPr>
          <w:rFonts w:ascii="Cambria" w:eastAsia="Times New Roman" w:hAnsi="Cambria" w:cs="Times New Roman"/>
          <w:i/>
          <w:iCs/>
          <w:sz w:val="24"/>
          <w:szCs w:val="24"/>
        </w:rPr>
        <w:t>não</w:t>
      </w:r>
      <w:proofErr w:type="spellEnd"/>
      <w:r>
        <w:rPr>
          <w:rFonts w:ascii="Cambria" w:eastAsia="Times New Roman" w:hAnsi="Cambria" w:cs="Times New Roman"/>
          <w:i/>
          <w:iCs/>
          <w:sz w:val="24"/>
          <w:szCs w:val="24"/>
        </w:rPr>
        <w:t xml:space="preserve"> é favorecido ou incentivado pelo nosso Direito. Como instrumento de </w:t>
      </w:r>
      <w:proofErr w:type="spellStart"/>
      <w:r>
        <w:rPr>
          <w:rFonts w:ascii="Cambria" w:eastAsia="Times New Roman" w:hAnsi="Cambria" w:cs="Times New Roman"/>
          <w:i/>
          <w:iCs/>
          <w:sz w:val="24"/>
          <w:szCs w:val="24"/>
        </w:rPr>
        <w:t>atuação</w:t>
      </w:r>
      <w:proofErr w:type="spellEnd"/>
      <w:r>
        <w:rPr>
          <w:rFonts w:ascii="Cambria" w:eastAsia="Times New Roman" w:hAnsi="Cambria" w:cs="Times New Roman"/>
          <w:i/>
          <w:iCs/>
          <w:sz w:val="24"/>
          <w:szCs w:val="24"/>
        </w:rPr>
        <w:t xml:space="preserve"> empresarial, o </w:t>
      </w:r>
      <w:proofErr w:type="spellStart"/>
      <w:r>
        <w:rPr>
          <w:rFonts w:ascii="Cambria" w:eastAsia="Times New Roman" w:hAnsi="Cambria" w:cs="Times New Roman"/>
          <w:i/>
          <w:iCs/>
          <w:sz w:val="24"/>
          <w:szCs w:val="24"/>
        </w:rPr>
        <w:t>consórcio</w:t>
      </w:r>
      <w:proofErr w:type="spellEnd"/>
      <w:r>
        <w:rPr>
          <w:rFonts w:ascii="Cambria" w:eastAsia="Times New Roman" w:hAnsi="Cambria" w:cs="Times New Roman"/>
          <w:i/>
          <w:iCs/>
          <w:sz w:val="24"/>
          <w:szCs w:val="24"/>
        </w:rPr>
        <w:t xml:space="preserve"> pode conduzir a resultados </w:t>
      </w:r>
      <w:proofErr w:type="spellStart"/>
      <w:r>
        <w:rPr>
          <w:rFonts w:ascii="Cambria" w:eastAsia="Times New Roman" w:hAnsi="Cambria" w:cs="Times New Roman"/>
          <w:i/>
          <w:iCs/>
          <w:sz w:val="24"/>
          <w:szCs w:val="24"/>
        </w:rPr>
        <w:t>indesejáveis</w:t>
      </w:r>
      <w:proofErr w:type="spellEnd"/>
      <w:r>
        <w:rPr>
          <w:rFonts w:ascii="Cambria" w:eastAsia="Times New Roman" w:hAnsi="Cambria" w:cs="Times New Roman"/>
          <w:i/>
          <w:iCs/>
          <w:sz w:val="24"/>
          <w:szCs w:val="24"/>
        </w:rPr>
        <w:t xml:space="preserve">. A </w:t>
      </w:r>
      <w:proofErr w:type="spellStart"/>
      <w:r>
        <w:rPr>
          <w:rFonts w:ascii="Cambria" w:eastAsia="Times New Roman" w:hAnsi="Cambria" w:cs="Times New Roman"/>
          <w:i/>
          <w:iCs/>
          <w:sz w:val="24"/>
          <w:szCs w:val="24"/>
        </w:rPr>
        <w:t>formação</w:t>
      </w:r>
      <w:proofErr w:type="spellEnd"/>
      <w:r>
        <w:rPr>
          <w:rFonts w:ascii="Cambria" w:eastAsia="Times New Roman" w:hAnsi="Cambria" w:cs="Times New Roman"/>
          <w:i/>
          <w:iCs/>
          <w:sz w:val="24"/>
          <w:szCs w:val="24"/>
        </w:rPr>
        <w:t xml:space="preserve"> de </w:t>
      </w:r>
      <w:proofErr w:type="spellStart"/>
      <w:r>
        <w:rPr>
          <w:rFonts w:ascii="Cambria" w:eastAsia="Times New Roman" w:hAnsi="Cambria" w:cs="Times New Roman"/>
          <w:i/>
          <w:iCs/>
          <w:sz w:val="24"/>
          <w:szCs w:val="24"/>
        </w:rPr>
        <w:t>consórcios</w:t>
      </w:r>
      <w:proofErr w:type="spellEnd"/>
      <w:r>
        <w:rPr>
          <w:rFonts w:ascii="Cambria" w:eastAsia="Times New Roman" w:hAnsi="Cambria" w:cs="Times New Roman"/>
          <w:i/>
          <w:iCs/>
          <w:sz w:val="24"/>
          <w:szCs w:val="24"/>
        </w:rPr>
        <w:t xml:space="preserve"> acarreta risco de </w:t>
      </w:r>
      <w:proofErr w:type="spellStart"/>
      <w:r>
        <w:rPr>
          <w:rFonts w:ascii="Cambria" w:eastAsia="Times New Roman" w:hAnsi="Cambria" w:cs="Times New Roman"/>
          <w:i/>
          <w:iCs/>
          <w:sz w:val="24"/>
          <w:szCs w:val="24"/>
        </w:rPr>
        <w:t>dominação</w:t>
      </w:r>
      <w:proofErr w:type="spellEnd"/>
      <w:r>
        <w:rPr>
          <w:rFonts w:ascii="Cambria" w:eastAsia="Times New Roman" w:hAnsi="Cambria" w:cs="Times New Roman"/>
          <w:i/>
          <w:iCs/>
          <w:sz w:val="24"/>
          <w:szCs w:val="24"/>
        </w:rPr>
        <w:t xml:space="preserve"> do mercado, </w:t>
      </w:r>
      <w:proofErr w:type="spellStart"/>
      <w:r>
        <w:rPr>
          <w:rFonts w:ascii="Cambria" w:eastAsia="Times New Roman" w:hAnsi="Cambria" w:cs="Times New Roman"/>
          <w:i/>
          <w:iCs/>
          <w:sz w:val="24"/>
          <w:szCs w:val="24"/>
        </w:rPr>
        <w:t>através</w:t>
      </w:r>
      <w:proofErr w:type="spellEnd"/>
      <w:r>
        <w:rPr>
          <w:rFonts w:ascii="Cambria" w:eastAsia="Times New Roman" w:hAnsi="Cambria" w:cs="Times New Roman"/>
          <w:i/>
          <w:iCs/>
          <w:sz w:val="24"/>
          <w:szCs w:val="24"/>
        </w:rPr>
        <w:t xml:space="preserve"> de pactos de </w:t>
      </w:r>
      <w:proofErr w:type="spellStart"/>
      <w:r>
        <w:rPr>
          <w:rFonts w:ascii="Cambria" w:eastAsia="Times New Roman" w:hAnsi="Cambria" w:cs="Times New Roman"/>
          <w:i/>
          <w:iCs/>
          <w:sz w:val="24"/>
          <w:szCs w:val="24"/>
        </w:rPr>
        <w:t>eliminação</w:t>
      </w:r>
      <w:proofErr w:type="spellEnd"/>
      <w:r>
        <w:rPr>
          <w:rFonts w:ascii="Cambria" w:eastAsia="Times New Roman" w:hAnsi="Cambria" w:cs="Times New Roman"/>
          <w:i/>
          <w:iCs/>
          <w:sz w:val="24"/>
          <w:szCs w:val="24"/>
        </w:rPr>
        <w:t xml:space="preserve"> de </w:t>
      </w:r>
      <w:proofErr w:type="spellStart"/>
      <w:r>
        <w:rPr>
          <w:rFonts w:ascii="Cambria" w:eastAsia="Times New Roman" w:hAnsi="Cambria" w:cs="Times New Roman"/>
          <w:i/>
          <w:iCs/>
          <w:sz w:val="24"/>
          <w:szCs w:val="24"/>
        </w:rPr>
        <w:t>competição</w:t>
      </w:r>
      <w:proofErr w:type="spellEnd"/>
      <w:r>
        <w:rPr>
          <w:rFonts w:ascii="Cambria" w:eastAsia="Times New Roman" w:hAnsi="Cambria" w:cs="Times New Roman"/>
          <w:i/>
          <w:iCs/>
          <w:sz w:val="24"/>
          <w:szCs w:val="24"/>
        </w:rPr>
        <w:t xml:space="preserve"> entre os </w:t>
      </w:r>
      <w:proofErr w:type="spellStart"/>
      <w:r>
        <w:rPr>
          <w:rFonts w:ascii="Cambria" w:eastAsia="Times New Roman" w:hAnsi="Cambria" w:cs="Times New Roman"/>
          <w:i/>
          <w:iCs/>
          <w:sz w:val="24"/>
          <w:szCs w:val="24"/>
        </w:rPr>
        <w:t>empresários</w:t>
      </w:r>
      <w:proofErr w:type="spellEnd"/>
      <w:r>
        <w:rPr>
          <w:rFonts w:ascii="Cambria" w:eastAsia="Times New Roman" w:hAnsi="Cambria" w:cs="Times New Roman"/>
          <w:i/>
          <w:iCs/>
          <w:sz w:val="24"/>
          <w:szCs w:val="24"/>
        </w:rPr>
        <w:t xml:space="preserve">. No campo de </w:t>
      </w:r>
      <w:proofErr w:type="spellStart"/>
      <w:r>
        <w:rPr>
          <w:rFonts w:ascii="Cambria" w:eastAsia="Times New Roman" w:hAnsi="Cambria" w:cs="Times New Roman"/>
          <w:i/>
          <w:iCs/>
          <w:sz w:val="24"/>
          <w:szCs w:val="24"/>
        </w:rPr>
        <w:t>licitações</w:t>
      </w:r>
      <w:proofErr w:type="spellEnd"/>
      <w:r>
        <w:rPr>
          <w:rFonts w:ascii="Cambria" w:eastAsia="Times New Roman" w:hAnsi="Cambria" w:cs="Times New Roman"/>
          <w:i/>
          <w:iCs/>
          <w:sz w:val="24"/>
          <w:szCs w:val="24"/>
        </w:rPr>
        <w:t xml:space="preserve">, a </w:t>
      </w:r>
      <w:proofErr w:type="spellStart"/>
      <w:r>
        <w:rPr>
          <w:rFonts w:ascii="Cambria" w:eastAsia="Times New Roman" w:hAnsi="Cambria" w:cs="Times New Roman"/>
          <w:i/>
          <w:iCs/>
          <w:sz w:val="24"/>
          <w:szCs w:val="24"/>
        </w:rPr>
        <w:t>formação</w:t>
      </w:r>
      <w:proofErr w:type="spellEnd"/>
      <w:r>
        <w:rPr>
          <w:rFonts w:ascii="Cambria" w:eastAsia="Times New Roman" w:hAnsi="Cambria" w:cs="Times New Roman"/>
          <w:i/>
          <w:iCs/>
          <w:sz w:val="24"/>
          <w:szCs w:val="24"/>
        </w:rPr>
        <w:t xml:space="preserve"> de </w:t>
      </w:r>
      <w:proofErr w:type="spellStart"/>
      <w:r>
        <w:rPr>
          <w:rFonts w:ascii="Cambria" w:eastAsia="Times New Roman" w:hAnsi="Cambria" w:cs="Times New Roman"/>
          <w:i/>
          <w:iCs/>
          <w:sz w:val="24"/>
          <w:szCs w:val="24"/>
        </w:rPr>
        <w:t>consórcios</w:t>
      </w:r>
      <w:proofErr w:type="spellEnd"/>
      <w:r>
        <w:rPr>
          <w:rFonts w:ascii="Cambria" w:eastAsia="Times New Roman" w:hAnsi="Cambria" w:cs="Times New Roman"/>
          <w:i/>
          <w:iCs/>
          <w:sz w:val="24"/>
          <w:szCs w:val="24"/>
        </w:rPr>
        <w:t xml:space="preserve"> poderia reduzir o universo da disputa. O </w:t>
      </w:r>
      <w:proofErr w:type="spellStart"/>
      <w:r>
        <w:rPr>
          <w:rFonts w:ascii="Cambria" w:eastAsia="Times New Roman" w:hAnsi="Cambria" w:cs="Times New Roman"/>
          <w:i/>
          <w:iCs/>
          <w:sz w:val="24"/>
          <w:szCs w:val="24"/>
        </w:rPr>
        <w:t>Consórcio</w:t>
      </w:r>
      <w:proofErr w:type="spellEnd"/>
      <w:r>
        <w:rPr>
          <w:rFonts w:ascii="Cambria" w:eastAsia="Times New Roman" w:hAnsi="Cambria" w:cs="Times New Roman"/>
          <w:i/>
          <w:iCs/>
          <w:sz w:val="24"/>
          <w:szCs w:val="24"/>
        </w:rPr>
        <w:t xml:space="preserve"> poderia retratar uma </w:t>
      </w:r>
      <w:proofErr w:type="spellStart"/>
      <w:r>
        <w:rPr>
          <w:rFonts w:ascii="Cambria" w:eastAsia="Times New Roman" w:hAnsi="Cambria" w:cs="Times New Roman"/>
          <w:i/>
          <w:iCs/>
          <w:sz w:val="24"/>
          <w:szCs w:val="24"/>
        </w:rPr>
        <w:t>composição</w:t>
      </w:r>
      <w:proofErr w:type="spellEnd"/>
      <w:r>
        <w:rPr>
          <w:rFonts w:ascii="Cambria" w:eastAsia="Times New Roman" w:hAnsi="Cambria" w:cs="Times New Roman"/>
          <w:i/>
          <w:iCs/>
          <w:sz w:val="24"/>
          <w:szCs w:val="24"/>
        </w:rPr>
        <w:t xml:space="preserve"> entre eventuais interessados, em vez de estabelecerem disputa entre si, formalizariam acordo para eliminar a </w:t>
      </w:r>
      <w:proofErr w:type="spellStart"/>
      <w:r>
        <w:rPr>
          <w:rFonts w:ascii="Cambria" w:eastAsia="Times New Roman" w:hAnsi="Cambria" w:cs="Times New Roman"/>
          <w:i/>
          <w:iCs/>
          <w:sz w:val="24"/>
          <w:szCs w:val="24"/>
        </w:rPr>
        <w:t>competição</w:t>
      </w:r>
      <w:proofErr w:type="spellEnd"/>
      <w:r>
        <w:rPr>
          <w:rFonts w:ascii="Cambria" w:eastAsia="Times New Roman" w:hAnsi="Cambria" w:cs="Times New Roman"/>
          <w:i/>
          <w:iCs/>
          <w:sz w:val="24"/>
          <w:szCs w:val="24"/>
        </w:rPr>
        <w:t>.”</w:t>
      </w:r>
    </w:p>
    <w:tbl>
      <w:tblPr>
        <w:tblW w:w="9307" w:type="dxa"/>
        <w:tblInd w:w="-109" w:type="dxa"/>
        <w:tblLayout w:type="fixed"/>
        <w:tblLook w:val="0400" w:firstRow="0" w:lastRow="0" w:firstColumn="0" w:lastColumn="0" w:noHBand="0" w:noVBand="1"/>
      </w:tblPr>
      <w:tblGrid>
        <w:gridCol w:w="9307"/>
      </w:tblGrid>
      <w:tr w:rsidR="00150077" w14:paraId="4FFB16A3" w14:textId="77777777">
        <w:tc>
          <w:tcPr>
            <w:tcW w:w="9307" w:type="dxa"/>
            <w:tcBorders>
              <w:top w:val="single" w:sz="12" w:space="0" w:color="000000"/>
              <w:left w:val="single" w:sz="12" w:space="0" w:color="000000"/>
              <w:bottom w:val="single" w:sz="12" w:space="0" w:color="000000"/>
              <w:right w:val="single" w:sz="12" w:space="0" w:color="000000"/>
            </w:tcBorders>
            <w:shd w:val="clear" w:color="auto" w:fill="D9D9D9"/>
          </w:tcPr>
          <w:p w14:paraId="6DEA48E3"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5. DA EXECUÇÃO DO OBJETO</w:t>
            </w:r>
          </w:p>
        </w:tc>
      </w:tr>
    </w:tbl>
    <w:p w14:paraId="6EA053E3"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 xml:space="preserve">5.1. A solução deverá ser entregue, montada e instalada em local a ser especificado pela Secretaria Municipal de Cultura, em até 10 (dez) dias úteis após a emissão da Ordem de Fornecimento ou Requisição, em horário determinado pela requisitante, sem ônus </w:t>
      </w:r>
      <w:r>
        <w:rPr>
          <w:rFonts w:ascii="Cambria" w:eastAsia="Times New Roman" w:hAnsi="Cambria" w:cs="Times New Roman"/>
          <w:sz w:val="24"/>
          <w:szCs w:val="24"/>
        </w:rPr>
        <w:lastRenderedPageBreak/>
        <w:t>adicionais à Administração, incluindo custos de transporte, mão de obra especializada e alimentação.</w:t>
      </w:r>
    </w:p>
    <w:p w14:paraId="17BF2227" w14:textId="77777777" w:rsidR="00150077" w:rsidRDefault="00000000">
      <w:pPr>
        <w:spacing w:before="240" w:after="240" w:line="276" w:lineRule="auto"/>
        <w:rPr>
          <w:rFonts w:ascii="Cambria" w:eastAsia="Times New Roman" w:hAnsi="Cambria" w:cs="Times New Roman"/>
          <w:sz w:val="24"/>
          <w:szCs w:val="24"/>
        </w:rPr>
      </w:pPr>
      <w:bookmarkStart w:id="81" w:name="_Hlk235691010"/>
      <w:r>
        <w:rPr>
          <w:rFonts w:ascii="Cambria" w:eastAsia="Times New Roman" w:hAnsi="Cambria" w:cs="Times New Roman"/>
          <w:sz w:val="24"/>
          <w:szCs w:val="24"/>
        </w:rPr>
        <w:t>5.2. Caso não seja possível a realização da entrega ou instalação na data agendada, a Contratada deverá comunicar as razões motivadas com antecedência mínima de 05 (cinco) dias, para análise de prorrogação, salvo em casos fortuitos ou de força maior devidamente comprovados.</w:t>
      </w:r>
      <w:bookmarkEnd w:id="81"/>
    </w:p>
    <w:p w14:paraId="1A8E013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5.3. A contratada deverá fornecer a solução completa, incluindo calibração técnica de imagem, montagem da estrutura autoportante e treinamento operacional completo para a equipe designada pelo Fiscal do Contrato, conforme especificações deste Termo de Referência.</w:t>
      </w:r>
    </w:p>
    <w:p w14:paraId="54D18D05"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5.4. O prazo de garantia será de, no mínimo, 24 (vinte e quatro) meses, contado a partir do primeiro dia útil subsequente ao Termo de Recebimento Definitivo do objeto, prevalecendo o prazo mais longo em caso de conflito com a garantia legal do Código de Defesa do Consumidor.</w:t>
      </w:r>
    </w:p>
    <w:p w14:paraId="061BE431"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5.5. A garantia será prestada visando manter os itens em perfeitas condições de uso, sem qualquer ônus para a Contratante, abrangendo a manutenção corretiva por meio da própria Contratada ou rede de assistência técnica autorizada.</w:t>
      </w:r>
    </w:p>
    <w:p w14:paraId="770DEA7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 xml:space="preserve">5.6. Entende-se por manutenção corretiva a correção de defeitos, incluindo a substituição de componentes, ajustes, reparos e atualizações de </w:t>
      </w:r>
      <w:r>
        <w:rPr>
          <w:rFonts w:ascii="Cambria" w:eastAsia="Times New Roman" w:hAnsi="Cambria" w:cs="Times New Roman"/>
          <w:i/>
          <w:iCs/>
          <w:sz w:val="24"/>
          <w:szCs w:val="24"/>
        </w:rPr>
        <w:t>firmware</w:t>
      </w:r>
      <w:r>
        <w:rPr>
          <w:rFonts w:ascii="Cambria" w:eastAsia="Times New Roman" w:hAnsi="Cambria" w:cs="Times New Roman"/>
          <w:sz w:val="24"/>
          <w:szCs w:val="24"/>
        </w:rPr>
        <w:t xml:space="preserve"> ou </w:t>
      </w:r>
      <w:r>
        <w:rPr>
          <w:rFonts w:ascii="Cambria" w:eastAsia="Times New Roman" w:hAnsi="Cambria" w:cs="Times New Roman"/>
          <w:i/>
          <w:iCs/>
          <w:sz w:val="24"/>
          <w:szCs w:val="24"/>
        </w:rPr>
        <w:t>software</w:t>
      </w:r>
      <w:r>
        <w:rPr>
          <w:rFonts w:ascii="Cambria" w:eastAsia="Times New Roman" w:hAnsi="Cambria" w:cs="Times New Roman"/>
          <w:sz w:val="24"/>
          <w:szCs w:val="24"/>
        </w:rPr>
        <w:t xml:space="preserve"> necessárias para o pleno funcionamento.</w:t>
      </w:r>
    </w:p>
    <w:p w14:paraId="6BE7C531"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ab/>
        <w:t>5.6.1 A Contratada deverá fornecer todas as atualizações de firmware e software do sistema de gerenciamento de conteúdo disponibilizadas pelo fabricante durante o período de garantia, sem ônus adicional para a Contratante</w:t>
      </w:r>
    </w:p>
    <w:p w14:paraId="3584E86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5.7. As peças substituídas deverão ser novas, de primeiro uso, originais do fabricante e com padrões de qualidade e desempenho iguais ou superiores aos componentes originais.</w:t>
      </w:r>
    </w:p>
    <w:p w14:paraId="46D49E25"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5.8. Uma vez notificada, a Contratada deverá realizar o reparo ou substituição do bem ou módulo defeituoso no prazo máximo de 24 (vinte e quatro) horas, contados da retirada do equipamento ou visita técnica ao local.</w:t>
      </w:r>
    </w:p>
    <w:p w14:paraId="65C3CC67"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5.9. O prazo de reparo poderá ser prorrogado uma única vez, por igual período, mediante justificativa escrita aceita pela Contratante.</w:t>
      </w:r>
    </w:p>
    <w:p w14:paraId="238578E4" w14:textId="77777777" w:rsidR="00150077" w:rsidRDefault="00000000">
      <w:pPr>
        <w:spacing w:before="240" w:after="240" w:line="276" w:lineRule="auto"/>
        <w:rPr>
          <w:rFonts w:ascii="Cambria" w:eastAsia="Times New Roman" w:hAnsi="Cambria" w:cs="Times New Roman"/>
          <w:sz w:val="24"/>
          <w:szCs w:val="24"/>
        </w:rPr>
      </w:pPr>
      <w:bookmarkStart w:id="82" w:name="_Hlk235691552"/>
      <w:r>
        <w:rPr>
          <w:rFonts w:ascii="Cambria" w:eastAsia="Times New Roman" w:hAnsi="Cambria" w:cs="Times New Roman"/>
          <w:sz w:val="24"/>
          <w:szCs w:val="24"/>
        </w:rPr>
        <w:lastRenderedPageBreak/>
        <w:t>5.10. Na hipótese de reparo superior a 24 (vinte e quatro) horas, a Contratada deverá disponibilizar equipamento equivalente, de especificação igual ou superior, para uso provisório, garantindo a continuidade das atividades da Secretaria.</w:t>
      </w:r>
      <w:bookmarkEnd w:id="82"/>
    </w:p>
    <w:p w14:paraId="527B84C4"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5.11. Decorrido o prazo de reparo sem o atendimento pela Contratada, fica a Administração autorizada a contratar empresa diversa para executar os reparos, sendo o custo integral reembolsado pela Contratada, sem prejuízo das demais penalidades contratuais e da manutenção da garantia.</w:t>
      </w:r>
    </w:p>
    <w:p w14:paraId="67A1270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5.12. Todo custo de transporte, logística e de deslocamento técnico para execução da garantia será de responsabilidade exclusiva da Contratada.</w:t>
      </w:r>
    </w:p>
    <w:p w14:paraId="2C63DB04" w14:textId="77777777" w:rsidR="00150077" w:rsidRDefault="00000000">
      <w:pPr>
        <w:spacing w:before="240" w:after="240" w:line="276" w:lineRule="auto"/>
        <w:rPr>
          <w:rFonts w:ascii="Cambria" w:eastAsia="Times New Roman" w:hAnsi="Cambria" w:cs="Times New Roman"/>
          <w:b/>
          <w:bCs/>
          <w:sz w:val="24"/>
          <w:szCs w:val="24"/>
        </w:rPr>
      </w:pPr>
      <w:r>
        <w:rPr>
          <w:rFonts w:ascii="Cambria" w:eastAsia="Times New Roman" w:hAnsi="Cambria" w:cs="Times New Roman"/>
          <w:sz w:val="24"/>
          <w:szCs w:val="24"/>
        </w:rPr>
        <w:t>5.13. A garantia contratual possui vigência própria e desvinculada do prazo do contrato, sendo passível de aplicação de penalidades caso seus termos sejam descumpridos mesmo após o encerramento do contrato administrativo.</w:t>
      </w:r>
    </w:p>
    <w:tbl>
      <w:tblPr>
        <w:tblW w:w="9165" w:type="dxa"/>
        <w:tblInd w:w="-109" w:type="dxa"/>
        <w:tblLayout w:type="fixed"/>
        <w:tblLook w:val="0400" w:firstRow="0" w:lastRow="0" w:firstColumn="0" w:lastColumn="0" w:noHBand="0" w:noVBand="1"/>
      </w:tblPr>
      <w:tblGrid>
        <w:gridCol w:w="9165"/>
      </w:tblGrid>
      <w:tr w:rsidR="00150077" w14:paraId="63BBA498" w14:textId="77777777">
        <w:tc>
          <w:tcPr>
            <w:tcW w:w="9165" w:type="dxa"/>
            <w:tcBorders>
              <w:top w:val="single" w:sz="12" w:space="0" w:color="000000"/>
              <w:left w:val="single" w:sz="12" w:space="0" w:color="000000"/>
              <w:bottom w:val="single" w:sz="12" w:space="0" w:color="000000"/>
              <w:right w:val="single" w:sz="12" w:space="0" w:color="000000"/>
            </w:tcBorders>
            <w:shd w:val="clear" w:color="auto" w:fill="D9D9D9"/>
          </w:tcPr>
          <w:p w14:paraId="0DD5F243"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6. DA EXECUÇÃO CONTRATUAL</w:t>
            </w:r>
          </w:p>
        </w:tc>
      </w:tr>
    </w:tbl>
    <w:p w14:paraId="30A63429"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6.1. O contrato deverá ser executado fielmente pelas partes, conforme as cláusulas avençadas e as disposições da Lei nº 14.133/2021, respondendo cada parte pelas consequências de sua inexecução total ou parcial.</w:t>
      </w:r>
    </w:p>
    <w:p w14:paraId="732BD3A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6.2. Em caso de impedimento, ordem de paralisação ou suspensão do contrato, o cronograma de execução será prorrogado automaticamente pelo tempo correspondente, mediante simples apostila ao termo contratual.</w:t>
      </w:r>
    </w:p>
    <w:p w14:paraId="736451F6"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6.3. As comunicações entre a Secretaria Municipal de Cultura e a Contratada deverão ser realizadas por escrito, admitindo-se o uso de mensagens eletrônicas para fins de celeridade e comprovação.</w:t>
      </w:r>
    </w:p>
    <w:p w14:paraId="6AA93A8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6.4. A Administração poderá convocar representante da Contratada para adoção de providências imediatas sempre que necessário.</w:t>
      </w:r>
    </w:p>
    <w:p w14:paraId="79377075"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6.5. Após a formalização do contrato, a Secretaria convocará reunião inicial com a Contratada para apresentação do plano de fiscalização, abrangendo obrigações, mecanismos de controle, estratégias de execução, métodos de aferição de resultados e regime de sanções.</w:t>
      </w:r>
    </w:p>
    <w:p w14:paraId="5EE23EC6"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6.6. A execução será acompanhada e fiscalizada por servidor designado pela autoridade competente, garantindo o cumprimento de todas as condições estabelecidas para assegurar o melhor resultado à Administração.</w:t>
      </w:r>
    </w:p>
    <w:p w14:paraId="288F1EF4"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lastRenderedPageBreak/>
        <w:t>6.7. O fiscal do contrato deverá anotar no histórico de gerenciamento todas as ocorrências da execução, descrevendo as medidas necessárias para a regularização de falhas ou defeitos.</w:t>
      </w:r>
    </w:p>
    <w:p w14:paraId="15A33522"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6.7.1. Identificada qualquer inexatidão ou irregularidade, o fiscal notificará a Contratada para correção, estabelecendo prazo razoável.</w:t>
      </w:r>
    </w:p>
    <w:p w14:paraId="313A1F9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6.7.2. Situações que demandem decisões além da competência do fiscal deverão ser reportadas ao gestor do contrato em tempo hábil para a adoção de medidas saneadoras.</w:t>
      </w:r>
    </w:p>
    <w:p w14:paraId="1DD9925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6.7.3. Ocorrências que inviabilizem a execução nas datas aprazadas ou o término do contrato deverão ser comunicadas imediatamente ao gestor, visando a tempestiva prorrogação ou renovação.</w:t>
      </w:r>
    </w:p>
    <w:p w14:paraId="3ED08BFE"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6.8. O fiscal verificará permanentemente a manutenção das condições de habilitação da Contratada, acompanhando o empenho, garantias, pagamentos e a formalização de eventuais aditivos.</w:t>
      </w:r>
    </w:p>
    <w:p w14:paraId="61976E6E"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6.8.1. O descumprimento de obrigações contratuais deverá ser reportado tempestivamente ao gestor do contrato para a adoção das providências cabíveis e aplicação das penalidades previstas em lei.</w:t>
      </w:r>
    </w:p>
    <w:tbl>
      <w:tblPr>
        <w:tblW w:w="9024" w:type="dxa"/>
        <w:tblInd w:w="-109" w:type="dxa"/>
        <w:tblLayout w:type="fixed"/>
        <w:tblLook w:val="0400" w:firstRow="0" w:lastRow="0" w:firstColumn="0" w:lastColumn="0" w:noHBand="0" w:noVBand="1"/>
      </w:tblPr>
      <w:tblGrid>
        <w:gridCol w:w="9024"/>
      </w:tblGrid>
      <w:tr w:rsidR="00150077" w14:paraId="517ADBE1" w14:textId="77777777">
        <w:tc>
          <w:tcPr>
            <w:tcW w:w="9024" w:type="dxa"/>
            <w:tcBorders>
              <w:top w:val="single" w:sz="12" w:space="0" w:color="000000"/>
              <w:left w:val="single" w:sz="12" w:space="0" w:color="000000"/>
              <w:bottom w:val="single" w:sz="12" w:space="0" w:color="000000"/>
              <w:right w:val="single" w:sz="12" w:space="0" w:color="000000"/>
            </w:tcBorders>
            <w:shd w:val="clear" w:color="auto" w:fill="D9D9D9"/>
          </w:tcPr>
          <w:p w14:paraId="09746607"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7. DOS CRITÉRIOS DE MEDIÇÃO E DE PAGAMENTO</w:t>
            </w:r>
          </w:p>
        </w:tc>
      </w:tr>
    </w:tbl>
    <w:p w14:paraId="71522F8F"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w:t>
      </w:r>
      <w:r>
        <w:rPr>
          <w:rFonts w:ascii="Cambria" w:eastAsia="Times New Roman" w:hAnsi="Cambria" w:cs="Times New Roman"/>
          <w:sz w:val="24"/>
          <w:szCs w:val="24"/>
        </w:rPr>
        <w:t xml:space="preserve"> Os equipamentos a serem utilizados na Solução Digital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Pr>
          <w:rFonts w:ascii="Cambria" w:eastAsia="Times New Roman" w:hAnsi="Cambria" w:cs="Times New Roman"/>
          <w:color w:val="FF0000"/>
          <w:sz w:val="24"/>
          <w:szCs w:val="24"/>
        </w:rPr>
        <w:t xml:space="preserve"> </w:t>
      </w:r>
      <w:r>
        <w:rPr>
          <w:rFonts w:ascii="Cambria" w:eastAsia="Times New Roman" w:hAnsi="Cambria" w:cs="Times New Roman"/>
          <w:sz w:val="24"/>
          <w:szCs w:val="24"/>
        </w:rPr>
        <w:t>e na proposta.</w:t>
      </w:r>
    </w:p>
    <w:p w14:paraId="78F78592"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7.2</w:t>
      </w:r>
      <w:r>
        <w:rPr>
          <w:rFonts w:ascii="Cambria" w:eastAsia="Times New Roman" w:hAnsi="Cambria" w:cs="Times New Roman"/>
          <w:sz w:val="24"/>
          <w:szCs w:val="24"/>
        </w:rPr>
        <w:t xml:space="preserve"> Os equipamentos a serem utilizados na Solução Digital poderão ser rejeitados, no todo ou em parte, inclusive antes do recebimento provisório, quando em desacordo com as especificações constantes no Termo de Referência</w:t>
      </w:r>
      <w:r>
        <w:rPr>
          <w:rFonts w:ascii="Cambria" w:eastAsia="Times New Roman" w:hAnsi="Cambria" w:cs="Times New Roman"/>
          <w:color w:val="FF0000"/>
          <w:sz w:val="24"/>
          <w:szCs w:val="24"/>
        </w:rPr>
        <w:t xml:space="preserve"> </w:t>
      </w:r>
      <w:r>
        <w:rPr>
          <w:rFonts w:ascii="Cambria" w:eastAsia="Times New Roman" w:hAnsi="Cambria" w:cs="Times New Roman"/>
          <w:sz w:val="24"/>
          <w:szCs w:val="24"/>
        </w:rPr>
        <w:t>e na proposta, devendo ser substituídos de imediato, a contar da notificação da contratada, às suas custas, sem prejuízo da aplicação das penalidades.</w:t>
      </w:r>
    </w:p>
    <w:p w14:paraId="4ACC1F5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7.3</w:t>
      </w:r>
      <w:r>
        <w:rPr>
          <w:rFonts w:ascii="Cambria" w:eastAsia="Times New Roman" w:hAnsi="Cambria" w:cs="Times New Roman"/>
          <w:sz w:val="24"/>
          <w:szCs w:val="24"/>
        </w:rPr>
        <w:t xml:space="preserve"> O recebimento definitivo ocorrerá no prazo de 5 (cinco) dias úteis, a contar do recebimento da nota fiscal ou instrumento de cobrança equivalente pela requisitante, após a verificação da prestação do serviço e consequente aceitação mediante termo detalhado.</w:t>
      </w:r>
    </w:p>
    <w:p w14:paraId="13DBE6DD"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7.4</w:t>
      </w:r>
      <w:r>
        <w:rPr>
          <w:rFonts w:ascii="Cambria" w:eastAsia="Times New Roman" w:hAnsi="Cambria" w:cs="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763468F9"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7.5</w:t>
      </w:r>
      <w:r>
        <w:rPr>
          <w:rFonts w:ascii="Cambria" w:eastAsia="Times New Roman" w:hAnsi="Cambria" w:cs="Times New Roman"/>
          <w:sz w:val="24"/>
          <w:szCs w:val="24"/>
        </w:rPr>
        <w:t xml:space="preserve"> No caso de controvérsia sobre a execução do objeto, quanto à dimensão, qualidade e quantidade, deverá ser observado o teor do </w:t>
      </w:r>
      <w:hyperlink r:id="rId34" w:anchor="art143" w:history="1">
        <w:r w:rsidR="00150077">
          <w:rPr>
            <w:rFonts w:ascii="Cambria" w:eastAsia="Times New Roman" w:hAnsi="Cambria" w:cs="Times New Roman"/>
            <w:sz w:val="24"/>
            <w:szCs w:val="24"/>
            <w:u w:val="single"/>
          </w:rPr>
          <w:t>art. 143 da Lei nº 14.133, de 2021</w:t>
        </w:r>
      </w:hyperlink>
      <w:r>
        <w:rPr>
          <w:rFonts w:ascii="Cambria" w:eastAsia="Times New Roman" w:hAnsi="Cambria" w:cs="Times New Roman"/>
          <w:sz w:val="24"/>
          <w:szCs w:val="24"/>
        </w:rPr>
        <w:t xml:space="preserve">, comunicando-se à empresa para emissão de Nota Fiscal no que </w:t>
      </w:r>
      <w:proofErr w:type="spellStart"/>
      <w:r>
        <w:rPr>
          <w:rFonts w:ascii="Cambria" w:eastAsia="Times New Roman" w:hAnsi="Cambria" w:cs="Times New Roman"/>
          <w:sz w:val="24"/>
          <w:szCs w:val="24"/>
        </w:rPr>
        <w:t>pertine</w:t>
      </w:r>
      <w:proofErr w:type="spellEnd"/>
      <w:r>
        <w:rPr>
          <w:rFonts w:ascii="Cambria" w:eastAsia="Times New Roman" w:hAnsi="Cambria" w:cs="Times New Roman"/>
          <w:sz w:val="24"/>
          <w:szCs w:val="24"/>
        </w:rPr>
        <w:t xml:space="preserve"> à parcela incontroversa da execução do objeto, para efeito de liquidação e pagamento.</w:t>
      </w:r>
    </w:p>
    <w:p w14:paraId="53AC1D9B"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7.6</w:t>
      </w:r>
      <w:r>
        <w:rPr>
          <w:rFonts w:ascii="Cambria" w:eastAsia="Times New Roman" w:hAnsi="Cambria" w:cs="Times New Roman"/>
          <w:sz w:val="24"/>
          <w:szCs w:val="24"/>
        </w:rPr>
        <w:t xml:space="preserve"> O prazo para a solução, pelo contratado, de inconsistências na execução do objeto ou de saneamento da nota fiscal ou de instrumento de cobrança equivalente, verificadas pela requisitante durante a análise prévia à liquidação de despesa, não será computado para os fins do recebimento definitivo.</w:t>
      </w:r>
    </w:p>
    <w:p w14:paraId="0CF8949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7.7</w:t>
      </w:r>
      <w:r>
        <w:rPr>
          <w:rFonts w:ascii="Cambria" w:eastAsia="Times New Roman" w:hAnsi="Cambria" w:cs="Times New Roman"/>
          <w:sz w:val="24"/>
          <w:szCs w:val="24"/>
        </w:rPr>
        <w:t xml:space="preserve"> O recebimento provisório ou definitivo não excluirá a responsabilidade civil pela solidez e pela segurança dos bens nem a responsabilidade ético-profissional pela perfeita execução do contrato.</w:t>
      </w:r>
    </w:p>
    <w:p w14:paraId="3769DB3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7.8</w:t>
      </w:r>
      <w:r>
        <w:rPr>
          <w:rFonts w:ascii="Cambria" w:eastAsia="Times New Roman" w:hAnsi="Cambria" w:cs="Times New Roman"/>
          <w:sz w:val="24"/>
          <w:szCs w:val="24"/>
        </w:rPr>
        <w:t xml:space="preserve"> Recebida a Nota Fiscal ou documento de cobrança equivalente, ocorrerá o prazo de 10 (dez) dias úteis para fins de liquidação, na forma desta seção, prorrogáveis por igual período.</w:t>
      </w:r>
    </w:p>
    <w:p w14:paraId="730BD62C"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7.9</w:t>
      </w:r>
      <w:r>
        <w:rPr>
          <w:rFonts w:ascii="Cambria" w:eastAsia="Times New Roman" w:hAnsi="Cambria" w:cs="Times New Roman"/>
          <w:sz w:val="24"/>
          <w:szCs w:val="24"/>
        </w:rPr>
        <w:t xml:space="preserve"> Para fins de liquidação, o setor competente deverá verificar se a nota fiscal ou instrumento de cobrança equivalente apresentado expressa os elementos necessários e essenciais do documento, tais como: </w:t>
      </w:r>
    </w:p>
    <w:p w14:paraId="2824463B"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7.9.1</w:t>
      </w:r>
      <w:r>
        <w:rPr>
          <w:rFonts w:ascii="Cambria" w:eastAsia="Times New Roman" w:hAnsi="Cambria" w:cs="Times New Roman"/>
          <w:sz w:val="24"/>
          <w:szCs w:val="24"/>
        </w:rPr>
        <w:t xml:space="preserve"> o prazo de validade;</w:t>
      </w:r>
    </w:p>
    <w:p w14:paraId="12A6FCCF"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7.9.2</w:t>
      </w:r>
      <w:r>
        <w:rPr>
          <w:rFonts w:ascii="Cambria" w:eastAsia="Times New Roman" w:hAnsi="Cambria" w:cs="Times New Roman"/>
          <w:sz w:val="24"/>
          <w:szCs w:val="24"/>
        </w:rPr>
        <w:t xml:space="preserve"> a data da emissão; </w:t>
      </w:r>
    </w:p>
    <w:p w14:paraId="2B3D4D98"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7.9.3</w:t>
      </w:r>
      <w:r>
        <w:rPr>
          <w:rFonts w:ascii="Cambria" w:eastAsia="Times New Roman" w:hAnsi="Cambria" w:cs="Times New Roman"/>
          <w:sz w:val="24"/>
          <w:szCs w:val="24"/>
        </w:rPr>
        <w:t xml:space="preserve"> os dados do contrato e do órgão contratante; </w:t>
      </w:r>
    </w:p>
    <w:p w14:paraId="69D68321"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7.9.4</w:t>
      </w:r>
      <w:r>
        <w:rPr>
          <w:rFonts w:ascii="Cambria" w:eastAsia="Times New Roman" w:hAnsi="Cambria" w:cs="Times New Roman"/>
          <w:sz w:val="24"/>
          <w:szCs w:val="24"/>
        </w:rPr>
        <w:t xml:space="preserve"> o período respectivo de execução do contrato; </w:t>
      </w:r>
    </w:p>
    <w:p w14:paraId="65716AB1"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7.9.5</w:t>
      </w:r>
      <w:r>
        <w:rPr>
          <w:rFonts w:ascii="Cambria" w:eastAsia="Times New Roman" w:hAnsi="Cambria" w:cs="Times New Roman"/>
          <w:sz w:val="24"/>
          <w:szCs w:val="24"/>
        </w:rPr>
        <w:t xml:space="preserve"> o valor a pagar; e </w:t>
      </w:r>
    </w:p>
    <w:p w14:paraId="4B17031C"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7.9.6</w:t>
      </w:r>
      <w:r>
        <w:rPr>
          <w:rFonts w:ascii="Cambria" w:eastAsia="Times New Roman" w:hAnsi="Cambria" w:cs="Times New Roman"/>
          <w:sz w:val="24"/>
          <w:szCs w:val="24"/>
        </w:rPr>
        <w:t xml:space="preserve"> eventual destaque do valor de retenções tributárias cabíveis.</w:t>
      </w:r>
    </w:p>
    <w:p w14:paraId="4CDF17D9"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7.10</w:t>
      </w:r>
      <w:r>
        <w:rPr>
          <w:rFonts w:ascii="Cambria" w:eastAsia="Times New Roman" w:hAnsi="Cambria" w:cs="Times New Roman"/>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5A2AF08" w14:textId="77777777" w:rsidR="00150077" w:rsidRDefault="00000000">
      <w:pPr>
        <w:spacing w:before="240" w:after="240" w:line="276" w:lineRule="auto"/>
        <w:rPr>
          <w:rFonts w:ascii="Cambria" w:eastAsia="Times New Roman" w:hAnsi="Cambria" w:cs="Times New Roman"/>
          <w:sz w:val="24"/>
          <w:szCs w:val="24"/>
          <w:u w:val="single"/>
        </w:rPr>
      </w:pPr>
      <w:r>
        <w:rPr>
          <w:rFonts w:ascii="Cambria" w:eastAsia="Times New Roman" w:hAnsi="Cambria" w:cs="Times New Roman"/>
          <w:b/>
          <w:bCs/>
          <w:sz w:val="24"/>
          <w:szCs w:val="24"/>
        </w:rPr>
        <w:lastRenderedPageBreak/>
        <w:t>7.11</w:t>
      </w:r>
      <w:r>
        <w:rPr>
          <w:rFonts w:ascii="Cambria" w:eastAsia="Times New Roman" w:hAnsi="Cambria" w:cs="Times New Roman"/>
          <w:sz w:val="24"/>
          <w:szCs w:val="24"/>
        </w:rPr>
        <w:t xml:space="preserve"> A nota fiscal ou instrumento de cobrança equivalente deverá ser obrigatoriamente acompanhado da comprovação da regularidade fiscal, constatada por meio de consulta </w:t>
      </w:r>
      <w:r>
        <w:rPr>
          <w:rFonts w:ascii="Cambria" w:eastAsia="Times New Roman" w:hAnsi="Cambria" w:cs="Times New Roman"/>
          <w:i/>
          <w:iCs/>
          <w:sz w:val="24"/>
          <w:szCs w:val="24"/>
        </w:rPr>
        <w:t>on-line</w:t>
      </w:r>
      <w:r>
        <w:rPr>
          <w:rFonts w:ascii="Cambria" w:eastAsia="Times New Roman" w:hAnsi="Cambria" w:cs="Times New Roman"/>
          <w:sz w:val="24"/>
          <w:szCs w:val="24"/>
        </w:rPr>
        <w:t xml:space="preserve"> ao SICAF ou, na impossibilidade de acesso ao referido Sistema, mediante consulta aos sítios eletrônicos oficiais ou à documentação mencionada no </w:t>
      </w:r>
      <w:hyperlink r:id="rId35" w:anchor="art68" w:history="1">
        <w:r w:rsidR="00150077">
          <w:rPr>
            <w:rFonts w:ascii="Cambria" w:eastAsia="Times New Roman" w:hAnsi="Cambria" w:cs="Times New Roman"/>
            <w:sz w:val="24"/>
            <w:szCs w:val="24"/>
            <w:u w:val="single"/>
          </w:rPr>
          <w:t xml:space="preserve">art. 68 da Lei nº 14.133, de 2021.  </w:t>
        </w:r>
      </w:hyperlink>
    </w:p>
    <w:p w14:paraId="6D219F85"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7.12</w:t>
      </w:r>
      <w:r>
        <w:rPr>
          <w:rFonts w:ascii="Cambria" w:eastAsia="Times New Roman" w:hAnsi="Cambria" w:cs="Times New Roman"/>
          <w:sz w:val="24"/>
          <w:szCs w:val="24"/>
        </w:rPr>
        <w:t xml:space="preserve"> A requisitante deverá realizar consulta ao SICAF para: </w:t>
      </w:r>
    </w:p>
    <w:p w14:paraId="3DF19472"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7.12.1</w:t>
      </w:r>
      <w:r>
        <w:rPr>
          <w:rFonts w:ascii="Cambria" w:eastAsia="Times New Roman" w:hAnsi="Cambria" w:cs="Times New Roman"/>
          <w:sz w:val="24"/>
          <w:szCs w:val="24"/>
        </w:rPr>
        <w:t xml:space="preserve"> verificar a manutenção das condições de habilitação exigidas no edital; </w:t>
      </w:r>
    </w:p>
    <w:p w14:paraId="77D8BF3D"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7.12.2</w:t>
      </w:r>
      <w:r>
        <w:rPr>
          <w:rFonts w:ascii="Cambria" w:eastAsia="Times New Roman" w:hAnsi="Cambria" w:cs="Times New Roman"/>
          <w:sz w:val="24"/>
          <w:szCs w:val="24"/>
        </w:rPr>
        <w:t xml:space="preserve"> identificar possível razão que impeça a participação em licitação, no âmbito do órgão ou entidade, proibição de contratar com o Poder Público, bem como ocorrências impeditivas indiretas.</w:t>
      </w:r>
    </w:p>
    <w:p w14:paraId="512D8198"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7.13</w:t>
      </w:r>
      <w:r>
        <w:rPr>
          <w:rFonts w:ascii="Cambria" w:eastAsia="Times New Roman" w:hAnsi="Cambria" w:cs="Times New Roman"/>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D1769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7.14</w:t>
      </w:r>
      <w:r>
        <w:rPr>
          <w:rFonts w:ascii="Cambria" w:eastAsia="Times New Roman" w:hAnsi="Cambria" w:cs="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BE640E"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7.15</w:t>
      </w:r>
      <w:r>
        <w:rPr>
          <w:rFonts w:ascii="Cambria" w:eastAsia="Times New Roman" w:hAnsi="Cambria" w:cs="Times New Roman"/>
          <w:sz w:val="24"/>
          <w:szCs w:val="24"/>
        </w:rPr>
        <w:t xml:space="preserve"> Persistindo a irregularidade, o contratante deverá adotar as medidas necessárias à rescisão contratual nos autos do processo administrativo correspondente, assegurada ao contratado a ampla defesa. </w:t>
      </w:r>
    </w:p>
    <w:p w14:paraId="4A113C96"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7.16</w:t>
      </w:r>
      <w:r>
        <w:rPr>
          <w:rFonts w:ascii="Cambria" w:eastAsia="Times New Roman" w:hAnsi="Cambria" w:cs="Times New Roman"/>
          <w:sz w:val="24"/>
          <w:szCs w:val="24"/>
        </w:rPr>
        <w:t xml:space="preserve"> Havendo a efetiva execução do objeto, os pagamentos serão realizados normalmente, até que se decida pela rescisão do contrato, caso o contratado não regularize sua situação junto ao SICAF.  </w:t>
      </w:r>
    </w:p>
    <w:p w14:paraId="124E159F"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7.17</w:t>
      </w:r>
      <w:r>
        <w:rPr>
          <w:rFonts w:ascii="Cambria" w:eastAsia="Times New Roman" w:hAnsi="Cambria" w:cs="Times New Roman"/>
          <w:sz w:val="24"/>
          <w:szCs w:val="24"/>
        </w:rPr>
        <w:t xml:space="preserve"> O pagamento será efetuado no prazo de até 30 (trinta) dias</w:t>
      </w:r>
      <w:r>
        <w:rPr>
          <w:rFonts w:ascii="Cambria" w:eastAsia="Times New Roman" w:hAnsi="Cambria" w:cs="Times New Roman"/>
          <w:color w:val="FF0000"/>
          <w:sz w:val="24"/>
          <w:szCs w:val="24"/>
        </w:rPr>
        <w:t xml:space="preserve"> </w:t>
      </w:r>
      <w:r>
        <w:rPr>
          <w:rFonts w:ascii="Cambria" w:eastAsia="Times New Roman" w:hAnsi="Cambria" w:cs="Times New Roman"/>
          <w:sz w:val="24"/>
          <w:szCs w:val="24"/>
        </w:rPr>
        <w:t>contados da finalização da liquidação da despesa.</w:t>
      </w:r>
    </w:p>
    <w:p w14:paraId="58A0210B"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7.18</w:t>
      </w:r>
      <w:r>
        <w:rPr>
          <w:rFonts w:ascii="Cambria" w:eastAsia="Times New Roman" w:hAnsi="Cambria" w:cs="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w:t>
      </w:r>
      <w:r>
        <w:rPr>
          <w:rFonts w:ascii="Cambria" w:eastAsia="Times New Roman" w:hAnsi="Cambria" w:cs="Times New Roman"/>
          <w:i/>
          <w:iCs/>
          <w:sz w:val="24"/>
          <w:szCs w:val="24"/>
        </w:rPr>
        <w:t>IPCA</w:t>
      </w:r>
      <w:r>
        <w:rPr>
          <w:rFonts w:ascii="Cambria" w:eastAsia="Times New Roman" w:hAnsi="Cambria" w:cs="Times New Roman"/>
          <w:sz w:val="24"/>
          <w:szCs w:val="24"/>
        </w:rPr>
        <w:t xml:space="preserve"> de correção monetária.</w:t>
      </w:r>
    </w:p>
    <w:p w14:paraId="12208A4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7.19</w:t>
      </w:r>
      <w:r>
        <w:rPr>
          <w:rFonts w:ascii="Cambria" w:eastAsia="Times New Roman" w:hAnsi="Cambria" w:cs="Times New Roman"/>
          <w:sz w:val="24"/>
          <w:szCs w:val="24"/>
        </w:rPr>
        <w:t xml:space="preserve"> O pagamento será realizado por meio de ordem bancária, para crédito em banco, agência e conta corrente indicados pelo contratado.</w:t>
      </w:r>
    </w:p>
    <w:p w14:paraId="05647845"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7.20</w:t>
      </w:r>
      <w:r>
        <w:rPr>
          <w:rFonts w:ascii="Cambria" w:eastAsia="Times New Roman" w:hAnsi="Cambria" w:cs="Times New Roman"/>
          <w:sz w:val="24"/>
          <w:szCs w:val="24"/>
        </w:rPr>
        <w:t xml:space="preserve"> Será considerada data do pagamento o dia em que constar como emitida a ordem bancária para pagamento.</w:t>
      </w:r>
    </w:p>
    <w:p w14:paraId="7A669953"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7.21</w:t>
      </w:r>
      <w:r>
        <w:rPr>
          <w:rFonts w:ascii="Cambria" w:eastAsia="Times New Roman" w:hAnsi="Cambria" w:cs="Times New Roman"/>
          <w:sz w:val="24"/>
          <w:szCs w:val="24"/>
        </w:rPr>
        <w:t xml:space="preserve"> Quando do pagamento, será efetuada a retenção tributária prevista na legislação aplicável.</w:t>
      </w:r>
    </w:p>
    <w:p w14:paraId="4D14F013"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7.21.1</w:t>
      </w:r>
      <w:r>
        <w:rPr>
          <w:rFonts w:ascii="Cambria" w:eastAsia="Times New Roman" w:hAnsi="Cambria" w:cs="Times New Roman"/>
          <w:sz w:val="24"/>
          <w:szCs w:val="24"/>
        </w:rPr>
        <w:t xml:space="preserve"> Independentemente do percentual de tributo inserido na planilha, quando houver, serão retidos na fonte, quando da realização do pagamento, os percentuais estabelecidos na legislação vigente.</w:t>
      </w:r>
    </w:p>
    <w:p w14:paraId="374AEA89"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7.22</w:t>
      </w:r>
      <w:r>
        <w:rPr>
          <w:rFonts w:ascii="Cambria" w:eastAsia="Times New Roman" w:hAnsi="Cambria" w:cs="Times New Roman"/>
          <w:sz w:val="24"/>
          <w:szCs w:val="24"/>
        </w:rPr>
        <w:t xml:space="preserve"> O contratado regularmente optante pelo Simples Nacional, nos termos da </w:t>
      </w:r>
      <w:hyperlink r:id="rId36">
        <w:r w:rsidR="00150077">
          <w:rPr>
            <w:rFonts w:ascii="Cambria" w:eastAsia="Times New Roman" w:hAnsi="Cambria" w:cs="Times New Roman"/>
            <w:sz w:val="24"/>
            <w:szCs w:val="24"/>
            <w:u w:val="single"/>
          </w:rPr>
          <w:t>Lei Complementar nº 123, de 2006</w:t>
        </w:r>
      </w:hyperlink>
      <w:r>
        <w:rPr>
          <w:rFonts w:ascii="Cambria" w:eastAsia="Times New Roman" w:hAnsi="Cambria"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W w:w="9307" w:type="dxa"/>
        <w:tblInd w:w="-109" w:type="dxa"/>
        <w:tblLayout w:type="fixed"/>
        <w:tblLook w:val="0400" w:firstRow="0" w:lastRow="0" w:firstColumn="0" w:lastColumn="0" w:noHBand="0" w:noVBand="1"/>
      </w:tblPr>
      <w:tblGrid>
        <w:gridCol w:w="9307"/>
      </w:tblGrid>
      <w:tr w:rsidR="00150077" w14:paraId="3763DEAF" w14:textId="77777777">
        <w:tc>
          <w:tcPr>
            <w:tcW w:w="9307" w:type="dxa"/>
            <w:tcBorders>
              <w:top w:val="single" w:sz="12" w:space="0" w:color="000000"/>
              <w:left w:val="single" w:sz="12" w:space="0" w:color="000000"/>
              <w:bottom w:val="single" w:sz="12" w:space="0" w:color="000000"/>
              <w:right w:val="single" w:sz="12" w:space="0" w:color="000000"/>
            </w:tcBorders>
            <w:shd w:val="clear" w:color="auto" w:fill="D9D9D9"/>
          </w:tcPr>
          <w:p w14:paraId="5014573F"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8. DOS CRITÉRIOS DE SELEÇÃO DO FORNECEDOR E DA FORMA DE FORNECIMENTO</w:t>
            </w:r>
          </w:p>
        </w:tc>
      </w:tr>
    </w:tbl>
    <w:p w14:paraId="0D62AE67"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8.1</w:t>
      </w:r>
      <w:r>
        <w:rPr>
          <w:rFonts w:ascii="Cambria" w:eastAsia="Times New Roman" w:hAnsi="Cambria" w:cs="Times New Roman"/>
          <w:sz w:val="24"/>
          <w:szCs w:val="24"/>
        </w:rPr>
        <w:t xml:space="preserve"> O fornecedor será selecionado por meio da realização de procedimento de licitação, na modalidade pregão, sob a forma eletrônica, com adoção do critério de julgamento pelo menor preço ou maior desconto.</w:t>
      </w:r>
    </w:p>
    <w:p w14:paraId="1DC95C31"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highlight w:val="white"/>
        </w:rPr>
        <w:t>8.2</w:t>
      </w:r>
      <w:r>
        <w:rPr>
          <w:rFonts w:ascii="Cambria" w:eastAsia="Times New Roman" w:hAnsi="Cambria" w:cs="Times New Roman"/>
          <w:sz w:val="24"/>
          <w:szCs w:val="24"/>
          <w:highlight w:val="white"/>
        </w:rPr>
        <w:t xml:space="preserve"> O fornecimento do objeto será adquirido conforme a necessidade da Secretaria Municipal de Cultura de Piracanjuba/GO, pelo período de vigência do Instrumento Contratual.</w:t>
      </w:r>
    </w:p>
    <w:p w14:paraId="50E2952C"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8.3</w:t>
      </w:r>
      <w:r>
        <w:rPr>
          <w:rFonts w:ascii="Cambria" w:eastAsia="Times New Roman" w:hAnsi="Cambria" w:cs="Times New Roman"/>
          <w:sz w:val="24"/>
          <w:szCs w:val="24"/>
        </w:rPr>
        <w:t xml:space="preserve"> Para fins de habilitação, deverá o licitante comprovar os seguintes requisitos:</w:t>
      </w:r>
    </w:p>
    <w:p w14:paraId="1F819CDE" w14:textId="77777777" w:rsidR="00150077" w:rsidRDefault="00000000">
      <w:pPr>
        <w:keepNext/>
        <w:keepLines/>
        <w:tabs>
          <w:tab w:val="left" w:pos="360"/>
        </w:tabs>
        <w:spacing w:before="240" w:after="240" w:line="276" w:lineRule="auto"/>
        <w:rPr>
          <w:rFonts w:ascii="Cambria" w:eastAsia="Times New Roman" w:hAnsi="Cambria" w:cs="Times New Roman"/>
          <w:b/>
          <w:bCs/>
          <w:sz w:val="24"/>
          <w:szCs w:val="24"/>
          <w:u w:val="single"/>
        </w:rPr>
      </w:pPr>
      <w:r>
        <w:rPr>
          <w:rFonts w:ascii="Cambria" w:eastAsia="Times New Roman" w:hAnsi="Cambria" w:cs="Times New Roman"/>
          <w:b/>
          <w:bCs/>
          <w:sz w:val="24"/>
          <w:szCs w:val="24"/>
          <w:u w:val="single"/>
        </w:rPr>
        <w:t>Habilitação jurídica</w:t>
      </w:r>
    </w:p>
    <w:p w14:paraId="4A6BA8FF"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8.4 Microempreendedor Individual - MEI:</w:t>
      </w:r>
      <w:r>
        <w:rPr>
          <w:rFonts w:ascii="Cambria" w:eastAsia="Times New Roman" w:hAnsi="Cambria" w:cs="Times New Roman"/>
          <w:sz w:val="24"/>
          <w:szCs w:val="24"/>
        </w:rPr>
        <w:t xml:space="preserve"> Certificado da Condição de Microempreendedor Individual - CCMEI, cuja aceitação ficará condicionada à verificação da autenticidade no sítio </w:t>
      </w:r>
      <w:hyperlink r:id="rId37">
        <w:r w:rsidR="00150077">
          <w:rPr>
            <w:rFonts w:ascii="Cambria" w:eastAsia="Times New Roman" w:hAnsi="Cambria" w:cs="Times New Roman"/>
            <w:sz w:val="24"/>
            <w:szCs w:val="24"/>
            <w:u w:val="single"/>
          </w:rPr>
          <w:t>https://www.gov.br/empresas-e-negocios/pt-br/empreendedor</w:t>
        </w:r>
      </w:hyperlink>
      <w:r>
        <w:rPr>
          <w:rFonts w:ascii="Cambria" w:eastAsia="Times New Roman" w:hAnsi="Cambria" w:cs="Times New Roman"/>
          <w:sz w:val="24"/>
          <w:szCs w:val="24"/>
        </w:rPr>
        <w:t xml:space="preserve">; </w:t>
      </w:r>
    </w:p>
    <w:p w14:paraId="1F3F08E5"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8.5</w:t>
      </w:r>
      <w:r>
        <w:rPr>
          <w:rFonts w:ascii="Cambria" w:eastAsia="Times New Roman" w:hAnsi="Cambria" w:cs="Times New Roman"/>
          <w:sz w:val="24"/>
          <w:szCs w:val="24"/>
        </w:rPr>
        <w:t xml:space="preserve"> </w:t>
      </w:r>
      <w:r>
        <w:rPr>
          <w:rFonts w:ascii="Cambria" w:eastAsia="Times New Roman" w:hAnsi="Cambria" w:cs="Times New Roman"/>
          <w:b/>
          <w:bCs/>
          <w:sz w:val="24"/>
          <w:szCs w:val="24"/>
        </w:rPr>
        <w:t>Sociedade empresária, sociedade limitada unipessoal – SLU ou sociedade identificada como empresa individual de responsabilidade limitada - EIREL</w:t>
      </w:r>
      <w:r>
        <w:rPr>
          <w:rFonts w:ascii="Cambria" w:eastAsia="Times New Roman" w:hAnsi="Cambria" w:cs="Times New Roman"/>
          <w:sz w:val="24"/>
          <w:szCs w:val="24"/>
        </w:rPr>
        <w:t>I: inscrição do ato constitutivo, estatuto ou contrato social no Registro Público de Empresas Mercantis, a cargo da Junta Comercial da respectiva sede, acompanhada de documento comprobatório de seus administradores;</w:t>
      </w:r>
    </w:p>
    <w:p w14:paraId="5044ECE4"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 xml:space="preserve">8.6 Sociedade simples: </w:t>
      </w:r>
      <w:r>
        <w:rPr>
          <w:rFonts w:ascii="Cambria" w:eastAsia="Times New Roman" w:hAnsi="Cambria" w:cs="Times New Roman"/>
          <w:sz w:val="24"/>
          <w:szCs w:val="24"/>
        </w:rPr>
        <w:t>inscrição do ato constitutivo no Registro Civil de Pessoas Jurídicas do local de sua sede, acompanhada de documento comprobatório de seus administradores;</w:t>
      </w:r>
    </w:p>
    <w:p w14:paraId="7F40CD67" w14:textId="77777777" w:rsidR="00150077" w:rsidRDefault="00000000">
      <w:pPr>
        <w:spacing w:before="120" w:after="120" w:line="276" w:lineRule="auto"/>
        <w:rPr>
          <w:rFonts w:ascii="Cambria" w:eastAsia="Times New Roman" w:hAnsi="Cambria" w:cs="Times New Roman"/>
          <w:sz w:val="24"/>
          <w:szCs w:val="24"/>
        </w:rPr>
      </w:pPr>
      <w:bookmarkStart w:id="83" w:name="_heading=h.30j0zll"/>
      <w:bookmarkEnd w:id="83"/>
      <w:r>
        <w:rPr>
          <w:rFonts w:ascii="Cambria" w:eastAsia="Times New Roman" w:hAnsi="Cambria" w:cs="Times New Roman"/>
          <w:b/>
          <w:bCs/>
          <w:sz w:val="24"/>
          <w:szCs w:val="24"/>
        </w:rPr>
        <w:t>8.7 Filial, sucursal ou agência de sociedade simples ou empresária:</w:t>
      </w:r>
      <w:r>
        <w:rPr>
          <w:rFonts w:ascii="Cambria" w:eastAsia="Times New Roman" w:hAnsi="Cambria"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414DBCE"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8.8 Sociedade cooperativa:</w:t>
      </w:r>
      <w:r>
        <w:rPr>
          <w:rFonts w:ascii="Cambria" w:eastAsia="Times New Roman" w:hAnsi="Cambria"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8" w:anchor="art107" w:history="1">
        <w:r w:rsidR="00150077">
          <w:rPr>
            <w:rFonts w:ascii="Cambria" w:eastAsia="Times New Roman" w:hAnsi="Cambria" w:cs="Times New Roman"/>
            <w:sz w:val="24"/>
            <w:szCs w:val="24"/>
            <w:u w:val="single"/>
          </w:rPr>
          <w:t>art. 107 da Lei nº 5.764, de 16 de dezembro 1971</w:t>
        </w:r>
      </w:hyperlink>
      <w:r>
        <w:rPr>
          <w:rFonts w:ascii="Cambria" w:eastAsia="Times New Roman" w:hAnsi="Cambria" w:cs="Times New Roman"/>
          <w:sz w:val="24"/>
          <w:szCs w:val="24"/>
        </w:rPr>
        <w:t>.</w:t>
      </w:r>
    </w:p>
    <w:p w14:paraId="5F41638C"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8.9</w:t>
      </w:r>
      <w:r>
        <w:rPr>
          <w:rFonts w:ascii="Cambria" w:eastAsia="Times New Roman" w:hAnsi="Cambria" w:cs="Times New Roman"/>
          <w:sz w:val="24"/>
          <w:szCs w:val="24"/>
        </w:rPr>
        <w:t xml:space="preserve"> Os documentos apresentados deverão estar acompanhados de todas as alterações ou da consolidação respectiva.</w:t>
      </w:r>
    </w:p>
    <w:p w14:paraId="6A94D97C" w14:textId="77777777" w:rsidR="00150077" w:rsidRDefault="00000000">
      <w:pPr>
        <w:keepNext/>
        <w:keepLines/>
        <w:tabs>
          <w:tab w:val="left" w:pos="360"/>
        </w:tabs>
        <w:spacing w:before="240" w:after="240" w:line="276" w:lineRule="auto"/>
        <w:rPr>
          <w:rFonts w:ascii="Cambria" w:eastAsia="Times New Roman" w:hAnsi="Cambria" w:cs="Times New Roman"/>
          <w:b/>
          <w:bCs/>
          <w:sz w:val="24"/>
          <w:szCs w:val="24"/>
          <w:u w:val="single"/>
        </w:rPr>
      </w:pPr>
      <w:r>
        <w:rPr>
          <w:rFonts w:ascii="Cambria" w:eastAsia="Times New Roman" w:hAnsi="Cambria" w:cs="Times New Roman"/>
          <w:b/>
          <w:bCs/>
          <w:sz w:val="24"/>
          <w:szCs w:val="24"/>
          <w:u w:val="single"/>
        </w:rPr>
        <w:t>Habilitação Fiscal, Social e Trabalhista</w:t>
      </w:r>
    </w:p>
    <w:p w14:paraId="6B684BE7"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8.10</w:t>
      </w:r>
      <w:r>
        <w:rPr>
          <w:rFonts w:ascii="Cambria" w:eastAsia="Times New Roman" w:hAnsi="Cambria" w:cs="Times New Roman"/>
          <w:sz w:val="24"/>
          <w:szCs w:val="24"/>
        </w:rPr>
        <w:t xml:space="preserve"> </w:t>
      </w:r>
      <w:r>
        <w:rPr>
          <w:rFonts w:ascii="Cambria" w:eastAsia="Times New Roman" w:hAnsi="Cambria" w:cs="Times New Roman"/>
          <w:b/>
          <w:bCs/>
          <w:sz w:val="24"/>
          <w:szCs w:val="24"/>
        </w:rPr>
        <w:t>Prova de inscrição no Cadastro Nacional de Pessoas Jurídicas.</w:t>
      </w:r>
    </w:p>
    <w:p w14:paraId="1B34BF4D"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8.11</w:t>
      </w:r>
      <w:r>
        <w:rPr>
          <w:rFonts w:ascii="Cambria" w:eastAsia="Times New Roman" w:hAnsi="Cambria" w:cs="Times New Roman"/>
          <w:sz w:val="24"/>
          <w:szCs w:val="24"/>
        </w:rPr>
        <w:t xml:space="preserve"> </w:t>
      </w:r>
      <w:r>
        <w:rPr>
          <w:rFonts w:ascii="Cambria" w:eastAsia="Times New Roman" w:hAnsi="Cambria" w:cs="Times New Roman"/>
          <w:b/>
          <w:bCs/>
          <w:sz w:val="24"/>
          <w:szCs w:val="24"/>
        </w:rPr>
        <w:t>Prova de regularidade fiscal perante a Fazenda Nacional</w:t>
      </w:r>
      <w:r>
        <w:rPr>
          <w:rFonts w:ascii="Cambria" w:eastAsia="Times New Roman" w:hAnsi="Cambria"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9BB37B"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8.12</w:t>
      </w:r>
      <w:r>
        <w:rPr>
          <w:rFonts w:ascii="Cambria" w:eastAsia="Times New Roman" w:hAnsi="Cambria" w:cs="Times New Roman"/>
          <w:sz w:val="24"/>
          <w:szCs w:val="24"/>
        </w:rPr>
        <w:t xml:space="preserve"> </w:t>
      </w:r>
      <w:r>
        <w:rPr>
          <w:rFonts w:ascii="Cambria" w:eastAsia="Times New Roman" w:hAnsi="Cambria" w:cs="Times New Roman"/>
          <w:b/>
          <w:bCs/>
          <w:sz w:val="24"/>
          <w:szCs w:val="24"/>
        </w:rPr>
        <w:t>Prova de regularidade com o Fundo de Garantia do Tempo de Serviço</w:t>
      </w:r>
      <w:r>
        <w:rPr>
          <w:rFonts w:ascii="Cambria" w:eastAsia="Times New Roman" w:hAnsi="Cambria" w:cs="Times New Roman"/>
          <w:sz w:val="24"/>
          <w:szCs w:val="24"/>
        </w:rPr>
        <w:t xml:space="preserve"> (FGTS);</w:t>
      </w:r>
    </w:p>
    <w:p w14:paraId="5D414C99"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8.13</w:t>
      </w:r>
      <w:r>
        <w:rPr>
          <w:rFonts w:ascii="Cambria" w:eastAsia="Times New Roman" w:hAnsi="Cambria" w:cs="Times New Roman"/>
          <w:sz w:val="24"/>
          <w:szCs w:val="24"/>
        </w:rPr>
        <w:t xml:space="preserve"> </w:t>
      </w:r>
      <w:r>
        <w:rPr>
          <w:rFonts w:ascii="Cambria" w:eastAsia="Times New Roman" w:hAnsi="Cambria" w:cs="Times New Roman"/>
          <w:b/>
          <w:bCs/>
          <w:sz w:val="24"/>
          <w:szCs w:val="24"/>
        </w:rPr>
        <w:t>Prova de inexistência de débitos inadimplidos perante a Justiça do Trabalho</w:t>
      </w:r>
      <w:r>
        <w:rPr>
          <w:rFonts w:ascii="Cambria" w:eastAsia="Times New Roman" w:hAnsi="Cambria" w:cs="Times New Roman"/>
          <w:sz w:val="24"/>
          <w:szCs w:val="24"/>
        </w:rPr>
        <w:t>, mediante a apresentação de certidão negativa ou positiva com efeito de negativa, nos termos do Título VII-A da Consolidação das Leis do Trabalho, aprovada pelo Decreto-Lei nº 5.452, de 1º de maio de 1943;</w:t>
      </w:r>
    </w:p>
    <w:p w14:paraId="2D247E66"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8.14</w:t>
      </w:r>
      <w:r>
        <w:rPr>
          <w:rFonts w:ascii="Cambria" w:eastAsia="Times New Roman" w:hAnsi="Cambria" w:cs="Times New Roman"/>
          <w:sz w:val="24"/>
          <w:szCs w:val="24"/>
        </w:rPr>
        <w:t xml:space="preserve"> </w:t>
      </w:r>
      <w:r>
        <w:rPr>
          <w:rFonts w:ascii="Cambria" w:eastAsia="Times New Roman" w:hAnsi="Cambria" w:cs="Times New Roman"/>
          <w:b/>
          <w:bCs/>
          <w:sz w:val="24"/>
          <w:szCs w:val="24"/>
        </w:rPr>
        <w:t>Prova de inscrição no cadastro de contribuintes</w:t>
      </w:r>
      <w:r>
        <w:rPr>
          <w:rFonts w:ascii="Cambria" w:eastAsia="Times New Roman" w:hAnsi="Cambria" w:cs="Times New Roman"/>
          <w:sz w:val="24"/>
          <w:szCs w:val="24"/>
        </w:rPr>
        <w:t xml:space="preserve"> [Estadual/Distrital] ou [Municipal/Distrital] relativo ao domicílio ou sede do fornecedor, pertinente ao seu ramo de atividade e compatível com o objeto contratual; </w:t>
      </w:r>
    </w:p>
    <w:p w14:paraId="6C11C959"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8.15</w:t>
      </w:r>
      <w:r>
        <w:rPr>
          <w:rFonts w:ascii="Cambria" w:eastAsia="Times New Roman" w:hAnsi="Cambria" w:cs="Times New Roman"/>
          <w:sz w:val="24"/>
          <w:szCs w:val="24"/>
        </w:rPr>
        <w:t xml:space="preserve"> </w:t>
      </w:r>
      <w:r>
        <w:rPr>
          <w:rFonts w:ascii="Cambria" w:eastAsia="Times New Roman" w:hAnsi="Cambria" w:cs="Times New Roman"/>
          <w:b/>
          <w:bCs/>
          <w:sz w:val="24"/>
          <w:szCs w:val="24"/>
        </w:rPr>
        <w:t xml:space="preserve">Prova de regularidade com a Fazenda </w:t>
      </w:r>
      <w:r>
        <w:rPr>
          <w:rFonts w:ascii="Cambria" w:eastAsia="Times New Roman" w:hAnsi="Cambria" w:cs="Times New Roman"/>
          <w:sz w:val="24"/>
          <w:szCs w:val="24"/>
        </w:rPr>
        <w:t>[Estadual/Distrital] e [Municipal/Distrital] do domicílio ou sede do fornecedor, relativa à atividade em cujo exercício contrata ou concorre;</w:t>
      </w:r>
    </w:p>
    <w:p w14:paraId="01664150"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8.16</w:t>
      </w:r>
      <w:r>
        <w:rPr>
          <w:rFonts w:ascii="Cambria" w:eastAsia="Times New Roman" w:hAnsi="Cambria" w:cs="Times New Roman"/>
          <w:sz w:val="24"/>
          <w:szCs w:val="24"/>
        </w:rPr>
        <w:t xml:space="preserve"> </w:t>
      </w:r>
      <w:r>
        <w:rPr>
          <w:rFonts w:ascii="Cambria" w:eastAsia="Times New Roman" w:hAnsi="Cambria" w:cs="Times New Roman"/>
          <w:b/>
          <w:bCs/>
          <w:sz w:val="24"/>
          <w:szCs w:val="24"/>
        </w:rPr>
        <w:t>Caso o fornecedor seja considerado isento dos tributos</w:t>
      </w:r>
      <w:r>
        <w:rPr>
          <w:rFonts w:ascii="Cambria" w:eastAsia="Times New Roman" w:hAnsi="Cambria" w:cs="Times New Roman"/>
          <w:sz w:val="24"/>
          <w:szCs w:val="24"/>
        </w:rPr>
        <w:t xml:space="preserve"> [Estadual/Distrital] ou [Municipal/Distrital] relacionados ao objeto contratual, deverá comprovar tal condição mediante a apresentação de Declaração da Fazenda respectiva do seu domicílio ou sede, ou outra equivalente, na forma da lei.</w:t>
      </w:r>
    </w:p>
    <w:p w14:paraId="4AE455C8"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8.17</w:t>
      </w:r>
      <w:r>
        <w:rPr>
          <w:rFonts w:ascii="Cambria" w:eastAsia="Times New Roman" w:hAnsi="Cambria" w:cs="Times New Roman"/>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BBAA95" w14:textId="77777777" w:rsidR="00150077" w:rsidRDefault="00000000">
      <w:pPr>
        <w:keepNext/>
        <w:keepLines/>
        <w:tabs>
          <w:tab w:val="left" w:pos="360"/>
        </w:tabs>
        <w:spacing w:before="240" w:after="240" w:line="276" w:lineRule="auto"/>
        <w:rPr>
          <w:rFonts w:ascii="Cambria" w:eastAsia="Times New Roman" w:hAnsi="Cambria" w:cs="Times New Roman"/>
          <w:b/>
          <w:bCs/>
          <w:sz w:val="24"/>
          <w:szCs w:val="24"/>
          <w:u w:val="single"/>
        </w:rPr>
      </w:pPr>
      <w:r>
        <w:rPr>
          <w:rFonts w:ascii="Cambria" w:eastAsia="Times New Roman" w:hAnsi="Cambria" w:cs="Times New Roman"/>
          <w:b/>
          <w:bCs/>
          <w:sz w:val="24"/>
          <w:szCs w:val="24"/>
          <w:u w:val="single"/>
        </w:rPr>
        <w:t>Qualificação Econômico-Financeira</w:t>
      </w:r>
    </w:p>
    <w:p w14:paraId="1E8BDBAA"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 xml:space="preserve">8.18 </w:t>
      </w:r>
      <w:r>
        <w:rPr>
          <w:rFonts w:ascii="Cambria" w:eastAsia="Times New Roman" w:hAnsi="Cambria" w:cs="Times New Roman"/>
          <w:color w:val="000000" w:themeColor="text1"/>
          <w:sz w:val="24"/>
          <w:szCs w:val="24"/>
        </w:rPr>
        <w:t>Certidão Negativa de Feitos sobre Falência, expedida pelo Cartório Distribuidor da sede da licitante, dentro do prazo de validade constante no documento, ou se caso não houver a data de validade, com data de emissão de, no máximo, 30 (trinta) dias.</w:t>
      </w:r>
    </w:p>
    <w:p w14:paraId="7676D1CF"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8.19</w:t>
      </w:r>
      <w:r>
        <w:rPr>
          <w:rFonts w:ascii="Cambria" w:eastAsia="Times New Roman" w:hAnsi="Cambria" w:cs="Times New Roman"/>
          <w:sz w:val="24"/>
          <w:szCs w:val="24"/>
        </w:rPr>
        <w:t xml:space="preserve"> Balanço patrimonial, demonstração de resultado de exercício e demais demonstrações contábeis dos 2 (dois) últimos exercícios sociais, comprovando;</w:t>
      </w:r>
    </w:p>
    <w:p w14:paraId="475BF639"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8.19.1</w:t>
      </w:r>
      <w:r>
        <w:rPr>
          <w:rFonts w:ascii="Cambria" w:eastAsia="Times New Roman" w:hAnsi="Cambria" w:cs="Times New Roman"/>
          <w:sz w:val="24"/>
          <w:szCs w:val="24"/>
        </w:rPr>
        <w:t xml:space="preserve"> índices de Liquidez Geral (LG), Liquidez Corrente (LC), e Solvência Geral (SG) superiores a 1 (um);</w:t>
      </w:r>
    </w:p>
    <w:p w14:paraId="2E01C4A5"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8.19.2</w:t>
      </w:r>
      <w:r>
        <w:rPr>
          <w:rFonts w:ascii="Cambria" w:eastAsia="Times New Roman" w:hAnsi="Cambria" w:cs="Times New Roman"/>
          <w:sz w:val="24"/>
          <w:szCs w:val="24"/>
        </w:rPr>
        <w:t xml:space="preserve"> As empresas criadas no exercício financeiro da licitação deverão atender a todas as exigências da habilitação e poderão substituir os demonstrativos contábeis pelo balanço de abertura.</w:t>
      </w:r>
    </w:p>
    <w:p w14:paraId="14E1C2EA"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8.19.3</w:t>
      </w:r>
      <w:r>
        <w:rPr>
          <w:rFonts w:ascii="Cambria" w:eastAsia="Times New Roman" w:hAnsi="Cambria" w:cs="Times New Roman"/>
          <w:sz w:val="24"/>
          <w:szCs w:val="24"/>
        </w:rPr>
        <w:t xml:space="preserve"> Os documentos referidos acima limitar-se-ão ao último exercício no caso de a pessoa jurídica ter sido constituída há menos de 2 (dois) anos;</w:t>
      </w:r>
    </w:p>
    <w:p w14:paraId="33FF3DBC"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8.19.4</w:t>
      </w:r>
      <w:r>
        <w:rPr>
          <w:rFonts w:ascii="Cambria" w:eastAsia="Times New Roman" w:hAnsi="Cambria" w:cs="Times New Roman"/>
          <w:sz w:val="24"/>
          <w:szCs w:val="24"/>
        </w:rPr>
        <w:t xml:space="preserve"> Os documentos referidos acima deverão ser exigidos com base no limite definido pela Receita Federal do Brasil para transmissão da Escrituração Contábil Digital - ECD ao </w:t>
      </w:r>
      <w:proofErr w:type="spellStart"/>
      <w:r>
        <w:rPr>
          <w:rFonts w:ascii="Cambria" w:eastAsia="Times New Roman" w:hAnsi="Cambria" w:cs="Times New Roman"/>
          <w:sz w:val="24"/>
          <w:szCs w:val="24"/>
        </w:rPr>
        <w:t>Sped</w:t>
      </w:r>
      <w:proofErr w:type="spellEnd"/>
      <w:r>
        <w:rPr>
          <w:rFonts w:ascii="Cambria" w:eastAsia="Times New Roman" w:hAnsi="Cambria" w:cs="Times New Roman"/>
          <w:sz w:val="24"/>
          <w:szCs w:val="24"/>
        </w:rPr>
        <w:t>.</w:t>
      </w:r>
    </w:p>
    <w:p w14:paraId="61F02E03"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8.20</w:t>
      </w:r>
      <w:r>
        <w:rPr>
          <w:rFonts w:ascii="Cambria" w:eastAsia="Times New Roman" w:hAnsi="Cambria" w:cs="Times New Roman"/>
          <w:sz w:val="24"/>
          <w:szCs w:val="24"/>
        </w:rPr>
        <w:t xml:space="preserve"> Caso a empresa licitante apresente resultado inferior ou igual a 1 (um) em qualquer dos índices de Liquidez Geral (LG), Solvência Geral (SG) e Liquidez Corrente (LC), será exigido para fins de habilitação capital mínimo ou patrimônio líquido mínimo de 10%</w:t>
      </w:r>
      <w:r>
        <w:rPr>
          <w:rFonts w:ascii="Cambria" w:eastAsia="Times New Roman" w:hAnsi="Cambria" w:cs="Times New Roman"/>
          <w:color w:val="FF0000"/>
          <w:sz w:val="24"/>
          <w:szCs w:val="24"/>
        </w:rPr>
        <w:t xml:space="preserve"> </w:t>
      </w:r>
      <w:r>
        <w:rPr>
          <w:rFonts w:ascii="Cambria" w:eastAsia="Times New Roman" w:hAnsi="Cambria" w:cs="Times New Roman"/>
          <w:sz w:val="24"/>
          <w:szCs w:val="24"/>
        </w:rPr>
        <w:t>do valor total estimado da contratação ou valor total estimado da parcela pertinente.</w:t>
      </w:r>
    </w:p>
    <w:p w14:paraId="56220553"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8.21</w:t>
      </w:r>
      <w:r>
        <w:rPr>
          <w:rFonts w:ascii="Cambria" w:eastAsia="Times New Roman" w:hAnsi="Cambria" w:cs="Times New Roman"/>
          <w:sz w:val="24"/>
          <w:szCs w:val="24"/>
        </w:rPr>
        <w:t xml:space="preserve"> As empresas criadas no exercício financeiro da licitação deverão atender a todas as exigências da habilitação e poderão substituir os demonstrativos contábeis pelo balanço de abertura. (Lei nº 14.133, de 2021, art. 65, §1º).</w:t>
      </w:r>
    </w:p>
    <w:p w14:paraId="723331FE"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8.22</w:t>
      </w:r>
      <w:r>
        <w:rPr>
          <w:rFonts w:ascii="Cambria" w:eastAsia="Times New Roman" w:hAnsi="Cambria" w:cs="Times New Roman"/>
          <w:sz w:val="24"/>
          <w:szCs w:val="24"/>
        </w:rPr>
        <w:t xml:space="preserve"> O atendimento dos índices econômicos previstos neste item deverá ser atestado mediante declaração assinada por profissional habilitado da área contábil, apresentada pelo fornecedor.</w:t>
      </w:r>
    </w:p>
    <w:p w14:paraId="3111CC3E" w14:textId="77777777" w:rsidR="00150077" w:rsidRDefault="00000000">
      <w:pPr>
        <w:keepNext/>
        <w:keepLines/>
        <w:tabs>
          <w:tab w:val="left" w:pos="360"/>
        </w:tabs>
        <w:spacing w:before="240" w:after="240" w:line="276" w:lineRule="auto"/>
        <w:rPr>
          <w:rFonts w:ascii="Cambria" w:eastAsia="Times New Roman" w:hAnsi="Cambria" w:cs="Times New Roman"/>
          <w:b/>
          <w:bCs/>
          <w:sz w:val="24"/>
          <w:szCs w:val="24"/>
          <w:u w:val="single"/>
        </w:rPr>
      </w:pPr>
      <w:r>
        <w:rPr>
          <w:rFonts w:ascii="Cambria" w:eastAsia="Times New Roman" w:hAnsi="Cambria" w:cs="Times New Roman"/>
          <w:b/>
          <w:bCs/>
          <w:sz w:val="24"/>
          <w:szCs w:val="24"/>
          <w:u w:val="single"/>
        </w:rPr>
        <w:t>Qualificação Técnica</w:t>
      </w:r>
    </w:p>
    <w:p w14:paraId="12D540D1"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8.23</w:t>
      </w:r>
      <w:r>
        <w:rPr>
          <w:rFonts w:ascii="Cambria" w:eastAsia="Times New Roman" w:hAnsi="Cambria" w:cs="Times New Roman"/>
          <w:sz w:val="24"/>
          <w:szCs w:val="24"/>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A2440AF" w14:textId="77777777" w:rsidR="00150077" w:rsidRDefault="00000000">
      <w:pPr>
        <w:spacing w:before="240" w:after="240" w:line="276" w:lineRule="auto"/>
        <w:ind w:firstLine="1134"/>
        <w:rPr>
          <w:rFonts w:ascii="Cambria" w:eastAsia="Times New Roman" w:hAnsi="Cambria" w:cs="Times New Roman"/>
          <w:sz w:val="24"/>
          <w:szCs w:val="24"/>
        </w:rPr>
      </w:pPr>
      <w:r>
        <w:rPr>
          <w:rFonts w:ascii="Cambria" w:eastAsia="Times New Roman" w:hAnsi="Cambria" w:cs="Times New Roman"/>
          <w:b/>
          <w:bCs/>
          <w:sz w:val="24"/>
          <w:szCs w:val="24"/>
        </w:rPr>
        <w:t>8.23.1</w:t>
      </w:r>
      <w:r>
        <w:rPr>
          <w:rFonts w:ascii="Cambria" w:eastAsia="Times New Roman" w:hAnsi="Cambria" w:cs="Times New Roman"/>
          <w:sz w:val="24"/>
          <w:szCs w:val="24"/>
        </w:rPr>
        <w:t xml:space="preserve"> Para fins da comprovação de que trata este subitem, os atestados deverão dizer respeito a contratos executados com as seguintes características mínimas: </w:t>
      </w:r>
    </w:p>
    <w:p w14:paraId="7BD23A3C"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8.23.1.1</w:t>
      </w:r>
      <w:r>
        <w:rPr>
          <w:rFonts w:ascii="Cambria" w:eastAsia="Times New Roman" w:hAnsi="Cambria" w:cs="Times New Roman"/>
          <w:sz w:val="24"/>
          <w:szCs w:val="24"/>
        </w:rPr>
        <w:t xml:space="preserve"> Será admitida, para fins de comprovação de quantitativo mínimo, a apresentação e o somatório de diferentes atestados executados de forma concomitante.</w:t>
      </w:r>
    </w:p>
    <w:p w14:paraId="4B1106A2" w14:textId="77777777" w:rsidR="00150077" w:rsidRDefault="00000000">
      <w:pPr>
        <w:spacing w:before="240" w:after="240" w:line="276" w:lineRule="auto"/>
        <w:ind w:firstLine="1701"/>
        <w:rPr>
          <w:rFonts w:ascii="Cambria" w:eastAsia="Times New Roman" w:hAnsi="Cambria" w:cs="Times New Roman"/>
          <w:sz w:val="24"/>
          <w:szCs w:val="24"/>
          <w:highlight w:val="yellow"/>
        </w:rPr>
      </w:pPr>
      <w:r>
        <w:rPr>
          <w:rFonts w:ascii="Cambria" w:eastAsia="Times New Roman" w:hAnsi="Cambria" w:cs="Times New Roman"/>
          <w:b/>
          <w:bCs/>
          <w:sz w:val="24"/>
          <w:szCs w:val="24"/>
        </w:rPr>
        <w:t>8.23.1.2</w:t>
      </w:r>
      <w:r>
        <w:rPr>
          <w:rFonts w:ascii="Cambria" w:eastAsia="Times New Roman" w:hAnsi="Cambria" w:cs="Times New Roman"/>
          <w:sz w:val="24"/>
          <w:szCs w:val="24"/>
        </w:rPr>
        <w:t xml:space="preserve"> Os atestados de capacidade técnica poderão ser apresentados em nome da matriz ou da filial do fornecedor.</w:t>
      </w:r>
    </w:p>
    <w:p w14:paraId="673851FC"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8.23.1.3</w:t>
      </w:r>
      <w:r>
        <w:rPr>
          <w:rFonts w:ascii="Cambria" w:eastAsia="Times New Roman" w:hAnsi="Cambria" w:cs="Times New Roman"/>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6AE2847"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 xml:space="preserve">8.23.1.4 </w:t>
      </w:r>
      <w:r>
        <w:rPr>
          <w:rFonts w:ascii="Cambria" w:eastAsia="Times New Roman" w:hAnsi="Cambria" w:cs="Times New Roman"/>
          <w:sz w:val="24"/>
          <w:szCs w:val="24"/>
        </w:rPr>
        <w:t>Atestado(s) de fornecimento e instalação de sistema de painel de LED com área mínima de 4m², em quantidade igual ou superior a 50% do total licitado, emitido por pessoa jurídica de direito público ou privado, nos últimos 5 anos.</w:t>
      </w:r>
    </w:p>
    <w:p w14:paraId="124C360A" w14:textId="77777777" w:rsidR="00150077" w:rsidRDefault="00000000">
      <w:pPr>
        <w:spacing w:before="120" w:after="120" w:line="276" w:lineRule="auto"/>
        <w:rPr>
          <w:rFonts w:ascii="Cambria" w:eastAsia="Times New Roman" w:hAnsi="Cambria" w:cs="Times New Roman"/>
          <w:sz w:val="24"/>
          <w:szCs w:val="24"/>
        </w:rPr>
      </w:pPr>
      <w:r>
        <w:rPr>
          <w:rFonts w:ascii="Cambria" w:eastAsia="Times New Roman" w:hAnsi="Cambria" w:cs="Times New Roman"/>
          <w:b/>
          <w:bCs/>
          <w:sz w:val="24"/>
          <w:szCs w:val="24"/>
        </w:rPr>
        <w:t>8.24</w:t>
      </w:r>
      <w:r>
        <w:rPr>
          <w:rFonts w:ascii="Cambria" w:eastAsia="Times New Roman" w:hAnsi="Cambria" w:cs="Times New Roman"/>
          <w:sz w:val="24"/>
          <w:szCs w:val="24"/>
        </w:rPr>
        <w:t xml:space="preserve"> Caso admitida a participação de cooperativas, será exigida a seguinte documentação complementar:</w:t>
      </w:r>
    </w:p>
    <w:p w14:paraId="10C1D60F"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8.24.1</w:t>
      </w:r>
      <w:r>
        <w:rPr>
          <w:rFonts w:ascii="Cambria" w:eastAsia="Times New Roman" w:hAnsi="Cambria" w:cs="Times New Roman"/>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9" w:anchor="art4" w:history="1">
        <w:r w:rsidR="00150077">
          <w:rPr>
            <w:rFonts w:ascii="Cambria" w:eastAsia="Times New Roman" w:hAnsi="Cambria" w:cs="Times New Roman"/>
            <w:sz w:val="24"/>
            <w:szCs w:val="24"/>
            <w:u w:val="single"/>
          </w:rPr>
          <w:t>artigos 4º, inciso XI, 21, inciso I</w:t>
        </w:r>
      </w:hyperlink>
      <w:r>
        <w:rPr>
          <w:rFonts w:ascii="Cambria" w:eastAsia="Times New Roman" w:hAnsi="Cambria" w:cs="Times New Roman"/>
          <w:sz w:val="24"/>
          <w:szCs w:val="24"/>
        </w:rPr>
        <w:t xml:space="preserve"> e </w:t>
      </w:r>
      <w:hyperlink r:id="rId40" w:anchor="art42" w:history="1">
        <w:r w:rsidR="00150077">
          <w:rPr>
            <w:rFonts w:ascii="Cambria" w:eastAsia="Times New Roman" w:hAnsi="Cambria" w:cs="Times New Roman"/>
            <w:sz w:val="24"/>
            <w:szCs w:val="24"/>
            <w:u w:val="single"/>
          </w:rPr>
          <w:t>42, §§2º a 6º da Lei n. 5.764, de 1971</w:t>
        </w:r>
      </w:hyperlink>
      <w:r>
        <w:rPr>
          <w:rFonts w:ascii="Cambria" w:eastAsia="Times New Roman" w:hAnsi="Cambria" w:cs="Times New Roman"/>
          <w:sz w:val="24"/>
          <w:szCs w:val="24"/>
        </w:rPr>
        <w:t>;</w:t>
      </w:r>
    </w:p>
    <w:p w14:paraId="773DA84E"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lastRenderedPageBreak/>
        <w:t>8.24.2</w:t>
      </w:r>
      <w:r>
        <w:rPr>
          <w:rFonts w:ascii="Cambria" w:eastAsia="Times New Roman" w:hAnsi="Cambria" w:cs="Times New Roman"/>
          <w:sz w:val="24"/>
          <w:szCs w:val="24"/>
        </w:rPr>
        <w:t xml:space="preserve"> A declaração de regularidade de situação do contribuinte individual – DRSCI, para cada um dos cooperados indicados;</w:t>
      </w:r>
    </w:p>
    <w:p w14:paraId="136EB4A5"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8.24.3</w:t>
      </w:r>
      <w:r>
        <w:rPr>
          <w:rFonts w:ascii="Cambria" w:eastAsia="Times New Roman" w:hAnsi="Cambria" w:cs="Times New Roman"/>
          <w:sz w:val="24"/>
          <w:szCs w:val="24"/>
        </w:rPr>
        <w:t xml:space="preserve"> A comprovação do capital social proporcional ao número de cooperados necessários à execução contratual; </w:t>
      </w:r>
    </w:p>
    <w:p w14:paraId="1914DE9B"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8.24.4</w:t>
      </w:r>
      <w:r>
        <w:rPr>
          <w:rFonts w:ascii="Cambria" w:eastAsia="Times New Roman" w:hAnsi="Cambria" w:cs="Times New Roman"/>
          <w:sz w:val="24"/>
          <w:szCs w:val="24"/>
        </w:rPr>
        <w:t xml:space="preserve"> O registro previsto na </w:t>
      </w:r>
      <w:hyperlink r:id="rId41" w:anchor="art107" w:history="1">
        <w:r w:rsidR="00150077">
          <w:rPr>
            <w:rFonts w:ascii="Cambria" w:eastAsia="Times New Roman" w:hAnsi="Cambria" w:cs="Times New Roman"/>
            <w:sz w:val="24"/>
            <w:szCs w:val="24"/>
            <w:u w:val="single"/>
          </w:rPr>
          <w:t>Lei n. 5.764, de 1971, art. 107</w:t>
        </w:r>
      </w:hyperlink>
      <w:r>
        <w:rPr>
          <w:rFonts w:ascii="Cambria" w:eastAsia="Times New Roman" w:hAnsi="Cambria" w:cs="Times New Roman"/>
          <w:sz w:val="24"/>
          <w:szCs w:val="24"/>
        </w:rPr>
        <w:t>;</w:t>
      </w:r>
    </w:p>
    <w:p w14:paraId="50ACB0C8"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8.24.5</w:t>
      </w:r>
      <w:r>
        <w:rPr>
          <w:rFonts w:ascii="Cambria" w:eastAsia="Times New Roman" w:hAnsi="Cambria" w:cs="Times New Roman"/>
          <w:sz w:val="24"/>
          <w:szCs w:val="24"/>
        </w:rPr>
        <w:t xml:space="preserve"> A comprovação de integração das respectivas quotas-partes por parte dos cooperados que executarão o contrato; e</w:t>
      </w:r>
    </w:p>
    <w:p w14:paraId="0C06C5A5"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8.24.6</w:t>
      </w:r>
      <w:r>
        <w:rPr>
          <w:rFonts w:ascii="Cambria" w:eastAsia="Times New Roman" w:hAnsi="Cambria" w:cs="Times New Roman"/>
          <w:sz w:val="24"/>
          <w:szCs w:val="24"/>
        </w:rPr>
        <w:t xml:space="preserve"> Os seguintes documentos para a comprovação da regularidade jurídica da cooperativa:</w:t>
      </w:r>
    </w:p>
    <w:p w14:paraId="7AD90E60"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8.24.6.1</w:t>
      </w:r>
      <w:r>
        <w:rPr>
          <w:rFonts w:ascii="Cambria" w:eastAsia="Times New Roman" w:hAnsi="Cambria" w:cs="Times New Roman"/>
          <w:sz w:val="24"/>
          <w:szCs w:val="24"/>
        </w:rPr>
        <w:t xml:space="preserve"> ata de fundação; </w:t>
      </w:r>
    </w:p>
    <w:p w14:paraId="740964FE"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8.24.6.2</w:t>
      </w:r>
      <w:r>
        <w:rPr>
          <w:rFonts w:ascii="Cambria" w:eastAsia="Times New Roman" w:hAnsi="Cambria" w:cs="Times New Roman"/>
          <w:sz w:val="24"/>
          <w:szCs w:val="24"/>
        </w:rPr>
        <w:t xml:space="preserve"> estatuto social com a ata da assembleia que o aprovou; </w:t>
      </w:r>
    </w:p>
    <w:p w14:paraId="277468AC"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8.24.6.3</w:t>
      </w:r>
      <w:r>
        <w:rPr>
          <w:rFonts w:ascii="Cambria" w:eastAsia="Times New Roman" w:hAnsi="Cambria" w:cs="Times New Roman"/>
          <w:sz w:val="24"/>
          <w:szCs w:val="24"/>
        </w:rPr>
        <w:t xml:space="preserve"> regimento dos fundos instituídos pelos cooperados, com a ata da assembleia; </w:t>
      </w:r>
    </w:p>
    <w:p w14:paraId="37E066D3"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8.24.6.4</w:t>
      </w:r>
      <w:r>
        <w:rPr>
          <w:rFonts w:ascii="Cambria" w:eastAsia="Times New Roman" w:hAnsi="Cambria" w:cs="Times New Roman"/>
          <w:sz w:val="24"/>
          <w:szCs w:val="24"/>
        </w:rPr>
        <w:t xml:space="preserve"> editais de convocação das três últimas assembleias gerais extraordinárias; </w:t>
      </w:r>
    </w:p>
    <w:p w14:paraId="36D58C69"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8.24.6.5</w:t>
      </w:r>
      <w:r>
        <w:rPr>
          <w:rFonts w:ascii="Cambria" w:eastAsia="Times New Roman" w:hAnsi="Cambria" w:cs="Times New Roman"/>
          <w:sz w:val="24"/>
          <w:szCs w:val="24"/>
        </w:rPr>
        <w:t xml:space="preserve"> três registros de presença dos cooperados que executarão o contrato em assembleias gerais ou nas reuniões seccionais; e </w:t>
      </w:r>
    </w:p>
    <w:p w14:paraId="3978773B" w14:textId="77777777" w:rsidR="00150077" w:rsidRDefault="00000000">
      <w:pPr>
        <w:spacing w:before="240" w:after="240" w:line="276" w:lineRule="auto"/>
        <w:ind w:firstLine="1701"/>
        <w:rPr>
          <w:rFonts w:ascii="Cambria" w:eastAsia="Times New Roman" w:hAnsi="Cambria" w:cs="Times New Roman"/>
          <w:sz w:val="24"/>
          <w:szCs w:val="24"/>
        </w:rPr>
      </w:pPr>
      <w:r>
        <w:rPr>
          <w:rFonts w:ascii="Cambria" w:eastAsia="Times New Roman" w:hAnsi="Cambria" w:cs="Times New Roman"/>
          <w:b/>
          <w:bCs/>
          <w:sz w:val="24"/>
          <w:szCs w:val="24"/>
        </w:rPr>
        <w:t>8.24.6.6</w:t>
      </w:r>
      <w:r>
        <w:rPr>
          <w:rFonts w:ascii="Cambria" w:eastAsia="Times New Roman" w:hAnsi="Cambria" w:cs="Times New Roman"/>
          <w:sz w:val="24"/>
          <w:szCs w:val="24"/>
        </w:rPr>
        <w:t xml:space="preserve"> ata da sessão que os cooperados autorizaram a cooperativa a contratar o objeto da licitação;</w:t>
      </w:r>
    </w:p>
    <w:p w14:paraId="5D82D92A"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8.24.7</w:t>
      </w:r>
      <w:r>
        <w:rPr>
          <w:rFonts w:ascii="Cambria" w:eastAsia="Times New Roman" w:hAnsi="Cambria" w:cs="Times New Roman"/>
          <w:sz w:val="24"/>
          <w:szCs w:val="24"/>
        </w:rPr>
        <w:t xml:space="preserve"> A última auditoria contábil-financeira da cooperativa, conforme dispõe o </w:t>
      </w:r>
      <w:hyperlink r:id="rId42" w:anchor="art112" w:history="1">
        <w:r w:rsidR="00150077">
          <w:rPr>
            <w:rFonts w:ascii="Cambria" w:eastAsia="Times New Roman" w:hAnsi="Cambria" w:cs="Times New Roman"/>
            <w:sz w:val="24"/>
            <w:szCs w:val="24"/>
            <w:u w:val="single"/>
          </w:rPr>
          <w:t>art. 112 da Lei n. 5.764, de 1971</w:t>
        </w:r>
      </w:hyperlink>
      <w:r>
        <w:rPr>
          <w:rFonts w:ascii="Cambria" w:eastAsia="Times New Roman" w:hAnsi="Cambria" w:cs="Times New Roman"/>
          <w:sz w:val="24"/>
          <w:szCs w:val="24"/>
        </w:rPr>
        <w:t>, ou uma declaração, sob as penas da lei, de que tal auditoria não foi exigida pelo órgão fiscalizador.</w:t>
      </w:r>
    </w:p>
    <w:tbl>
      <w:tblPr>
        <w:tblW w:w="9165" w:type="dxa"/>
        <w:tblInd w:w="-109" w:type="dxa"/>
        <w:tblLayout w:type="fixed"/>
        <w:tblLook w:val="0400" w:firstRow="0" w:lastRow="0" w:firstColumn="0" w:lastColumn="0" w:noHBand="0" w:noVBand="1"/>
      </w:tblPr>
      <w:tblGrid>
        <w:gridCol w:w="9165"/>
      </w:tblGrid>
      <w:tr w:rsidR="00150077" w14:paraId="382643B7" w14:textId="77777777">
        <w:tc>
          <w:tcPr>
            <w:tcW w:w="9165" w:type="dxa"/>
            <w:tcBorders>
              <w:top w:val="single" w:sz="12" w:space="0" w:color="000000"/>
              <w:left w:val="single" w:sz="12" w:space="0" w:color="000000"/>
              <w:bottom w:val="single" w:sz="12" w:space="0" w:color="000000"/>
              <w:right w:val="single" w:sz="12" w:space="0" w:color="000000"/>
            </w:tcBorders>
            <w:shd w:val="clear" w:color="auto" w:fill="D9D9D9"/>
          </w:tcPr>
          <w:p w14:paraId="7FD20C13"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9. DA ESTIMATIVA DO VALOR DA CONTRATAÇÃO</w:t>
            </w:r>
          </w:p>
        </w:tc>
      </w:tr>
    </w:tbl>
    <w:p w14:paraId="2F00A56A" w14:textId="77777777" w:rsidR="00150077" w:rsidRDefault="00000000">
      <w:pPr>
        <w:spacing w:before="240" w:after="240" w:line="276" w:lineRule="auto"/>
        <w:rPr>
          <w:rFonts w:ascii="Cambria" w:eastAsia="Times New Roman" w:hAnsi="Cambria" w:cs="Times New Roman"/>
          <w:b/>
          <w:bCs/>
          <w:sz w:val="24"/>
          <w:szCs w:val="24"/>
        </w:rPr>
      </w:pPr>
      <w:r>
        <w:rPr>
          <w:rFonts w:ascii="Cambria" w:eastAsia="Times New Roman" w:hAnsi="Cambria" w:cs="Times New Roman"/>
          <w:b/>
          <w:bCs/>
          <w:sz w:val="24"/>
          <w:szCs w:val="24"/>
        </w:rPr>
        <w:t>9.1</w:t>
      </w:r>
      <w:r>
        <w:rPr>
          <w:rFonts w:ascii="Cambria" w:eastAsia="Times New Roman" w:hAnsi="Cambria" w:cs="Times New Roman"/>
          <w:sz w:val="24"/>
          <w:szCs w:val="24"/>
        </w:rPr>
        <w:t xml:space="preserve"> O custo estimado total da contratação será dado através de orçamentos a serem realizados pelo Departamento de Compras da Prefeitura de Piracanjuba/GO, e devidamente anexado aos autos.</w:t>
      </w:r>
    </w:p>
    <w:p w14:paraId="46D6967E"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9.2</w:t>
      </w:r>
      <w:r>
        <w:rPr>
          <w:rFonts w:ascii="Cambria" w:eastAsia="Times New Roman" w:hAnsi="Cambria" w:cs="Times New Roman"/>
          <w:sz w:val="24"/>
          <w:szCs w:val="24"/>
        </w:rPr>
        <w:t xml:space="preserve"> A estimativa de custo levará em consideração o risco envolvido na contratação e sua alocação entre Contratante e Contratado, conforme especificado na matriz de risco constante do Contrato.</w:t>
      </w:r>
    </w:p>
    <w:p w14:paraId="31584873"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9.3</w:t>
      </w:r>
      <w:r>
        <w:rPr>
          <w:rFonts w:ascii="Cambria" w:eastAsia="Times New Roman" w:hAnsi="Cambria" w:cs="Times New Roman"/>
          <w:sz w:val="24"/>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17 do Decreto Municipal nº 017/2024):</w:t>
      </w:r>
    </w:p>
    <w:p w14:paraId="22E0341A" w14:textId="77777777" w:rsidR="00150077" w:rsidRDefault="00000000">
      <w:pPr>
        <w:spacing w:before="240" w:after="240" w:line="276" w:lineRule="auto"/>
        <w:ind w:firstLine="851"/>
        <w:rPr>
          <w:rFonts w:ascii="Cambria" w:eastAsia="Times New Roman" w:hAnsi="Cambria" w:cs="Times New Roman"/>
          <w:sz w:val="24"/>
          <w:szCs w:val="24"/>
          <w:u w:val="single"/>
        </w:rPr>
      </w:pPr>
      <w:r>
        <w:rPr>
          <w:rFonts w:ascii="Cambria" w:eastAsia="Times New Roman" w:hAnsi="Cambria" w:cs="Times New Roman"/>
          <w:b/>
          <w:bCs/>
          <w:sz w:val="24"/>
          <w:szCs w:val="24"/>
        </w:rPr>
        <w:t>9.3.1</w:t>
      </w:r>
      <w:r>
        <w:rPr>
          <w:rFonts w:ascii="Cambria" w:eastAsia="Times New Roman" w:hAnsi="Cambria" w:cs="Times New Roman"/>
          <w:sz w:val="24"/>
          <w:szCs w:val="24"/>
        </w:rPr>
        <w:t xml:space="preserve"> em caso de força maior, caso fortuito ou fato do príncipe ou em decorrência de fatos imprevisíveis ou previsíveis de consequências incalculáveis, que inviabilizam a execução da ata tal como pactuada, nos termos do disposto na </w:t>
      </w:r>
      <w:r>
        <w:rPr>
          <w:rFonts w:ascii="Cambria" w:eastAsia="Times New Roman" w:hAnsi="Cambria" w:cs="Times New Roman"/>
          <w:sz w:val="24"/>
          <w:szCs w:val="24"/>
          <w:u w:val="single"/>
        </w:rPr>
        <w:t>a</w:t>
      </w:r>
      <w:hyperlink r:id="rId43" w:anchor="art124iid" w:history="1">
        <w:r w:rsidR="00150077">
          <w:rPr>
            <w:rFonts w:ascii="Cambria" w:eastAsia="Times New Roman" w:hAnsi="Cambria" w:cs="Times New Roman"/>
            <w:sz w:val="24"/>
            <w:szCs w:val="24"/>
            <w:u w:val="single"/>
          </w:rPr>
          <w:t>línea “d” do inciso II do capu</w:t>
        </w:r>
      </w:hyperlink>
      <w:hyperlink r:id="rId44" w:anchor="art124iid" w:history="1">
        <w:r w:rsidR="00150077">
          <w:rPr>
            <w:rFonts w:ascii="Cambria" w:eastAsia="Times New Roman" w:hAnsi="Cambria" w:cs="Times New Roman"/>
            <w:b/>
            <w:bCs/>
            <w:sz w:val="24"/>
            <w:szCs w:val="24"/>
            <w:u w:val="single"/>
          </w:rPr>
          <w:t>t</w:t>
        </w:r>
      </w:hyperlink>
      <w:hyperlink r:id="rId45" w:anchor="art124iid" w:history="1">
        <w:r w:rsidR="00150077">
          <w:rPr>
            <w:rFonts w:ascii="Cambria" w:eastAsia="Times New Roman" w:hAnsi="Cambria" w:cs="Times New Roman"/>
            <w:sz w:val="24"/>
            <w:szCs w:val="24"/>
            <w:u w:val="single"/>
          </w:rPr>
          <w:t xml:space="preserve"> do art. 124 da Lei nº 14.133, de 2021;</w:t>
        </w:r>
      </w:hyperlink>
    </w:p>
    <w:p w14:paraId="0E3B987F" w14:textId="77777777" w:rsidR="00150077" w:rsidRDefault="00000000">
      <w:pPr>
        <w:spacing w:before="240" w:after="240" w:line="276" w:lineRule="auto"/>
        <w:ind w:firstLine="851"/>
        <w:rPr>
          <w:rFonts w:ascii="Cambria" w:eastAsia="Times New Roman" w:hAnsi="Cambria" w:cs="Times New Roman"/>
          <w:sz w:val="24"/>
          <w:szCs w:val="24"/>
          <w:u w:val="single"/>
        </w:rPr>
      </w:pPr>
      <w:r>
        <w:rPr>
          <w:rFonts w:ascii="Cambria" w:eastAsia="Times New Roman" w:hAnsi="Cambria" w:cs="Times New Roman"/>
          <w:b/>
          <w:bCs/>
          <w:sz w:val="24"/>
          <w:szCs w:val="24"/>
        </w:rPr>
        <w:t>9.3.2</w:t>
      </w:r>
      <w:r>
        <w:rPr>
          <w:rFonts w:ascii="Cambria" w:eastAsia="Times New Roman" w:hAnsi="Cambria" w:cs="Times New Roman"/>
          <w:sz w:val="24"/>
          <w:szCs w:val="24"/>
        </w:rPr>
        <w:t xml:space="preserve"> em caso de criação, alteração ou extinção de quaisquer tributos ou encargos legais ou superveniência de disposições legais, com comprovada repercussão sobre os preços registrados;</w:t>
      </w:r>
    </w:p>
    <w:p w14:paraId="1F560BD1" w14:textId="77777777" w:rsidR="00150077" w:rsidRDefault="00000000">
      <w:pPr>
        <w:spacing w:before="240" w:after="240" w:line="276" w:lineRule="auto"/>
        <w:ind w:firstLine="851"/>
        <w:rPr>
          <w:rFonts w:ascii="Cambria" w:eastAsia="Times New Roman" w:hAnsi="Cambria" w:cs="Times New Roman"/>
          <w:sz w:val="24"/>
          <w:szCs w:val="24"/>
          <w:u w:val="single"/>
        </w:rPr>
      </w:pPr>
      <w:r>
        <w:rPr>
          <w:rFonts w:ascii="Cambria" w:eastAsia="Times New Roman" w:hAnsi="Cambria" w:cs="Times New Roman"/>
          <w:b/>
          <w:bCs/>
          <w:sz w:val="24"/>
          <w:szCs w:val="24"/>
        </w:rPr>
        <w:t>9.3.3</w:t>
      </w:r>
      <w:r>
        <w:rPr>
          <w:rFonts w:ascii="Cambria" w:eastAsia="Times New Roman" w:hAnsi="Cambria" w:cs="Times New Roman"/>
          <w:sz w:val="24"/>
          <w:szCs w:val="24"/>
        </w:rPr>
        <w:t xml:space="preserve"> serão reajustados os preços registrados, respeitada a contagem da anualidade e o índice previsto para a contratação; ou</w:t>
      </w:r>
    </w:p>
    <w:p w14:paraId="431015EF" w14:textId="77777777" w:rsidR="00150077" w:rsidRDefault="00000000">
      <w:pPr>
        <w:spacing w:before="240" w:after="240" w:line="276" w:lineRule="auto"/>
        <w:ind w:firstLine="851"/>
        <w:rPr>
          <w:rFonts w:ascii="Cambria" w:eastAsia="Times New Roman" w:hAnsi="Cambria" w:cs="Times New Roman"/>
          <w:sz w:val="24"/>
          <w:szCs w:val="24"/>
        </w:rPr>
      </w:pPr>
      <w:r>
        <w:rPr>
          <w:rFonts w:ascii="Cambria" w:eastAsia="Times New Roman" w:hAnsi="Cambria" w:cs="Times New Roman"/>
          <w:b/>
          <w:bCs/>
          <w:sz w:val="24"/>
          <w:szCs w:val="24"/>
        </w:rPr>
        <w:t>9.3.4</w:t>
      </w:r>
      <w:r>
        <w:rPr>
          <w:rFonts w:ascii="Cambria" w:eastAsia="Times New Roman" w:hAnsi="Cambria" w:cs="Times New Roman"/>
          <w:sz w:val="24"/>
          <w:szCs w:val="24"/>
        </w:rPr>
        <w:t xml:space="preserve"> poderão ser repactuados, a pedido do interessado, conforme critérios definidos para a contratação.</w:t>
      </w:r>
    </w:p>
    <w:tbl>
      <w:tblPr>
        <w:tblW w:w="9165" w:type="dxa"/>
        <w:tblInd w:w="-109" w:type="dxa"/>
        <w:tblLayout w:type="fixed"/>
        <w:tblLook w:val="0400" w:firstRow="0" w:lastRow="0" w:firstColumn="0" w:lastColumn="0" w:noHBand="0" w:noVBand="1"/>
      </w:tblPr>
      <w:tblGrid>
        <w:gridCol w:w="9165"/>
      </w:tblGrid>
      <w:tr w:rsidR="00150077" w14:paraId="68DDD728" w14:textId="77777777">
        <w:tc>
          <w:tcPr>
            <w:tcW w:w="9165" w:type="dxa"/>
            <w:tcBorders>
              <w:top w:val="single" w:sz="12" w:space="0" w:color="000000"/>
              <w:left w:val="single" w:sz="12" w:space="0" w:color="000000"/>
              <w:bottom w:val="single" w:sz="12" w:space="0" w:color="000000"/>
              <w:right w:val="single" w:sz="12" w:space="0" w:color="000000"/>
            </w:tcBorders>
            <w:shd w:val="clear" w:color="auto" w:fill="D9D9D9"/>
          </w:tcPr>
          <w:p w14:paraId="5B2656D4" w14:textId="77777777" w:rsidR="00150077" w:rsidRDefault="00000000">
            <w:pPr>
              <w:spacing w:before="60" w:after="60"/>
              <w:ind w:right="-976"/>
              <w:rPr>
                <w:rFonts w:ascii="Cambria" w:eastAsia="Times New Roman" w:hAnsi="Cambria" w:cs="Times New Roman"/>
                <w:b/>
                <w:bCs/>
                <w:sz w:val="24"/>
                <w:szCs w:val="24"/>
              </w:rPr>
            </w:pPr>
            <w:r>
              <w:rPr>
                <w:rFonts w:ascii="Cambria" w:eastAsia="Times New Roman" w:hAnsi="Cambria" w:cs="Times New Roman"/>
                <w:b/>
                <w:bCs/>
                <w:sz w:val="24"/>
                <w:szCs w:val="24"/>
              </w:rPr>
              <w:t>10. DA ADEQUAÇÃO ORÇAMENTÁRIA</w:t>
            </w:r>
          </w:p>
        </w:tc>
      </w:tr>
    </w:tbl>
    <w:p w14:paraId="21941910" w14:textId="77777777" w:rsidR="00150077" w:rsidRDefault="00000000">
      <w:pPr>
        <w:spacing w:before="240" w:after="240" w:line="276" w:lineRule="auto"/>
        <w:rPr>
          <w:rFonts w:ascii="Cambria" w:eastAsia="Times New Roman" w:hAnsi="Cambria" w:cs="Times New Roman"/>
          <w:sz w:val="24"/>
          <w:szCs w:val="24"/>
        </w:rPr>
      </w:pPr>
      <w:r>
        <w:rPr>
          <w:rFonts w:ascii="Cambria" w:eastAsia="Times New Roman" w:hAnsi="Cambria" w:cs="Times New Roman"/>
          <w:b/>
          <w:bCs/>
          <w:sz w:val="24"/>
          <w:szCs w:val="24"/>
        </w:rPr>
        <w:t>10.1</w:t>
      </w:r>
      <w:r>
        <w:rPr>
          <w:rFonts w:ascii="Cambria" w:eastAsia="Times New Roman" w:hAnsi="Cambria" w:cs="Times New Roman"/>
          <w:sz w:val="24"/>
          <w:szCs w:val="24"/>
        </w:rPr>
        <w:t xml:space="preserve"> As despesas decorrentes da presente contratação correrão à conta de recursos específicos consignados na Lei Orçamentária Anual.</w:t>
      </w:r>
    </w:p>
    <w:p w14:paraId="49923422" w14:textId="77777777" w:rsidR="00150077" w:rsidRDefault="00150077">
      <w:pPr>
        <w:spacing w:before="240" w:after="240" w:line="276" w:lineRule="auto"/>
        <w:rPr>
          <w:rFonts w:ascii="Cambria" w:eastAsia="Times New Roman" w:hAnsi="Cambria" w:cs="Times New Roman"/>
          <w:sz w:val="24"/>
          <w:szCs w:val="24"/>
        </w:rPr>
      </w:pPr>
    </w:p>
    <w:p w14:paraId="08E6D479" w14:textId="77777777" w:rsidR="00150077" w:rsidRDefault="00000000">
      <w:pPr>
        <w:tabs>
          <w:tab w:val="left" w:pos="5865"/>
        </w:tabs>
        <w:spacing w:before="240" w:after="240" w:line="360" w:lineRule="auto"/>
        <w:ind w:hanging="2"/>
        <w:jc w:val="right"/>
        <w:rPr>
          <w:rFonts w:ascii="Cambria" w:eastAsia="Times New Roman" w:hAnsi="Cambria" w:cs="Times New Roman"/>
          <w:sz w:val="24"/>
          <w:szCs w:val="24"/>
        </w:rPr>
      </w:pPr>
      <w:r>
        <w:rPr>
          <w:rFonts w:ascii="Cambria" w:eastAsia="Times New Roman" w:hAnsi="Cambria" w:cs="Times New Roman"/>
          <w:sz w:val="24"/>
          <w:szCs w:val="24"/>
        </w:rPr>
        <w:t>Piracanjuba/GO, aos 18 dias do mês de fevereiro do ano de 2025.</w:t>
      </w:r>
    </w:p>
    <w:p w14:paraId="1A7062DD" w14:textId="77777777" w:rsidR="00150077" w:rsidRDefault="00000000">
      <w:pPr>
        <w:tabs>
          <w:tab w:val="left" w:pos="5865"/>
        </w:tabs>
        <w:spacing w:before="240" w:after="240" w:line="276" w:lineRule="auto"/>
        <w:rPr>
          <w:rFonts w:ascii="Cambria" w:eastAsia="Times New Roman" w:hAnsi="Cambria" w:cs="Times New Roman"/>
          <w:sz w:val="24"/>
          <w:szCs w:val="24"/>
        </w:rPr>
      </w:pPr>
      <w:r>
        <w:rPr>
          <w:rFonts w:ascii="Cambria" w:eastAsia="Times New Roman" w:hAnsi="Cambria" w:cs="Times New Roman"/>
          <w:sz w:val="24"/>
          <w:szCs w:val="24"/>
        </w:rPr>
        <w:t>Em conformidade com a legislação que rege o tema, encaminhe-se à autoridade competente para análise de conveniência e oportunidade para a contratação e demais providências cabíveis.</w:t>
      </w:r>
    </w:p>
    <w:p w14:paraId="257A3986" w14:textId="77777777" w:rsidR="00150077" w:rsidRDefault="00150077">
      <w:pPr>
        <w:spacing w:before="0" w:after="0" w:line="276" w:lineRule="auto"/>
        <w:jc w:val="center"/>
        <w:rPr>
          <w:rFonts w:ascii="Cambria" w:eastAsia="Times New Roman" w:hAnsi="Cambria" w:cs="Times New Roman"/>
          <w:sz w:val="24"/>
          <w:szCs w:val="24"/>
        </w:rPr>
      </w:pPr>
    </w:p>
    <w:p w14:paraId="5CFD7F7A" w14:textId="77777777" w:rsidR="00150077" w:rsidRDefault="00150077">
      <w:pPr>
        <w:spacing w:before="0" w:after="0" w:line="276" w:lineRule="auto"/>
        <w:jc w:val="center"/>
        <w:rPr>
          <w:rFonts w:ascii="Cambria" w:eastAsia="Times New Roman" w:hAnsi="Cambria" w:cs="Times New Roman"/>
          <w:sz w:val="24"/>
          <w:szCs w:val="24"/>
        </w:rPr>
      </w:pPr>
    </w:p>
    <w:p w14:paraId="04105533" w14:textId="77777777" w:rsidR="00150077" w:rsidRDefault="00150077">
      <w:pPr>
        <w:spacing w:before="0" w:after="0" w:line="276" w:lineRule="auto"/>
        <w:jc w:val="center"/>
        <w:rPr>
          <w:rFonts w:ascii="Cambria" w:eastAsia="Times New Roman" w:hAnsi="Cambria" w:cs="Times New Roman"/>
          <w:sz w:val="24"/>
          <w:szCs w:val="24"/>
        </w:rPr>
      </w:pPr>
    </w:p>
    <w:p w14:paraId="01A12BE5" w14:textId="77777777" w:rsidR="00150077" w:rsidRDefault="00000000">
      <w:pPr>
        <w:spacing w:before="0" w:after="0" w:line="276" w:lineRule="auto"/>
        <w:jc w:val="center"/>
        <w:rPr>
          <w:rFonts w:ascii="Cambria" w:eastAsia="Times New Roman" w:hAnsi="Cambria" w:cs="Times New Roman"/>
          <w:b/>
          <w:bCs/>
          <w:sz w:val="24"/>
          <w:szCs w:val="24"/>
        </w:rPr>
      </w:pPr>
      <w:r>
        <w:rPr>
          <w:rFonts w:ascii="Cambria" w:eastAsia="Times New Roman" w:hAnsi="Cambria" w:cs="Times New Roman"/>
          <w:b/>
          <w:bCs/>
          <w:sz w:val="24"/>
          <w:szCs w:val="24"/>
        </w:rPr>
        <w:t>Jovair Antônio Pontes dos Santos</w:t>
      </w:r>
    </w:p>
    <w:p w14:paraId="1F1DA3AB" w14:textId="77777777" w:rsidR="00150077" w:rsidRDefault="00000000">
      <w:pPr>
        <w:spacing w:before="0" w:after="0" w:line="276" w:lineRule="auto"/>
        <w:jc w:val="center"/>
        <w:rPr>
          <w:rFonts w:ascii="Cambria" w:eastAsia="Times New Roman" w:hAnsi="Cambria" w:cs="Times New Roman"/>
          <w:sz w:val="24"/>
          <w:szCs w:val="24"/>
        </w:rPr>
      </w:pPr>
      <w:r>
        <w:rPr>
          <w:rFonts w:ascii="Cambria" w:eastAsia="Times New Roman" w:hAnsi="Cambria" w:cs="Times New Roman"/>
          <w:sz w:val="24"/>
          <w:szCs w:val="24"/>
        </w:rPr>
        <w:t>Secretária Municipal de Cultura de Piracanjuba/GO</w:t>
      </w:r>
    </w:p>
    <w:p w14:paraId="4F1CA8CB" w14:textId="77777777" w:rsidR="00150077" w:rsidRDefault="00000000">
      <w:pPr>
        <w:spacing w:before="0" w:after="0" w:line="276" w:lineRule="auto"/>
        <w:jc w:val="center"/>
        <w:rPr>
          <w:rFonts w:ascii="Cambria" w:eastAsia="Times New Roman" w:hAnsi="Cambria" w:cs="Times New Roman"/>
          <w:sz w:val="24"/>
          <w:szCs w:val="24"/>
        </w:rPr>
      </w:pPr>
      <w:r>
        <w:rPr>
          <w:rFonts w:ascii="Cambria" w:eastAsia="Times New Roman" w:hAnsi="Cambria" w:cs="Times New Roman"/>
          <w:sz w:val="24"/>
          <w:szCs w:val="24"/>
        </w:rPr>
        <w:t>Decreto n.º 07/2025</w:t>
      </w:r>
    </w:p>
    <w:p w14:paraId="198458A4" w14:textId="77777777" w:rsidR="00150077" w:rsidRDefault="00000000">
      <w:pPr>
        <w:spacing w:before="0" w:after="0" w:line="276" w:lineRule="auto"/>
        <w:jc w:val="center"/>
        <w:rPr>
          <w:rFonts w:ascii="Cambria" w:eastAsia="Times New Roman" w:hAnsi="Cambria" w:cs="Times New Roman"/>
          <w:sz w:val="24"/>
          <w:szCs w:val="24"/>
        </w:rPr>
      </w:pPr>
      <w:r>
        <w:rPr>
          <w:rFonts w:ascii="Cambria" w:eastAsia="Times New Roman" w:hAnsi="Cambria" w:cs="Times New Roman"/>
          <w:sz w:val="24"/>
          <w:szCs w:val="24"/>
        </w:rPr>
        <w:t>Matrícula n.º 51496248</w:t>
      </w:r>
    </w:p>
    <w:p w14:paraId="05494221" w14:textId="77777777" w:rsidR="00150077" w:rsidRDefault="00150077">
      <w:pPr>
        <w:jc w:val="center"/>
        <w:rPr>
          <w:rFonts w:ascii="Cambria" w:hAnsi="Cambria" w:cs="Arial"/>
          <w:b/>
          <w:sz w:val="24"/>
          <w:szCs w:val="24"/>
        </w:rPr>
      </w:pPr>
    </w:p>
    <w:p w14:paraId="667AA874" w14:textId="77777777" w:rsidR="00150077" w:rsidRDefault="00150077">
      <w:pPr>
        <w:sectPr w:rsidR="00150077">
          <w:headerReference w:type="even" r:id="rId46"/>
          <w:headerReference w:type="default" r:id="rId47"/>
          <w:footerReference w:type="even" r:id="rId48"/>
          <w:footerReference w:type="default" r:id="rId49"/>
          <w:headerReference w:type="first" r:id="rId50"/>
          <w:footerReference w:type="first" r:id="rId51"/>
          <w:pgSz w:w="11906" w:h="16838"/>
          <w:pgMar w:top="1417" w:right="1274" w:bottom="489" w:left="1701" w:header="708" w:footer="432" w:gutter="0"/>
          <w:cols w:space="720"/>
          <w:formProt w:val="0"/>
        </w:sectPr>
      </w:pPr>
    </w:p>
    <w:p w14:paraId="0A9D5A63" w14:textId="77777777" w:rsidR="00150077" w:rsidRDefault="00000000">
      <w:pPr>
        <w:spacing w:line="360" w:lineRule="auto"/>
        <w:jc w:val="center"/>
        <w:rPr>
          <w:rFonts w:ascii="Cambria" w:hAnsi="Cambria"/>
          <w:b/>
          <w:sz w:val="24"/>
          <w:szCs w:val="24"/>
        </w:rPr>
      </w:pPr>
      <w:r>
        <w:rPr>
          <w:rFonts w:ascii="Cambria" w:hAnsi="Cambria"/>
          <w:b/>
          <w:sz w:val="24"/>
          <w:szCs w:val="24"/>
        </w:rPr>
        <w:lastRenderedPageBreak/>
        <w:t>PREGÃO ELETRÔNICO Nº 31/2026</w:t>
      </w:r>
    </w:p>
    <w:p w14:paraId="51A13F30" w14:textId="77777777" w:rsidR="00150077"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II</w:t>
      </w:r>
    </w:p>
    <w:p w14:paraId="3201E942" w14:textId="77777777" w:rsidR="00150077" w:rsidRDefault="00000000">
      <w:pPr>
        <w:jc w:val="center"/>
        <w:rPr>
          <w:rFonts w:ascii="Cambria" w:hAnsi="Cambria" w:cs="Arial"/>
          <w:b/>
          <w:bCs/>
          <w:sz w:val="24"/>
          <w:szCs w:val="24"/>
          <w:u w:val="single"/>
        </w:rPr>
      </w:pPr>
      <w:r>
        <w:rPr>
          <w:rFonts w:ascii="Cambria" w:hAnsi="Cambria" w:cs="Arial"/>
          <w:b/>
          <w:bCs/>
          <w:sz w:val="24"/>
          <w:szCs w:val="24"/>
          <w:u w:val="single"/>
        </w:rPr>
        <w:t>ESTUDO TÉCNICO PRELIMINAR</w:t>
      </w:r>
    </w:p>
    <w:tbl>
      <w:tblPr>
        <w:tblW w:w="9608" w:type="dxa"/>
        <w:tblLayout w:type="fixed"/>
        <w:tblLook w:val="0400" w:firstRow="0" w:lastRow="0" w:firstColumn="0" w:lastColumn="0" w:noHBand="0" w:noVBand="1"/>
      </w:tblPr>
      <w:tblGrid>
        <w:gridCol w:w="9608"/>
      </w:tblGrid>
      <w:tr w:rsidR="00150077" w14:paraId="53CE56F2"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sdt>
            <w:sdtPr>
              <w:tag w:val="goog_rdk_0"/>
              <w:id w:val="1671053686"/>
              <w:lock w:val="contentLocked"/>
            </w:sdtPr>
            <w:sdtContent>
              <w:p w14:paraId="0E5E5422" w14:textId="77777777" w:rsidR="00150077" w:rsidRDefault="00000000">
                <w:pPr>
                  <w:spacing w:before="60" w:after="60"/>
                  <w:rPr>
                    <w:rFonts w:ascii="Times New Roman" w:eastAsia="Times New Roman" w:hAnsi="Times New Roman" w:cs="Times New Roman"/>
                    <w:b/>
                    <w:bCs/>
                  </w:rPr>
                </w:pPr>
                <w:r>
                  <w:rPr>
                    <w:rFonts w:ascii="Times New Roman" w:eastAsia="Times New Roman" w:hAnsi="Times New Roman" w:cs="Times New Roman"/>
                    <w:b/>
                    <w:bCs/>
                    <w:sz w:val="24"/>
                    <w:szCs w:val="24"/>
                  </w:rPr>
                  <w:t>1. INFORMAÇÕES BÁSICAS</w:t>
                </w:r>
              </w:p>
            </w:sdtContent>
          </w:sdt>
        </w:tc>
      </w:tr>
    </w:tbl>
    <w:p w14:paraId="2DEA5D67" w14:textId="77777777" w:rsidR="00150077" w:rsidRDefault="00000000">
      <w:pPr>
        <w:spacing w:after="120"/>
        <w:jc w:val="left"/>
        <w:rPr>
          <w:rFonts w:ascii="Cambria" w:eastAsia="Times New Roman" w:hAnsi="Cambria" w:cs="Times New Roman"/>
          <w:sz w:val="24"/>
          <w:szCs w:val="24"/>
        </w:rPr>
      </w:pPr>
      <w:r>
        <w:rPr>
          <w:rFonts w:ascii="Cambria" w:eastAsia="Times New Roman" w:hAnsi="Cambria" w:cs="Times New Roman"/>
          <w:b/>
          <w:bCs/>
          <w:sz w:val="24"/>
          <w:szCs w:val="24"/>
        </w:rPr>
        <w:t>Área Requisitante:</w:t>
      </w:r>
      <w:r>
        <w:rPr>
          <w:rFonts w:ascii="Cambria" w:eastAsia="Times New Roman" w:hAnsi="Cambria" w:cs="Times New Roman"/>
          <w:sz w:val="24"/>
          <w:szCs w:val="24"/>
        </w:rPr>
        <w:t xml:space="preserve"> Secretaria Municipal de Cultura de Piracanjuba/GO.</w:t>
      </w:r>
    </w:p>
    <w:p w14:paraId="130E09F1" w14:textId="77777777" w:rsidR="00150077" w:rsidRDefault="00000000">
      <w:pPr>
        <w:spacing w:after="120"/>
        <w:rPr>
          <w:rFonts w:ascii="Cambria" w:eastAsia="Times New Roman" w:hAnsi="Cambria" w:cs="Times New Roman"/>
          <w:sz w:val="24"/>
          <w:szCs w:val="24"/>
        </w:rPr>
      </w:pPr>
      <w:r>
        <w:rPr>
          <w:rFonts w:ascii="Cambria" w:eastAsia="Times New Roman" w:hAnsi="Cambria" w:cs="Times New Roman"/>
          <w:b/>
          <w:bCs/>
          <w:sz w:val="24"/>
          <w:szCs w:val="24"/>
        </w:rPr>
        <w:t>Objeto da Contratação</w:t>
      </w:r>
      <w:r>
        <w:rPr>
          <w:rFonts w:ascii="Cambria" w:eastAsia="Times New Roman" w:hAnsi="Cambria" w:cs="Times New Roman"/>
          <w:sz w:val="24"/>
          <w:szCs w:val="24"/>
        </w:rPr>
        <w:t xml:space="preserve">: Contratação de empresa apta no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w:t>
      </w:r>
    </w:p>
    <w:p w14:paraId="1CA02E02" w14:textId="77777777" w:rsidR="00150077" w:rsidRDefault="00000000">
      <w:pPr>
        <w:spacing w:after="240" w:line="360" w:lineRule="auto"/>
        <w:jc w:val="left"/>
        <w:rPr>
          <w:rFonts w:ascii="Cambria" w:eastAsia="Times New Roman" w:hAnsi="Cambria" w:cs="Times New Roman"/>
          <w:sz w:val="24"/>
          <w:szCs w:val="24"/>
        </w:rPr>
      </w:pPr>
      <w:r>
        <w:rPr>
          <w:rFonts w:ascii="Cambria" w:eastAsia="Times New Roman" w:hAnsi="Cambria" w:cs="Times New Roman"/>
          <w:b/>
          <w:bCs/>
          <w:sz w:val="24"/>
          <w:szCs w:val="24"/>
        </w:rPr>
        <w:t>Sugestão de duração do Contrato</w:t>
      </w:r>
      <w:r>
        <w:rPr>
          <w:rFonts w:ascii="Cambria" w:eastAsia="Times New Roman" w:hAnsi="Cambria" w:cs="Times New Roman"/>
          <w:sz w:val="24"/>
          <w:szCs w:val="24"/>
        </w:rPr>
        <w:t>: 12 Meses prorrogáveis por igual período.</w:t>
      </w:r>
    </w:p>
    <w:tbl>
      <w:tblPr>
        <w:tblW w:w="9608" w:type="dxa"/>
        <w:tblLayout w:type="fixed"/>
        <w:tblLook w:val="0400" w:firstRow="0" w:lastRow="0" w:firstColumn="0" w:lastColumn="0" w:noHBand="0" w:noVBand="1"/>
      </w:tblPr>
      <w:tblGrid>
        <w:gridCol w:w="9608"/>
      </w:tblGrid>
      <w:tr w:rsidR="00150077" w14:paraId="6A066061"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sdt>
            <w:sdtPr>
              <w:tag w:val="goog_rdk_1"/>
              <w:id w:val="-2109099791"/>
              <w:lock w:val="contentLocked"/>
            </w:sdtPr>
            <w:sdtContent>
              <w:p w14:paraId="4811B2D5" w14:textId="77777777" w:rsidR="00150077" w:rsidRDefault="00000000">
                <w:pPr>
                  <w:spacing w:before="60" w:after="60"/>
                  <w:rPr>
                    <w:rFonts w:ascii="Times New Roman" w:eastAsia="Times New Roman" w:hAnsi="Times New Roman" w:cs="Times New Roman"/>
                    <w:b/>
                    <w:bCs/>
                  </w:rPr>
                </w:pPr>
                <w:r>
                  <w:rPr>
                    <w:rFonts w:ascii="Times New Roman" w:eastAsia="Times New Roman" w:hAnsi="Times New Roman" w:cs="Times New Roman"/>
                    <w:b/>
                    <w:bCs/>
                    <w:sz w:val="24"/>
                    <w:szCs w:val="24"/>
                  </w:rPr>
                  <w:t>2. ALINHAMENTO ENTRE A CONTRATAÇÃO E O PLANEJAMENTO</w:t>
                </w:r>
              </w:p>
            </w:sdtContent>
          </w:sdt>
        </w:tc>
      </w:tr>
    </w:tbl>
    <w:p w14:paraId="11AC62A0" w14:textId="77777777" w:rsidR="00150077" w:rsidRDefault="00000000">
      <w:pPr>
        <w:spacing w:before="240"/>
        <w:rPr>
          <w:rFonts w:ascii="Cambria" w:eastAsia="Times New Roman" w:hAnsi="Cambria" w:cs="Times New Roman"/>
          <w:sz w:val="24"/>
          <w:szCs w:val="24"/>
        </w:rPr>
      </w:pPr>
      <w:r>
        <w:rPr>
          <w:rFonts w:ascii="Cambria" w:eastAsia="Times New Roman" w:hAnsi="Cambria" w:cs="Times New Roman"/>
          <w:sz w:val="24"/>
          <w:szCs w:val="24"/>
        </w:rPr>
        <w:t xml:space="preserve">A pretendida aquisição da solução de sinalização digital alinha-se ao planejamento estratégico de Piracanjuba, que prioriza a modernização da infraestrutura pública e a eficiência na comunicação institucional. </w:t>
      </w:r>
    </w:p>
    <w:p w14:paraId="1D50517E" w14:textId="77777777" w:rsidR="00150077" w:rsidRDefault="00000000">
      <w:pPr>
        <w:spacing w:before="240"/>
        <w:rPr>
          <w:rFonts w:ascii="Cambria" w:eastAsia="Times New Roman" w:hAnsi="Cambria" w:cs="Times New Roman"/>
          <w:sz w:val="24"/>
          <w:szCs w:val="24"/>
        </w:rPr>
      </w:pPr>
      <w:r>
        <w:rPr>
          <w:rFonts w:ascii="Cambria" w:eastAsia="Times New Roman" w:hAnsi="Cambria" w:cs="Times New Roman"/>
          <w:sz w:val="24"/>
          <w:szCs w:val="24"/>
        </w:rPr>
        <w:t>Ao substituir meios analógicos por tecnologia de ponta, a Secretaria de Cultura promove a democratização do acesso à informação sobre projetos do Fundo Municipal de Cultura, garantindo transparência, governança tecnológica e o aprimoramento da qualidade dos serviços prestados à população local.</w:t>
      </w:r>
    </w:p>
    <w:tbl>
      <w:tblPr>
        <w:tblW w:w="9608" w:type="dxa"/>
        <w:tblLayout w:type="fixed"/>
        <w:tblLook w:val="0400" w:firstRow="0" w:lastRow="0" w:firstColumn="0" w:lastColumn="0" w:noHBand="0" w:noVBand="1"/>
      </w:tblPr>
      <w:tblGrid>
        <w:gridCol w:w="9608"/>
      </w:tblGrid>
      <w:tr w:rsidR="00150077" w14:paraId="68EE105A"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sdt>
            <w:sdtPr>
              <w:tag w:val="goog_rdk_2"/>
              <w:id w:val="-602142424"/>
              <w:lock w:val="contentLocked"/>
            </w:sdtPr>
            <w:sdtContent>
              <w:p w14:paraId="2D531F8C" w14:textId="77777777" w:rsidR="00150077" w:rsidRDefault="00000000">
                <w:pPr>
                  <w:spacing w:before="60" w:after="60"/>
                  <w:rPr>
                    <w:rFonts w:ascii="Times New Roman" w:eastAsia="Times New Roman" w:hAnsi="Times New Roman" w:cs="Times New Roman"/>
                    <w:b/>
                    <w:bCs/>
                  </w:rPr>
                </w:pPr>
                <w:r>
                  <w:rPr>
                    <w:rFonts w:ascii="Times New Roman" w:eastAsia="Times New Roman" w:hAnsi="Times New Roman" w:cs="Times New Roman"/>
                    <w:b/>
                    <w:bCs/>
                    <w:sz w:val="24"/>
                    <w:szCs w:val="24"/>
                  </w:rPr>
                  <w:t>3. DESCRIÇÃO DA NECESSIDADE</w:t>
                </w:r>
              </w:p>
            </w:sdtContent>
          </w:sdt>
        </w:tc>
      </w:tr>
    </w:tbl>
    <w:p w14:paraId="0FF64C60"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A contratação desejada pretende solucionar as necessidades seguintes:</w:t>
      </w:r>
    </w:p>
    <w:p w14:paraId="76DCC621" w14:textId="77777777" w:rsidR="00150077" w:rsidRDefault="00000000">
      <w:pPr>
        <w:tabs>
          <w:tab w:val="left" w:pos="993"/>
        </w:tabs>
        <w:spacing w:after="240"/>
        <w:rPr>
          <w:rFonts w:ascii="Cambria" w:eastAsia="Times New Roman" w:hAnsi="Cambria" w:cs="Times New Roman"/>
          <w:sz w:val="24"/>
          <w:szCs w:val="24"/>
        </w:rPr>
      </w:pPr>
      <w:r>
        <w:rPr>
          <w:rFonts w:ascii="Cambria" w:eastAsia="Times New Roman" w:hAnsi="Cambria" w:cs="Times New Roman"/>
          <w:sz w:val="24"/>
          <w:szCs w:val="24"/>
        </w:rPr>
        <w:t xml:space="preserve">Atualmente, a comunicação institucional depende de mídias estáticas obsoletas, que limitam o alcance das informações sobre o Fundo Municipal de Cultura e eventos apoiados pelo Poder Público. A implementação de painéis de LED visa suprir essa lacuna, permitindo </w:t>
      </w:r>
      <w:r>
        <w:rPr>
          <w:rFonts w:ascii="Cambria" w:eastAsia="Times New Roman" w:hAnsi="Cambria" w:cs="Times New Roman"/>
          <w:sz w:val="24"/>
          <w:szCs w:val="24"/>
        </w:rPr>
        <w:lastRenderedPageBreak/>
        <w:t>uma comunicação dinâmica, em tempo real e de alto impacto visual, essencial para a democratização do acesso à cultura e o engajamento da população. Além da função informativa, a solução atende à necessidade de dotar os espaços de tecnologia apta a suportar apresentações multimídia de alta definição, substituindo projetores ineficientes. Esta modernização reduz custos operacionais, otimiza o uso dos espaços públicos e garante o cumprimento das diretrizes de eficiência e governança exigidas pela Administração Pública.</w:t>
      </w:r>
    </w:p>
    <w:tbl>
      <w:tblPr>
        <w:tblW w:w="9608" w:type="dxa"/>
        <w:tblLayout w:type="fixed"/>
        <w:tblLook w:val="0400" w:firstRow="0" w:lastRow="0" w:firstColumn="0" w:lastColumn="0" w:noHBand="0" w:noVBand="1"/>
      </w:tblPr>
      <w:tblGrid>
        <w:gridCol w:w="9608"/>
      </w:tblGrid>
      <w:tr w:rsidR="00150077" w14:paraId="248C3AD3"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sdt>
            <w:sdtPr>
              <w:tag w:val="goog_rdk_3"/>
              <w:id w:val="-8139775"/>
              <w:lock w:val="contentLocked"/>
            </w:sdtPr>
            <w:sdtContent>
              <w:p w14:paraId="0EA9D63A" w14:textId="77777777" w:rsidR="00150077" w:rsidRDefault="00000000">
                <w:pPr>
                  <w:spacing w:before="60" w:after="60"/>
                  <w:rPr>
                    <w:rFonts w:ascii="Times New Roman" w:eastAsia="Times New Roman" w:hAnsi="Times New Roman" w:cs="Times New Roman"/>
                    <w:b/>
                    <w:bCs/>
                  </w:rPr>
                </w:pPr>
                <w:r>
                  <w:rPr>
                    <w:rFonts w:ascii="Times New Roman" w:eastAsia="Times New Roman" w:hAnsi="Times New Roman" w:cs="Times New Roman"/>
                    <w:b/>
                    <w:bCs/>
                    <w:sz w:val="24"/>
                    <w:szCs w:val="24"/>
                  </w:rPr>
                  <w:t>4. DESCRIÇÃO DOS REQUISITOS DA CONTRATAÇÃO</w:t>
                </w:r>
              </w:p>
            </w:sdtContent>
          </w:sdt>
        </w:tc>
      </w:tr>
    </w:tbl>
    <w:p w14:paraId="32B97CA1"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Para a necessidade indicado acima ser solucionado, entende-se necessário que a contratação apresente os seguintes requisitos:</w:t>
      </w:r>
    </w:p>
    <w:p w14:paraId="10EF0D60"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 xml:space="preserve">A contratação compreende o fornecimento, montagem, instalação, calibração, assistência técnica, treinamento e garantia de uma solução completa de </w:t>
      </w:r>
      <w:r>
        <w:rPr>
          <w:rFonts w:ascii="Cambria" w:eastAsia="Times New Roman" w:hAnsi="Cambria" w:cs="Times New Roman"/>
          <w:b/>
          <w:bCs/>
          <w:sz w:val="24"/>
          <w:szCs w:val="24"/>
        </w:rPr>
        <w:t xml:space="preserve">Solução de Infraestrutura de Visualização e Sinalização Digital (Digital </w:t>
      </w:r>
      <w:proofErr w:type="spellStart"/>
      <w:r>
        <w:rPr>
          <w:rFonts w:ascii="Cambria" w:eastAsia="Times New Roman" w:hAnsi="Cambria" w:cs="Times New Roman"/>
          <w:b/>
          <w:bCs/>
          <w:sz w:val="24"/>
          <w:szCs w:val="24"/>
        </w:rPr>
        <w:t>Signage</w:t>
      </w:r>
      <w:proofErr w:type="spellEnd"/>
      <w:r>
        <w:rPr>
          <w:rFonts w:ascii="Cambria" w:eastAsia="Times New Roman" w:hAnsi="Cambria" w:cs="Times New Roman"/>
          <w:b/>
          <w:bCs/>
          <w:sz w:val="24"/>
          <w:szCs w:val="24"/>
        </w:rPr>
        <w:t>)</w:t>
      </w:r>
      <w:r>
        <w:rPr>
          <w:rFonts w:ascii="Cambria" w:eastAsia="Times New Roman" w:hAnsi="Cambria" w:cs="Times New Roman"/>
          <w:sz w:val="24"/>
          <w:szCs w:val="24"/>
        </w:rPr>
        <w:t>, composta pelo modelo principal de visualização, além de toda a infraestrutura necessária para o funcionamento pleno e integrado:</w:t>
      </w:r>
    </w:p>
    <w:p w14:paraId="3DE0CA08"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Painel de LED (P3.9mm)</w:t>
      </w:r>
    </w:p>
    <w:p w14:paraId="73B36A8C" w14:textId="77777777" w:rsidR="00150077" w:rsidRDefault="00000000">
      <w:pPr>
        <w:numPr>
          <w:ilvl w:val="0"/>
          <w:numId w:val="8"/>
        </w:numPr>
        <w:spacing w:before="240" w:after="0" w:line="360" w:lineRule="auto"/>
        <w:rPr>
          <w:rFonts w:ascii="Cambria" w:eastAsia="Times New Roman" w:hAnsi="Cambria" w:cs="Times New Roman"/>
          <w:sz w:val="24"/>
          <w:szCs w:val="24"/>
        </w:rPr>
      </w:pPr>
      <w:r>
        <w:rPr>
          <w:rFonts w:ascii="Cambria" w:eastAsia="Times New Roman" w:hAnsi="Cambria" w:cs="Times New Roman"/>
          <w:b/>
          <w:bCs/>
          <w:sz w:val="24"/>
          <w:szCs w:val="24"/>
        </w:rPr>
        <w:t xml:space="preserve">Pixel </w:t>
      </w:r>
      <w:proofErr w:type="spellStart"/>
      <w:r>
        <w:rPr>
          <w:rFonts w:ascii="Cambria" w:eastAsia="Times New Roman" w:hAnsi="Cambria" w:cs="Times New Roman"/>
          <w:b/>
          <w:bCs/>
          <w:sz w:val="24"/>
          <w:szCs w:val="24"/>
        </w:rPr>
        <w:t>Pitch</w:t>
      </w:r>
      <w:proofErr w:type="spellEnd"/>
      <w:r>
        <w:rPr>
          <w:rFonts w:ascii="Cambria" w:eastAsia="Times New Roman" w:hAnsi="Cambria" w:cs="Times New Roman"/>
          <w:b/>
          <w:bCs/>
          <w:sz w:val="24"/>
          <w:szCs w:val="24"/>
        </w:rPr>
        <w:t>:</w:t>
      </w:r>
      <w:r>
        <w:rPr>
          <w:rFonts w:ascii="Cambria" w:eastAsia="Times New Roman" w:hAnsi="Cambria" w:cs="Times New Roman"/>
          <w:sz w:val="24"/>
          <w:szCs w:val="24"/>
        </w:rPr>
        <w:t xml:space="preserve"> </w:t>
      </w:r>
      <w:r>
        <w:rPr>
          <w:rFonts w:ascii="Cambria" w:eastAsia="Times New Roman" w:hAnsi="Cambria" w:cs="Times New Roman"/>
          <w:b/>
          <w:bCs/>
          <w:sz w:val="24"/>
          <w:szCs w:val="24"/>
        </w:rPr>
        <w:t>3.9mm</w:t>
      </w:r>
      <w:r>
        <w:rPr>
          <w:rFonts w:ascii="Cambria" w:eastAsia="Times New Roman" w:hAnsi="Cambria" w:cs="Times New Roman"/>
          <w:sz w:val="24"/>
          <w:szCs w:val="24"/>
        </w:rPr>
        <w:t xml:space="preserve"> (tolerância de ± 0,5%)</w:t>
      </w:r>
    </w:p>
    <w:p w14:paraId="450B6E4D"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Área Total:</w:t>
      </w:r>
      <w:r>
        <w:rPr>
          <w:rFonts w:ascii="Cambria" w:eastAsia="Times New Roman" w:hAnsi="Cambria" w:cs="Times New Roman"/>
          <w:sz w:val="24"/>
          <w:szCs w:val="24"/>
        </w:rPr>
        <w:t xml:space="preserve"> Mínimo de </w:t>
      </w:r>
      <w:r>
        <w:rPr>
          <w:rFonts w:ascii="Cambria" w:eastAsia="Times New Roman" w:hAnsi="Cambria" w:cs="Times New Roman"/>
          <w:b/>
          <w:bCs/>
          <w:sz w:val="24"/>
          <w:szCs w:val="24"/>
        </w:rPr>
        <w:t>6,00 m²</w:t>
      </w:r>
      <w:r>
        <w:rPr>
          <w:rFonts w:ascii="Cambria" w:eastAsia="Times New Roman" w:hAnsi="Cambria" w:cs="Times New Roman"/>
          <w:sz w:val="24"/>
          <w:szCs w:val="24"/>
        </w:rPr>
        <w:t xml:space="preserve"> (exemplo de configuração comum: 3,00m de largura por 2,00m de altura ou formato equivalente que atenda a essa área mínima).</w:t>
      </w:r>
    </w:p>
    <w:p w14:paraId="62935A1C"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Resolução Ajustada:</w:t>
      </w:r>
      <w:r>
        <w:rPr>
          <w:rFonts w:ascii="Cambria" w:eastAsia="Times New Roman" w:hAnsi="Cambria" w:cs="Times New Roman"/>
          <w:sz w:val="24"/>
          <w:szCs w:val="24"/>
        </w:rPr>
        <w:t xml:space="preserve"> Com base na área mínima de 6m², o arranjo deve garantir uma resolução mínima de aproximadamente </w:t>
      </w:r>
      <w:r>
        <w:rPr>
          <w:rFonts w:ascii="Cambria" w:eastAsia="Times New Roman" w:hAnsi="Cambria" w:cs="Times New Roman"/>
          <w:b/>
          <w:bCs/>
          <w:sz w:val="24"/>
          <w:szCs w:val="24"/>
        </w:rPr>
        <w:t>768 x 512 pixels</w:t>
      </w:r>
      <w:r>
        <w:rPr>
          <w:rFonts w:ascii="Cambria" w:eastAsia="Times New Roman" w:hAnsi="Cambria" w:cs="Times New Roman"/>
          <w:sz w:val="24"/>
          <w:szCs w:val="24"/>
        </w:rPr>
        <w:t xml:space="preserve"> (variável conforme o tamanho exato do gabinete adotado pela licitante).</w:t>
      </w:r>
    </w:p>
    <w:p w14:paraId="49F4D1B7"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Gabinetes:</w:t>
      </w:r>
      <w:sdt>
        <w:sdtPr>
          <w:tag w:val="goog_rdk_4"/>
          <w:id w:val="1993598473"/>
        </w:sdtPr>
        <w:sdtContent>
          <w:r>
            <w:rPr>
              <w:rFonts w:ascii="Cambria" w:eastAsia="Gungsuh" w:hAnsi="Cambria" w:cs="Gungsuh"/>
              <w:sz w:val="24"/>
              <w:szCs w:val="24"/>
            </w:rPr>
            <w:t xml:space="preserve"> Construção modular em alumínio injetado, com planicidade da superfície ≤ 0.3mm e sem bordas ou molduras visíveis.</w:t>
          </w:r>
        </w:sdtContent>
      </w:sdt>
    </w:p>
    <w:p w14:paraId="501E48C0"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Brilho:</w:t>
      </w:r>
      <w:r>
        <w:rPr>
          <w:rFonts w:ascii="Cambria" w:eastAsia="Times New Roman" w:hAnsi="Cambria" w:cs="Times New Roman"/>
          <w:sz w:val="24"/>
          <w:szCs w:val="24"/>
        </w:rPr>
        <w:t xml:space="preserve"> Mínimo de 600 </w:t>
      </w:r>
      <w:proofErr w:type="spellStart"/>
      <w:r>
        <w:rPr>
          <w:rFonts w:ascii="Cambria" w:eastAsia="Times New Roman" w:hAnsi="Cambria" w:cs="Times New Roman"/>
          <w:sz w:val="24"/>
          <w:szCs w:val="24"/>
        </w:rPr>
        <w:t>nits</w:t>
      </w:r>
      <w:proofErr w:type="spellEnd"/>
      <w:r>
        <w:rPr>
          <w:rFonts w:ascii="Cambria" w:eastAsia="Times New Roman" w:hAnsi="Cambria" w:cs="Times New Roman"/>
          <w:sz w:val="24"/>
          <w:szCs w:val="24"/>
        </w:rPr>
        <w:t xml:space="preserve"> (adequado para iluminação interna).</w:t>
      </w:r>
    </w:p>
    <w:p w14:paraId="34D9BD7A"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Contraste:</w:t>
      </w:r>
      <w:r>
        <w:rPr>
          <w:rFonts w:ascii="Cambria" w:eastAsia="Times New Roman" w:hAnsi="Cambria" w:cs="Times New Roman"/>
          <w:sz w:val="24"/>
          <w:szCs w:val="24"/>
        </w:rPr>
        <w:t xml:space="preserve"> 5.000:1.</w:t>
      </w:r>
    </w:p>
    <w:p w14:paraId="2046AEFD"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Taxa de Atualização (</w:t>
      </w:r>
      <w:proofErr w:type="spellStart"/>
      <w:r>
        <w:rPr>
          <w:rFonts w:ascii="Cambria" w:eastAsia="Times New Roman" w:hAnsi="Cambria" w:cs="Times New Roman"/>
          <w:b/>
          <w:bCs/>
          <w:sz w:val="24"/>
          <w:szCs w:val="24"/>
        </w:rPr>
        <w:t>Refresh</w:t>
      </w:r>
      <w:proofErr w:type="spellEnd"/>
      <w:r>
        <w:rPr>
          <w:rFonts w:ascii="Cambria" w:eastAsia="Times New Roman" w:hAnsi="Cambria" w:cs="Times New Roman"/>
          <w:b/>
          <w:bCs/>
          <w:sz w:val="24"/>
          <w:szCs w:val="24"/>
        </w:rPr>
        <w:t xml:space="preserve"> Rate):</w:t>
      </w:r>
      <w:r>
        <w:rPr>
          <w:rFonts w:ascii="Cambria" w:eastAsia="Times New Roman" w:hAnsi="Cambria" w:cs="Times New Roman"/>
          <w:sz w:val="24"/>
          <w:szCs w:val="24"/>
        </w:rPr>
        <w:t xml:space="preserve"> </w:t>
      </w:r>
      <w:r>
        <w:rPr>
          <w:rFonts w:ascii="Cambria" w:eastAsia="Times New Roman" w:hAnsi="Cambria" w:cs="Times New Roman"/>
          <w:b/>
          <w:bCs/>
          <w:sz w:val="24"/>
          <w:szCs w:val="24"/>
        </w:rPr>
        <w:t>3.840 Hz</w:t>
      </w:r>
      <w:r>
        <w:rPr>
          <w:rFonts w:ascii="Cambria" w:eastAsia="Times New Roman" w:hAnsi="Cambria" w:cs="Times New Roman"/>
          <w:sz w:val="24"/>
          <w:szCs w:val="24"/>
        </w:rPr>
        <w:t xml:space="preserve"> (obrigatório para eliminação de </w:t>
      </w:r>
      <w:proofErr w:type="spellStart"/>
      <w:r>
        <w:rPr>
          <w:rFonts w:ascii="Cambria" w:eastAsia="Times New Roman" w:hAnsi="Cambria" w:cs="Times New Roman"/>
          <w:i/>
          <w:iCs/>
          <w:sz w:val="24"/>
          <w:szCs w:val="24"/>
        </w:rPr>
        <w:t>flicker</w:t>
      </w:r>
      <w:proofErr w:type="spellEnd"/>
      <w:r>
        <w:rPr>
          <w:rFonts w:ascii="Cambria" w:eastAsia="Times New Roman" w:hAnsi="Cambria" w:cs="Times New Roman"/>
          <w:sz w:val="24"/>
          <w:szCs w:val="24"/>
        </w:rPr>
        <w:t xml:space="preserve"> em captação de vídeo).</w:t>
      </w:r>
    </w:p>
    <w:p w14:paraId="52B3E631"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Ângulo de Visão:</w:t>
      </w:r>
      <w:r>
        <w:rPr>
          <w:rFonts w:ascii="Cambria" w:eastAsia="Times New Roman" w:hAnsi="Cambria" w:cs="Times New Roman"/>
          <w:sz w:val="24"/>
          <w:szCs w:val="24"/>
        </w:rPr>
        <w:t xml:space="preserve"> 160° horizontal / 140° vertical.</w:t>
      </w:r>
    </w:p>
    <w:p w14:paraId="5A92CE2D"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lastRenderedPageBreak/>
        <w:t>Uniformidade:</w:t>
      </w:r>
      <w:r>
        <w:rPr>
          <w:rFonts w:ascii="Cambria" w:eastAsia="Times New Roman" w:hAnsi="Cambria" w:cs="Times New Roman"/>
          <w:sz w:val="24"/>
          <w:szCs w:val="24"/>
        </w:rPr>
        <w:t xml:space="preserve"> 97% de uniformidade de brilho e ±0.003 (</w:t>
      </w:r>
      <w:proofErr w:type="spellStart"/>
      <w:r>
        <w:rPr>
          <w:rFonts w:ascii="Cambria" w:eastAsia="Times New Roman" w:hAnsi="Cambria" w:cs="Times New Roman"/>
          <w:sz w:val="24"/>
          <w:szCs w:val="24"/>
        </w:rPr>
        <w:t>Cx</w:t>
      </w:r>
      <w:proofErr w:type="spellEnd"/>
      <w:r>
        <w:rPr>
          <w:rFonts w:ascii="Cambria" w:eastAsia="Times New Roman" w:hAnsi="Cambria" w:cs="Times New Roman"/>
          <w:sz w:val="24"/>
          <w:szCs w:val="24"/>
        </w:rPr>
        <w:t>, Cy) de uniformidade de cor.</w:t>
      </w:r>
    </w:p>
    <w:p w14:paraId="4CFC6F29"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Manutenção:</w:t>
      </w:r>
      <w:r>
        <w:rPr>
          <w:rFonts w:ascii="Cambria" w:eastAsia="Times New Roman" w:hAnsi="Cambria" w:cs="Times New Roman"/>
          <w:sz w:val="24"/>
          <w:szCs w:val="24"/>
        </w:rPr>
        <w:t xml:space="preserve"> </w:t>
      </w:r>
      <w:r>
        <w:rPr>
          <w:rFonts w:ascii="Cambria" w:eastAsia="Times New Roman" w:hAnsi="Cambria" w:cs="Times New Roman"/>
          <w:b/>
          <w:bCs/>
          <w:sz w:val="24"/>
          <w:szCs w:val="24"/>
        </w:rPr>
        <w:t>100% frontal</w:t>
      </w:r>
      <w:r>
        <w:rPr>
          <w:rFonts w:ascii="Cambria" w:eastAsia="Times New Roman" w:hAnsi="Cambria" w:cs="Times New Roman"/>
          <w:sz w:val="24"/>
          <w:szCs w:val="24"/>
        </w:rPr>
        <w:t xml:space="preserve"> (acesso a módulos, fontes e placas de recepção sem necessidade de acesso traseiro).</w:t>
      </w:r>
    </w:p>
    <w:p w14:paraId="0B41576F"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Sistema de Ventilação:</w:t>
      </w:r>
      <w:r>
        <w:rPr>
          <w:rFonts w:ascii="Cambria" w:eastAsia="Times New Roman" w:hAnsi="Cambria" w:cs="Times New Roman"/>
          <w:sz w:val="24"/>
          <w:szCs w:val="24"/>
        </w:rPr>
        <w:t xml:space="preserve"> Passivo, sem uso de ventoinhas (silencioso, ideal para auditórios).</w:t>
      </w:r>
    </w:p>
    <w:p w14:paraId="64C3E123"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Estrutura de Sustentação:</w:t>
      </w:r>
      <w:r>
        <w:rPr>
          <w:rFonts w:ascii="Cambria" w:eastAsia="Times New Roman" w:hAnsi="Cambria" w:cs="Times New Roman"/>
          <w:sz w:val="24"/>
          <w:szCs w:val="24"/>
        </w:rPr>
        <w:t xml:space="preserve"> Autoportante em aço ou alumínio (cor preta), com rodízios de alta resistência e ajustes precisos no </w:t>
      </w:r>
      <w:r>
        <w:rPr>
          <w:rFonts w:ascii="Cambria" w:eastAsia="Times New Roman" w:hAnsi="Cambria" w:cs="Times New Roman"/>
          <w:b/>
          <w:bCs/>
          <w:sz w:val="24"/>
          <w:szCs w:val="24"/>
        </w:rPr>
        <w:t>Eixo Z</w:t>
      </w:r>
      <w:r>
        <w:rPr>
          <w:rFonts w:ascii="Cambria" w:eastAsia="Times New Roman" w:hAnsi="Cambria" w:cs="Times New Roman"/>
          <w:sz w:val="24"/>
          <w:szCs w:val="24"/>
        </w:rPr>
        <w:t xml:space="preserve"> (± 0,5mm) para alinhamento perfeito.</w:t>
      </w:r>
    </w:p>
    <w:p w14:paraId="49A0F52C"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Proteção:</w:t>
      </w:r>
      <w:r>
        <w:rPr>
          <w:rFonts w:ascii="Cambria" w:eastAsia="Times New Roman" w:hAnsi="Cambria" w:cs="Times New Roman"/>
          <w:sz w:val="24"/>
          <w:szCs w:val="24"/>
        </w:rPr>
        <w:t xml:space="preserve"> Padrão IP30.</w:t>
      </w:r>
    </w:p>
    <w:p w14:paraId="3EEA83AF"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Tensão:</w:t>
      </w:r>
      <w:r>
        <w:rPr>
          <w:rFonts w:ascii="Cambria" w:eastAsia="Times New Roman" w:hAnsi="Cambria" w:cs="Times New Roman"/>
          <w:sz w:val="24"/>
          <w:szCs w:val="24"/>
        </w:rPr>
        <w:t xml:space="preserve"> 200-240VAC (automática).</w:t>
      </w:r>
    </w:p>
    <w:p w14:paraId="45CA9D3A" w14:textId="77777777" w:rsidR="00150077" w:rsidRDefault="00000000">
      <w:pPr>
        <w:numPr>
          <w:ilvl w:val="0"/>
          <w:numId w:val="8"/>
        </w:numPr>
        <w:spacing w:before="0" w:after="0" w:line="360" w:lineRule="auto"/>
        <w:rPr>
          <w:rFonts w:ascii="Cambria" w:eastAsia="Times New Roman" w:hAnsi="Cambria" w:cs="Times New Roman"/>
          <w:sz w:val="24"/>
          <w:szCs w:val="24"/>
        </w:rPr>
      </w:pPr>
      <w:r>
        <w:rPr>
          <w:rFonts w:ascii="Cambria" w:eastAsia="Times New Roman" w:hAnsi="Cambria" w:cs="Times New Roman"/>
          <w:b/>
          <w:bCs/>
          <w:sz w:val="24"/>
          <w:szCs w:val="24"/>
        </w:rPr>
        <w:t>Controladora:</w:t>
      </w:r>
      <w:r>
        <w:rPr>
          <w:rFonts w:ascii="Cambria" w:eastAsia="Times New Roman" w:hAnsi="Cambria" w:cs="Times New Roman"/>
          <w:sz w:val="24"/>
          <w:szCs w:val="24"/>
        </w:rPr>
        <w:t xml:space="preserve"> Arquitetura dedicada de alta velocidade, processamento de baixa latência e suporte a HDCP, HDMI, DVI-D e </w:t>
      </w:r>
      <w:proofErr w:type="spellStart"/>
      <w:r>
        <w:rPr>
          <w:rFonts w:ascii="Cambria" w:eastAsia="Times New Roman" w:hAnsi="Cambria" w:cs="Times New Roman"/>
          <w:sz w:val="24"/>
          <w:szCs w:val="24"/>
        </w:rPr>
        <w:t>DisplayPort</w:t>
      </w:r>
      <w:proofErr w:type="spellEnd"/>
      <w:r>
        <w:rPr>
          <w:rFonts w:ascii="Cambria" w:eastAsia="Times New Roman" w:hAnsi="Cambria" w:cs="Times New Roman"/>
          <w:sz w:val="24"/>
          <w:szCs w:val="24"/>
        </w:rPr>
        <w:t>.</w:t>
      </w:r>
    </w:p>
    <w:p w14:paraId="08FE8CF2" w14:textId="77777777" w:rsidR="00150077" w:rsidRDefault="00000000">
      <w:pPr>
        <w:numPr>
          <w:ilvl w:val="0"/>
          <w:numId w:val="8"/>
        </w:numPr>
        <w:spacing w:before="0" w:after="240" w:line="360" w:lineRule="auto"/>
        <w:rPr>
          <w:rFonts w:ascii="Cambria" w:eastAsia="Times New Roman" w:hAnsi="Cambria" w:cs="Times New Roman"/>
          <w:sz w:val="24"/>
          <w:szCs w:val="24"/>
        </w:rPr>
      </w:pPr>
      <w:r>
        <w:rPr>
          <w:rFonts w:ascii="Cambria" w:eastAsia="Times New Roman" w:hAnsi="Cambria" w:cs="Times New Roman"/>
          <w:b/>
          <w:bCs/>
          <w:sz w:val="24"/>
          <w:szCs w:val="24"/>
        </w:rPr>
        <w:t>Software:</w:t>
      </w:r>
      <w:r>
        <w:rPr>
          <w:rFonts w:ascii="Cambria" w:eastAsia="Times New Roman" w:hAnsi="Cambria" w:cs="Times New Roman"/>
          <w:sz w:val="24"/>
          <w:szCs w:val="24"/>
        </w:rPr>
        <w:t xml:space="preserve"> Gestão remota com suporte a </w:t>
      </w:r>
      <w:proofErr w:type="spellStart"/>
      <w:r>
        <w:rPr>
          <w:rFonts w:ascii="Cambria" w:eastAsia="Times New Roman" w:hAnsi="Cambria" w:cs="Times New Roman"/>
          <w:i/>
          <w:iCs/>
          <w:sz w:val="24"/>
          <w:szCs w:val="24"/>
        </w:rPr>
        <w:t>templates</w:t>
      </w:r>
      <w:proofErr w:type="spellEnd"/>
      <w:r>
        <w:rPr>
          <w:rFonts w:ascii="Cambria" w:eastAsia="Times New Roman" w:hAnsi="Cambria" w:cs="Times New Roman"/>
          <w:sz w:val="24"/>
          <w:szCs w:val="24"/>
        </w:rPr>
        <w:t xml:space="preserve">, agendamentos, grupos de dispositivos e monitoramento de </w:t>
      </w:r>
      <w:r>
        <w:rPr>
          <w:rFonts w:ascii="Cambria" w:eastAsia="Times New Roman" w:hAnsi="Cambria" w:cs="Times New Roman"/>
          <w:i/>
          <w:iCs/>
          <w:sz w:val="24"/>
          <w:szCs w:val="24"/>
        </w:rPr>
        <w:t>status</w:t>
      </w:r>
      <w:r>
        <w:rPr>
          <w:rFonts w:ascii="Cambria" w:eastAsia="Times New Roman" w:hAnsi="Cambria" w:cs="Times New Roman"/>
          <w:sz w:val="24"/>
          <w:szCs w:val="24"/>
        </w:rPr>
        <w:t xml:space="preserve"> via rede.</w:t>
      </w:r>
    </w:p>
    <w:p w14:paraId="2871CF58" w14:textId="77777777" w:rsidR="00150077" w:rsidRDefault="00000000">
      <w:pPr>
        <w:spacing w:before="240" w:after="240"/>
        <w:jc w:val="center"/>
        <w:rPr>
          <w:rFonts w:ascii="Times New Roman" w:eastAsia="Times New Roman" w:hAnsi="Times New Roman" w:cs="Times New Roman"/>
        </w:rPr>
      </w:pPr>
      <w:r>
        <w:rPr>
          <w:noProof/>
        </w:rPr>
        <w:drawing>
          <wp:inline distT="0" distB="0" distL="0" distR="0" wp14:anchorId="326DEBC6" wp14:editId="3DFACBD1">
            <wp:extent cx="6116320" cy="3705225"/>
            <wp:effectExtent l="0" t="0" r="0" b="0"/>
            <wp:docPr id="1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2"/>
                    <pic:cNvPicPr>
                      <a:picLocks noChangeAspect="1" noChangeArrowheads="1"/>
                    </pic:cNvPicPr>
                  </pic:nvPicPr>
                  <pic:blipFill>
                    <a:blip r:embed="rId30"/>
                    <a:stretch>
                      <a:fillRect/>
                    </a:stretch>
                  </pic:blipFill>
                  <pic:spPr bwMode="auto">
                    <a:xfrm>
                      <a:off x="0" y="0"/>
                      <a:ext cx="6116320" cy="3705225"/>
                    </a:xfrm>
                    <a:prstGeom prst="rect">
                      <a:avLst/>
                    </a:prstGeom>
                  </pic:spPr>
                </pic:pic>
              </a:graphicData>
            </a:graphic>
          </wp:inline>
        </w:drawing>
      </w:r>
    </w:p>
    <w:p w14:paraId="312C3BFC" w14:textId="77777777" w:rsidR="00150077" w:rsidRDefault="00000000">
      <w:pPr>
        <w:spacing w:before="240" w:after="240"/>
        <w:jc w:val="left"/>
        <w:rPr>
          <w:rFonts w:ascii="Times New Roman" w:eastAsia="Times New Roman" w:hAnsi="Times New Roman" w:cs="Times New Roman"/>
        </w:rPr>
      </w:pPr>
      <w:r>
        <w:rPr>
          <w:noProof/>
        </w:rPr>
        <w:lastRenderedPageBreak/>
        <w:drawing>
          <wp:inline distT="0" distB="0" distL="0" distR="0" wp14:anchorId="5969F64D" wp14:editId="511ADEF5">
            <wp:extent cx="6116955" cy="3340100"/>
            <wp:effectExtent l="0" t="0" r="0" b="0"/>
            <wp:docPr id="1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3"/>
                    <pic:cNvPicPr>
                      <a:picLocks noChangeAspect="1" noChangeArrowheads="1"/>
                    </pic:cNvPicPr>
                  </pic:nvPicPr>
                  <pic:blipFill>
                    <a:blip r:embed="rId31"/>
                    <a:stretch>
                      <a:fillRect/>
                    </a:stretch>
                  </pic:blipFill>
                  <pic:spPr bwMode="auto">
                    <a:xfrm>
                      <a:off x="0" y="0"/>
                      <a:ext cx="6116955" cy="3340100"/>
                    </a:xfrm>
                    <a:prstGeom prst="rect">
                      <a:avLst/>
                    </a:prstGeom>
                  </pic:spPr>
                </pic:pic>
              </a:graphicData>
            </a:graphic>
          </wp:inline>
        </w:drawing>
      </w:r>
    </w:p>
    <w:p w14:paraId="0906044C" w14:textId="77777777" w:rsidR="00150077" w:rsidRDefault="00000000">
      <w:pPr>
        <w:spacing w:before="240" w:after="240"/>
        <w:jc w:val="left"/>
        <w:rPr>
          <w:rFonts w:ascii="Times New Roman" w:eastAsia="Times New Roman" w:hAnsi="Times New Roman" w:cs="Times New Roman"/>
        </w:rPr>
      </w:pPr>
      <w:r>
        <w:rPr>
          <w:noProof/>
        </w:rPr>
        <w:drawing>
          <wp:inline distT="0" distB="0" distL="0" distR="0" wp14:anchorId="0EE847EE" wp14:editId="001C30A9">
            <wp:extent cx="6116955" cy="3340100"/>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png"/>
                    <pic:cNvPicPr>
                      <a:picLocks noChangeAspect="1" noChangeArrowheads="1"/>
                    </pic:cNvPicPr>
                  </pic:nvPicPr>
                  <pic:blipFill>
                    <a:blip r:embed="rId32"/>
                    <a:stretch>
                      <a:fillRect/>
                    </a:stretch>
                  </pic:blipFill>
                  <pic:spPr bwMode="auto">
                    <a:xfrm>
                      <a:off x="0" y="0"/>
                      <a:ext cx="6116955" cy="3340100"/>
                    </a:xfrm>
                    <a:prstGeom prst="rect">
                      <a:avLst/>
                    </a:prstGeom>
                  </pic:spPr>
                </pic:pic>
              </a:graphicData>
            </a:graphic>
          </wp:inline>
        </w:drawing>
      </w:r>
    </w:p>
    <w:p w14:paraId="46DF919B" w14:textId="77777777" w:rsidR="00150077" w:rsidRDefault="00000000">
      <w:pPr>
        <w:spacing w:before="240" w:after="240"/>
        <w:jc w:val="left"/>
        <w:rPr>
          <w:rFonts w:ascii="Cambria" w:eastAsia="Times New Roman" w:hAnsi="Cambria" w:cs="Times New Roman"/>
          <w:sz w:val="24"/>
          <w:szCs w:val="24"/>
        </w:rPr>
      </w:pPr>
      <w:r>
        <w:rPr>
          <w:rFonts w:ascii="Cambria" w:eastAsia="Times New Roman" w:hAnsi="Cambria" w:cs="Times New Roman"/>
          <w:sz w:val="24"/>
          <w:szCs w:val="24"/>
        </w:rPr>
        <w:t>(Imagens meramente ilustrativas)</w:t>
      </w:r>
    </w:p>
    <w:p w14:paraId="09E1B16B"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 xml:space="preserve">A CONTRATADA deverá prestar todos os esclarecimentos técnicos que lhe forem solicitados, relacionados com as características e composições dos objetos a serem adquiridos. </w:t>
      </w:r>
    </w:p>
    <w:p w14:paraId="325FFBA3"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lastRenderedPageBreak/>
        <w:t>A CONTRATADA deverá arcar com todas as despesas, diretas ou indiretas, decorrentes do fornecimento dos objetos, sem qualquer ônus para a municipalidade.</w:t>
      </w:r>
    </w:p>
    <w:p w14:paraId="274564AC"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A CONTRATADA deverá repetir procedimentos as suas próprias custas para correção de falhas verificadas, principalmente na hipótese de aquisição dos objetos em desacordo com as condições pactuadas.</w:t>
      </w:r>
    </w:p>
    <w:p w14:paraId="2C33E6C3"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A CONTRATADA deverá atentar para as práticas de mitigação dos impactos na produção, bem como as leis e Resoluções que orientam a produção sustentável dessas atividades.</w:t>
      </w:r>
    </w:p>
    <w:p w14:paraId="5E289D3B"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Os produtos deverão ser entregues, montados, instalados e desmontados em local especificado pela Secretaria Municipal de Cultura, em até 10 dias úteis, em horário conforme determinação dada através de Requisição/Solicitação/Ordem de Fornecimento pela requisitante, sem ônus adicionais, tais como: transporte, alimentação, etc.</w:t>
      </w:r>
    </w:p>
    <w:p w14:paraId="5724CAD5"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A Contratação deve considerar ainda as consequências ambientais, sociais e econômicos de: projetos,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w:t>
      </w:r>
    </w:p>
    <w:tbl>
      <w:tblPr>
        <w:tblW w:w="9608" w:type="dxa"/>
        <w:tblLayout w:type="fixed"/>
        <w:tblLook w:val="0400" w:firstRow="0" w:lastRow="0" w:firstColumn="0" w:lastColumn="0" w:noHBand="0" w:noVBand="1"/>
      </w:tblPr>
      <w:tblGrid>
        <w:gridCol w:w="9608"/>
      </w:tblGrid>
      <w:tr w:rsidR="00150077" w14:paraId="6A33E5AB"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39862485" w14:textId="77777777" w:rsidR="00150077" w:rsidRDefault="00000000">
            <w:pPr>
              <w:spacing w:before="60" w:after="60"/>
              <w:rPr>
                <w:rFonts w:ascii="Times New Roman" w:eastAsia="Times New Roman" w:hAnsi="Times New Roman" w:cs="Times New Roman"/>
                <w:b/>
                <w:bCs/>
              </w:rPr>
            </w:pPr>
            <w:sdt>
              <w:sdtPr>
                <w:tag w:val="goog_rdk_5"/>
                <w:id w:val="1072430875"/>
                <w:lock w:val="contentLocked"/>
                <w:text/>
              </w:sdtPr>
              <w:sdtContent>
                <w:r>
                  <w:rPr>
                    <w:rFonts w:ascii="Times New Roman" w:eastAsia="Times New Roman" w:hAnsi="Times New Roman" w:cs="Times New Roman"/>
                    <w:b/>
                    <w:bCs/>
                    <w:sz w:val="24"/>
                    <w:szCs w:val="24"/>
                  </w:rPr>
                  <w:t>5. LEVANTAMENTO DO MERCADO</w:t>
                </w:r>
              </w:sdtContent>
            </w:sdt>
          </w:p>
        </w:tc>
      </w:tr>
    </w:tbl>
    <w:p w14:paraId="63FECBC7"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Analisando o mercado, entendem-se viáveis as seguintes alternativas abaixo indicadas com os seus prós e contras:</w:t>
      </w:r>
    </w:p>
    <w:p w14:paraId="40DC7865" w14:textId="77777777" w:rsidR="00150077" w:rsidRDefault="00000000">
      <w:pPr>
        <w:numPr>
          <w:ilvl w:val="0"/>
          <w:numId w:val="9"/>
        </w:numPr>
        <w:spacing w:before="240" w:after="0" w:line="276" w:lineRule="auto"/>
        <w:ind w:left="850" w:hanging="425"/>
        <w:rPr>
          <w:rFonts w:ascii="Cambria" w:eastAsia="Times New Roman" w:hAnsi="Cambria" w:cs="Times New Roman"/>
          <w:sz w:val="24"/>
          <w:szCs w:val="24"/>
        </w:rPr>
      </w:pPr>
      <w:r>
        <w:rPr>
          <w:rFonts w:ascii="Cambria" w:eastAsia="Times New Roman" w:hAnsi="Cambria" w:cs="Times New Roman"/>
          <w:sz w:val="24"/>
          <w:szCs w:val="24"/>
        </w:rPr>
        <w:t xml:space="preserve">A CONTRATADA deverá fornecer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w:t>
      </w:r>
    </w:p>
    <w:p w14:paraId="65039221" w14:textId="77777777" w:rsidR="00150077" w:rsidRDefault="00000000">
      <w:pPr>
        <w:numPr>
          <w:ilvl w:val="0"/>
          <w:numId w:val="9"/>
        </w:numPr>
        <w:spacing w:before="240" w:after="0" w:line="276" w:lineRule="auto"/>
        <w:ind w:left="850" w:hanging="425"/>
        <w:rPr>
          <w:rFonts w:ascii="Cambria" w:eastAsia="Times New Roman" w:hAnsi="Cambria" w:cs="Times New Roman"/>
          <w:sz w:val="24"/>
          <w:szCs w:val="24"/>
        </w:rPr>
      </w:pPr>
      <w:r>
        <w:rPr>
          <w:rFonts w:ascii="Cambria" w:eastAsia="Times New Roman" w:hAnsi="Cambria" w:cs="Times New Roman"/>
          <w:sz w:val="24"/>
          <w:szCs w:val="24"/>
        </w:rPr>
        <w:t xml:space="preserve">A CONTRATADA deverá entregar os produtos montados instalados e desmontados em local especificado pela Secretaria Municipal de Cultura, em até 10 dias úteis, em horário conforme determinação dada através de Requisição/Solicitação/Ordem de Fornecimento pela requisitante, sem ônus adicionais, tais como: transporte, alimentação, </w:t>
      </w:r>
      <w:proofErr w:type="gramStart"/>
      <w:r>
        <w:rPr>
          <w:rFonts w:ascii="Cambria" w:eastAsia="Times New Roman" w:hAnsi="Cambria" w:cs="Times New Roman"/>
          <w:sz w:val="24"/>
          <w:szCs w:val="24"/>
        </w:rPr>
        <w:t>etc..</w:t>
      </w:r>
      <w:proofErr w:type="gramEnd"/>
    </w:p>
    <w:p w14:paraId="5509FB37" w14:textId="77777777" w:rsidR="00150077" w:rsidRDefault="00000000">
      <w:pPr>
        <w:rPr>
          <w:rFonts w:ascii="Cambria" w:eastAsia="Times New Roman" w:hAnsi="Cambria" w:cs="Times New Roman"/>
        </w:rPr>
      </w:pPr>
      <w:r>
        <w:rPr>
          <w:rFonts w:ascii="Cambria" w:eastAsia="Times New Roman" w:hAnsi="Cambria" w:cs="Times New Roman"/>
          <w:sz w:val="24"/>
          <w:szCs w:val="24"/>
        </w:rPr>
        <w:lastRenderedPageBreak/>
        <w:t>Diante das necessidades apontadas neste estudo, o atendimento à solução exige a contratação de empresa especializada cujo ramo de atividade seja compatível com o objeto pretendido.</w:t>
      </w:r>
    </w:p>
    <w:p w14:paraId="7AF75727" w14:textId="77777777" w:rsidR="00150077" w:rsidRDefault="00000000">
      <w:pPr>
        <w:spacing w:after="240"/>
        <w:rPr>
          <w:rFonts w:ascii="Cambria" w:eastAsia="Times New Roman" w:hAnsi="Cambria" w:cs="Times New Roman"/>
        </w:rPr>
      </w:pPr>
      <w:r>
        <w:rPr>
          <w:rFonts w:ascii="Cambria" w:eastAsia="Times New Roman" w:hAnsi="Cambria" w:cs="Times New Roman"/>
          <w:sz w:val="24"/>
          <w:szCs w:val="24"/>
        </w:rPr>
        <w:t>Foram analisadas contratações similares feitas por outros órgãos e entidades, por meio de consultas a outros editais, com objetivo de identificar a existência de novas metodologias, tecnologias ou inovações que melhor atendessem às necessidades da municipalidade. Não se observou maiores variações quanto à execução do objeto no que se refere ao papel da empresa a qual se pretende contratar. Assim, a variação se dá pela modalidade de licitação aplicada a cada caso, a depender da permissibilidade normativa.</w:t>
      </w:r>
    </w:p>
    <w:tbl>
      <w:tblPr>
        <w:tblW w:w="9608" w:type="dxa"/>
        <w:tblLayout w:type="fixed"/>
        <w:tblLook w:val="0400" w:firstRow="0" w:lastRow="0" w:firstColumn="0" w:lastColumn="0" w:noHBand="0" w:noVBand="1"/>
      </w:tblPr>
      <w:tblGrid>
        <w:gridCol w:w="9608"/>
      </w:tblGrid>
      <w:tr w:rsidR="00150077" w14:paraId="49E85DEC"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7DD75BC4" w14:textId="77777777" w:rsidR="00150077" w:rsidRDefault="00000000">
            <w:pPr>
              <w:spacing w:before="60" w:after="60"/>
              <w:rPr>
                <w:rFonts w:ascii="Times New Roman" w:eastAsia="Times New Roman" w:hAnsi="Times New Roman" w:cs="Times New Roman"/>
                <w:b/>
                <w:bCs/>
              </w:rPr>
            </w:pPr>
            <w:sdt>
              <w:sdtPr>
                <w:tag w:val="goog_rdk_6"/>
                <w:id w:val="2128919435"/>
                <w:lock w:val="contentLocked"/>
                <w:text/>
              </w:sdtPr>
              <w:sdtContent>
                <w:r>
                  <w:rPr>
                    <w:rFonts w:ascii="Times New Roman" w:eastAsia="Times New Roman" w:hAnsi="Times New Roman" w:cs="Times New Roman"/>
                    <w:b/>
                    <w:bCs/>
                    <w:sz w:val="24"/>
                    <w:szCs w:val="24"/>
                  </w:rPr>
                  <w:t>6. DESCRIÇÃO DA SOLUÇÃO COMO UM TODO</w:t>
                </w:r>
              </w:sdtContent>
            </w:sdt>
          </w:p>
        </w:tc>
      </w:tr>
    </w:tbl>
    <w:p w14:paraId="7267F9FA" w14:textId="77777777" w:rsidR="00150077" w:rsidRDefault="00000000">
      <w:pPr>
        <w:spacing w:before="240"/>
        <w:rPr>
          <w:rFonts w:ascii="Cambria" w:eastAsia="Times New Roman" w:hAnsi="Cambria" w:cs="Times New Roman"/>
          <w:sz w:val="24"/>
          <w:szCs w:val="24"/>
        </w:rPr>
      </w:pPr>
      <w:r>
        <w:rPr>
          <w:rFonts w:ascii="Cambria" w:eastAsia="Times New Roman" w:hAnsi="Cambria" w:cs="Times New Roman"/>
          <w:sz w:val="24"/>
          <w:szCs w:val="24"/>
        </w:rPr>
        <w:t xml:space="preserve">Diante das alternativas apresentadas pelo mercado, sopesando-se os prós e contras de cada uma delas, entende-se que a melhor solução para a satisfação do interesse público é a contratação de empresas aptas no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w:t>
      </w:r>
    </w:p>
    <w:p w14:paraId="19EDE475" w14:textId="77777777" w:rsidR="00150077" w:rsidRDefault="00000000">
      <w:pPr>
        <w:spacing w:after="240"/>
        <w:rPr>
          <w:rFonts w:ascii="Cambria" w:eastAsia="Times New Roman" w:hAnsi="Cambria" w:cs="Times New Roman"/>
          <w:sz w:val="24"/>
          <w:szCs w:val="24"/>
        </w:rPr>
      </w:pPr>
      <w:r>
        <w:rPr>
          <w:rFonts w:ascii="Cambria" w:eastAsia="Times New Roman" w:hAnsi="Cambria" w:cs="Times New Roman"/>
          <w:sz w:val="24"/>
          <w:szCs w:val="24"/>
        </w:rPr>
        <w:t>Todos os demais elementos necessários ao atendimento à demanda da Administração estarão dispostos no Termo de Referência, entre eles as obrigações e responsabilidades da CONTRATADA e demais especificidades do objeto.</w:t>
      </w:r>
    </w:p>
    <w:tbl>
      <w:tblPr>
        <w:tblW w:w="9608" w:type="dxa"/>
        <w:tblLayout w:type="fixed"/>
        <w:tblLook w:val="0400" w:firstRow="0" w:lastRow="0" w:firstColumn="0" w:lastColumn="0" w:noHBand="0" w:noVBand="1"/>
      </w:tblPr>
      <w:tblGrid>
        <w:gridCol w:w="9608"/>
      </w:tblGrid>
      <w:tr w:rsidR="00150077" w14:paraId="0D9B445F"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56622110" w14:textId="77777777" w:rsidR="00150077" w:rsidRDefault="00000000">
            <w:pPr>
              <w:spacing w:before="60" w:after="60"/>
              <w:rPr>
                <w:rFonts w:ascii="Times New Roman" w:eastAsia="Times New Roman" w:hAnsi="Times New Roman" w:cs="Times New Roman"/>
                <w:b/>
                <w:bCs/>
              </w:rPr>
            </w:pPr>
            <w:sdt>
              <w:sdtPr>
                <w:tag w:val="goog_rdk_7"/>
                <w:id w:val="368057128"/>
                <w:lock w:val="contentLocked"/>
                <w:text/>
              </w:sdtPr>
              <w:sdtContent>
                <w:r>
                  <w:rPr>
                    <w:rFonts w:ascii="Times New Roman" w:eastAsia="Times New Roman" w:hAnsi="Times New Roman" w:cs="Times New Roman"/>
                    <w:b/>
                    <w:bCs/>
                    <w:sz w:val="24"/>
                    <w:szCs w:val="24"/>
                  </w:rPr>
                  <w:t>7. ESTIMATIVA DAS QUANTIDADES A SEREM CONTRATADAS</w:t>
                </w:r>
              </w:sdtContent>
            </w:sdt>
          </w:p>
        </w:tc>
      </w:tr>
    </w:tbl>
    <w:p w14:paraId="189AB706" w14:textId="77777777" w:rsidR="00150077"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Entende-se necessária a contratação dos seguintes itens e quantitativos:</w:t>
      </w:r>
    </w:p>
    <w:tbl>
      <w:tblPr>
        <w:tblW w:w="9645" w:type="dxa"/>
        <w:tblInd w:w="-345" w:type="dxa"/>
        <w:tblLayout w:type="fixed"/>
        <w:tblLook w:val="0600" w:firstRow="0" w:lastRow="0" w:firstColumn="0" w:lastColumn="0" w:noHBand="1" w:noVBand="1"/>
      </w:tblPr>
      <w:tblGrid>
        <w:gridCol w:w="959"/>
        <w:gridCol w:w="1170"/>
        <w:gridCol w:w="705"/>
        <w:gridCol w:w="691"/>
        <w:gridCol w:w="4980"/>
        <w:gridCol w:w="1140"/>
      </w:tblGrid>
      <w:tr w:rsidR="00150077" w14:paraId="6B9556EC" w14:textId="77777777">
        <w:tc>
          <w:tcPr>
            <w:tcW w:w="959" w:type="dxa"/>
            <w:tcBorders>
              <w:top w:val="single" w:sz="4" w:space="0" w:color="000000"/>
              <w:left w:val="single" w:sz="4" w:space="0" w:color="000000"/>
              <w:bottom w:val="single" w:sz="4" w:space="0" w:color="000000"/>
              <w:right w:val="single" w:sz="4" w:space="0" w:color="000000"/>
            </w:tcBorders>
            <w:vAlign w:val="center"/>
          </w:tcPr>
          <w:p w14:paraId="026C11BD" w14:textId="77777777" w:rsidR="00150077" w:rsidRDefault="00000000">
            <w:pPr>
              <w:spacing w:after="0" w:line="240" w:lineRule="auto"/>
              <w:jc w:val="center"/>
              <w:rPr>
                <w:rFonts w:ascii="Times New Roman" w:eastAsia="Times New Roman" w:hAnsi="Times New Roman" w:cs="Times New Roman"/>
                <w:b/>
                <w:bCs/>
              </w:rPr>
            </w:pPr>
            <w:sdt>
              <w:sdtPr>
                <w:tag w:val="goog_rdk_0"/>
                <w:id w:val="2021811345"/>
                <w:lock w:val="contentLocked"/>
                <w:text/>
              </w:sdtPr>
              <w:sdtContent>
                <w:r>
                  <w:rPr>
                    <w:rFonts w:ascii="Times New Roman" w:eastAsia="Times New Roman" w:hAnsi="Times New Roman" w:cs="Times New Roman"/>
                    <w:b/>
                    <w:bCs/>
                  </w:rPr>
                  <w:t>ITEM</w:t>
                </w:r>
              </w:sdtContent>
            </w:sdt>
          </w:p>
        </w:tc>
        <w:tc>
          <w:tcPr>
            <w:tcW w:w="1170" w:type="dxa"/>
            <w:tcBorders>
              <w:top w:val="single" w:sz="4" w:space="0" w:color="000000"/>
              <w:bottom w:val="single" w:sz="4" w:space="0" w:color="000000"/>
              <w:right w:val="single" w:sz="4" w:space="0" w:color="000000"/>
            </w:tcBorders>
            <w:vAlign w:val="center"/>
          </w:tcPr>
          <w:p w14:paraId="06F127C0"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CÓDIGO</w:t>
            </w:r>
          </w:p>
        </w:tc>
        <w:tc>
          <w:tcPr>
            <w:tcW w:w="705" w:type="dxa"/>
            <w:tcBorders>
              <w:top w:val="single" w:sz="4" w:space="0" w:color="000000"/>
              <w:bottom w:val="single" w:sz="4" w:space="0" w:color="000000"/>
              <w:right w:val="single" w:sz="4" w:space="0" w:color="000000"/>
            </w:tcBorders>
            <w:vAlign w:val="center"/>
          </w:tcPr>
          <w:p w14:paraId="6C8EAB0B"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QNT</w:t>
            </w:r>
          </w:p>
        </w:tc>
        <w:tc>
          <w:tcPr>
            <w:tcW w:w="691" w:type="dxa"/>
            <w:tcBorders>
              <w:top w:val="single" w:sz="4" w:space="0" w:color="000000"/>
              <w:bottom w:val="single" w:sz="4" w:space="0" w:color="000000"/>
              <w:right w:val="single" w:sz="4" w:space="0" w:color="000000"/>
            </w:tcBorders>
            <w:vAlign w:val="center"/>
          </w:tcPr>
          <w:p w14:paraId="3844C1F8"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UND</w:t>
            </w:r>
          </w:p>
        </w:tc>
        <w:tc>
          <w:tcPr>
            <w:tcW w:w="4979" w:type="dxa"/>
            <w:tcBorders>
              <w:top w:val="single" w:sz="4" w:space="0" w:color="000000"/>
              <w:bottom w:val="single" w:sz="4" w:space="0" w:color="000000"/>
              <w:right w:val="single" w:sz="4" w:space="0" w:color="000000"/>
            </w:tcBorders>
            <w:vAlign w:val="center"/>
          </w:tcPr>
          <w:p w14:paraId="40D210E6"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ESPECIFICAÇÃO</w:t>
            </w:r>
          </w:p>
        </w:tc>
        <w:tc>
          <w:tcPr>
            <w:tcW w:w="1140" w:type="dxa"/>
            <w:tcBorders>
              <w:top w:val="single" w:sz="4" w:space="0" w:color="000000"/>
              <w:bottom w:val="single" w:sz="4" w:space="0" w:color="000000"/>
              <w:right w:val="single" w:sz="4" w:space="0" w:color="000000"/>
            </w:tcBorders>
            <w:vAlign w:val="center"/>
          </w:tcPr>
          <w:p w14:paraId="55DF1E2C"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EXCLUSIVO ME/EPP</w:t>
            </w:r>
          </w:p>
        </w:tc>
      </w:tr>
      <w:tr w:rsidR="00150077" w14:paraId="54B612D4" w14:textId="77777777">
        <w:tc>
          <w:tcPr>
            <w:tcW w:w="959" w:type="dxa"/>
            <w:tcBorders>
              <w:left w:val="single" w:sz="4" w:space="0" w:color="000000"/>
              <w:bottom w:val="single" w:sz="4" w:space="0" w:color="000000"/>
              <w:right w:val="single" w:sz="4" w:space="0" w:color="000000"/>
            </w:tcBorders>
            <w:vAlign w:val="center"/>
          </w:tcPr>
          <w:p w14:paraId="5B348CE0" w14:textId="77777777" w:rsidR="00150077" w:rsidRDefault="0000000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1</w:t>
            </w:r>
          </w:p>
        </w:tc>
        <w:tc>
          <w:tcPr>
            <w:tcW w:w="1170" w:type="dxa"/>
            <w:tcBorders>
              <w:bottom w:val="single" w:sz="4" w:space="0" w:color="000000"/>
              <w:right w:val="single" w:sz="4" w:space="0" w:color="000000"/>
            </w:tcBorders>
            <w:vAlign w:val="center"/>
          </w:tcPr>
          <w:p w14:paraId="0A0D5202" w14:textId="77777777" w:rsidR="00150077" w:rsidRDefault="00150077">
            <w:pPr>
              <w:spacing w:after="0" w:line="240" w:lineRule="auto"/>
              <w:jc w:val="center"/>
              <w:rPr>
                <w:rFonts w:ascii="Times New Roman" w:eastAsia="Times New Roman" w:hAnsi="Times New Roman" w:cs="Times New Roman"/>
              </w:rPr>
            </w:pPr>
          </w:p>
        </w:tc>
        <w:tc>
          <w:tcPr>
            <w:tcW w:w="705" w:type="dxa"/>
            <w:tcBorders>
              <w:bottom w:val="single" w:sz="4" w:space="0" w:color="000000"/>
              <w:right w:val="single" w:sz="4" w:space="0" w:color="000000"/>
            </w:tcBorders>
            <w:vAlign w:val="center"/>
          </w:tcPr>
          <w:p w14:paraId="3C0FC808" w14:textId="77777777" w:rsidR="00150077"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691" w:type="dxa"/>
            <w:tcBorders>
              <w:bottom w:val="single" w:sz="4" w:space="0" w:color="000000"/>
              <w:right w:val="single" w:sz="4" w:space="0" w:color="000000"/>
            </w:tcBorders>
            <w:vAlign w:val="center"/>
          </w:tcPr>
          <w:p w14:paraId="4479A250" w14:textId="77777777" w:rsidR="00150077"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UN</w:t>
            </w:r>
          </w:p>
        </w:tc>
        <w:tc>
          <w:tcPr>
            <w:tcW w:w="4979" w:type="dxa"/>
            <w:tcBorders>
              <w:bottom w:val="single" w:sz="4" w:space="0" w:color="000000"/>
              <w:right w:val="single" w:sz="4" w:space="0" w:color="000000"/>
            </w:tcBorders>
            <w:vAlign w:val="center"/>
          </w:tcPr>
          <w:p w14:paraId="0954B4E0" w14:textId="77777777" w:rsidR="00150077"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Fornecimento de solução completa de visualização e sinalização digital (Digital </w:t>
            </w:r>
            <w:proofErr w:type="spellStart"/>
            <w:r>
              <w:rPr>
                <w:rFonts w:ascii="Times New Roman" w:eastAsia="Times New Roman" w:hAnsi="Times New Roman" w:cs="Times New Roman"/>
                <w:sz w:val="24"/>
                <w:szCs w:val="24"/>
              </w:rPr>
              <w:lastRenderedPageBreak/>
              <w:t>Signage</w:t>
            </w:r>
            <w:proofErr w:type="spellEnd"/>
            <w:r>
              <w:rPr>
                <w:rFonts w:ascii="Times New Roman" w:eastAsia="Times New Roman" w:hAnsi="Times New Roman" w:cs="Times New Roman"/>
                <w:sz w:val="24"/>
                <w:szCs w:val="24"/>
              </w:rPr>
              <w:t>), composta por painel de LED modular de alta performance híbrido (indoor/outdoor), projetado para operação em eventos culturais e ambientes institucionais. A solução deve incluir obrigatoriamente:</w:t>
            </w:r>
          </w:p>
          <w:p w14:paraId="11ABB8BD" w14:textId="77777777" w:rsidR="00150077" w:rsidRDefault="00000000">
            <w:pPr>
              <w:numPr>
                <w:ilvl w:val="0"/>
                <w:numId w:val="6"/>
              </w:numPr>
              <w:spacing w:before="24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Painel de LED Modular:</w:t>
            </w:r>
            <w:r>
              <w:rPr>
                <w:rFonts w:ascii="Times New Roman" w:eastAsia="Times New Roman" w:hAnsi="Times New Roman" w:cs="Times New Roman"/>
                <w:sz w:val="24"/>
                <w:szCs w:val="24"/>
              </w:rPr>
              <w:t xml:space="preserve"> Área total mínima de 6m² (formato 3m x 2m), com tecnologia SMD de alta densidade e </w:t>
            </w:r>
            <w:r>
              <w:rPr>
                <w:rFonts w:ascii="Times New Roman" w:eastAsia="Times New Roman" w:hAnsi="Times New Roman" w:cs="Times New Roman"/>
                <w:b/>
                <w:bCs/>
                <w:sz w:val="24"/>
                <w:szCs w:val="24"/>
              </w:rPr>
              <w:t xml:space="preserve">Pixel </w:t>
            </w:r>
            <w:proofErr w:type="spellStart"/>
            <w:r>
              <w:rPr>
                <w:rFonts w:ascii="Times New Roman" w:eastAsia="Times New Roman" w:hAnsi="Times New Roman" w:cs="Times New Roman"/>
                <w:b/>
                <w:bCs/>
                <w:sz w:val="24"/>
                <w:szCs w:val="24"/>
              </w:rPr>
              <w:t>Pitch</w:t>
            </w:r>
            <w:proofErr w:type="spellEnd"/>
            <w:r>
              <w:rPr>
                <w:rFonts w:ascii="Times New Roman" w:eastAsia="Times New Roman" w:hAnsi="Times New Roman" w:cs="Times New Roman"/>
                <w:b/>
                <w:bCs/>
                <w:sz w:val="24"/>
                <w:szCs w:val="24"/>
              </w:rPr>
              <w:t xml:space="preserve"> máximo de 3.9mm</w:t>
            </w:r>
            <w:r>
              <w:rPr>
                <w:rFonts w:ascii="Times New Roman" w:eastAsia="Times New Roman" w:hAnsi="Times New Roman" w:cs="Times New Roman"/>
                <w:sz w:val="24"/>
                <w:szCs w:val="24"/>
              </w:rPr>
              <w:t xml:space="preserve">. O painel deve ser composto por gabinetes de alumínio injetado de montagem rápida, permitindo alinhamento perfeito (sem vãos ou sombras) e </w:t>
            </w:r>
            <w:r>
              <w:rPr>
                <w:rFonts w:ascii="Times New Roman" w:eastAsia="Times New Roman" w:hAnsi="Times New Roman" w:cs="Times New Roman"/>
                <w:b/>
                <w:bCs/>
                <w:sz w:val="24"/>
                <w:szCs w:val="24"/>
              </w:rPr>
              <w:t>manutenção 100% frontal</w:t>
            </w:r>
            <w:r>
              <w:rPr>
                <w:rFonts w:ascii="Times New Roman" w:eastAsia="Times New Roman" w:hAnsi="Times New Roman" w:cs="Times New Roman"/>
                <w:sz w:val="24"/>
                <w:szCs w:val="24"/>
              </w:rPr>
              <w:t xml:space="preserve"> por módulos magnéticos.</w:t>
            </w:r>
          </w:p>
          <w:p w14:paraId="03DAE974"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 Visual:</w:t>
            </w:r>
            <w:r>
              <w:rPr>
                <w:rFonts w:ascii="Times New Roman" w:eastAsia="Times New Roman" w:hAnsi="Times New Roman" w:cs="Times New Roman"/>
                <w:sz w:val="24"/>
                <w:szCs w:val="24"/>
              </w:rPr>
              <w:t xml:space="preserve"> Taxa de atualização (</w:t>
            </w:r>
            <w:proofErr w:type="spellStart"/>
            <w:r>
              <w:rPr>
                <w:rFonts w:ascii="Times New Roman" w:eastAsia="Times New Roman" w:hAnsi="Times New Roman" w:cs="Times New Roman"/>
                <w:sz w:val="24"/>
                <w:szCs w:val="24"/>
              </w:rPr>
              <w:t>Refresh</w:t>
            </w:r>
            <w:proofErr w:type="spellEnd"/>
            <w:r>
              <w:rPr>
                <w:rFonts w:ascii="Times New Roman" w:eastAsia="Times New Roman" w:hAnsi="Times New Roman" w:cs="Times New Roman"/>
                <w:sz w:val="24"/>
                <w:szCs w:val="24"/>
              </w:rPr>
              <w:t xml:space="preserve"> Rate) mínima de </w:t>
            </w:r>
            <w:r>
              <w:rPr>
                <w:rFonts w:ascii="Times New Roman" w:eastAsia="Times New Roman" w:hAnsi="Times New Roman" w:cs="Times New Roman"/>
                <w:b/>
                <w:bCs/>
                <w:sz w:val="24"/>
                <w:szCs w:val="24"/>
              </w:rPr>
              <w:t>3.840 Hz</w:t>
            </w:r>
            <w:r>
              <w:rPr>
                <w:rFonts w:ascii="Times New Roman" w:eastAsia="Times New Roman" w:hAnsi="Times New Roman" w:cs="Times New Roman"/>
                <w:sz w:val="24"/>
                <w:szCs w:val="24"/>
              </w:rPr>
              <w:t>, garantindo ausência de cintilação em transmissões audiovisuais. Ângulo de visão de no mínimo 160° (horizontal) e 140° (vertical), com brilho adaptável e contraste estático mínimo de 5.000:1.</w:t>
            </w:r>
          </w:p>
          <w:p w14:paraId="003AC2DD"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Processamento e Controle:</w:t>
            </w:r>
            <w:r>
              <w:rPr>
                <w:rFonts w:ascii="Times New Roman" w:eastAsia="Times New Roman" w:hAnsi="Times New Roman" w:cs="Times New Roman"/>
                <w:sz w:val="24"/>
                <w:szCs w:val="24"/>
              </w:rPr>
              <w:t xml:space="preserve"> Controladora de vídeo dedicada do mesmo fabricante do painel, com arquitetura embarcada (não baseada em PC), capaz de gerenciar sinais em tempo real sem perda de quadros. Deve suportar entradas padrão HDMI/</w:t>
            </w:r>
            <w:proofErr w:type="spellStart"/>
            <w:r>
              <w:rPr>
                <w:rFonts w:ascii="Times New Roman" w:eastAsia="Times New Roman" w:hAnsi="Times New Roman" w:cs="Times New Roman"/>
                <w:sz w:val="24"/>
                <w:szCs w:val="24"/>
              </w:rPr>
              <w:t>DisplayPort</w:t>
            </w:r>
            <w:proofErr w:type="spellEnd"/>
            <w:r>
              <w:rPr>
                <w:rFonts w:ascii="Times New Roman" w:eastAsia="Times New Roman" w:hAnsi="Times New Roman" w:cs="Times New Roman"/>
                <w:sz w:val="24"/>
                <w:szCs w:val="24"/>
              </w:rPr>
              <w:t xml:space="preserve"> e ser compatível com sistemas de gerenciamento de conteúdo via rede.</w:t>
            </w:r>
          </w:p>
          <w:p w14:paraId="695242D8"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Sistema de Gerenciamento de Conteúdo:</w:t>
            </w:r>
            <w:r>
              <w:rPr>
                <w:rFonts w:ascii="Times New Roman" w:eastAsia="Times New Roman" w:hAnsi="Times New Roman" w:cs="Times New Roman"/>
                <w:sz w:val="24"/>
                <w:szCs w:val="24"/>
              </w:rPr>
              <w:t xml:space="preserve"> Software licenciado e homologado pelo fabricante, permitindo agendamento de mídias, criação de </w:t>
            </w:r>
            <w:proofErr w:type="spellStart"/>
            <w:r>
              <w:rPr>
                <w:rFonts w:ascii="Times New Roman" w:eastAsia="Times New Roman" w:hAnsi="Times New Roman" w:cs="Times New Roman"/>
                <w:i/>
                <w:iCs/>
                <w:sz w:val="24"/>
                <w:szCs w:val="24"/>
              </w:rPr>
              <w:t>templates</w:t>
            </w:r>
            <w:proofErr w:type="spellEnd"/>
            <w:r>
              <w:rPr>
                <w:rFonts w:ascii="Times New Roman" w:eastAsia="Times New Roman" w:hAnsi="Times New Roman" w:cs="Times New Roman"/>
                <w:sz w:val="24"/>
                <w:szCs w:val="24"/>
              </w:rPr>
              <w:t xml:space="preserve"> personalizados, gestão remota de grupos de telas e monitoramento de </w:t>
            </w:r>
            <w:r>
              <w:rPr>
                <w:rFonts w:ascii="Times New Roman" w:eastAsia="Times New Roman" w:hAnsi="Times New Roman" w:cs="Times New Roman"/>
                <w:i/>
                <w:iCs/>
                <w:sz w:val="24"/>
                <w:szCs w:val="24"/>
              </w:rPr>
              <w:t>status</w:t>
            </w:r>
            <w:r>
              <w:rPr>
                <w:rFonts w:ascii="Times New Roman" w:eastAsia="Times New Roman" w:hAnsi="Times New Roman" w:cs="Times New Roman"/>
                <w:sz w:val="24"/>
                <w:szCs w:val="24"/>
              </w:rPr>
              <w:t xml:space="preserve"> do sistema (liga/desliga, brilho e temperatura).</w:t>
            </w:r>
          </w:p>
          <w:p w14:paraId="13DB38E8"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Infraestrutura de Sustentabilidade e Transporte:</w:t>
            </w:r>
            <w:r>
              <w:rPr>
                <w:rFonts w:ascii="Times New Roman" w:eastAsia="Times New Roman" w:hAnsi="Times New Roman" w:cs="Times New Roman"/>
                <w:sz w:val="24"/>
                <w:szCs w:val="24"/>
              </w:rPr>
              <w:t xml:space="preserve"> Estrutura metálica autoportante (ou </w:t>
            </w:r>
            <w:proofErr w:type="spellStart"/>
            <w:r>
              <w:rPr>
                <w:rFonts w:ascii="Times New Roman" w:eastAsia="Times New Roman" w:hAnsi="Times New Roman" w:cs="Times New Roman"/>
                <w:i/>
                <w:iCs/>
                <w:sz w:val="24"/>
                <w:szCs w:val="24"/>
              </w:rPr>
              <w:t>ground</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support</w:t>
            </w:r>
            <w:proofErr w:type="spellEnd"/>
            <w:r>
              <w:rPr>
                <w:rFonts w:ascii="Times New Roman" w:eastAsia="Times New Roman" w:hAnsi="Times New Roman" w:cs="Times New Roman"/>
                <w:sz w:val="24"/>
                <w:szCs w:val="24"/>
              </w:rPr>
              <w:t xml:space="preserve">) em aço ou alumínio com pintura eletroestática preta, projetada para estabilidade e nivelamento preciso. Inclui </w:t>
            </w:r>
            <w:proofErr w:type="spellStart"/>
            <w:r>
              <w:rPr>
                <w:rFonts w:ascii="Times New Roman" w:eastAsia="Times New Roman" w:hAnsi="Times New Roman" w:cs="Times New Roman"/>
                <w:b/>
                <w:bCs/>
                <w:sz w:val="24"/>
                <w:szCs w:val="24"/>
              </w:rPr>
              <w:t>Flight</w:t>
            </w:r>
            <w:proofErr w:type="spellEnd"/>
            <w:r>
              <w:rPr>
                <w:rFonts w:ascii="Times New Roman" w:eastAsia="Times New Roman" w:hAnsi="Times New Roman" w:cs="Times New Roman"/>
                <w:b/>
                <w:bCs/>
                <w:sz w:val="24"/>
                <w:szCs w:val="24"/>
              </w:rPr>
              <w:t xml:space="preserve"> Cases profissionais</w:t>
            </w:r>
            <w:r>
              <w:rPr>
                <w:rFonts w:ascii="Times New Roman" w:eastAsia="Times New Roman" w:hAnsi="Times New Roman" w:cs="Times New Roman"/>
                <w:sz w:val="24"/>
                <w:szCs w:val="24"/>
              </w:rPr>
              <w:t xml:space="preserve"> com rodas de alta </w:t>
            </w:r>
            <w:r>
              <w:rPr>
                <w:rFonts w:ascii="Times New Roman" w:eastAsia="Times New Roman" w:hAnsi="Times New Roman" w:cs="Times New Roman"/>
                <w:sz w:val="24"/>
                <w:szCs w:val="24"/>
              </w:rPr>
              <w:lastRenderedPageBreak/>
              <w:t>resistência para armazenamento e transporte seguro.</w:t>
            </w:r>
          </w:p>
          <w:p w14:paraId="5C22D560" w14:textId="77777777" w:rsidR="00150077" w:rsidRDefault="00000000">
            <w:pPr>
              <w:numPr>
                <w:ilvl w:val="0"/>
                <w:numId w:val="6"/>
              </w:numPr>
              <w:spacing w:before="0" w:after="0" w:line="240" w:lineRule="auto"/>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Acessórios e Insumos:</w:t>
            </w:r>
            <w:r>
              <w:rPr>
                <w:rFonts w:ascii="Times New Roman" w:eastAsia="Times New Roman" w:hAnsi="Times New Roman" w:cs="Times New Roman"/>
                <w:sz w:val="24"/>
                <w:szCs w:val="24"/>
              </w:rPr>
              <w:t xml:space="preserve"> Fornecimento completo de cabeamento de dados e de energia (padrão profissional), fontes de alimentação redundantes, peças de reposição (mínimo de 5% de módulos e fontes sobressalentes) e todos os conectores necessários para o funcionamento pleno e integral do sistema.</w:t>
            </w:r>
          </w:p>
          <w:p w14:paraId="3F60AD73" w14:textId="77777777" w:rsidR="00150077" w:rsidRDefault="00000000">
            <w:pPr>
              <w:numPr>
                <w:ilvl w:val="0"/>
                <w:numId w:val="6"/>
              </w:numPr>
              <w:spacing w:before="0" w:after="0" w:line="240" w:lineRule="auto"/>
              <w:ind w:left="566"/>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Serviços Inclusos:</w:t>
            </w:r>
            <w:r>
              <w:rPr>
                <w:rFonts w:ascii="Times New Roman" w:eastAsia="Times New Roman" w:hAnsi="Times New Roman" w:cs="Times New Roman"/>
                <w:sz w:val="24"/>
                <w:szCs w:val="24"/>
              </w:rPr>
              <w:t xml:space="preserve"> Instalação, calibração técnica de balanço de branco e uniformidade de cor, e </w:t>
            </w:r>
            <w:r>
              <w:rPr>
                <w:rFonts w:ascii="Times New Roman" w:eastAsia="Times New Roman" w:hAnsi="Times New Roman" w:cs="Times New Roman"/>
                <w:b/>
                <w:bCs/>
                <w:sz w:val="24"/>
                <w:szCs w:val="24"/>
              </w:rPr>
              <w:t>treinamento operacional</w:t>
            </w:r>
            <w:r>
              <w:rPr>
                <w:rFonts w:ascii="Times New Roman" w:eastAsia="Times New Roman" w:hAnsi="Times New Roman" w:cs="Times New Roman"/>
                <w:sz w:val="24"/>
                <w:szCs w:val="24"/>
              </w:rPr>
              <w:t xml:space="preserve"> completo para a equipe da Administração Pública, garantindo a autonomia no manuseio da solução.</w:t>
            </w:r>
          </w:p>
          <w:p w14:paraId="7AEAEBFE" w14:textId="77777777" w:rsidR="00150077" w:rsidRDefault="00000000">
            <w:pPr>
              <w:numPr>
                <w:ilvl w:val="0"/>
                <w:numId w:val="6"/>
              </w:numPr>
              <w:spacing w:before="0" w:after="240" w:line="240" w:lineRule="auto"/>
              <w:ind w:left="566"/>
              <w:jc w:val="lef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Garantia e Suporte:</w:t>
            </w:r>
            <w:r>
              <w:rPr>
                <w:rFonts w:ascii="Times New Roman" w:eastAsia="Times New Roman" w:hAnsi="Times New Roman" w:cs="Times New Roman"/>
                <w:sz w:val="24"/>
                <w:szCs w:val="24"/>
              </w:rPr>
              <w:t xml:space="preserve"> Garantia mínima de 24 meses com atendimento </w:t>
            </w:r>
            <w:r>
              <w:rPr>
                <w:rFonts w:ascii="Times New Roman" w:eastAsia="Times New Roman" w:hAnsi="Times New Roman" w:cs="Times New Roman"/>
                <w:i/>
                <w:iCs/>
                <w:sz w:val="24"/>
                <w:szCs w:val="24"/>
              </w:rPr>
              <w:t>on-site</w:t>
            </w:r>
            <w:r>
              <w:rPr>
                <w:rFonts w:ascii="Times New Roman" w:eastAsia="Times New Roman" w:hAnsi="Times New Roman" w:cs="Times New Roman"/>
                <w:sz w:val="24"/>
                <w:szCs w:val="24"/>
              </w:rPr>
              <w:t xml:space="preserve"> (local), assegurando a continuidade das atividades da Secretaria de Cultura.</w:t>
            </w:r>
          </w:p>
        </w:tc>
        <w:tc>
          <w:tcPr>
            <w:tcW w:w="1140" w:type="dxa"/>
            <w:tcBorders>
              <w:bottom w:val="single" w:sz="4" w:space="0" w:color="000000"/>
              <w:right w:val="single" w:sz="4" w:space="0" w:color="000000"/>
            </w:tcBorders>
            <w:vAlign w:val="center"/>
          </w:tcPr>
          <w:p w14:paraId="216C5999" w14:textId="77777777" w:rsidR="00150077"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Não</w:t>
            </w:r>
          </w:p>
        </w:tc>
      </w:tr>
    </w:tbl>
    <w:p w14:paraId="67FD3D75" w14:textId="77777777" w:rsidR="00150077" w:rsidRDefault="00000000">
      <w:pPr>
        <w:spacing w:before="240" w:after="200"/>
        <w:rPr>
          <w:rFonts w:ascii="Cambria" w:eastAsia="Times New Roman" w:hAnsi="Cambria" w:cs="Times New Roman"/>
        </w:rPr>
      </w:pPr>
      <w:r>
        <w:rPr>
          <w:rFonts w:ascii="Cambria" w:eastAsia="Times New Roman" w:hAnsi="Cambria" w:cs="Times New Roman"/>
          <w:sz w:val="24"/>
          <w:szCs w:val="24"/>
        </w:rPr>
        <w:lastRenderedPageBreak/>
        <w:t>Tais descrições e quantitativos terão como intuito, visar uma contratação consciente, sem estoque desnecessário, com o objetivo de manter o equilíbrio do abastecimento do mercado.</w:t>
      </w:r>
    </w:p>
    <w:tbl>
      <w:tblPr>
        <w:tblW w:w="9600" w:type="dxa"/>
        <w:tblInd w:w="14" w:type="dxa"/>
        <w:tblLayout w:type="fixed"/>
        <w:tblLook w:val="0400" w:firstRow="0" w:lastRow="0" w:firstColumn="0" w:lastColumn="0" w:noHBand="0" w:noVBand="1"/>
      </w:tblPr>
      <w:tblGrid>
        <w:gridCol w:w="9600"/>
      </w:tblGrid>
      <w:tr w:rsidR="00150077" w14:paraId="1ACC0FC2" w14:textId="77777777">
        <w:tc>
          <w:tcPr>
            <w:tcW w:w="9600" w:type="dxa"/>
            <w:tcBorders>
              <w:top w:val="single" w:sz="12" w:space="0" w:color="000000"/>
              <w:left w:val="single" w:sz="12" w:space="0" w:color="000000"/>
              <w:bottom w:val="single" w:sz="12" w:space="0" w:color="000000"/>
              <w:right w:val="single" w:sz="12" w:space="0" w:color="000000"/>
            </w:tcBorders>
            <w:shd w:val="clear" w:color="auto" w:fill="D9D9D9"/>
          </w:tcPr>
          <w:p w14:paraId="792BA7AA" w14:textId="77777777" w:rsidR="00150077" w:rsidRDefault="00000000">
            <w:pPr>
              <w:spacing w:before="60" w:after="60"/>
              <w:rPr>
                <w:rFonts w:ascii="Times New Roman" w:eastAsia="Times New Roman" w:hAnsi="Times New Roman" w:cs="Times New Roman"/>
                <w:b/>
                <w:bCs/>
              </w:rPr>
            </w:pPr>
            <w:sdt>
              <w:sdtPr>
                <w:tag w:val="goog_rdk_9"/>
                <w:id w:val="-1867189836"/>
                <w:lock w:val="contentLocked"/>
                <w:text/>
              </w:sdtPr>
              <w:sdtContent>
                <w:r>
                  <w:rPr>
                    <w:rFonts w:ascii="Times New Roman" w:eastAsia="Times New Roman" w:hAnsi="Times New Roman" w:cs="Times New Roman"/>
                    <w:b/>
                    <w:bCs/>
                    <w:sz w:val="24"/>
                    <w:szCs w:val="24"/>
                  </w:rPr>
                  <w:t>8. ESTIMATIVA DE VALORES</w:t>
                </w:r>
              </w:sdtContent>
            </w:sdt>
          </w:p>
        </w:tc>
      </w:tr>
    </w:tbl>
    <w:p w14:paraId="218547A4" w14:textId="77777777" w:rsidR="00150077" w:rsidRDefault="00000000">
      <w:pPr>
        <w:spacing w:before="240" w:after="240"/>
        <w:rPr>
          <w:rFonts w:ascii="Times New Roman" w:eastAsia="Times New Roman" w:hAnsi="Times New Roman" w:cs="Times New Roman"/>
        </w:rPr>
      </w:pPr>
      <w:r>
        <w:rPr>
          <w:rFonts w:ascii="Cambria" w:eastAsia="Times New Roman" w:hAnsi="Cambria" w:cs="Times New Roman"/>
          <w:sz w:val="24"/>
          <w:szCs w:val="24"/>
        </w:rPr>
        <w:t xml:space="preserve">A estimativa dos valores unitários e globais da contratação, será realizada nos moldes estipulados no art. 23, da Lei Federal nº 14.133, de 01 de abril de 2021 pelo Departamento de Compras da Prefeitura Municipal de Piracanjuba/GO. </w:t>
      </w:r>
    </w:p>
    <w:tbl>
      <w:tblPr>
        <w:tblW w:w="9608" w:type="dxa"/>
        <w:tblLayout w:type="fixed"/>
        <w:tblLook w:val="0400" w:firstRow="0" w:lastRow="0" w:firstColumn="0" w:lastColumn="0" w:noHBand="0" w:noVBand="1"/>
      </w:tblPr>
      <w:tblGrid>
        <w:gridCol w:w="9608"/>
      </w:tblGrid>
      <w:tr w:rsidR="00150077" w14:paraId="326F7B06"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111A20F8" w14:textId="77777777" w:rsidR="00150077" w:rsidRDefault="00000000">
            <w:pPr>
              <w:spacing w:before="60" w:after="60"/>
              <w:rPr>
                <w:rFonts w:ascii="Times New Roman" w:eastAsia="Times New Roman" w:hAnsi="Times New Roman" w:cs="Times New Roman"/>
                <w:b/>
                <w:bCs/>
              </w:rPr>
            </w:pPr>
            <w:sdt>
              <w:sdtPr>
                <w:tag w:val="goog_rdk_11"/>
                <w:id w:val="-501105300"/>
                <w:lock w:val="contentLocked"/>
                <w:text/>
              </w:sdtPr>
              <w:sdtContent>
                <w:r>
                  <w:rPr>
                    <w:rFonts w:ascii="Times New Roman" w:eastAsia="Times New Roman" w:hAnsi="Times New Roman" w:cs="Times New Roman"/>
                    <w:b/>
                    <w:bCs/>
                    <w:sz w:val="24"/>
                    <w:szCs w:val="24"/>
                  </w:rPr>
                  <w:t>9. JUSTIFICATIVA PARA O PARCELAMENTO OU NÃO DA CONTRATAÇÃO</w:t>
                </w:r>
              </w:sdtContent>
            </w:sdt>
          </w:p>
        </w:tc>
      </w:tr>
    </w:tbl>
    <w:p w14:paraId="79CF601B" w14:textId="77777777" w:rsidR="00150077" w:rsidRDefault="00000000">
      <w:pPr>
        <w:spacing w:before="240" w:after="240"/>
        <w:rPr>
          <w:rFonts w:ascii="Cambria" w:eastAsia="Times New Roman" w:hAnsi="Cambria" w:cs="Times New Roman"/>
        </w:rPr>
      </w:pPr>
      <w:r>
        <w:rPr>
          <w:rFonts w:ascii="Cambria" w:eastAsia="Times New Roman" w:hAnsi="Cambria" w:cs="Times New Roman"/>
          <w:sz w:val="24"/>
          <w:szCs w:val="24"/>
        </w:rPr>
        <w:t>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Considerando as especificidades dos presentes objetos a demanda será parcelada, haja visto, se comprovarem ser técnica e economicamente viável, com vistas a propiciar o melhor aproveitamento do mercado e a ampliação da competitividade.</w:t>
      </w:r>
    </w:p>
    <w:tbl>
      <w:tblPr>
        <w:tblW w:w="9608" w:type="dxa"/>
        <w:tblLayout w:type="fixed"/>
        <w:tblLook w:val="0400" w:firstRow="0" w:lastRow="0" w:firstColumn="0" w:lastColumn="0" w:noHBand="0" w:noVBand="1"/>
      </w:tblPr>
      <w:tblGrid>
        <w:gridCol w:w="9608"/>
      </w:tblGrid>
      <w:tr w:rsidR="00150077" w14:paraId="53A818A2"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23A6DE3A" w14:textId="77777777" w:rsidR="00150077" w:rsidRDefault="00000000">
            <w:pPr>
              <w:spacing w:before="60" w:after="60"/>
              <w:rPr>
                <w:rFonts w:ascii="Times New Roman" w:eastAsia="Times New Roman" w:hAnsi="Times New Roman" w:cs="Times New Roman"/>
                <w:b/>
                <w:bCs/>
              </w:rPr>
            </w:pPr>
            <w:sdt>
              <w:sdtPr>
                <w:tag w:val="goog_rdk_12"/>
                <w:id w:val="-242614578"/>
                <w:lock w:val="contentLocked"/>
                <w:text/>
              </w:sdtPr>
              <w:sdtContent>
                <w:r>
                  <w:rPr>
                    <w:rFonts w:ascii="Times New Roman" w:eastAsia="Times New Roman" w:hAnsi="Times New Roman" w:cs="Times New Roman"/>
                    <w:b/>
                    <w:bCs/>
                    <w:sz w:val="24"/>
                    <w:szCs w:val="24"/>
                  </w:rPr>
                  <w:t>10. CONTRATAÇÕES CORRELATAS E/OU INTERDEPENDENTES</w:t>
                </w:r>
              </w:sdtContent>
            </w:sdt>
          </w:p>
        </w:tc>
      </w:tr>
    </w:tbl>
    <w:p w14:paraId="72C5D637"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 xml:space="preserve">Importante a continuação dos trabalhos prestados para melhor andamento da Secretaria Municipal de Cultura de Piracanjuba/GO, a viabilidade da futura contratação de empresas aptas no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 atendendo as necessidades da Secretaria Municipal de Cultura e não apresentando outras contratações interdependentes que afetem a sua execução. </w:t>
      </w:r>
    </w:p>
    <w:tbl>
      <w:tblPr>
        <w:tblW w:w="9608" w:type="dxa"/>
        <w:tblLayout w:type="fixed"/>
        <w:tblLook w:val="0400" w:firstRow="0" w:lastRow="0" w:firstColumn="0" w:lastColumn="0" w:noHBand="0" w:noVBand="1"/>
      </w:tblPr>
      <w:tblGrid>
        <w:gridCol w:w="9608"/>
      </w:tblGrid>
      <w:tr w:rsidR="00150077" w14:paraId="6E21B687"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2AB7F43E" w14:textId="77777777" w:rsidR="00150077" w:rsidRDefault="00000000">
            <w:pPr>
              <w:spacing w:before="60" w:after="60"/>
              <w:rPr>
                <w:rFonts w:ascii="Times New Roman" w:eastAsia="Times New Roman" w:hAnsi="Times New Roman" w:cs="Times New Roman"/>
                <w:b/>
                <w:bCs/>
              </w:rPr>
            </w:pPr>
            <w:sdt>
              <w:sdtPr>
                <w:tag w:val="goog_rdk_13"/>
                <w:id w:val="-306958670"/>
                <w:lock w:val="contentLocked"/>
                <w:text/>
              </w:sdtPr>
              <w:sdtContent>
                <w:r>
                  <w:rPr>
                    <w:rFonts w:ascii="Times New Roman" w:eastAsia="Times New Roman" w:hAnsi="Times New Roman" w:cs="Times New Roman"/>
                    <w:b/>
                    <w:bCs/>
                    <w:sz w:val="24"/>
                    <w:szCs w:val="24"/>
                  </w:rPr>
                  <w:t>11. RESULTADOS PRETENDIDOS</w:t>
                </w:r>
              </w:sdtContent>
            </w:sdt>
          </w:p>
        </w:tc>
      </w:tr>
    </w:tbl>
    <w:p w14:paraId="1E64483D"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Pretende-se com a Contratação os seguintes resultados:</w:t>
      </w:r>
    </w:p>
    <w:p w14:paraId="083414EB" w14:textId="77777777" w:rsidR="00150077" w:rsidRDefault="00000000">
      <w:pPr>
        <w:numPr>
          <w:ilvl w:val="0"/>
          <w:numId w:val="10"/>
        </w:numPr>
        <w:spacing w:before="0" w:after="0" w:line="276" w:lineRule="auto"/>
        <w:ind w:left="850" w:hanging="425"/>
        <w:rPr>
          <w:rFonts w:ascii="Cambria" w:eastAsia="Times New Roman" w:hAnsi="Cambria" w:cs="Times New Roman"/>
          <w:sz w:val="24"/>
          <w:szCs w:val="24"/>
        </w:rPr>
      </w:pPr>
      <w:r>
        <w:rPr>
          <w:rFonts w:ascii="Cambria" w:eastAsia="Times New Roman" w:hAnsi="Cambria" w:cs="Times New Roman"/>
          <w:sz w:val="24"/>
          <w:szCs w:val="24"/>
        </w:rPr>
        <w:t xml:space="preserve">Em relação à eficácia: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w:t>
      </w:r>
    </w:p>
    <w:p w14:paraId="51133D28" w14:textId="77777777" w:rsidR="00150077" w:rsidRDefault="00000000">
      <w:pPr>
        <w:spacing w:after="240"/>
        <w:rPr>
          <w:rFonts w:ascii="Cambria" w:eastAsia="Times New Roman" w:hAnsi="Cambria" w:cs="Times New Roman"/>
          <w:sz w:val="24"/>
          <w:szCs w:val="24"/>
        </w:rPr>
      </w:pPr>
      <w:r>
        <w:rPr>
          <w:rFonts w:ascii="Cambria" w:eastAsia="Times New Roman" w:hAnsi="Cambria" w:cs="Times New Roman"/>
          <w:sz w:val="24"/>
          <w:szCs w:val="24"/>
        </w:rPr>
        <w:t xml:space="preserve">Com a contratação de empresas aptas no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w:t>
      </w:r>
      <w:r>
        <w:rPr>
          <w:rFonts w:ascii="Cambria" w:eastAsia="Times New Roman" w:hAnsi="Cambria" w:cs="Times New Roman"/>
          <w:sz w:val="24"/>
          <w:szCs w:val="24"/>
        </w:rPr>
        <w:lastRenderedPageBreak/>
        <w:t>Municipal de Cultura de Piracanjuba/GO para compor patrimônio permanente, custeado pelo Fundo Municipal de Cultura (FMC). Busca-se também atender ao princípio da economicidade, cuja meta é a obtenção da melhor relação custo benefício, em recursos financeiros, econômicos e administrativos permitindo, assim, que a contratação seja realizada de forma rápida, econômica e sustentável.</w:t>
      </w:r>
    </w:p>
    <w:tbl>
      <w:tblPr>
        <w:tblW w:w="9608" w:type="dxa"/>
        <w:tblLayout w:type="fixed"/>
        <w:tblLook w:val="0400" w:firstRow="0" w:lastRow="0" w:firstColumn="0" w:lastColumn="0" w:noHBand="0" w:noVBand="1"/>
      </w:tblPr>
      <w:tblGrid>
        <w:gridCol w:w="9608"/>
      </w:tblGrid>
      <w:tr w:rsidR="00150077" w14:paraId="1EEA8B5F"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6A1E13CD" w14:textId="77777777" w:rsidR="00150077" w:rsidRDefault="00000000">
            <w:pPr>
              <w:spacing w:before="60" w:after="60"/>
              <w:rPr>
                <w:rFonts w:ascii="Times New Roman" w:eastAsia="Times New Roman" w:hAnsi="Times New Roman" w:cs="Times New Roman"/>
                <w:b/>
                <w:bCs/>
              </w:rPr>
            </w:pPr>
            <w:sdt>
              <w:sdtPr>
                <w:tag w:val="goog_rdk_14"/>
                <w:id w:val="-829258576"/>
                <w:lock w:val="contentLocked"/>
                <w:text/>
              </w:sdtPr>
              <w:sdtContent>
                <w:r>
                  <w:rPr>
                    <w:rFonts w:ascii="Times New Roman" w:eastAsia="Times New Roman" w:hAnsi="Times New Roman" w:cs="Times New Roman"/>
                    <w:b/>
                    <w:bCs/>
                    <w:sz w:val="24"/>
                    <w:szCs w:val="24"/>
                  </w:rPr>
                  <w:t>12. PROVIDÊNCIAS PREVIAMENTE À CELEBRAÇÃO DO CONTRATO</w:t>
                </w:r>
              </w:sdtContent>
            </w:sdt>
          </w:p>
        </w:tc>
      </w:tr>
    </w:tbl>
    <w:p w14:paraId="26F18492" w14:textId="77777777" w:rsidR="00150077" w:rsidRDefault="00000000">
      <w:pPr>
        <w:spacing w:before="240" w:after="240"/>
        <w:rPr>
          <w:rFonts w:ascii="Cambria" w:eastAsia="Times New Roman" w:hAnsi="Cambria" w:cs="Times New Roman"/>
        </w:rPr>
      </w:pPr>
      <w:r>
        <w:rPr>
          <w:rFonts w:ascii="Cambria" w:eastAsia="Times New Roman" w:hAnsi="Cambria" w:cs="Times New Roman"/>
          <w:sz w:val="24"/>
          <w:szCs w:val="24"/>
        </w:rPr>
        <w:t>Não serão necessárias providências previamente à celebração do contrato.</w:t>
      </w:r>
    </w:p>
    <w:tbl>
      <w:tblPr>
        <w:tblW w:w="9608" w:type="dxa"/>
        <w:tblLayout w:type="fixed"/>
        <w:tblLook w:val="0400" w:firstRow="0" w:lastRow="0" w:firstColumn="0" w:lastColumn="0" w:noHBand="0" w:noVBand="1"/>
      </w:tblPr>
      <w:tblGrid>
        <w:gridCol w:w="9608"/>
      </w:tblGrid>
      <w:tr w:rsidR="00150077" w14:paraId="774F9B07"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1A778C57" w14:textId="77777777" w:rsidR="00150077" w:rsidRDefault="00000000">
            <w:pPr>
              <w:spacing w:before="60" w:after="60"/>
              <w:rPr>
                <w:rFonts w:ascii="Times New Roman" w:eastAsia="Times New Roman" w:hAnsi="Times New Roman" w:cs="Times New Roman"/>
                <w:b/>
                <w:bCs/>
              </w:rPr>
            </w:pPr>
            <w:sdt>
              <w:sdtPr>
                <w:tag w:val="goog_rdk_15"/>
                <w:id w:val="1346113595"/>
                <w:lock w:val="contentLocked"/>
                <w:text/>
              </w:sdtPr>
              <w:sdtContent>
                <w:r>
                  <w:rPr>
                    <w:rFonts w:ascii="Times New Roman" w:eastAsia="Times New Roman" w:hAnsi="Times New Roman" w:cs="Times New Roman"/>
                    <w:b/>
                    <w:bCs/>
                    <w:sz w:val="24"/>
                    <w:szCs w:val="24"/>
                  </w:rPr>
                  <w:t>13. POSSÍVEIS IMPACTOS AMBIENTAIS E TRATAMENTOS</w:t>
                </w:r>
              </w:sdtContent>
            </w:sdt>
          </w:p>
        </w:tc>
      </w:tr>
    </w:tbl>
    <w:p w14:paraId="43FB48F0" w14:textId="77777777" w:rsidR="00150077" w:rsidRDefault="00000000">
      <w:pPr>
        <w:spacing w:before="240"/>
        <w:rPr>
          <w:rFonts w:ascii="Cambria" w:eastAsia="Times New Roman" w:hAnsi="Cambria" w:cs="Times New Roman"/>
          <w:sz w:val="24"/>
          <w:szCs w:val="24"/>
        </w:rPr>
      </w:pPr>
      <w:r>
        <w:rPr>
          <w:rFonts w:ascii="Cambria" w:eastAsia="Times New Roman" w:hAnsi="Cambria" w:cs="Times New Roman"/>
          <w:sz w:val="24"/>
          <w:szCs w:val="24"/>
        </w:rPr>
        <w:t>Os impactos ambientais relacionados à locação, equipe técnica de instalação de placa de fechamento, gradis e camarins, e equipe técnica podem estar associados tanto ao processo produtivo, como à geração de efluentes, ao próprio uso dos produtos ou mesmo à geração de resíduos de embalagens pós-uso.</w:t>
      </w:r>
    </w:p>
    <w:p w14:paraId="1A2A0086"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As empresas deverão atentar para as práticas de mitigação dos impactos na produção, bem como as Leis e Resoluções que orientam a produção sustentável dessas atividades.</w:t>
      </w:r>
    </w:p>
    <w:p w14:paraId="5862C648" w14:textId="77777777" w:rsidR="00150077" w:rsidRDefault="00000000">
      <w:pPr>
        <w:rPr>
          <w:rFonts w:ascii="Cambria" w:eastAsia="Times New Roman" w:hAnsi="Cambria" w:cs="Times New Roman"/>
          <w:sz w:val="24"/>
          <w:szCs w:val="24"/>
        </w:rPr>
      </w:pPr>
      <w:r>
        <w:rPr>
          <w:rFonts w:ascii="Cambria" w:eastAsia="Times New Roman" w:hAnsi="Cambria" w:cs="Times New Roman"/>
          <w:sz w:val="24"/>
          <w:szCs w:val="24"/>
        </w:rPr>
        <w:t>Que sejam observados os requisitos ambientais para a obtenção de certificação do Instituto Nacional de Metrologia, Normalização e Qualidade Industrial – INMETRO, como produtos sustentáveis ou de menor impacto ambiental em relação aos seus similares.</w:t>
      </w:r>
    </w:p>
    <w:tbl>
      <w:tblPr>
        <w:tblW w:w="9608" w:type="dxa"/>
        <w:tblLayout w:type="fixed"/>
        <w:tblLook w:val="0400" w:firstRow="0" w:lastRow="0" w:firstColumn="0" w:lastColumn="0" w:noHBand="0" w:noVBand="1"/>
      </w:tblPr>
      <w:tblGrid>
        <w:gridCol w:w="9608"/>
      </w:tblGrid>
      <w:tr w:rsidR="00150077" w14:paraId="0220E505"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605D9B6F" w14:textId="77777777" w:rsidR="00150077" w:rsidRDefault="00000000">
            <w:pPr>
              <w:spacing w:before="60" w:after="60"/>
              <w:rPr>
                <w:rFonts w:ascii="Times New Roman" w:eastAsia="Times New Roman" w:hAnsi="Times New Roman" w:cs="Times New Roman"/>
                <w:b/>
                <w:bCs/>
              </w:rPr>
            </w:pPr>
            <w:sdt>
              <w:sdtPr>
                <w:tag w:val="goog_rdk_16"/>
                <w:id w:val="-1147947838"/>
                <w:lock w:val="contentLocked"/>
                <w:text/>
              </w:sdtPr>
              <w:sdtContent>
                <w:r>
                  <w:rPr>
                    <w:rFonts w:ascii="Times New Roman" w:eastAsia="Times New Roman" w:hAnsi="Times New Roman" w:cs="Times New Roman"/>
                    <w:b/>
                    <w:bCs/>
                    <w:sz w:val="24"/>
                    <w:szCs w:val="24"/>
                  </w:rPr>
                  <w:t>14. DECLARAÇÃO DE VIABILIDADE</w:t>
                </w:r>
              </w:sdtContent>
            </w:sdt>
          </w:p>
        </w:tc>
      </w:tr>
    </w:tbl>
    <w:p w14:paraId="42FE8F50" w14:textId="77777777" w:rsidR="00150077" w:rsidRDefault="00000000">
      <w:pPr>
        <w:spacing w:before="240" w:after="240"/>
        <w:rPr>
          <w:rFonts w:ascii="Cambria" w:eastAsia="Times New Roman" w:hAnsi="Cambria" w:cs="Times New Roman"/>
          <w:sz w:val="24"/>
          <w:szCs w:val="24"/>
        </w:rPr>
      </w:pPr>
      <w:r>
        <w:rPr>
          <w:rFonts w:ascii="Cambria" w:eastAsia="Times New Roman" w:hAnsi="Cambria" w:cs="Times New Roman"/>
          <w:sz w:val="24"/>
          <w:szCs w:val="24"/>
        </w:rPr>
        <w:t xml:space="preserve">Em face da necessidade da contratação de empresas aptas no fornecimento de Solução de Infraestrutura de Visualização e Sinalização Digital, com garantia mínima de 24 meses. A aquisição da solução deverá conter kit de painel de LED modular, Pixel </w:t>
      </w:r>
      <w:proofErr w:type="spellStart"/>
      <w:r>
        <w:rPr>
          <w:rFonts w:ascii="Cambria" w:eastAsia="Times New Roman" w:hAnsi="Cambria" w:cs="Times New Roman"/>
          <w:sz w:val="24"/>
          <w:szCs w:val="24"/>
        </w:rPr>
        <w:t>Pitch</w:t>
      </w:r>
      <w:proofErr w:type="spellEnd"/>
      <w:r>
        <w:rPr>
          <w:rFonts w:ascii="Cambria" w:eastAsia="Times New Roman" w:hAnsi="Cambria" w:cs="Times New Roman"/>
          <w:sz w:val="24"/>
          <w:szCs w:val="24"/>
        </w:rPr>
        <w:t xml:space="preserve"> 3.9mm, área total mínima de 6m², para uso interno/externo, composto por gabinetes em alumínio injetado, processador de vídeo, sistema de gerenciamento (software) licenciado, cabeamento, estrutura de fixação/sustentação, e cases de transporte (</w:t>
      </w:r>
      <w:proofErr w:type="spellStart"/>
      <w:r>
        <w:rPr>
          <w:rFonts w:ascii="Cambria" w:eastAsia="Times New Roman" w:hAnsi="Cambria" w:cs="Times New Roman"/>
          <w:sz w:val="24"/>
          <w:szCs w:val="24"/>
        </w:rPr>
        <w:t>flight</w:t>
      </w:r>
      <w:proofErr w:type="spellEnd"/>
      <w:r>
        <w:rPr>
          <w:rFonts w:ascii="Cambria" w:eastAsia="Times New Roman" w:hAnsi="Cambria" w:cs="Times New Roman"/>
          <w:sz w:val="24"/>
          <w:szCs w:val="24"/>
        </w:rPr>
        <w:t xml:space="preserve"> cases) com rodas reforçadas. Inclui entrega, instalação, calibração e treinamento operacional integral. Garantia e assistência técnica mínima on-site (local) de 24 meses. Objeto destinado à Secretaria Municipal de Cultura de Piracanjuba/GO para compor patrimônio permanente, custeado pelo Fundo Municipal de Cultura (FMC), bem como manter os serviços públicos em níveis aceitáveis ao funcionamento dos trabalhos para o cumprimento de sua finalidade com eficiência, continuidade e economia.</w:t>
      </w:r>
    </w:p>
    <w:tbl>
      <w:tblPr>
        <w:tblW w:w="9608" w:type="dxa"/>
        <w:tblLayout w:type="fixed"/>
        <w:tblLook w:val="0400" w:firstRow="0" w:lastRow="0" w:firstColumn="0" w:lastColumn="0" w:noHBand="0" w:noVBand="1"/>
      </w:tblPr>
      <w:tblGrid>
        <w:gridCol w:w="9608"/>
      </w:tblGrid>
      <w:tr w:rsidR="00150077" w14:paraId="5D003060" w14:textId="77777777">
        <w:tc>
          <w:tcPr>
            <w:tcW w:w="9608" w:type="dxa"/>
            <w:tcBorders>
              <w:top w:val="single" w:sz="12" w:space="0" w:color="000000"/>
              <w:left w:val="single" w:sz="12" w:space="0" w:color="000000"/>
              <w:bottom w:val="single" w:sz="12" w:space="0" w:color="000000"/>
              <w:right w:val="single" w:sz="12" w:space="0" w:color="000000"/>
            </w:tcBorders>
            <w:shd w:val="clear" w:color="auto" w:fill="D9D9D9"/>
          </w:tcPr>
          <w:p w14:paraId="3ACCC722" w14:textId="77777777" w:rsidR="00150077" w:rsidRDefault="00000000">
            <w:pPr>
              <w:spacing w:before="60" w:after="60"/>
              <w:rPr>
                <w:rFonts w:ascii="Times New Roman" w:eastAsia="Times New Roman" w:hAnsi="Times New Roman" w:cs="Times New Roman"/>
                <w:b/>
                <w:bCs/>
              </w:rPr>
            </w:pPr>
            <w:sdt>
              <w:sdtPr>
                <w:tag w:val="goog_rdk_17"/>
                <w:id w:val="521712866"/>
                <w:lock w:val="contentLocked"/>
                <w:text/>
              </w:sdtPr>
              <w:sdtContent>
                <w:r>
                  <w:rPr>
                    <w:rFonts w:ascii="Times New Roman" w:eastAsia="Times New Roman" w:hAnsi="Times New Roman" w:cs="Times New Roman"/>
                    <w:b/>
                    <w:bCs/>
                    <w:sz w:val="24"/>
                    <w:szCs w:val="24"/>
                  </w:rPr>
                  <w:t xml:space="preserve">15. </w:t>
                </w:r>
                <w:r>
                  <w:rPr>
                    <w:rFonts w:ascii="Times New Roman" w:eastAsia="Times New Roman" w:hAnsi="Times New Roman" w:cs="Times New Roman"/>
                    <w:b/>
                    <w:bCs/>
                  </w:rPr>
                  <w:t>RESPONSÁVEIS PELA ELABORAÇÃO DO ESTUDO TÉCNICO PRELIMINAR</w:t>
                </w:r>
              </w:sdtContent>
            </w:sdt>
          </w:p>
        </w:tc>
      </w:tr>
    </w:tbl>
    <w:p w14:paraId="6B4CC896" w14:textId="77777777" w:rsidR="00150077" w:rsidRDefault="00150077">
      <w:pPr>
        <w:jc w:val="center"/>
        <w:rPr>
          <w:rFonts w:ascii="Cambria" w:eastAsia="Times New Roman" w:hAnsi="Cambria" w:cs="Times New Roman"/>
          <w:b/>
          <w:bCs/>
          <w:sz w:val="24"/>
          <w:szCs w:val="24"/>
        </w:rPr>
      </w:pPr>
    </w:p>
    <w:p w14:paraId="7BB80A0A" w14:textId="77777777" w:rsidR="00150077" w:rsidRDefault="00150077">
      <w:pPr>
        <w:jc w:val="center"/>
        <w:rPr>
          <w:rFonts w:ascii="Cambria" w:eastAsia="Times New Roman" w:hAnsi="Cambria" w:cs="Times New Roman"/>
          <w:b/>
          <w:bCs/>
          <w:sz w:val="24"/>
          <w:szCs w:val="24"/>
        </w:rPr>
      </w:pPr>
    </w:p>
    <w:p w14:paraId="5E662308" w14:textId="77777777" w:rsidR="00150077" w:rsidRDefault="00000000">
      <w:pPr>
        <w:jc w:val="center"/>
        <w:rPr>
          <w:rFonts w:ascii="Cambria" w:eastAsia="Times New Roman" w:hAnsi="Cambria" w:cs="Times New Roman"/>
          <w:b/>
          <w:bCs/>
          <w:sz w:val="24"/>
          <w:szCs w:val="24"/>
        </w:rPr>
      </w:pPr>
      <w:r>
        <w:rPr>
          <w:rFonts w:ascii="Cambria" w:eastAsia="Times New Roman" w:hAnsi="Cambria" w:cs="Times New Roman"/>
          <w:b/>
          <w:bCs/>
          <w:sz w:val="24"/>
          <w:szCs w:val="24"/>
        </w:rPr>
        <w:t>Jovair Antônio Pontes dos Santos</w:t>
      </w:r>
    </w:p>
    <w:p w14:paraId="0F5ADE6C" w14:textId="77777777" w:rsidR="00150077" w:rsidRDefault="00000000">
      <w:pPr>
        <w:jc w:val="center"/>
        <w:rPr>
          <w:rFonts w:ascii="Cambria" w:eastAsia="Times New Roman" w:hAnsi="Cambria" w:cs="Times New Roman"/>
          <w:sz w:val="24"/>
          <w:szCs w:val="24"/>
        </w:rPr>
      </w:pPr>
      <w:r>
        <w:rPr>
          <w:rFonts w:ascii="Cambria" w:eastAsia="Times New Roman" w:hAnsi="Cambria" w:cs="Times New Roman"/>
          <w:sz w:val="24"/>
          <w:szCs w:val="24"/>
        </w:rPr>
        <w:t>Secretário Municipal de Cultura de Piracanjuba/GO</w:t>
      </w:r>
    </w:p>
    <w:p w14:paraId="2C139A05" w14:textId="77777777" w:rsidR="00150077" w:rsidRDefault="00000000">
      <w:pPr>
        <w:jc w:val="center"/>
        <w:rPr>
          <w:rFonts w:ascii="Cambria" w:eastAsia="Times New Roman" w:hAnsi="Cambria" w:cs="Times New Roman"/>
          <w:sz w:val="24"/>
          <w:szCs w:val="24"/>
        </w:rPr>
      </w:pPr>
      <w:r>
        <w:rPr>
          <w:rFonts w:ascii="Cambria" w:eastAsia="Times New Roman" w:hAnsi="Cambria" w:cs="Times New Roman"/>
          <w:sz w:val="24"/>
          <w:szCs w:val="24"/>
        </w:rPr>
        <w:t>Decreto n.º 07/2025</w:t>
      </w:r>
    </w:p>
    <w:p w14:paraId="070881EB" w14:textId="77777777" w:rsidR="00150077" w:rsidRDefault="00000000">
      <w:pPr>
        <w:jc w:val="center"/>
        <w:rPr>
          <w:rFonts w:ascii="Cambria" w:eastAsia="Times New Roman" w:hAnsi="Cambria" w:cs="Times New Roman"/>
          <w:sz w:val="24"/>
          <w:szCs w:val="24"/>
        </w:rPr>
      </w:pPr>
      <w:r>
        <w:rPr>
          <w:rFonts w:ascii="Cambria" w:eastAsia="Times New Roman" w:hAnsi="Cambria" w:cs="Times New Roman"/>
          <w:sz w:val="24"/>
          <w:szCs w:val="24"/>
        </w:rPr>
        <w:t>Matrícula n.º 51496248</w:t>
      </w:r>
    </w:p>
    <w:p w14:paraId="6C6CCE83" w14:textId="77777777" w:rsidR="00150077" w:rsidRDefault="00150077">
      <w:pPr>
        <w:jc w:val="center"/>
        <w:rPr>
          <w:rFonts w:ascii="Cambria" w:hAnsi="Cambria" w:cs="Arial"/>
          <w:b/>
          <w:bCs/>
          <w:sz w:val="24"/>
          <w:szCs w:val="24"/>
          <w:u w:val="single"/>
        </w:rPr>
      </w:pPr>
    </w:p>
    <w:p w14:paraId="253B75FF" w14:textId="77777777" w:rsidR="00150077" w:rsidRDefault="00150077">
      <w:pPr>
        <w:jc w:val="center"/>
        <w:rPr>
          <w:rFonts w:ascii="Cambria" w:hAnsi="Cambria" w:cs="Arial"/>
          <w:b/>
          <w:bCs/>
          <w:sz w:val="24"/>
          <w:szCs w:val="24"/>
          <w:u w:val="single"/>
        </w:rPr>
      </w:pPr>
    </w:p>
    <w:p w14:paraId="752A7B98" w14:textId="77777777" w:rsidR="00150077" w:rsidRDefault="00150077">
      <w:pPr>
        <w:jc w:val="center"/>
        <w:rPr>
          <w:rFonts w:ascii="Segoe UI" w:hAnsi="Segoe UI" w:cs="Segoe UI"/>
          <w:b/>
          <w:bCs/>
        </w:rPr>
        <w:sectPr w:rsidR="00150077">
          <w:headerReference w:type="even" r:id="rId52"/>
          <w:headerReference w:type="default" r:id="rId53"/>
          <w:footerReference w:type="even" r:id="rId54"/>
          <w:footerReference w:type="default" r:id="rId55"/>
          <w:headerReference w:type="first" r:id="rId56"/>
          <w:footerReference w:type="first" r:id="rId57"/>
          <w:pgSz w:w="11906" w:h="16838"/>
          <w:pgMar w:top="1417" w:right="849" w:bottom="489" w:left="1701" w:header="708" w:footer="432" w:gutter="0"/>
          <w:cols w:space="720"/>
          <w:formProt w:val="0"/>
          <w:docGrid w:linePitch="360" w:charSpace="4096"/>
        </w:sectPr>
      </w:pPr>
    </w:p>
    <w:p w14:paraId="79D46CC1"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31/2026</w:t>
      </w:r>
    </w:p>
    <w:p w14:paraId="655D0FBD"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III</w:t>
      </w:r>
    </w:p>
    <w:p w14:paraId="3E31A798" w14:textId="77777777" w:rsidR="00150077" w:rsidRDefault="00000000">
      <w:pPr>
        <w:pStyle w:val="NormalWeb"/>
        <w:spacing w:before="0" w:beforeAutospacing="0" w:after="0" w:afterAutospacing="0" w:line="360" w:lineRule="auto"/>
        <w:jc w:val="center"/>
        <w:rPr>
          <w:rFonts w:ascii="Cambria" w:hAnsi="Cambria"/>
          <w:b/>
          <w:color w:val="000000" w:themeColor="text1"/>
          <w:u w:val="single"/>
        </w:rPr>
      </w:pPr>
      <w:r>
        <w:rPr>
          <w:rFonts w:ascii="Cambria" w:hAnsi="Cambria"/>
          <w:b/>
          <w:color w:val="000000" w:themeColor="text1"/>
          <w:u w:val="single"/>
        </w:rPr>
        <w:t>MODELO DE PROPOSTA COMERCIAL</w:t>
      </w:r>
    </w:p>
    <w:p w14:paraId="11F73535" w14:textId="77777777" w:rsidR="00150077"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color w:val="000000" w:themeColor="text1"/>
          <w:sz w:val="24"/>
          <w:szCs w:val="24"/>
        </w:rPr>
        <w:t>TIPO:</w:t>
      </w:r>
      <w:r>
        <w:rPr>
          <w:rFonts w:ascii="Cambria" w:hAnsi="Cambria"/>
          <w:color w:val="000000" w:themeColor="text1"/>
          <w:sz w:val="24"/>
          <w:szCs w:val="24"/>
        </w:rPr>
        <w:t xml:space="preserve"> Menor Preço por item </w:t>
      </w:r>
    </w:p>
    <w:p w14:paraId="53C0F491" w14:textId="77777777" w:rsidR="00150077" w:rsidRDefault="00000000">
      <w:pPr>
        <w:pStyle w:val="NormalWeb"/>
        <w:spacing w:before="280" w:after="280" w:line="360" w:lineRule="auto"/>
        <w:ind w:left="-142"/>
        <w:jc w:val="both"/>
        <w:rPr>
          <w:rStyle w:val="nfaseSutil"/>
          <w:rFonts w:ascii="Cambria" w:hAnsi="Cambria"/>
          <w:i w:val="0"/>
          <w:iCs w:val="0"/>
          <w:color w:val="000000" w:themeColor="text1"/>
        </w:rPr>
      </w:pPr>
      <w:r>
        <w:rPr>
          <w:rFonts w:ascii="Cambria" w:hAnsi="Cambria"/>
          <w:b/>
          <w:bCs/>
          <w:color w:val="000000" w:themeColor="text1"/>
        </w:rPr>
        <w:t>OBJETO:</w:t>
      </w:r>
      <w:r>
        <w:rPr>
          <w:rFonts w:ascii="Cambria" w:hAnsi="Cambria"/>
          <w:bCs/>
          <w:color w:val="000000" w:themeColor="text1"/>
        </w:rPr>
        <w:t xml:space="preserve"> </w:t>
      </w:r>
      <w:r>
        <w:rPr>
          <w:rFonts w:ascii="Cambria" w:hAnsi="Cambria"/>
          <w:color w:val="000000" w:themeColor="text1"/>
        </w:rPr>
        <w:t xml:space="preserve">Sistema de Registro de Preços para parcelada, eventual e futura </w:t>
      </w:r>
      <w:r>
        <w:rPr>
          <w:rFonts w:ascii="Cambria" w:hAnsi="Cambria"/>
        </w:rPr>
        <w:t xml:space="preserve">aquisição de solução completa de visualização e sinalização digital (Digital </w:t>
      </w:r>
      <w:proofErr w:type="spellStart"/>
      <w:r>
        <w:rPr>
          <w:rFonts w:ascii="Cambria" w:hAnsi="Cambria"/>
        </w:rPr>
        <w:t>Signage</w:t>
      </w:r>
      <w:proofErr w:type="spellEnd"/>
      <w:r>
        <w:rPr>
          <w:rFonts w:ascii="Cambria" w:hAnsi="Cambria"/>
        </w:rPr>
        <w:t>), composta por painel de LED modular de alta performance híbrido (indoor/outdoor), projetado para operação em eventos culturais e ambientes institucionais, atendendo assim as necessidades da Secretaria Municipal de Cultura de Piracanjuba/GO</w:t>
      </w:r>
      <w:r>
        <w:rPr>
          <w:rFonts w:ascii="Cambria" w:hAnsi="Cambria"/>
          <w:color w:val="000000" w:themeColor="text1"/>
        </w:rPr>
        <w:t>.</w:t>
      </w:r>
    </w:p>
    <w:p w14:paraId="2C732F00" w14:textId="77777777" w:rsidR="00150077" w:rsidRDefault="00000000">
      <w:pPr>
        <w:pStyle w:val="NormalWeb"/>
        <w:spacing w:before="240" w:after="0" w:line="360" w:lineRule="auto"/>
        <w:ind w:hanging="142"/>
        <w:jc w:val="both"/>
        <w:rPr>
          <w:rFonts w:ascii="Cambria" w:hAnsi="Cambria"/>
          <w:color w:val="000000" w:themeColor="text1"/>
        </w:rPr>
      </w:pPr>
      <w:r>
        <w:rPr>
          <w:rFonts w:ascii="Cambria" w:hAnsi="Cambria"/>
          <w:color w:val="000000" w:themeColor="text1"/>
        </w:rPr>
        <w:t>Dados a constar na proposta Preenchimento pelo proponente:</w:t>
      </w:r>
    </w:p>
    <w:tbl>
      <w:tblPr>
        <w:tblW w:w="9986" w:type="dxa"/>
        <w:tblInd w:w="-147" w:type="dxa"/>
        <w:tblLayout w:type="fixed"/>
        <w:tblLook w:val="04A0" w:firstRow="1" w:lastRow="0" w:firstColumn="1" w:lastColumn="0" w:noHBand="0" w:noVBand="1"/>
      </w:tblPr>
      <w:tblGrid>
        <w:gridCol w:w="4690"/>
        <w:gridCol w:w="562"/>
        <w:gridCol w:w="1160"/>
        <w:gridCol w:w="3574"/>
      </w:tblGrid>
      <w:tr w:rsidR="00150077" w14:paraId="5A84AC6D" w14:textId="77777777">
        <w:trPr>
          <w:trHeight w:val="372"/>
        </w:trPr>
        <w:tc>
          <w:tcPr>
            <w:tcW w:w="6411" w:type="dxa"/>
            <w:gridSpan w:val="3"/>
            <w:tcBorders>
              <w:top w:val="single" w:sz="4" w:space="0" w:color="000000"/>
              <w:left w:val="single" w:sz="4" w:space="0" w:color="000000"/>
              <w:bottom w:val="single" w:sz="4" w:space="0" w:color="000000"/>
              <w:right w:val="single" w:sz="4" w:space="0" w:color="000000"/>
            </w:tcBorders>
          </w:tcPr>
          <w:p w14:paraId="59DEE20C"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574" w:type="dxa"/>
            <w:tcBorders>
              <w:top w:val="single" w:sz="4" w:space="0" w:color="000000"/>
              <w:left w:val="single" w:sz="4" w:space="0" w:color="000000"/>
              <w:bottom w:val="single" w:sz="4" w:space="0" w:color="000000"/>
              <w:right w:val="single" w:sz="4" w:space="0" w:color="000000"/>
            </w:tcBorders>
          </w:tcPr>
          <w:p w14:paraId="5692D866"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150077" w14:paraId="24850617" w14:textId="77777777">
        <w:trPr>
          <w:trHeight w:val="372"/>
        </w:trPr>
        <w:tc>
          <w:tcPr>
            <w:tcW w:w="9985" w:type="dxa"/>
            <w:gridSpan w:val="4"/>
            <w:tcBorders>
              <w:top w:val="single" w:sz="4" w:space="0" w:color="000000"/>
              <w:left w:val="single" w:sz="4" w:space="0" w:color="000000"/>
              <w:bottom w:val="single" w:sz="4" w:space="0" w:color="000000"/>
              <w:right w:val="single" w:sz="4" w:space="0" w:color="000000"/>
            </w:tcBorders>
          </w:tcPr>
          <w:p w14:paraId="2ED7B69A"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Endereço:</w:t>
            </w:r>
          </w:p>
        </w:tc>
      </w:tr>
      <w:tr w:rsidR="00150077" w14:paraId="25FEAF1E" w14:textId="77777777">
        <w:trPr>
          <w:trHeight w:val="372"/>
        </w:trPr>
        <w:tc>
          <w:tcPr>
            <w:tcW w:w="4689" w:type="dxa"/>
            <w:tcBorders>
              <w:top w:val="single" w:sz="4" w:space="0" w:color="000000"/>
              <w:left w:val="single" w:sz="4" w:space="0" w:color="000000"/>
              <w:bottom w:val="single" w:sz="4" w:space="0" w:color="000000"/>
              <w:right w:val="single" w:sz="4" w:space="0" w:color="000000"/>
            </w:tcBorders>
          </w:tcPr>
          <w:p w14:paraId="1E477986"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Telefone:</w:t>
            </w:r>
          </w:p>
        </w:tc>
        <w:tc>
          <w:tcPr>
            <w:tcW w:w="5296" w:type="dxa"/>
            <w:gridSpan w:val="3"/>
            <w:tcBorders>
              <w:top w:val="single" w:sz="4" w:space="0" w:color="000000"/>
              <w:left w:val="single" w:sz="4" w:space="0" w:color="000000"/>
              <w:bottom w:val="single" w:sz="4" w:space="0" w:color="000000"/>
              <w:right w:val="single" w:sz="4" w:space="0" w:color="000000"/>
            </w:tcBorders>
          </w:tcPr>
          <w:p w14:paraId="370DC300" w14:textId="77777777" w:rsidR="00150077"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150077" w14:paraId="17A87323" w14:textId="77777777">
        <w:trPr>
          <w:trHeight w:val="372"/>
        </w:trPr>
        <w:tc>
          <w:tcPr>
            <w:tcW w:w="5251" w:type="dxa"/>
            <w:gridSpan w:val="2"/>
            <w:tcBorders>
              <w:top w:val="single" w:sz="4" w:space="0" w:color="000000"/>
              <w:left w:val="single" w:sz="4" w:space="0" w:color="000000"/>
              <w:bottom w:val="single" w:sz="4" w:space="0" w:color="000000"/>
              <w:right w:val="single" w:sz="4" w:space="0" w:color="000000"/>
            </w:tcBorders>
          </w:tcPr>
          <w:p w14:paraId="3690DCC1"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Representante Legal:</w:t>
            </w:r>
          </w:p>
        </w:tc>
        <w:tc>
          <w:tcPr>
            <w:tcW w:w="4734" w:type="dxa"/>
            <w:gridSpan w:val="2"/>
            <w:tcBorders>
              <w:top w:val="single" w:sz="4" w:space="0" w:color="000000"/>
              <w:left w:val="single" w:sz="4" w:space="0" w:color="000000"/>
              <w:bottom w:val="single" w:sz="4" w:space="0" w:color="000000"/>
              <w:right w:val="single" w:sz="4" w:space="0" w:color="000000"/>
            </w:tcBorders>
          </w:tcPr>
          <w:p w14:paraId="6E719D32"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3455D5D0" w14:textId="77777777" w:rsidR="00150077"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5BF86D12" w14:textId="77777777" w:rsidR="00150077"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647D2394" w14:textId="77777777" w:rsidR="00150077"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Declaramos,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w:t>
      </w:r>
      <w:r>
        <w:rPr>
          <w:rFonts w:ascii="Cambria" w:hAnsi="Cambria"/>
          <w:color w:val="000000" w:themeColor="text1"/>
          <w:sz w:val="24"/>
          <w:szCs w:val="24"/>
          <w:shd w:val="clear" w:color="auto" w:fill="FFFFFF"/>
        </w:rPr>
        <w:lastRenderedPageBreak/>
        <w:t>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ayout w:type="fixed"/>
        <w:tblLook w:val="04A0" w:firstRow="1" w:lastRow="0" w:firstColumn="1" w:lastColumn="0" w:noHBand="0" w:noVBand="1"/>
      </w:tblPr>
      <w:tblGrid>
        <w:gridCol w:w="1044"/>
        <w:gridCol w:w="3481"/>
        <w:gridCol w:w="712"/>
        <w:gridCol w:w="1023"/>
        <w:gridCol w:w="737"/>
        <w:gridCol w:w="1383"/>
        <w:gridCol w:w="1396"/>
      </w:tblGrid>
      <w:tr w:rsidR="00150077" w14:paraId="3A3A5A7A" w14:textId="77777777">
        <w:trPr>
          <w:trHeight w:val="1204"/>
        </w:trPr>
        <w:tc>
          <w:tcPr>
            <w:tcW w:w="1043" w:type="dxa"/>
            <w:tcBorders>
              <w:top w:val="single" w:sz="4" w:space="0" w:color="000000"/>
              <w:left w:val="single" w:sz="4" w:space="0" w:color="000000"/>
              <w:bottom w:val="single" w:sz="4" w:space="0" w:color="000000"/>
              <w:right w:val="single" w:sz="4" w:space="0" w:color="000000"/>
            </w:tcBorders>
          </w:tcPr>
          <w:p w14:paraId="2FCACF04"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tcPr>
          <w:p w14:paraId="127495A9"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tcPr>
          <w:p w14:paraId="1D9E39A1" w14:textId="77777777" w:rsidR="00150077" w:rsidRDefault="00000000">
            <w:pPr>
              <w:spacing w:line="360" w:lineRule="auto"/>
              <w:ind w:hanging="142"/>
              <w:jc w:val="center"/>
              <w:rPr>
                <w:rFonts w:ascii="Cambria" w:hAnsi="Cambria" w:cs="Arial"/>
                <w:b/>
                <w:color w:val="000000" w:themeColor="text1"/>
                <w:sz w:val="24"/>
                <w:szCs w:val="24"/>
              </w:rPr>
            </w:pPr>
            <w:proofErr w:type="spellStart"/>
            <w:r>
              <w:rPr>
                <w:rFonts w:ascii="Cambria" w:hAnsi="Cambria" w:cs="Arial"/>
                <w:b/>
                <w:color w:val="000000" w:themeColor="text1"/>
                <w:sz w:val="24"/>
                <w:szCs w:val="24"/>
              </w:rPr>
              <w:t>Qtd</w:t>
            </w:r>
            <w:proofErr w:type="spellEnd"/>
          </w:p>
        </w:tc>
        <w:tc>
          <w:tcPr>
            <w:tcW w:w="1023" w:type="dxa"/>
            <w:tcBorders>
              <w:top w:val="single" w:sz="4" w:space="0" w:color="000000"/>
              <w:left w:val="single" w:sz="4" w:space="0" w:color="000000"/>
              <w:bottom w:val="single" w:sz="4" w:space="0" w:color="000000"/>
              <w:right w:val="single" w:sz="4" w:space="0" w:color="000000"/>
            </w:tcBorders>
          </w:tcPr>
          <w:p w14:paraId="5A15A908"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Marca/</w:t>
            </w:r>
          </w:p>
          <w:p w14:paraId="0C02860E"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tcPr>
          <w:p w14:paraId="57DD7B03" w14:textId="77777777" w:rsidR="00150077" w:rsidRDefault="00000000">
            <w:pPr>
              <w:spacing w:line="360" w:lineRule="auto"/>
              <w:ind w:hanging="142"/>
              <w:jc w:val="center"/>
              <w:rPr>
                <w:rFonts w:ascii="Cambria" w:hAnsi="Cambria" w:cs="Arial"/>
                <w:b/>
                <w:color w:val="000000" w:themeColor="text1"/>
                <w:sz w:val="24"/>
                <w:szCs w:val="24"/>
              </w:rPr>
            </w:pPr>
            <w:proofErr w:type="spellStart"/>
            <w:r>
              <w:rPr>
                <w:rFonts w:ascii="Cambria" w:hAnsi="Cambria" w:cs="Arial"/>
                <w:b/>
                <w:color w:val="000000" w:themeColor="text1"/>
                <w:sz w:val="24"/>
                <w:szCs w:val="24"/>
              </w:rPr>
              <w:t>Und</w:t>
            </w:r>
            <w:proofErr w:type="spellEnd"/>
          </w:p>
        </w:tc>
        <w:tc>
          <w:tcPr>
            <w:tcW w:w="1383" w:type="dxa"/>
            <w:tcBorders>
              <w:top w:val="single" w:sz="4" w:space="0" w:color="000000"/>
              <w:left w:val="single" w:sz="4" w:space="0" w:color="000000"/>
              <w:bottom w:val="single" w:sz="4" w:space="0" w:color="000000"/>
              <w:right w:val="single" w:sz="4" w:space="0" w:color="000000"/>
            </w:tcBorders>
          </w:tcPr>
          <w:p w14:paraId="66C4F735"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 xml:space="preserve">Valor </w:t>
            </w:r>
          </w:p>
          <w:p w14:paraId="2D4C9348"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Unitário</w:t>
            </w:r>
          </w:p>
        </w:tc>
        <w:tc>
          <w:tcPr>
            <w:tcW w:w="1396" w:type="dxa"/>
            <w:tcBorders>
              <w:top w:val="single" w:sz="4" w:space="0" w:color="000000"/>
              <w:left w:val="single" w:sz="4" w:space="0" w:color="000000"/>
              <w:bottom w:val="single" w:sz="4" w:space="0" w:color="000000"/>
              <w:right w:val="single" w:sz="4" w:space="0" w:color="000000"/>
            </w:tcBorders>
          </w:tcPr>
          <w:p w14:paraId="6DBB01A0" w14:textId="77777777" w:rsidR="00150077"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Valor Total</w:t>
            </w:r>
          </w:p>
        </w:tc>
      </w:tr>
      <w:tr w:rsidR="00150077" w14:paraId="1F849118" w14:textId="77777777">
        <w:trPr>
          <w:trHeight w:val="683"/>
        </w:trPr>
        <w:tc>
          <w:tcPr>
            <w:tcW w:w="1043" w:type="dxa"/>
            <w:tcBorders>
              <w:top w:val="single" w:sz="4" w:space="0" w:color="000000"/>
              <w:left w:val="single" w:sz="4" w:space="0" w:color="000000"/>
              <w:bottom w:val="single" w:sz="4" w:space="0" w:color="000000"/>
              <w:right w:val="single" w:sz="4" w:space="0" w:color="000000"/>
            </w:tcBorders>
          </w:tcPr>
          <w:p w14:paraId="6BADBDD4" w14:textId="77777777" w:rsidR="00150077" w:rsidRDefault="00150077">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0358611C" w14:textId="77777777" w:rsidR="00150077" w:rsidRDefault="00150077">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709222A5" w14:textId="77777777" w:rsidR="00150077" w:rsidRDefault="00150077">
            <w:pPr>
              <w:spacing w:line="360" w:lineRule="auto"/>
              <w:ind w:hanging="142"/>
              <w:jc w:val="center"/>
              <w:rPr>
                <w:rFonts w:ascii="Cambria" w:hAnsi="Cambria" w:cs="Arial"/>
                <w:b/>
                <w:color w:val="000000" w:themeColor="text1"/>
                <w:sz w:val="24"/>
                <w:szCs w:val="24"/>
              </w:rPr>
            </w:pPr>
          </w:p>
        </w:tc>
        <w:tc>
          <w:tcPr>
            <w:tcW w:w="1023" w:type="dxa"/>
            <w:tcBorders>
              <w:top w:val="single" w:sz="4" w:space="0" w:color="000000"/>
              <w:left w:val="single" w:sz="4" w:space="0" w:color="000000"/>
              <w:bottom w:val="single" w:sz="4" w:space="0" w:color="000000"/>
              <w:right w:val="single" w:sz="4" w:space="0" w:color="000000"/>
            </w:tcBorders>
          </w:tcPr>
          <w:p w14:paraId="31480BFA" w14:textId="77777777" w:rsidR="00150077" w:rsidRDefault="00150077">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34004F5C" w14:textId="77777777" w:rsidR="00150077" w:rsidRDefault="00150077">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0AF15896" w14:textId="77777777" w:rsidR="00150077" w:rsidRDefault="00150077">
            <w:pPr>
              <w:spacing w:line="360" w:lineRule="auto"/>
              <w:ind w:hanging="142"/>
              <w:jc w:val="center"/>
              <w:rPr>
                <w:rFonts w:ascii="Cambria" w:hAnsi="Cambria" w:cs="Arial"/>
                <w:b/>
                <w:color w:val="000000" w:themeColor="text1"/>
                <w:sz w:val="24"/>
                <w:szCs w:val="24"/>
              </w:rPr>
            </w:pPr>
          </w:p>
        </w:tc>
        <w:tc>
          <w:tcPr>
            <w:tcW w:w="1396" w:type="dxa"/>
            <w:tcBorders>
              <w:top w:val="single" w:sz="4" w:space="0" w:color="000000"/>
              <w:left w:val="single" w:sz="4" w:space="0" w:color="000000"/>
              <w:bottom w:val="single" w:sz="4" w:space="0" w:color="000000"/>
              <w:right w:val="single" w:sz="4" w:space="0" w:color="000000"/>
            </w:tcBorders>
          </w:tcPr>
          <w:p w14:paraId="67E03600" w14:textId="77777777" w:rsidR="00150077" w:rsidRDefault="00150077">
            <w:pPr>
              <w:spacing w:line="360" w:lineRule="auto"/>
              <w:ind w:hanging="142"/>
              <w:jc w:val="center"/>
              <w:rPr>
                <w:rFonts w:ascii="Cambria" w:hAnsi="Cambria" w:cs="Arial"/>
                <w:b/>
                <w:color w:val="000000" w:themeColor="text1"/>
                <w:sz w:val="24"/>
                <w:szCs w:val="24"/>
              </w:rPr>
            </w:pPr>
          </w:p>
        </w:tc>
      </w:tr>
      <w:tr w:rsidR="00150077" w14:paraId="286AC4D6" w14:textId="77777777">
        <w:trPr>
          <w:trHeight w:val="752"/>
        </w:trPr>
        <w:tc>
          <w:tcPr>
            <w:tcW w:w="9775" w:type="dxa"/>
            <w:gridSpan w:val="7"/>
            <w:tcBorders>
              <w:top w:val="single" w:sz="4" w:space="0" w:color="000000"/>
              <w:left w:val="single" w:sz="4" w:space="0" w:color="000000"/>
              <w:bottom w:val="single" w:sz="4" w:space="0" w:color="000000"/>
              <w:right w:val="single" w:sz="4" w:space="0" w:color="000000"/>
            </w:tcBorders>
          </w:tcPr>
          <w:p w14:paraId="3BBEF932" w14:textId="77777777" w:rsidR="00150077" w:rsidRDefault="00000000">
            <w:pPr>
              <w:spacing w:before="240" w:line="360" w:lineRule="auto"/>
              <w:ind w:hanging="142"/>
              <w:jc w:val="center"/>
              <w:rPr>
                <w:rFonts w:ascii="Cambria" w:hAnsi="Cambria" w:cs="Calibri"/>
                <w:b/>
                <w:color w:val="000000" w:themeColor="text1"/>
                <w:sz w:val="24"/>
                <w:szCs w:val="24"/>
              </w:rPr>
            </w:pPr>
            <w:r>
              <w:rPr>
                <w:rFonts w:ascii="Cambria" w:hAnsi="Cambria" w:cs="Calibri"/>
                <w:b/>
                <w:color w:val="000000" w:themeColor="text1"/>
                <w:sz w:val="24"/>
                <w:szCs w:val="24"/>
              </w:rPr>
              <w:t>VALOR TOTAL DA PROPOSTA ----------------- R$</w:t>
            </w:r>
          </w:p>
        </w:tc>
      </w:tr>
    </w:tbl>
    <w:p w14:paraId="230E1F22" w14:textId="77777777" w:rsidR="00150077"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color w:val="000000" w:themeColor="text1"/>
          <w:sz w:val="24"/>
          <w:szCs w:val="24"/>
        </w:rPr>
        <w:t>Validade da Proposta:</w:t>
      </w:r>
    </w:p>
    <w:p w14:paraId="6FCD2993" w14:textId="77777777" w:rsidR="00150077" w:rsidRDefault="00000000">
      <w:pPr>
        <w:tabs>
          <w:tab w:val="left" w:pos="1701"/>
        </w:tabs>
        <w:spacing w:before="240" w:after="240" w:line="360" w:lineRule="auto"/>
        <w:ind w:hanging="142"/>
        <w:jc w:val="right"/>
        <w:rPr>
          <w:rFonts w:ascii="Cambria" w:hAnsi="Cambria"/>
          <w:color w:val="000000" w:themeColor="text1"/>
          <w:sz w:val="24"/>
          <w:szCs w:val="24"/>
        </w:rPr>
      </w:pPr>
      <w:r>
        <w:rPr>
          <w:rFonts w:ascii="Cambria" w:hAnsi="Cambria"/>
          <w:color w:val="000000" w:themeColor="text1"/>
          <w:sz w:val="24"/>
          <w:szCs w:val="24"/>
        </w:rPr>
        <w:t>Data: __________/________________/_____________________</w:t>
      </w:r>
    </w:p>
    <w:p w14:paraId="2CC0DE85" w14:textId="77777777" w:rsidR="00150077" w:rsidRDefault="00150077">
      <w:pPr>
        <w:tabs>
          <w:tab w:val="left" w:pos="1701"/>
        </w:tabs>
        <w:spacing w:before="240" w:after="240" w:line="360" w:lineRule="auto"/>
        <w:ind w:hanging="142"/>
        <w:jc w:val="center"/>
        <w:rPr>
          <w:rFonts w:ascii="Cambria" w:hAnsi="Cambria"/>
          <w:b/>
          <w:color w:val="000000" w:themeColor="text1"/>
          <w:sz w:val="24"/>
          <w:szCs w:val="24"/>
        </w:rPr>
      </w:pPr>
    </w:p>
    <w:p w14:paraId="7E25605D" w14:textId="77777777" w:rsidR="00150077" w:rsidRDefault="00000000">
      <w:pPr>
        <w:tabs>
          <w:tab w:val="left" w:pos="1701"/>
        </w:tabs>
        <w:spacing w:before="240" w:after="240" w:line="360" w:lineRule="auto"/>
        <w:ind w:hanging="142"/>
        <w:jc w:val="center"/>
        <w:rPr>
          <w:rFonts w:ascii="Cambria" w:hAnsi="Cambria"/>
          <w:b/>
          <w:color w:val="000000" w:themeColor="text1"/>
          <w:sz w:val="24"/>
          <w:szCs w:val="24"/>
        </w:rPr>
      </w:pPr>
      <w:r>
        <w:rPr>
          <w:rFonts w:ascii="Cambria" w:hAnsi="Cambria"/>
          <w:b/>
          <w:color w:val="000000" w:themeColor="text1"/>
          <w:sz w:val="24"/>
          <w:szCs w:val="24"/>
        </w:rPr>
        <w:t>Assinatura do representante legal da empresa, sobre carimbo, nome e número da identidade do responsável.</w:t>
      </w:r>
    </w:p>
    <w:p w14:paraId="7AEEDDFF" w14:textId="77777777" w:rsidR="00150077" w:rsidRDefault="00150077">
      <w:pPr>
        <w:spacing w:before="240" w:line="360" w:lineRule="auto"/>
        <w:ind w:hanging="142"/>
        <w:jc w:val="center"/>
        <w:rPr>
          <w:rFonts w:ascii="Cambria" w:hAnsi="Cambria"/>
          <w:b/>
          <w:i/>
          <w:color w:val="000000" w:themeColor="text1"/>
          <w:sz w:val="24"/>
          <w:szCs w:val="24"/>
        </w:rPr>
      </w:pPr>
    </w:p>
    <w:p w14:paraId="38C7768C" w14:textId="77777777" w:rsidR="00150077" w:rsidRDefault="00000000">
      <w:pPr>
        <w:spacing w:before="240" w:line="360" w:lineRule="auto"/>
        <w:ind w:hanging="142"/>
        <w:jc w:val="center"/>
        <w:rPr>
          <w:rFonts w:ascii="Cambria" w:hAnsi="Cambria"/>
          <w:b/>
          <w:i/>
          <w:color w:val="000000" w:themeColor="text1"/>
          <w:sz w:val="24"/>
          <w:szCs w:val="24"/>
        </w:rPr>
      </w:pPr>
      <w:r>
        <w:rPr>
          <w:rFonts w:ascii="Cambria" w:hAnsi="Cambria"/>
          <w:b/>
          <w:i/>
          <w:color w:val="000000" w:themeColor="text1"/>
          <w:sz w:val="24"/>
          <w:szCs w:val="24"/>
        </w:rPr>
        <w:t>Obs.: Este documento é meramente exemplificativo devendo ser apresentado em papel timbrado da empresa licitante</w:t>
      </w:r>
    </w:p>
    <w:p w14:paraId="571BBCE3" w14:textId="77777777" w:rsidR="00150077" w:rsidRDefault="00000000">
      <w:pPr>
        <w:spacing w:line="360" w:lineRule="auto"/>
        <w:ind w:hanging="142"/>
        <w:rPr>
          <w:rFonts w:ascii="Cambria" w:hAnsi="Cambria"/>
          <w:color w:val="000000" w:themeColor="text1"/>
        </w:rPr>
      </w:pPr>
      <w:r>
        <w:br w:type="page"/>
      </w:r>
    </w:p>
    <w:p w14:paraId="5E2A3D1C" w14:textId="77777777" w:rsidR="00150077" w:rsidRDefault="00000000">
      <w:pPr>
        <w:tabs>
          <w:tab w:val="left" w:pos="1701"/>
        </w:tabs>
        <w:spacing w:before="0" w:after="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31/2026</w:t>
      </w:r>
    </w:p>
    <w:p w14:paraId="1577438D" w14:textId="77777777" w:rsidR="00150077" w:rsidRDefault="00000000">
      <w:pPr>
        <w:tabs>
          <w:tab w:val="left" w:pos="1701"/>
        </w:tabs>
        <w:spacing w:before="240" w:after="240" w:line="360" w:lineRule="auto"/>
        <w:jc w:val="center"/>
        <w:rPr>
          <w:rFonts w:ascii="Cambria" w:hAnsi="Cambria"/>
          <w:b/>
          <w:color w:val="000000" w:themeColor="text1"/>
          <w:sz w:val="24"/>
          <w:szCs w:val="24"/>
        </w:rPr>
      </w:pPr>
      <w:r>
        <w:rPr>
          <w:rFonts w:ascii="Cambria" w:hAnsi="Cambria"/>
          <w:b/>
          <w:color w:val="000000" w:themeColor="text1"/>
          <w:sz w:val="24"/>
          <w:szCs w:val="24"/>
        </w:rPr>
        <w:t>ANEXO IV</w:t>
      </w:r>
    </w:p>
    <w:p w14:paraId="1B672CAD" w14:textId="77777777" w:rsidR="00150077" w:rsidRDefault="00000000">
      <w:pPr>
        <w:spacing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MODELO DE DECLARAÇÃO CONJUNTA</w:t>
      </w:r>
    </w:p>
    <w:p w14:paraId="6029A204" w14:textId="77777777" w:rsidR="00150077"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383963FF" w14:textId="77777777" w:rsidR="00150077"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Pregão Eletrônico nº 31/2026</w:t>
      </w:r>
    </w:p>
    <w:p w14:paraId="0CBE00BC" w14:textId="77777777" w:rsidR="00150077" w:rsidRDefault="00150077">
      <w:pPr>
        <w:tabs>
          <w:tab w:val="left" w:pos="1701"/>
        </w:tabs>
        <w:spacing w:after="0" w:line="360" w:lineRule="auto"/>
        <w:rPr>
          <w:rFonts w:ascii="Cambria" w:hAnsi="Cambria"/>
          <w:color w:val="000000" w:themeColor="text1"/>
          <w:sz w:val="24"/>
          <w:szCs w:val="24"/>
        </w:rPr>
      </w:pPr>
    </w:p>
    <w:p w14:paraId="702EF0A1" w14:textId="77777777" w:rsidR="00150077" w:rsidRDefault="00000000">
      <w:pPr>
        <w:tabs>
          <w:tab w:val="left" w:pos="1701"/>
        </w:tabs>
        <w:spacing w:after="0" w:line="360" w:lineRule="auto"/>
        <w:rPr>
          <w:rFonts w:ascii="Cambria" w:hAnsi="Cambria"/>
          <w:color w:val="000000" w:themeColor="text1"/>
          <w:sz w:val="24"/>
          <w:szCs w:val="24"/>
        </w:rPr>
      </w:pPr>
      <w:r>
        <w:rPr>
          <w:rFonts w:ascii="Cambria" w:hAnsi="Cambria"/>
          <w:color w:val="000000" w:themeColor="text1"/>
          <w:sz w:val="24"/>
          <w:szCs w:val="24"/>
        </w:rPr>
        <w:t>Senhora Pregoeira,</w:t>
      </w:r>
    </w:p>
    <w:p w14:paraId="53D24381" w14:textId="77777777" w:rsidR="00150077" w:rsidRDefault="00150077">
      <w:pPr>
        <w:tabs>
          <w:tab w:val="left" w:pos="1701"/>
        </w:tabs>
        <w:spacing w:line="360" w:lineRule="auto"/>
        <w:rPr>
          <w:rFonts w:ascii="Cambria" w:hAnsi="Cambria"/>
          <w:color w:val="000000" w:themeColor="text1"/>
          <w:sz w:val="24"/>
          <w:szCs w:val="24"/>
        </w:rPr>
      </w:pPr>
    </w:p>
    <w:p w14:paraId="44747ECF" w14:textId="77777777" w:rsidR="00150077"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 xml:space="preserve">A Empresa </w:t>
      </w:r>
      <w:r>
        <w:rPr>
          <w:rFonts w:ascii="Cambria" w:hAnsi="Cambria"/>
          <w:b/>
          <w:color w:val="000000" w:themeColor="text1"/>
          <w:sz w:val="24"/>
          <w:szCs w:val="24"/>
        </w:rPr>
        <w:t>________</w:t>
      </w:r>
      <w:r>
        <w:rPr>
          <w:rFonts w:ascii="Cambria" w:hAnsi="Cambria"/>
          <w:color w:val="000000" w:themeColor="text1"/>
          <w:sz w:val="24"/>
          <w:szCs w:val="24"/>
        </w:rPr>
        <w:t xml:space="preserve">, inscrita no CNPJ sob nº </w:t>
      </w:r>
      <w:r>
        <w:rPr>
          <w:rFonts w:ascii="Cambria" w:hAnsi="Cambria"/>
          <w:b/>
          <w:color w:val="000000" w:themeColor="text1"/>
          <w:sz w:val="24"/>
          <w:szCs w:val="24"/>
        </w:rPr>
        <w:t>________</w:t>
      </w:r>
      <w:r>
        <w:rPr>
          <w:rFonts w:ascii="Cambria" w:hAnsi="Cambria"/>
          <w:color w:val="000000" w:themeColor="text1"/>
          <w:sz w:val="24"/>
          <w:szCs w:val="24"/>
        </w:rPr>
        <w:t xml:space="preserve">, </w:t>
      </w:r>
      <w:r>
        <w:rPr>
          <w:rFonts w:ascii="Cambria" w:eastAsia="Helvetica" w:hAnsi="Cambria"/>
          <w:color w:val="000000" w:themeColor="text1"/>
          <w:sz w:val="24"/>
          <w:szCs w:val="24"/>
        </w:rPr>
        <w:t>com sede</w:t>
      </w:r>
      <w:r>
        <w:rPr>
          <w:rFonts w:ascii="Cambria" w:hAnsi="Cambria"/>
          <w:color w:val="000000" w:themeColor="text1"/>
          <w:sz w:val="24"/>
          <w:szCs w:val="24"/>
        </w:rPr>
        <w:t xml:space="preserve"> na </w:t>
      </w:r>
      <w:r>
        <w:rPr>
          <w:rFonts w:ascii="Cambria" w:hAnsi="Cambria"/>
          <w:b/>
          <w:color w:val="000000" w:themeColor="text1"/>
          <w:sz w:val="24"/>
          <w:szCs w:val="24"/>
        </w:rPr>
        <w:t>________</w:t>
      </w:r>
      <w:r>
        <w:rPr>
          <w:rFonts w:ascii="Cambria" w:hAnsi="Cambria"/>
          <w:color w:val="000000" w:themeColor="text1"/>
          <w:sz w:val="24"/>
          <w:szCs w:val="24"/>
        </w:rPr>
        <w:t xml:space="preserve">, por intermédio do seu Representante Legal/ Procurador </w:t>
      </w:r>
      <w:r>
        <w:rPr>
          <w:rFonts w:ascii="Cambria" w:hAnsi="Cambria"/>
          <w:b/>
          <w:color w:val="000000" w:themeColor="text1"/>
          <w:sz w:val="24"/>
          <w:szCs w:val="24"/>
        </w:rPr>
        <w:t xml:space="preserve">Sr. ________, </w:t>
      </w:r>
      <w:r>
        <w:rPr>
          <w:rFonts w:ascii="Cambria" w:hAnsi="Cambria"/>
          <w:color w:val="000000" w:themeColor="text1"/>
          <w:sz w:val="24"/>
          <w:szCs w:val="24"/>
        </w:rPr>
        <w:t xml:space="preserve">inscrito no CPF sob o nº </w:t>
      </w:r>
      <w:r>
        <w:rPr>
          <w:rFonts w:ascii="Cambria" w:hAnsi="Cambria"/>
          <w:b/>
          <w:color w:val="000000" w:themeColor="text1"/>
          <w:sz w:val="24"/>
          <w:szCs w:val="24"/>
        </w:rPr>
        <w:t>________</w:t>
      </w:r>
      <w:r>
        <w:rPr>
          <w:rFonts w:ascii="Cambria" w:hAnsi="Cambria"/>
          <w:color w:val="000000" w:themeColor="text1"/>
          <w:sz w:val="24"/>
          <w:szCs w:val="24"/>
        </w:rPr>
        <w:t xml:space="preserve"> infra-assinado, para os fins de participação no </w:t>
      </w:r>
      <w:r>
        <w:rPr>
          <w:rFonts w:ascii="Cambria" w:hAnsi="Cambria"/>
          <w:b/>
          <w:color w:val="000000" w:themeColor="text1"/>
          <w:sz w:val="24"/>
          <w:szCs w:val="24"/>
        </w:rPr>
        <w:t>Pregão Eletrônico nº 31/2026</w:t>
      </w:r>
      <w:r>
        <w:rPr>
          <w:rFonts w:ascii="Cambria" w:hAnsi="Cambria"/>
          <w:color w:val="000000" w:themeColor="text1"/>
          <w:sz w:val="24"/>
          <w:szCs w:val="24"/>
        </w:rPr>
        <w:t>:</w:t>
      </w:r>
    </w:p>
    <w:p w14:paraId="4431A7F6" w14:textId="77777777" w:rsidR="00150077"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sob pena de inabilitação, que está ciente e concorda com as condições contidas no edital e seus anexos, bem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40055D43"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28D7A577"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73F37CB3"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lastRenderedPageBreak/>
        <w:t>d) Declara</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5F03E140"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w:t>
      </w:r>
      <w:r>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E548C4" w14:textId="77777777" w:rsidR="00150077"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21254BFD" w14:textId="77777777" w:rsidR="00150077"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2EE0F903" w14:textId="77777777" w:rsidR="00150077"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h)</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w:t>
      </w:r>
      <w:r>
        <w:rPr>
          <w:rFonts w:ascii="Cambria" w:hAnsi="Cambria"/>
          <w:color w:val="000000" w:themeColor="text1"/>
          <w:sz w:val="24"/>
          <w:szCs w:val="24"/>
        </w:rPr>
        <w:lastRenderedPageBreak/>
        <w:t>nenhuma das vedações legais impostas pelo § 4º, do art. 3º da Lei Complementar nº 123, de 2006.</w:t>
      </w:r>
    </w:p>
    <w:p w14:paraId="07BDA23D" w14:textId="77777777" w:rsidR="00150077"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 xml:space="preserve">i) 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1105AFD7" w14:textId="77777777" w:rsidR="00150077"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O signatário assume responsabilidade civil e criminal por eventual falsidade.</w:t>
      </w:r>
    </w:p>
    <w:p w14:paraId="22378EFE" w14:textId="77777777" w:rsidR="00150077" w:rsidRDefault="00150077">
      <w:pPr>
        <w:pStyle w:val="SemEspaamento"/>
        <w:spacing w:line="360" w:lineRule="auto"/>
        <w:jc w:val="both"/>
        <w:rPr>
          <w:rFonts w:ascii="Cambria" w:hAnsi="Cambria"/>
          <w:color w:val="000000" w:themeColor="text1"/>
          <w:sz w:val="24"/>
          <w:szCs w:val="24"/>
        </w:rPr>
      </w:pPr>
    </w:p>
    <w:p w14:paraId="48756F7A" w14:textId="77777777" w:rsidR="00150077"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5C4286EA" w14:textId="77777777" w:rsidR="00150077" w:rsidRDefault="00150077">
      <w:pPr>
        <w:pStyle w:val="SemEspaamento"/>
        <w:spacing w:line="360" w:lineRule="auto"/>
        <w:jc w:val="both"/>
        <w:rPr>
          <w:rFonts w:ascii="Cambria" w:hAnsi="Cambria"/>
          <w:color w:val="000000" w:themeColor="text1"/>
          <w:sz w:val="24"/>
          <w:szCs w:val="24"/>
        </w:rPr>
      </w:pPr>
    </w:p>
    <w:p w14:paraId="7F3EB8EA" w14:textId="77777777" w:rsidR="00150077"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2448D728" w14:textId="77777777" w:rsidR="00150077" w:rsidRDefault="00150077">
      <w:pPr>
        <w:tabs>
          <w:tab w:val="left" w:pos="1701"/>
        </w:tabs>
        <w:spacing w:line="360" w:lineRule="auto"/>
        <w:jc w:val="center"/>
        <w:rPr>
          <w:rFonts w:ascii="Cambria" w:hAnsi="Cambria"/>
          <w:b/>
          <w:color w:val="000000" w:themeColor="text1"/>
          <w:sz w:val="24"/>
          <w:szCs w:val="24"/>
        </w:rPr>
      </w:pPr>
    </w:p>
    <w:p w14:paraId="1972CD9C" w14:textId="77777777" w:rsidR="00150077"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6446965D" w14:textId="77777777" w:rsidR="00150077" w:rsidRDefault="00150077">
      <w:pPr>
        <w:pStyle w:val="NormalWeb"/>
        <w:spacing w:before="0" w:beforeAutospacing="0" w:after="0" w:afterAutospacing="0" w:line="360" w:lineRule="auto"/>
        <w:jc w:val="center"/>
        <w:rPr>
          <w:rFonts w:ascii="Cambria" w:hAnsi="Cambria"/>
          <w:b/>
          <w:i/>
          <w:color w:val="000000" w:themeColor="text1"/>
        </w:rPr>
      </w:pPr>
    </w:p>
    <w:p w14:paraId="03034C93" w14:textId="77777777" w:rsidR="00150077" w:rsidRDefault="00000000">
      <w:pPr>
        <w:spacing w:line="360" w:lineRule="auto"/>
        <w:rPr>
          <w:rFonts w:ascii="Cambria" w:hAnsi="Cambria"/>
          <w:b/>
          <w:i/>
          <w:color w:val="000000" w:themeColor="text1"/>
        </w:rPr>
      </w:pPr>
      <w:r>
        <w:br w:type="page"/>
      </w:r>
    </w:p>
    <w:p w14:paraId="309D4E43" w14:textId="77777777" w:rsidR="00150077"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31/2026</w:t>
      </w:r>
    </w:p>
    <w:p w14:paraId="1DD0364A"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w:t>
      </w:r>
    </w:p>
    <w:p w14:paraId="57BF661C"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MODELO DE PLANILHA DE COMPOSIÇÃO DE CUSTOS</w:t>
      </w:r>
    </w:p>
    <w:p w14:paraId="64BD26F9" w14:textId="77777777" w:rsidR="00150077" w:rsidRDefault="00150077">
      <w:pPr>
        <w:spacing w:line="360" w:lineRule="auto"/>
        <w:rPr>
          <w:rFonts w:ascii="Cambria" w:hAnsi="Cambria"/>
          <w:b/>
          <w:i/>
          <w:color w:val="000000" w:themeColor="text1"/>
          <w:sz w:val="24"/>
          <w:szCs w:val="24"/>
        </w:rPr>
      </w:pPr>
    </w:p>
    <w:p w14:paraId="478D0063" w14:textId="77777777" w:rsidR="00150077"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0754BF51" w14:textId="77777777" w:rsidR="00150077"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Pregão Eletrônico nº 31/2026</w:t>
      </w:r>
    </w:p>
    <w:p w14:paraId="593C48BC" w14:textId="77777777" w:rsidR="00150077" w:rsidRDefault="00150077">
      <w:pPr>
        <w:tabs>
          <w:tab w:val="left" w:pos="1701"/>
        </w:tabs>
        <w:spacing w:after="0" w:line="360" w:lineRule="auto"/>
        <w:rPr>
          <w:rFonts w:ascii="Cambria" w:hAnsi="Cambria"/>
          <w:b/>
          <w:bCs/>
          <w:color w:val="000000" w:themeColor="text1"/>
          <w:sz w:val="24"/>
          <w:szCs w:val="24"/>
        </w:rPr>
      </w:pPr>
    </w:p>
    <w:tbl>
      <w:tblPr>
        <w:tblpPr w:leftFromText="141" w:rightFromText="141" w:vertAnchor="text" w:horzAnchor="margin" w:tblpXSpec="center" w:tblpY="314"/>
        <w:tblW w:w="9974" w:type="dxa"/>
        <w:jc w:val="center"/>
        <w:tblLayout w:type="fixed"/>
        <w:tblLook w:val="04A0" w:firstRow="1" w:lastRow="0" w:firstColumn="1" w:lastColumn="0" w:noHBand="0" w:noVBand="1"/>
      </w:tblPr>
      <w:tblGrid>
        <w:gridCol w:w="692"/>
        <w:gridCol w:w="1231"/>
        <w:gridCol w:w="583"/>
        <w:gridCol w:w="854"/>
        <w:gridCol w:w="1162"/>
        <w:gridCol w:w="1525"/>
        <w:gridCol w:w="808"/>
        <w:gridCol w:w="1179"/>
        <w:gridCol w:w="918"/>
        <w:gridCol w:w="1022"/>
      </w:tblGrid>
      <w:tr w:rsidR="00150077" w14:paraId="5236315B" w14:textId="77777777">
        <w:trPr>
          <w:trHeight w:val="1199"/>
          <w:jc w:val="center"/>
        </w:trPr>
        <w:tc>
          <w:tcPr>
            <w:tcW w:w="691" w:type="dxa"/>
            <w:tcBorders>
              <w:top w:val="single" w:sz="4" w:space="0" w:color="000000"/>
              <w:left w:val="single" w:sz="4" w:space="0" w:color="000000"/>
              <w:bottom w:val="single" w:sz="4" w:space="0" w:color="000000"/>
              <w:right w:val="single" w:sz="4" w:space="0" w:color="000000"/>
            </w:tcBorders>
          </w:tcPr>
          <w:p w14:paraId="78BF4AFB"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Item</w:t>
            </w:r>
          </w:p>
        </w:tc>
        <w:tc>
          <w:tcPr>
            <w:tcW w:w="1231" w:type="dxa"/>
            <w:tcBorders>
              <w:top w:val="single" w:sz="4" w:space="0" w:color="000000"/>
              <w:left w:val="single" w:sz="4" w:space="0" w:color="000000"/>
              <w:bottom w:val="single" w:sz="4" w:space="0" w:color="000000"/>
              <w:right w:val="single" w:sz="4" w:space="0" w:color="000000"/>
            </w:tcBorders>
          </w:tcPr>
          <w:p w14:paraId="5DAC7498"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 xml:space="preserve">Descrição </w:t>
            </w:r>
          </w:p>
        </w:tc>
        <w:tc>
          <w:tcPr>
            <w:tcW w:w="583" w:type="dxa"/>
            <w:tcBorders>
              <w:top w:val="single" w:sz="4" w:space="0" w:color="000000"/>
              <w:left w:val="single" w:sz="4" w:space="0" w:color="000000"/>
              <w:bottom w:val="single" w:sz="4" w:space="0" w:color="000000"/>
              <w:right w:val="single" w:sz="4" w:space="0" w:color="000000"/>
            </w:tcBorders>
          </w:tcPr>
          <w:p w14:paraId="3C01DD56" w14:textId="77777777" w:rsidR="00150077" w:rsidRDefault="00000000">
            <w:pPr>
              <w:spacing w:before="283" w:line="360" w:lineRule="auto"/>
              <w:jc w:val="center"/>
              <w:rPr>
                <w:rFonts w:ascii="Cambria" w:hAnsi="Cambria" w:cs="Arial"/>
                <w:b/>
                <w:sz w:val="24"/>
                <w:szCs w:val="24"/>
              </w:rPr>
            </w:pPr>
            <w:proofErr w:type="spellStart"/>
            <w:r>
              <w:rPr>
                <w:rFonts w:ascii="Cambria" w:hAnsi="Cambria" w:cs="Arial"/>
                <w:b/>
                <w:sz w:val="24"/>
                <w:szCs w:val="24"/>
              </w:rPr>
              <w:t>Qtd</w:t>
            </w:r>
            <w:proofErr w:type="spellEnd"/>
          </w:p>
        </w:tc>
        <w:tc>
          <w:tcPr>
            <w:tcW w:w="854" w:type="dxa"/>
            <w:tcBorders>
              <w:top w:val="single" w:sz="4" w:space="0" w:color="000000"/>
              <w:left w:val="single" w:sz="4" w:space="0" w:color="000000"/>
              <w:bottom w:val="single" w:sz="4" w:space="0" w:color="000000"/>
              <w:right w:val="single" w:sz="4" w:space="0" w:color="000000"/>
            </w:tcBorders>
          </w:tcPr>
          <w:p w14:paraId="2E94F839"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Marca</w:t>
            </w:r>
          </w:p>
        </w:tc>
        <w:tc>
          <w:tcPr>
            <w:tcW w:w="1162" w:type="dxa"/>
            <w:tcBorders>
              <w:top w:val="single" w:sz="4" w:space="0" w:color="000000"/>
              <w:left w:val="single" w:sz="4" w:space="0" w:color="000000"/>
              <w:bottom w:val="single" w:sz="4" w:space="0" w:color="000000"/>
              <w:right w:val="single" w:sz="4" w:space="0" w:color="000000"/>
            </w:tcBorders>
          </w:tcPr>
          <w:p w14:paraId="24035D3A"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Recursos Humano</w:t>
            </w:r>
          </w:p>
        </w:tc>
        <w:tc>
          <w:tcPr>
            <w:tcW w:w="1525" w:type="dxa"/>
            <w:tcBorders>
              <w:top w:val="single" w:sz="4" w:space="0" w:color="000000"/>
              <w:left w:val="single" w:sz="4" w:space="0" w:color="000000"/>
              <w:bottom w:val="single" w:sz="4" w:space="0" w:color="000000"/>
              <w:right w:val="single" w:sz="4" w:space="0" w:color="000000"/>
            </w:tcBorders>
          </w:tcPr>
          <w:p w14:paraId="301C4E97"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Impostos, Obrigações Socias E Trabalhistas</w:t>
            </w:r>
          </w:p>
        </w:tc>
        <w:tc>
          <w:tcPr>
            <w:tcW w:w="808" w:type="dxa"/>
            <w:tcBorders>
              <w:top w:val="single" w:sz="4" w:space="0" w:color="000000"/>
              <w:left w:val="single" w:sz="4" w:space="0" w:color="000000"/>
              <w:bottom w:val="single" w:sz="4" w:space="0" w:color="000000"/>
              <w:right w:val="single" w:sz="4" w:space="0" w:color="000000"/>
            </w:tcBorders>
          </w:tcPr>
          <w:p w14:paraId="48FFCC80"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Lucro</w:t>
            </w:r>
          </w:p>
        </w:tc>
        <w:tc>
          <w:tcPr>
            <w:tcW w:w="1179" w:type="dxa"/>
            <w:tcBorders>
              <w:top w:val="single" w:sz="4" w:space="0" w:color="000000"/>
              <w:left w:val="single" w:sz="4" w:space="0" w:color="000000"/>
              <w:bottom w:val="single" w:sz="4" w:space="0" w:color="000000"/>
              <w:right w:val="single" w:sz="4" w:space="0" w:color="000000"/>
            </w:tcBorders>
          </w:tcPr>
          <w:p w14:paraId="18551595" w14:textId="77777777" w:rsidR="00150077" w:rsidRDefault="00000000">
            <w:pPr>
              <w:spacing w:before="283" w:line="360" w:lineRule="auto"/>
              <w:jc w:val="center"/>
              <w:rPr>
                <w:rFonts w:ascii="Cambria" w:hAnsi="Cambria" w:cs="Arial"/>
                <w:b/>
                <w:sz w:val="24"/>
                <w:szCs w:val="24"/>
              </w:rPr>
            </w:pPr>
            <w:r>
              <w:rPr>
                <w:rFonts w:ascii="Cambria" w:hAnsi="Cambria" w:cs="Arial"/>
                <w:b/>
                <w:sz w:val="24"/>
                <w:szCs w:val="24"/>
              </w:rPr>
              <w:t>Outras Despesas</w:t>
            </w:r>
          </w:p>
        </w:tc>
        <w:tc>
          <w:tcPr>
            <w:tcW w:w="918" w:type="dxa"/>
            <w:tcBorders>
              <w:top w:val="single" w:sz="4" w:space="0" w:color="000000"/>
              <w:left w:val="single" w:sz="4" w:space="0" w:color="000000"/>
              <w:bottom w:val="single" w:sz="4" w:space="0" w:color="000000"/>
              <w:right w:val="single" w:sz="4" w:space="0" w:color="000000"/>
            </w:tcBorders>
          </w:tcPr>
          <w:p w14:paraId="1329A8C2" w14:textId="77777777" w:rsidR="00150077" w:rsidRDefault="00000000">
            <w:pPr>
              <w:spacing w:before="283" w:line="360" w:lineRule="auto"/>
              <w:jc w:val="center"/>
              <w:rPr>
                <w:rFonts w:ascii="Cambria" w:hAnsi="Cambria" w:cs="Arial"/>
                <w:b/>
                <w:sz w:val="24"/>
                <w:szCs w:val="24"/>
              </w:rPr>
            </w:pPr>
            <w:proofErr w:type="spellStart"/>
            <w:proofErr w:type="gramStart"/>
            <w:r>
              <w:rPr>
                <w:rFonts w:ascii="Cambria" w:hAnsi="Cambria" w:cs="Arial"/>
                <w:b/>
                <w:sz w:val="24"/>
                <w:szCs w:val="24"/>
              </w:rPr>
              <w:t>Vl.Unit</w:t>
            </w:r>
            <w:proofErr w:type="spellEnd"/>
            <w:proofErr w:type="gramEnd"/>
          </w:p>
        </w:tc>
        <w:tc>
          <w:tcPr>
            <w:tcW w:w="1022" w:type="dxa"/>
            <w:tcBorders>
              <w:top w:val="single" w:sz="4" w:space="0" w:color="000000"/>
              <w:left w:val="single" w:sz="4" w:space="0" w:color="000000"/>
              <w:bottom w:val="single" w:sz="4" w:space="0" w:color="000000"/>
              <w:right w:val="single" w:sz="4" w:space="0" w:color="000000"/>
            </w:tcBorders>
          </w:tcPr>
          <w:p w14:paraId="403BD3B9" w14:textId="77777777" w:rsidR="00150077" w:rsidRDefault="00000000">
            <w:pPr>
              <w:spacing w:before="283" w:line="360" w:lineRule="auto"/>
              <w:jc w:val="center"/>
              <w:rPr>
                <w:rFonts w:ascii="Cambria" w:hAnsi="Cambria" w:cs="Arial"/>
                <w:b/>
                <w:sz w:val="24"/>
                <w:szCs w:val="24"/>
              </w:rPr>
            </w:pPr>
            <w:proofErr w:type="spellStart"/>
            <w:proofErr w:type="gramStart"/>
            <w:r>
              <w:rPr>
                <w:rFonts w:ascii="Cambria" w:hAnsi="Cambria" w:cs="Arial"/>
                <w:b/>
                <w:sz w:val="24"/>
                <w:szCs w:val="24"/>
              </w:rPr>
              <w:t>Vl.Total</w:t>
            </w:r>
            <w:proofErr w:type="spellEnd"/>
            <w:proofErr w:type="gramEnd"/>
          </w:p>
        </w:tc>
      </w:tr>
      <w:tr w:rsidR="00150077" w14:paraId="2B5EDF77"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04103F09" w14:textId="77777777" w:rsidR="00150077" w:rsidRDefault="00150077">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7E4F00FA" w14:textId="77777777" w:rsidR="00150077" w:rsidRDefault="00150077">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37E56650" w14:textId="77777777" w:rsidR="00150077" w:rsidRDefault="00150077">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7692EFB0" w14:textId="77777777" w:rsidR="00150077" w:rsidRDefault="00150077">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7E0230F7" w14:textId="77777777" w:rsidR="00150077" w:rsidRDefault="00150077">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351D61A7" w14:textId="77777777" w:rsidR="00150077" w:rsidRDefault="00150077">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43380920" w14:textId="77777777" w:rsidR="00150077" w:rsidRDefault="00150077">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57C2F913" w14:textId="77777777" w:rsidR="00150077" w:rsidRDefault="00150077">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6DDA2FAE" w14:textId="77777777" w:rsidR="00150077" w:rsidRDefault="00150077">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666427FC" w14:textId="77777777" w:rsidR="00150077" w:rsidRDefault="00150077">
            <w:pPr>
              <w:spacing w:before="283" w:line="360" w:lineRule="auto"/>
              <w:rPr>
                <w:rFonts w:ascii="Cambria" w:hAnsi="Cambria" w:cs="Arial"/>
                <w:b/>
                <w:sz w:val="24"/>
                <w:szCs w:val="24"/>
                <w:u w:val="single"/>
              </w:rPr>
            </w:pPr>
          </w:p>
        </w:tc>
      </w:tr>
      <w:tr w:rsidR="00150077" w14:paraId="3BEB0C7F"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71AFA7CD" w14:textId="77777777" w:rsidR="00150077" w:rsidRDefault="00150077">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7AC55FED" w14:textId="77777777" w:rsidR="00150077" w:rsidRDefault="00150077">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00FDFC11" w14:textId="77777777" w:rsidR="00150077" w:rsidRDefault="00150077">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2ABBBA1F" w14:textId="77777777" w:rsidR="00150077" w:rsidRDefault="00150077">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7EDFF59A" w14:textId="77777777" w:rsidR="00150077" w:rsidRDefault="00150077">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70DDFF14" w14:textId="77777777" w:rsidR="00150077" w:rsidRDefault="00150077">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0F8F9AAE" w14:textId="77777777" w:rsidR="00150077" w:rsidRDefault="00150077">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132DB4CB" w14:textId="77777777" w:rsidR="00150077" w:rsidRDefault="00150077">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5B7D9055" w14:textId="77777777" w:rsidR="00150077" w:rsidRDefault="00150077">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7B16FCBE" w14:textId="77777777" w:rsidR="00150077" w:rsidRDefault="00150077">
            <w:pPr>
              <w:spacing w:before="283" w:line="360" w:lineRule="auto"/>
              <w:rPr>
                <w:rFonts w:ascii="Cambria" w:hAnsi="Cambria" w:cs="Arial"/>
                <w:b/>
                <w:sz w:val="24"/>
                <w:szCs w:val="24"/>
                <w:u w:val="single"/>
              </w:rPr>
            </w:pPr>
          </w:p>
        </w:tc>
      </w:tr>
    </w:tbl>
    <w:p w14:paraId="434B2733" w14:textId="77777777" w:rsidR="00150077" w:rsidRDefault="00150077">
      <w:pPr>
        <w:tabs>
          <w:tab w:val="left" w:pos="1260"/>
        </w:tabs>
        <w:spacing w:line="360" w:lineRule="auto"/>
        <w:ind w:right="-427"/>
        <w:rPr>
          <w:rFonts w:ascii="Cambria" w:hAnsi="Cambria"/>
          <w:sz w:val="24"/>
          <w:szCs w:val="24"/>
        </w:rPr>
      </w:pPr>
    </w:p>
    <w:p w14:paraId="352B98CF" w14:textId="77777777" w:rsidR="00150077"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64920966" w14:textId="77777777" w:rsidR="00150077" w:rsidRDefault="00150077">
      <w:pPr>
        <w:pStyle w:val="Ttulo10"/>
        <w:spacing w:line="360" w:lineRule="auto"/>
        <w:ind w:right="-427"/>
        <w:jc w:val="both"/>
        <w:rPr>
          <w:rFonts w:ascii="Cambria" w:hAnsi="Cambria"/>
          <w:szCs w:val="24"/>
        </w:rPr>
      </w:pPr>
    </w:p>
    <w:p w14:paraId="517F83D7" w14:textId="77777777" w:rsidR="00150077"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23F1BDA0" w14:textId="77777777" w:rsidR="00150077" w:rsidRDefault="00150077">
      <w:pPr>
        <w:tabs>
          <w:tab w:val="left" w:pos="1701"/>
        </w:tabs>
        <w:spacing w:line="360" w:lineRule="auto"/>
        <w:jc w:val="center"/>
        <w:rPr>
          <w:rFonts w:ascii="Cambria" w:hAnsi="Cambria"/>
          <w:b/>
          <w:color w:val="000000" w:themeColor="text1"/>
          <w:sz w:val="24"/>
          <w:szCs w:val="24"/>
        </w:rPr>
      </w:pPr>
    </w:p>
    <w:p w14:paraId="0C0479E5" w14:textId="77777777" w:rsidR="00150077"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22C506B5" w14:textId="77777777" w:rsidR="00150077" w:rsidRDefault="00000000">
      <w:pPr>
        <w:spacing w:line="360" w:lineRule="auto"/>
        <w:rPr>
          <w:rFonts w:ascii="Cambria" w:hAnsi="Cambria"/>
          <w:b/>
          <w:i/>
          <w:color w:val="000000" w:themeColor="text1"/>
          <w:sz w:val="24"/>
          <w:szCs w:val="24"/>
        </w:rPr>
      </w:pPr>
      <w:r>
        <w:br w:type="page"/>
      </w:r>
    </w:p>
    <w:p w14:paraId="7B9F1049" w14:textId="77777777" w:rsidR="00150077"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31/2026</w:t>
      </w:r>
    </w:p>
    <w:p w14:paraId="2040CC1D"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w:t>
      </w:r>
    </w:p>
    <w:p w14:paraId="70E3374B"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MINUTA ATA DE REGISTRO DE PREÇOS</w:t>
      </w:r>
    </w:p>
    <w:p w14:paraId="57CD3261" w14:textId="77777777" w:rsidR="00150077" w:rsidRDefault="00000000">
      <w:pPr>
        <w:spacing w:before="240" w:line="360" w:lineRule="auto"/>
        <w:ind w:right="-1"/>
        <w:rPr>
          <w:rFonts w:ascii="Cambria" w:hAnsi="Cambria"/>
          <w:color w:val="000000" w:themeColor="text1"/>
          <w:sz w:val="24"/>
          <w:szCs w:val="24"/>
        </w:rPr>
      </w:pPr>
      <w:r>
        <w:rPr>
          <w:rFonts w:ascii="Cambria" w:hAnsi="Cambria"/>
          <w:color w:val="000000" w:themeColor="text1"/>
          <w:sz w:val="24"/>
          <w:szCs w:val="24"/>
        </w:rPr>
        <w:t xml:space="preserve">Sistema de Registro de Preços para parcelada, eventual e futura </w:t>
      </w:r>
      <w:r>
        <w:rPr>
          <w:rFonts w:ascii="Cambria" w:hAnsi="Cambria"/>
          <w:sz w:val="24"/>
          <w:szCs w:val="24"/>
        </w:rPr>
        <w:t xml:space="preserve">aquisição de solução completa de visualização e sinalização digital (Digital </w:t>
      </w:r>
      <w:proofErr w:type="spellStart"/>
      <w:r>
        <w:rPr>
          <w:rFonts w:ascii="Cambria" w:hAnsi="Cambria"/>
          <w:sz w:val="24"/>
          <w:szCs w:val="24"/>
        </w:rPr>
        <w:t>Signage</w:t>
      </w:r>
      <w:proofErr w:type="spellEnd"/>
      <w:r>
        <w:rPr>
          <w:rFonts w:ascii="Cambria" w:hAnsi="Cambria"/>
          <w:sz w:val="24"/>
          <w:szCs w:val="24"/>
        </w:rPr>
        <w:t>), composta por painel de LED modular de alta performance híbrido (indoor/outdoor), projetado para operação em eventos culturais e ambientes institucionais, atendendo assim as necessidades da Secretaria Municipal de Cultura de Piracanjuba/GO</w:t>
      </w:r>
      <w:r>
        <w:rPr>
          <w:rFonts w:ascii="Cambria" w:hAnsi="Cambria"/>
          <w:color w:val="000000" w:themeColor="text1"/>
          <w:sz w:val="24"/>
          <w:szCs w:val="24"/>
        </w:rPr>
        <w:t>.</w:t>
      </w:r>
    </w:p>
    <w:p w14:paraId="76129012" w14:textId="77777777" w:rsidR="00150077" w:rsidRDefault="00000000">
      <w:pPr>
        <w:spacing w:before="240" w:line="360" w:lineRule="auto"/>
        <w:ind w:right="-1" w:firstLine="708"/>
        <w:rPr>
          <w:rFonts w:ascii="Cambria" w:eastAsia="Arial" w:hAnsi="Cambria"/>
          <w:b/>
          <w:color w:val="000000" w:themeColor="text1"/>
          <w:sz w:val="24"/>
          <w:szCs w:val="24"/>
        </w:rPr>
      </w:pPr>
      <w:r>
        <w:rPr>
          <w:rFonts w:ascii="Cambria" w:hAnsi="Cambria"/>
          <w:b/>
          <w:color w:val="000000" w:themeColor="text1"/>
          <w:sz w:val="24"/>
          <w:szCs w:val="24"/>
        </w:rPr>
        <w:t>Processo Administrativo nº</w:t>
      </w:r>
      <w:r>
        <w:rPr>
          <w:rFonts w:ascii="Cambria" w:hAnsi="Cambria"/>
          <w:b/>
          <w:color w:val="000000" w:themeColor="text1"/>
          <w:sz w:val="24"/>
          <w:szCs w:val="24"/>
          <w:vertAlign w:val="superscript"/>
        </w:rPr>
        <w:t xml:space="preserve"> </w:t>
      </w:r>
      <w:r>
        <w:rPr>
          <w:rFonts w:ascii="Cambria" w:hAnsi="Cambria"/>
          <w:b/>
          <w:color w:val="000000" w:themeColor="text1"/>
          <w:sz w:val="24"/>
          <w:szCs w:val="24"/>
        </w:rPr>
        <w:t>5091/2026</w:t>
      </w:r>
      <w:r>
        <w:rPr>
          <w:rFonts w:ascii="Cambria" w:eastAsia="Arial" w:hAnsi="Cambria"/>
          <w:b/>
          <w:color w:val="000000" w:themeColor="text1"/>
          <w:sz w:val="24"/>
          <w:szCs w:val="24"/>
        </w:rPr>
        <w:t>.</w:t>
      </w:r>
    </w:p>
    <w:p w14:paraId="412E04C4" w14:textId="77777777" w:rsidR="00150077" w:rsidRDefault="00000000">
      <w:pPr>
        <w:spacing w:before="240" w:after="0" w:line="360" w:lineRule="auto"/>
        <w:ind w:right="-1" w:firstLine="720"/>
        <w:rPr>
          <w:rFonts w:ascii="Cambria" w:hAnsi="Cambria"/>
          <w:color w:val="000000" w:themeColor="text1"/>
          <w:sz w:val="24"/>
          <w:szCs w:val="24"/>
        </w:rPr>
      </w:pPr>
      <w:r>
        <w:rPr>
          <w:rFonts w:ascii="Cambria" w:eastAsia="Arial" w:hAnsi="Cambria"/>
          <w:b/>
          <w:color w:val="000000" w:themeColor="text1"/>
          <w:sz w:val="24"/>
          <w:szCs w:val="24"/>
        </w:rPr>
        <w:t>Pregão Eletrônico nº 31/2026</w:t>
      </w:r>
    </w:p>
    <w:p w14:paraId="1D79A15B" w14:textId="77777777" w:rsidR="00150077" w:rsidRDefault="00000000">
      <w:pPr>
        <w:spacing w:before="240" w:after="0" w:line="360" w:lineRule="auto"/>
        <w:ind w:right="-1" w:firstLine="720"/>
        <w:rPr>
          <w:rFonts w:ascii="Cambria" w:eastAsia="Arial" w:hAnsi="Cambria"/>
          <w:b/>
          <w:color w:val="000000" w:themeColor="text1"/>
          <w:sz w:val="24"/>
          <w:szCs w:val="24"/>
        </w:rPr>
      </w:pPr>
      <w:r>
        <w:rPr>
          <w:rFonts w:ascii="Cambria" w:eastAsia="Arial" w:hAnsi="Cambria"/>
          <w:b/>
          <w:color w:val="000000" w:themeColor="text1"/>
          <w:sz w:val="24"/>
          <w:szCs w:val="24"/>
        </w:rPr>
        <w:t>Validade: 01 (um) ano, podendo ser prorrogado nos termos da LLC 14133/2021.</w:t>
      </w:r>
    </w:p>
    <w:p w14:paraId="5E2FE4D7" w14:textId="77777777" w:rsidR="00150077" w:rsidRDefault="00000000">
      <w:pPr>
        <w:spacing w:before="240" w:after="240" w:line="360" w:lineRule="auto"/>
        <w:ind w:right="-1"/>
        <w:rPr>
          <w:rFonts w:ascii="Cambria" w:hAnsi="Cambria"/>
          <w:color w:val="000000" w:themeColor="text1"/>
          <w:sz w:val="24"/>
          <w:szCs w:val="24"/>
        </w:rPr>
      </w:pPr>
      <w:r>
        <w:rPr>
          <w:rFonts w:ascii="Cambria" w:eastAsia="Arial" w:hAnsi="Cambria"/>
          <w:color w:val="000000" w:themeColor="text1"/>
          <w:sz w:val="24"/>
          <w:szCs w:val="24"/>
        </w:rPr>
        <w:t xml:space="preserve">No dia ___ de ___________ </w:t>
      </w:r>
      <w:proofErr w:type="spellStart"/>
      <w:r>
        <w:rPr>
          <w:rFonts w:ascii="Cambria" w:eastAsia="Arial" w:hAnsi="Cambria"/>
          <w:color w:val="000000" w:themeColor="text1"/>
          <w:sz w:val="24"/>
          <w:szCs w:val="24"/>
        </w:rPr>
        <w:t>de</w:t>
      </w:r>
      <w:proofErr w:type="spellEnd"/>
      <w:r>
        <w:rPr>
          <w:rFonts w:ascii="Cambria" w:eastAsia="Arial" w:hAnsi="Cambria"/>
          <w:color w:val="000000" w:themeColor="text1"/>
          <w:sz w:val="24"/>
          <w:szCs w:val="24"/>
        </w:rPr>
        <w:t xml:space="preserve"> 20__, </w:t>
      </w:r>
      <w:r>
        <w:rPr>
          <w:rFonts w:ascii="Cambria" w:hAnsi="Cambria"/>
          <w:color w:val="000000" w:themeColor="text1"/>
          <w:sz w:val="24"/>
          <w:szCs w:val="24"/>
        </w:rPr>
        <w:t xml:space="preserve">o </w:t>
      </w:r>
      <w:r>
        <w:rPr>
          <w:rFonts w:ascii="Cambria" w:hAnsi="Cambria"/>
          <w:b/>
          <w:color w:val="000000" w:themeColor="text1"/>
        </w:rPr>
        <w:t>FUNDO MUNICIPAL DE CULTURA DE PIRACANJUBA/GO</w:t>
      </w:r>
      <w:r>
        <w:rPr>
          <w:rFonts w:ascii="Cambria" w:hAnsi="Cambria"/>
          <w:color w:val="000000" w:themeColor="text1"/>
          <w:sz w:val="24"/>
          <w:szCs w:val="24"/>
        </w:rPr>
        <w:t xml:space="preserve">, Estado de Goiás, Pessoa Jurídica de Direito Público Interno, com sede na </w:t>
      </w:r>
      <w:r>
        <w:rPr>
          <w:rFonts w:ascii="Cambria" w:hAnsi="Cambria" w:cs="Segoe UI"/>
          <w:color w:val="000000" w:themeColor="text1"/>
          <w:sz w:val="24"/>
          <w:szCs w:val="24"/>
        </w:rPr>
        <w:t>Praça Wilson Eloy Pimenta, nº 100, Centro – Piracanjuba/GO</w:t>
      </w:r>
      <w:r>
        <w:rPr>
          <w:rFonts w:ascii="Cambria" w:hAnsi="Cambria"/>
          <w:color w:val="000000" w:themeColor="text1"/>
          <w:sz w:val="24"/>
          <w:szCs w:val="24"/>
        </w:rPr>
        <w:t xml:space="preserve">, inscrito no CNPJ sob o nº 22.957.266/0001-60, através da </w:t>
      </w:r>
      <w:r>
        <w:rPr>
          <w:rFonts w:ascii="Cambria" w:hAnsi="Cambria"/>
          <w:bCs/>
          <w:color w:val="000000" w:themeColor="text1"/>
          <w:sz w:val="24"/>
          <w:szCs w:val="24"/>
        </w:rPr>
        <w:t>Secretaria Municipal de Cultura de Piracanjuba/GO</w:t>
      </w:r>
      <w:r>
        <w:rPr>
          <w:rFonts w:ascii="Cambria" w:hAnsi="Cambria"/>
          <w:color w:val="000000" w:themeColor="text1"/>
          <w:sz w:val="24"/>
          <w:szCs w:val="24"/>
        </w:rPr>
        <w:t xml:space="preserve">, representada pelo atual Gestor, </w:t>
      </w:r>
      <w:r>
        <w:rPr>
          <w:rFonts w:ascii="Cambria" w:hAnsi="Cambria"/>
          <w:b/>
          <w:color w:val="000000" w:themeColor="text1"/>
          <w:sz w:val="24"/>
          <w:szCs w:val="24"/>
        </w:rPr>
        <w:t xml:space="preserve">Sr. </w:t>
      </w:r>
      <w:r>
        <w:rPr>
          <w:rFonts w:ascii="Cambria" w:hAnsi="Cambria"/>
          <w:b/>
          <w:color w:val="000000" w:themeColor="text1"/>
        </w:rPr>
        <w:t>Jovair Antônio Pontes dos Santos</w:t>
      </w:r>
      <w:r>
        <w:rPr>
          <w:rFonts w:ascii="Cambria" w:hAnsi="Cambria"/>
          <w:color w:val="000000" w:themeColor="text1"/>
          <w:sz w:val="24"/>
          <w:szCs w:val="24"/>
        </w:rPr>
        <w:t xml:space="preserve">, inscrito no CPF sob o nº 364.177.691-00, considerando o julgamento da licitação na modalidade pregão, na forma eletrônica, para registro de preços, processo administrativo </w:t>
      </w:r>
      <w:r>
        <w:rPr>
          <w:rFonts w:ascii="Cambria" w:hAnsi="Cambria"/>
          <w:bCs/>
          <w:color w:val="000000" w:themeColor="text1"/>
          <w:sz w:val="24"/>
          <w:szCs w:val="24"/>
        </w:rPr>
        <w:t>nº</w:t>
      </w:r>
      <w:r>
        <w:rPr>
          <w:rFonts w:ascii="Cambria" w:hAnsi="Cambria"/>
          <w:bCs/>
          <w:color w:val="000000" w:themeColor="text1"/>
          <w:sz w:val="24"/>
          <w:szCs w:val="24"/>
          <w:vertAlign w:val="superscript"/>
        </w:rPr>
        <w:t xml:space="preserve"> </w:t>
      </w:r>
      <w:r>
        <w:rPr>
          <w:rFonts w:ascii="Cambria" w:hAnsi="Cambria"/>
          <w:bCs/>
          <w:color w:val="000000" w:themeColor="text1"/>
          <w:sz w:val="24"/>
          <w:szCs w:val="24"/>
        </w:rPr>
        <w:t>5091/2026</w:t>
      </w:r>
      <w:r>
        <w:rPr>
          <w:rFonts w:ascii="Cambria" w:hAnsi="Cambria"/>
          <w:color w:val="000000" w:themeColor="text1"/>
          <w:sz w:val="24"/>
          <w:szCs w:val="24"/>
        </w:rPr>
        <w:t>, RESOLVE registrar os preços das empresas indicadas e qualificadas nesta ATA, de acordo com a classificação por elas alcançadas e nas quantidades cotadas, atendendo as condições previstas no Edital do Pregão Eletrônico nº 31/2026, sujeitando-se as partes às normas constantes na Lei Federal nº 14.133, de 01 de abril de 2024 e no Decreto Municipal nº 17, de 08 de janeiro de 2024, e em conformidade com as disposições a seguir</w:t>
      </w:r>
      <w:r>
        <w:rPr>
          <w:rFonts w:ascii="Cambria" w:eastAsia="Arial" w:hAnsi="Cambria"/>
          <w:color w:val="000000" w:themeColor="text1"/>
          <w:sz w:val="24"/>
          <w:szCs w:val="24"/>
        </w:rPr>
        <w:t>:</w:t>
      </w:r>
    </w:p>
    <w:p w14:paraId="6E6B0291"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OBJETO</w:t>
      </w:r>
    </w:p>
    <w:p w14:paraId="1A4E5530" w14:textId="77777777" w:rsidR="00150077" w:rsidRDefault="00000000">
      <w:pPr>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lastRenderedPageBreak/>
        <w:t xml:space="preserve">CLÁUSULA PRIMEIRA: </w:t>
      </w:r>
      <w:r>
        <w:rPr>
          <w:rFonts w:ascii="Cambria" w:hAnsi="Cambria"/>
          <w:color w:val="000000" w:themeColor="text1"/>
          <w:sz w:val="24"/>
          <w:szCs w:val="24"/>
        </w:rPr>
        <w:t xml:space="preserve">A presente ARP tem por objeto </w:t>
      </w:r>
      <w:r>
        <w:rPr>
          <w:rFonts w:ascii="Cambria" w:hAnsi="Cambria"/>
          <w:sz w:val="24"/>
          <w:szCs w:val="24"/>
        </w:rPr>
        <w:t xml:space="preserve">aquisição de solução completa de visualização e sinalização digital (Digital </w:t>
      </w:r>
      <w:proofErr w:type="spellStart"/>
      <w:r>
        <w:rPr>
          <w:rFonts w:ascii="Cambria" w:hAnsi="Cambria"/>
          <w:sz w:val="24"/>
          <w:szCs w:val="24"/>
        </w:rPr>
        <w:t>Signage</w:t>
      </w:r>
      <w:proofErr w:type="spellEnd"/>
      <w:r>
        <w:rPr>
          <w:rFonts w:ascii="Cambria" w:hAnsi="Cambria"/>
          <w:sz w:val="24"/>
          <w:szCs w:val="24"/>
        </w:rPr>
        <w:t>), composta por painel de LED modular de alta performance híbrido (indoor/outdoor), projetado para operação em eventos culturais e ambientes institucionais, atendendo assim as necessidades da Secretaria Municipal de Cultura de Piracanjuba/GO</w:t>
      </w:r>
      <w:r>
        <w:rPr>
          <w:rFonts w:ascii="Cambria" w:hAnsi="Cambria"/>
          <w:color w:val="000000" w:themeColor="text1"/>
          <w:sz w:val="24"/>
          <w:szCs w:val="24"/>
        </w:rPr>
        <w:t>.</w:t>
      </w:r>
    </w:p>
    <w:p w14:paraId="4A26C41D"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Abaixo segue os licitantes que participaram da licitação e que tiveram itens vencedores:</w:t>
      </w:r>
    </w:p>
    <w:tbl>
      <w:tblPr>
        <w:tblW w:w="9351" w:type="dxa"/>
        <w:tblLayout w:type="fixed"/>
        <w:tblCellMar>
          <w:left w:w="10" w:type="dxa"/>
          <w:right w:w="10" w:type="dxa"/>
        </w:tblCellMar>
        <w:tblLook w:val="04A0" w:firstRow="1" w:lastRow="0" w:firstColumn="1" w:lastColumn="0" w:noHBand="0" w:noVBand="1"/>
      </w:tblPr>
      <w:tblGrid>
        <w:gridCol w:w="4391"/>
        <w:gridCol w:w="566"/>
        <w:gridCol w:w="1135"/>
        <w:gridCol w:w="3259"/>
      </w:tblGrid>
      <w:tr w:rsidR="00150077" w14:paraId="135FC63A" w14:textId="77777777">
        <w:trPr>
          <w:trHeight w:val="360"/>
        </w:trPr>
        <w:tc>
          <w:tcPr>
            <w:tcW w:w="9350" w:type="dxa"/>
            <w:gridSpan w:val="4"/>
            <w:tcBorders>
              <w:top w:val="single" w:sz="4" w:space="0" w:color="000000"/>
              <w:left w:val="single" w:sz="4" w:space="0" w:color="000000"/>
              <w:bottom w:val="single" w:sz="4" w:space="0" w:color="000000"/>
              <w:right w:val="single" w:sz="4" w:space="0" w:color="000000"/>
            </w:tcBorders>
            <w:vAlign w:val="center"/>
          </w:tcPr>
          <w:p w14:paraId="4C3E76C8" w14:textId="77777777" w:rsidR="00150077" w:rsidRDefault="00000000">
            <w:pPr>
              <w:spacing w:after="0" w:line="360" w:lineRule="auto"/>
              <w:ind w:right="-1"/>
              <w:jc w:val="center"/>
              <w:rPr>
                <w:rFonts w:ascii="Cambria" w:hAnsi="Cambria"/>
                <w:color w:val="000000" w:themeColor="text1"/>
                <w:sz w:val="24"/>
                <w:szCs w:val="24"/>
              </w:rPr>
            </w:pPr>
            <w:r>
              <w:rPr>
                <w:rFonts w:ascii="Cambria" w:eastAsia="Arial" w:hAnsi="Cambria"/>
                <w:b/>
                <w:color w:val="000000" w:themeColor="text1"/>
                <w:sz w:val="24"/>
                <w:szCs w:val="24"/>
              </w:rPr>
              <w:t>DADOS DA EMPRESA</w:t>
            </w:r>
          </w:p>
        </w:tc>
      </w:tr>
      <w:tr w:rsidR="00150077" w14:paraId="220EC0E3" w14:textId="77777777">
        <w:tc>
          <w:tcPr>
            <w:tcW w:w="6091" w:type="dxa"/>
            <w:gridSpan w:val="3"/>
            <w:tcBorders>
              <w:top w:val="single" w:sz="4" w:space="0" w:color="000000"/>
              <w:left w:val="single" w:sz="4" w:space="0" w:color="000000"/>
              <w:bottom w:val="single" w:sz="4" w:space="0" w:color="000000"/>
              <w:right w:val="single" w:sz="4" w:space="0" w:color="000000"/>
            </w:tcBorders>
          </w:tcPr>
          <w:p w14:paraId="5C44644D"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259" w:type="dxa"/>
            <w:tcBorders>
              <w:top w:val="single" w:sz="4" w:space="0" w:color="000000"/>
              <w:left w:val="single" w:sz="4" w:space="0" w:color="000000"/>
              <w:bottom w:val="single" w:sz="4" w:space="0" w:color="000000"/>
              <w:right w:val="single" w:sz="4" w:space="0" w:color="000000"/>
            </w:tcBorders>
          </w:tcPr>
          <w:p w14:paraId="46C8D7E2"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150077" w14:paraId="4BB96972" w14:textId="77777777">
        <w:tc>
          <w:tcPr>
            <w:tcW w:w="9350" w:type="dxa"/>
            <w:gridSpan w:val="4"/>
            <w:tcBorders>
              <w:top w:val="single" w:sz="4" w:space="0" w:color="000000"/>
              <w:left w:val="single" w:sz="4" w:space="0" w:color="000000"/>
              <w:bottom w:val="single" w:sz="4" w:space="0" w:color="000000"/>
              <w:right w:val="single" w:sz="4" w:space="0" w:color="000000"/>
            </w:tcBorders>
          </w:tcPr>
          <w:p w14:paraId="2B0A7864" w14:textId="77777777" w:rsidR="00150077"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Endereço:</w:t>
            </w:r>
          </w:p>
        </w:tc>
      </w:tr>
      <w:tr w:rsidR="00150077" w14:paraId="30873DAB" w14:textId="77777777">
        <w:tc>
          <w:tcPr>
            <w:tcW w:w="4390" w:type="dxa"/>
            <w:tcBorders>
              <w:top w:val="single" w:sz="4" w:space="0" w:color="000000"/>
              <w:left w:val="single" w:sz="4" w:space="0" w:color="000000"/>
              <w:bottom w:val="single" w:sz="4" w:space="0" w:color="000000"/>
              <w:right w:val="single" w:sz="4" w:space="0" w:color="000000"/>
            </w:tcBorders>
          </w:tcPr>
          <w:p w14:paraId="230F2171" w14:textId="77777777" w:rsidR="00150077"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Telefone:</w:t>
            </w:r>
          </w:p>
        </w:tc>
        <w:tc>
          <w:tcPr>
            <w:tcW w:w="4960" w:type="dxa"/>
            <w:gridSpan w:val="3"/>
            <w:tcBorders>
              <w:top w:val="single" w:sz="4" w:space="0" w:color="000000"/>
              <w:left w:val="single" w:sz="4" w:space="0" w:color="000000"/>
              <w:bottom w:val="single" w:sz="4" w:space="0" w:color="000000"/>
              <w:right w:val="single" w:sz="4" w:space="0" w:color="000000"/>
            </w:tcBorders>
          </w:tcPr>
          <w:p w14:paraId="1682BC87" w14:textId="77777777" w:rsidR="00150077"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150077" w14:paraId="70AD70B6" w14:textId="77777777">
        <w:tc>
          <w:tcPr>
            <w:tcW w:w="4956" w:type="dxa"/>
            <w:gridSpan w:val="2"/>
            <w:tcBorders>
              <w:top w:val="single" w:sz="4" w:space="0" w:color="000000"/>
              <w:left w:val="single" w:sz="4" w:space="0" w:color="000000"/>
              <w:bottom w:val="single" w:sz="4" w:space="0" w:color="000000"/>
              <w:right w:val="single" w:sz="4" w:space="0" w:color="000000"/>
            </w:tcBorders>
          </w:tcPr>
          <w:p w14:paraId="4F558C8E" w14:textId="77777777" w:rsidR="00150077"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Representante Legal:</w:t>
            </w:r>
          </w:p>
        </w:tc>
        <w:tc>
          <w:tcPr>
            <w:tcW w:w="4394" w:type="dxa"/>
            <w:gridSpan w:val="2"/>
            <w:tcBorders>
              <w:top w:val="single" w:sz="4" w:space="0" w:color="000000"/>
              <w:left w:val="single" w:sz="4" w:space="0" w:color="000000"/>
              <w:bottom w:val="single" w:sz="4" w:space="0" w:color="000000"/>
              <w:right w:val="single" w:sz="4" w:space="0" w:color="000000"/>
            </w:tcBorders>
          </w:tcPr>
          <w:p w14:paraId="1FFE0FB6" w14:textId="77777777" w:rsidR="0015007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48C9EDC7"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eastAsia="Arial" w:hAnsi="Cambria"/>
          <w:b/>
          <w:color w:val="000000" w:themeColor="text1"/>
          <w:sz w:val="24"/>
          <w:szCs w:val="24"/>
        </w:rPr>
        <w:t xml:space="preserve">II. </w:t>
      </w:r>
      <w:r>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05B3C848"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PREÇOS, ESPECIFICAÇÕES E QUANTITATIVOS</w:t>
      </w:r>
    </w:p>
    <w:p w14:paraId="5D173597" w14:textId="77777777" w:rsidR="00150077" w:rsidRDefault="00000000">
      <w:pPr>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SEGUNDA: </w:t>
      </w:r>
      <w:r>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5E6FCDFA" w14:textId="77777777" w:rsidR="00150077" w:rsidRDefault="00000000">
      <w:pPr>
        <w:spacing w:before="120" w:after="240" w:line="360" w:lineRule="auto"/>
        <w:rPr>
          <w:rFonts w:ascii="Cambria" w:hAnsi="Cambria"/>
          <w:sz w:val="24"/>
          <w:szCs w:val="24"/>
        </w:rPr>
      </w:pPr>
      <w:r>
        <w:rPr>
          <w:rFonts w:ascii="Cambria" w:hAnsi="Cambria" w:cstheme="minorHAnsi"/>
          <w:b/>
          <w:bCs/>
          <w:sz w:val="24"/>
          <w:szCs w:val="24"/>
        </w:rPr>
        <w:t>EMPRESA _________________</w:t>
      </w:r>
      <w:r>
        <w:rPr>
          <w:rFonts w:ascii="Cambria" w:hAnsi="Cambria"/>
          <w:sz w:val="24"/>
          <w:szCs w:val="24"/>
        </w:rPr>
        <w:t xml:space="preserve">, Pessoa Jurídica, devidamente inscrita no CNPJ sob nº </w:t>
      </w:r>
      <w:r>
        <w:rPr>
          <w:rFonts w:ascii="Cambria" w:hAnsi="Cambria" w:cstheme="minorHAnsi"/>
          <w:sz w:val="24"/>
          <w:szCs w:val="24"/>
        </w:rPr>
        <w:t>_________________</w:t>
      </w:r>
      <w:r>
        <w:rPr>
          <w:rFonts w:ascii="Cambria" w:hAnsi="Cambria"/>
          <w:sz w:val="24"/>
          <w:szCs w:val="24"/>
        </w:rPr>
        <w:t xml:space="preserve">, estabelecida na </w:t>
      </w:r>
      <w:r>
        <w:rPr>
          <w:rFonts w:ascii="Cambria" w:hAnsi="Cambria" w:cstheme="minorHAnsi"/>
          <w:sz w:val="24"/>
          <w:szCs w:val="24"/>
        </w:rPr>
        <w:t>______________________</w:t>
      </w:r>
      <w:r>
        <w:rPr>
          <w:rFonts w:ascii="Cambria" w:hAnsi="Cambria"/>
          <w:sz w:val="24"/>
          <w:szCs w:val="24"/>
        </w:rPr>
        <w:t xml:space="preserve">, Fone: </w:t>
      </w:r>
      <w:r>
        <w:rPr>
          <w:rFonts w:ascii="Cambria" w:hAnsi="Cambria" w:cstheme="minorHAnsi"/>
          <w:sz w:val="24"/>
          <w:szCs w:val="24"/>
        </w:rPr>
        <w:t>____________________</w:t>
      </w:r>
      <w:r>
        <w:rPr>
          <w:rFonts w:ascii="Cambria" w:hAnsi="Cambria"/>
          <w:sz w:val="24"/>
          <w:szCs w:val="24"/>
        </w:rPr>
        <w:t xml:space="preserve">, E-mail: </w:t>
      </w:r>
      <w:r>
        <w:rPr>
          <w:rFonts w:ascii="Cambria" w:hAnsi="Cambria" w:cstheme="minorHAnsi"/>
          <w:sz w:val="24"/>
          <w:szCs w:val="24"/>
        </w:rPr>
        <w:t>__________________________</w:t>
      </w:r>
      <w:r>
        <w:rPr>
          <w:rFonts w:ascii="Cambria" w:hAnsi="Cambria"/>
          <w:sz w:val="24"/>
          <w:szCs w:val="24"/>
        </w:rPr>
        <w:t xml:space="preserve">, neste ato representado pelo </w:t>
      </w:r>
      <w:r>
        <w:rPr>
          <w:rFonts w:ascii="Cambria" w:hAnsi="Cambria"/>
          <w:bCs/>
          <w:sz w:val="24"/>
          <w:szCs w:val="24"/>
        </w:rPr>
        <w:t>Sr.</w:t>
      </w:r>
      <w:r>
        <w:rPr>
          <w:rFonts w:ascii="Cambria" w:hAnsi="Cambria"/>
          <w:b/>
          <w:sz w:val="24"/>
          <w:szCs w:val="24"/>
        </w:rPr>
        <w:t xml:space="preserve"> </w:t>
      </w:r>
      <w:r>
        <w:rPr>
          <w:rFonts w:ascii="Cambria" w:hAnsi="Cambria" w:cstheme="minorHAnsi"/>
          <w:sz w:val="24"/>
          <w:szCs w:val="24"/>
        </w:rPr>
        <w:t>___________________</w:t>
      </w:r>
      <w:r>
        <w:rPr>
          <w:rFonts w:ascii="Cambria" w:hAnsi="Cambria"/>
          <w:sz w:val="24"/>
          <w:szCs w:val="24"/>
        </w:rPr>
        <w:t xml:space="preserve">, inscrito no CPF sob o nº </w:t>
      </w:r>
      <w:r>
        <w:rPr>
          <w:rFonts w:ascii="Cambria" w:hAnsi="Cambria" w:cstheme="minorHAnsi"/>
          <w:sz w:val="24"/>
          <w:szCs w:val="24"/>
        </w:rPr>
        <w:t>____________________</w:t>
      </w:r>
      <w:r>
        <w:rPr>
          <w:rFonts w:ascii="Cambria" w:hAnsi="Cambria"/>
          <w:sz w:val="24"/>
          <w:szCs w:val="24"/>
        </w:rPr>
        <w:t>, vencedora dos itens abaixo relacionados: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977"/>
        <w:gridCol w:w="567"/>
        <w:gridCol w:w="1134"/>
        <w:gridCol w:w="710"/>
        <w:gridCol w:w="1416"/>
        <w:gridCol w:w="1776"/>
      </w:tblGrid>
      <w:tr w:rsidR="00150077" w14:paraId="1DB21B26" w14:textId="77777777">
        <w:tc>
          <w:tcPr>
            <w:tcW w:w="633" w:type="dxa"/>
            <w:tcBorders>
              <w:top w:val="single" w:sz="4" w:space="0" w:color="000000"/>
              <w:left w:val="single" w:sz="4" w:space="0" w:color="000000"/>
              <w:bottom w:val="single" w:sz="4" w:space="0" w:color="000000"/>
              <w:right w:val="single" w:sz="4" w:space="0" w:color="000000"/>
            </w:tcBorders>
          </w:tcPr>
          <w:p w14:paraId="023DCDC9"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Item</w:t>
            </w:r>
          </w:p>
        </w:tc>
        <w:tc>
          <w:tcPr>
            <w:tcW w:w="2977" w:type="dxa"/>
            <w:tcBorders>
              <w:top w:val="single" w:sz="4" w:space="0" w:color="000000"/>
              <w:left w:val="single" w:sz="4" w:space="0" w:color="000000"/>
              <w:bottom w:val="single" w:sz="4" w:space="0" w:color="000000"/>
              <w:right w:val="single" w:sz="4" w:space="0" w:color="000000"/>
            </w:tcBorders>
          </w:tcPr>
          <w:p w14:paraId="180C42F5"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Descrição Item/Objeto</w:t>
            </w:r>
          </w:p>
        </w:tc>
        <w:tc>
          <w:tcPr>
            <w:tcW w:w="567" w:type="dxa"/>
            <w:tcBorders>
              <w:top w:val="single" w:sz="4" w:space="0" w:color="000000"/>
              <w:left w:val="single" w:sz="4" w:space="0" w:color="000000"/>
              <w:bottom w:val="single" w:sz="4" w:space="0" w:color="000000"/>
              <w:right w:val="single" w:sz="4" w:space="0" w:color="000000"/>
            </w:tcBorders>
          </w:tcPr>
          <w:p w14:paraId="2971678E" w14:textId="77777777" w:rsidR="00150077" w:rsidRDefault="00000000">
            <w:pPr>
              <w:spacing w:after="0" w:line="360" w:lineRule="auto"/>
              <w:ind w:right="-1"/>
              <w:jc w:val="center"/>
              <w:rPr>
                <w:rFonts w:ascii="Cambria" w:hAnsi="Cambria"/>
                <w:b/>
                <w:color w:val="000000" w:themeColor="text1"/>
              </w:rPr>
            </w:pPr>
            <w:proofErr w:type="spellStart"/>
            <w:r>
              <w:rPr>
                <w:rFonts w:ascii="Cambria" w:hAnsi="Cambria"/>
                <w:b/>
                <w:color w:val="000000" w:themeColor="text1"/>
              </w:rPr>
              <w:t>Und</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7E9E860D"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Marca/ Modelo</w:t>
            </w:r>
          </w:p>
        </w:tc>
        <w:tc>
          <w:tcPr>
            <w:tcW w:w="710" w:type="dxa"/>
            <w:tcBorders>
              <w:top w:val="single" w:sz="4" w:space="0" w:color="000000"/>
              <w:left w:val="single" w:sz="4" w:space="0" w:color="000000"/>
              <w:bottom w:val="single" w:sz="4" w:space="0" w:color="000000"/>
              <w:right w:val="single" w:sz="4" w:space="0" w:color="000000"/>
            </w:tcBorders>
          </w:tcPr>
          <w:p w14:paraId="2289AE44" w14:textId="77777777" w:rsidR="00150077" w:rsidRDefault="00000000">
            <w:pPr>
              <w:spacing w:after="0" w:line="36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416" w:type="dxa"/>
            <w:tcBorders>
              <w:top w:val="single" w:sz="4" w:space="0" w:color="000000"/>
              <w:left w:val="single" w:sz="4" w:space="0" w:color="000000"/>
              <w:bottom w:val="single" w:sz="4" w:space="0" w:color="000000"/>
              <w:right w:val="single" w:sz="4" w:space="0" w:color="000000"/>
            </w:tcBorders>
          </w:tcPr>
          <w:p w14:paraId="16EF1ED4"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Valor</w:t>
            </w:r>
          </w:p>
          <w:p w14:paraId="6E7E605D"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Unitário</w:t>
            </w:r>
          </w:p>
        </w:tc>
        <w:tc>
          <w:tcPr>
            <w:tcW w:w="1776" w:type="dxa"/>
            <w:tcBorders>
              <w:top w:val="single" w:sz="4" w:space="0" w:color="000000"/>
              <w:left w:val="single" w:sz="4" w:space="0" w:color="000000"/>
              <w:bottom w:val="single" w:sz="4" w:space="0" w:color="000000"/>
              <w:right w:val="single" w:sz="4" w:space="0" w:color="000000"/>
            </w:tcBorders>
          </w:tcPr>
          <w:p w14:paraId="0143B637"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Valor Total</w:t>
            </w:r>
          </w:p>
        </w:tc>
      </w:tr>
      <w:tr w:rsidR="00150077" w14:paraId="2C7E96A2" w14:textId="77777777">
        <w:tc>
          <w:tcPr>
            <w:tcW w:w="633" w:type="dxa"/>
            <w:tcBorders>
              <w:top w:val="single" w:sz="4" w:space="0" w:color="000000"/>
              <w:left w:val="single" w:sz="4" w:space="0" w:color="000000"/>
              <w:bottom w:val="single" w:sz="4" w:space="0" w:color="000000"/>
              <w:right w:val="single" w:sz="4" w:space="0" w:color="000000"/>
            </w:tcBorders>
          </w:tcPr>
          <w:p w14:paraId="54C83900" w14:textId="77777777" w:rsidR="00150077" w:rsidRDefault="00150077">
            <w:pPr>
              <w:spacing w:after="0" w:line="360" w:lineRule="auto"/>
              <w:ind w:right="-1"/>
              <w:jc w:val="center"/>
              <w:rPr>
                <w:rFonts w:ascii="Cambria" w:hAnsi="Cambria"/>
                <w:color w:val="000000" w:themeColor="text1"/>
              </w:rPr>
            </w:pPr>
          </w:p>
        </w:tc>
        <w:tc>
          <w:tcPr>
            <w:tcW w:w="2977" w:type="dxa"/>
            <w:tcBorders>
              <w:top w:val="single" w:sz="4" w:space="0" w:color="000000"/>
              <w:left w:val="single" w:sz="4" w:space="0" w:color="000000"/>
              <w:bottom w:val="single" w:sz="4" w:space="0" w:color="000000"/>
              <w:right w:val="single" w:sz="4" w:space="0" w:color="000000"/>
            </w:tcBorders>
          </w:tcPr>
          <w:p w14:paraId="203FA32F" w14:textId="77777777" w:rsidR="00150077" w:rsidRDefault="00150077">
            <w:pPr>
              <w:spacing w:before="240" w:after="0" w:line="360" w:lineRule="auto"/>
              <w:ind w:right="-1"/>
              <w:jc w:val="center"/>
              <w:rPr>
                <w:rFonts w:ascii="Cambria" w:hAnsi="Cambria"/>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tcPr>
          <w:p w14:paraId="44640CB4" w14:textId="77777777" w:rsidR="00150077" w:rsidRDefault="00150077">
            <w:pPr>
              <w:spacing w:before="240" w:after="0" w:line="360" w:lineRule="auto"/>
              <w:ind w:right="-1"/>
              <w:jc w:val="center"/>
              <w:rPr>
                <w:rFonts w:ascii="Cambria" w:hAnsi="Cambria"/>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4D482BEF" w14:textId="77777777" w:rsidR="00150077" w:rsidRDefault="00150077">
            <w:pPr>
              <w:spacing w:before="240" w:after="0" w:line="360" w:lineRule="auto"/>
              <w:ind w:right="-1"/>
              <w:jc w:val="center"/>
              <w:rPr>
                <w:rFonts w:ascii="Cambria" w:hAnsi="Cambr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14:paraId="64CA41CB" w14:textId="77777777" w:rsidR="00150077" w:rsidRDefault="00150077">
            <w:pPr>
              <w:spacing w:before="240" w:after="0" w:line="360" w:lineRule="auto"/>
              <w:ind w:right="-1"/>
              <w:jc w:val="center"/>
              <w:rPr>
                <w:rFonts w:ascii="Cambria" w:hAnsi="Cambria"/>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14:paraId="3E4AFE02" w14:textId="77777777" w:rsidR="00150077" w:rsidRDefault="00150077">
            <w:pPr>
              <w:spacing w:before="240" w:after="0" w:line="360" w:lineRule="auto"/>
              <w:ind w:right="-1"/>
              <w:jc w:val="center"/>
              <w:rPr>
                <w:rFonts w:ascii="Cambria" w:hAnsi="Cambria"/>
                <w:color w:val="000000" w:themeColor="text1"/>
              </w:rPr>
            </w:pPr>
          </w:p>
        </w:tc>
        <w:tc>
          <w:tcPr>
            <w:tcW w:w="1776" w:type="dxa"/>
            <w:tcBorders>
              <w:top w:val="single" w:sz="4" w:space="0" w:color="000000"/>
              <w:left w:val="single" w:sz="4" w:space="0" w:color="000000"/>
              <w:bottom w:val="single" w:sz="4" w:space="0" w:color="000000"/>
              <w:right w:val="single" w:sz="4" w:space="0" w:color="000000"/>
            </w:tcBorders>
          </w:tcPr>
          <w:p w14:paraId="5DFF76D4" w14:textId="77777777" w:rsidR="00150077" w:rsidRDefault="00150077">
            <w:pPr>
              <w:spacing w:before="240" w:after="0" w:line="360" w:lineRule="auto"/>
              <w:ind w:right="-1"/>
              <w:jc w:val="center"/>
              <w:rPr>
                <w:rFonts w:ascii="Cambria" w:hAnsi="Cambria"/>
                <w:color w:val="000000" w:themeColor="text1"/>
              </w:rPr>
            </w:pPr>
          </w:p>
        </w:tc>
      </w:tr>
      <w:tr w:rsidR="00150077" w14:paraId="44558E36"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0F6582BF" w14:textId="77777777" w:rsidR="00150077" w:rsidRDefault="00000000">
            <w:pPr>
              <w:spacing w:before="240" w:after="0" w:line="360" w:lineRule="auto"/>
              <w:ind w:right="-1"/>
              <w:jc w:val="center"/>
              <w:rPr>
                <w:rFonts w:ascii="Cambria" w:hAnsi="Cambria"/>
                <w:b/>
                <w:bCs/>
                <w:color w:val="000000" w:themeColor="text1"/>
              </w:rPr>
            </w:pPr>
            <w:r>
              <w:rPr>
                <w:rFonts w:ascii="Cambria" w:hAnsi="Cambria"/>
                <w:b/>
                <w:bCs/>
                <w:color w:val="000000" w:themeColor="text1"/>
              </w:rPr>
              <w:lastRenderedPageBreak/>
              <w:t>VALOR TOTAL DO FORNECEDOR --------------------------------------- R$</w:t>
            </w:r>
          </w:p>
        </w:tc>
      </w:tr>
      <w:tr w:rsidR="00150077" w14:paraId="50D5C16D"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213D89A2" w14:textId="77777777" w:rsidR="00150077" w:rsidRDefault="00000000">
            <w:pPr>
              <w:spacing w:before="240" w:after="0" w:line="360" w:lineRule="auto"/>
              <w:ind w:right="-1"/>
              <w:jc w:val="center"/>
              <w:rPr>
                <w:rFonts w:ascii="Cambria" w:hAnsi="Cambria"/>
                <w:color w:val="000000" w:themeColor="text1"/>
              </w:rPr>
            </w:pPr>
            <w:r>
              <w:rPr>
                <w:rFonts w:ascii="Cambria" w:hAnsi="Cambria"/>
                <w:b/>
                <w:bCs/>
                <w:color w:val="000000" w:themeColor="text1"/>
              </w:rPr>
              <w:t>VALOR TOTAL DO CERTAME --------------------------------------- R$</w:t>
            </w:r>
          </w:p>
        </w:tc>
      </w:tr>
    </w:tbl>
    <w:p w14:paraId="336A4791" w14:textId="77777777" w:rsidR="00150077" w:rsidRDefault="00000000">
      <w:pPr>
        <w:spacing w:before="240" w:line="360" w:lineRule="auto"/>
        <w:ind w:right="-1" w:firstLine="567"/>
        <w:rPr>
          <w:rFonts w:ascii="Cambria" w:hAnsi="Cambria" w:cs="Segoe UI"/>
          <w:b/>
          <w:color w:val="000000" w:themeColor="text1"/>
          <w:sz w:val="24"/>
          <w:szCs w:val="24"/>
        </w:rPr>
      </w:pPr>
      <w:r>
        <w:rPr>
          <w:rFonts w:ascii="Cambria" w:hAnsi="Cambria" w:cs="Segoe UI"/>
          <w:b/>
          <w:bCs/>
          <w:color w:val="000000" w:themeColor="text1"/>
          <w:sz w:val="24"/>
          <w:szCs w:val="24"/>
        </w:rPr>
        <w:t>I.</w:t>
      </w:r>
      <w:r>
        <w:rPr>
          <w:rFonts w:ascii="Cambria" w:hAnsi="Cambria" w:cs="Segoe UI"/>
          <w:color w:val="000000" w:themeColor="text1"/>
          <w:sz w:val="24"/>
          <w:szCs w:val="24"/>
        </w:rPr>
        <w:t xml:space="preserve"> Importa-se a presente licitação na importância total de </w:t>
      </w:r>
      <w:r>
        <w:rPr>
          <w:rFonts w:ascii="Cambria" w:hAnsi="Cambria" w:cs="Segoe UI"/>
          <w:b/>
          <w:color w:val="000000" w:themeColor="text1"/>
          <w:sz w:val="24"/>
          <w:szCs w:val="24"/>
        </w:rPr>
        <w:t>R$ _______ (____________).</w:t>
      </w:r>
    </w:p>
    <w:p w14:paraId="0F485EC5"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 listagem do cadastro reserva referente ao presente registro consta no Anexo Único da presente Ata de Registro de Preços.</w:t>
      </w:r>
    </w:p>
    <w:p w14:paraId="66685DEB"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DOTAÇÃO E RECURSOS</w:t>
      </w:r>
    </w:p>
    <w:p w14:paraId="4CE7DC9B" w14:textId="77777777" w:rsidR="00150077" w:rsidRDefault="00000000">
      <w:pPr>
        <w:tabs>
          <w:tab w:val="left" w:pos="1701"/>
        </w:tabs>
        <w:spacing w:before="240" w:after="240" w:line="360" w:lineRule="auto"/>
        <w:rPr>
          <w:rFonts w:ascii="Cambria" w:hAnsi="Cambria"/>
          <w:sz w:val="24"/>
          <w:szCs w:val="24"/>
        </w:rPr>
      </w:pPr>
      <w:bookmarkStart w:id="85" w:name="_Hlk224202617"/>
      <w:r>
        <w:rPr>
          <w:rFonts w:ascii="Cambria" w:hAnsi="Cambria"/>
          <w:b/>
          <w:color w:val="000000" w:themeColor="text1"/>
          <w:sz w:val="24"/>
          <w:szCs w:val="24"/>
        </w:rPr>
        <w:t>CLÁUSULA TERCEIRA:</w:t>
      </w:r>
      <w:r>
        <w:rPr>
          <w:rFonts w:ascii="Cambria" w:hAnsi="Cambria"/>
          <w:color w:val="000000" w:themeColor="text1"/>
          <w:sz w:val="24"/>
          <w:szCs w:val="24"/>
        </w:rPr>
        <w:t xml:space="preserve"> </w:t>
      </w:r>
      <w:r>
        <w:rPr>
          <w:rFonts w:ascii="Cambria" w:hAnsi="Cambria"/>
          <w:sz w:val="24"/>
          <w:szCs w:val="24"/>
        </w:rPr>
        <w:t>As despesas decorrentes da aquisição do objeto desta Ata de Registro de Preços correrão à conta dos recursos das dotações orçamentárias afeta aos órgãos do Fundo Municipal de Cultura de Piracanjuba/GO, a saber:</w:t>
      </w:r>
      <w:bookmarkEnd w:id="85"/>
    </w:p>
    <w:tbl>
      <w:tblPr>
        <w:tblW w:w="5973" w:type="dxa"/>
        <w:jc w:val="center"/>
        <w:tblLayout w:type="fixed"/>
        <w:tblLook w:val="04A0" w:firstRow="1" w:lastRow="0" w:firstColumn="1" w:lastColumn="0" w:noHBand="0" w:noVBand="1"/>
      </w:tblPr>
      <w:tblGrid>
        <w:gridCol w:w="2693"/>
        <w:gridCol w:w="3280"/>
      </w:tblGrid>
      <w:tr w:rsidR="00150077" w14:paraId="453AB53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6071726"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090FFBC7"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68.76.13.392.2818.1096.4.4.90.52</w:t>
            </w:r>
          </w:p>
        </w:tc>
      </w:tr>
      <w:tr w:rsidR="00150077" w14:paraId="5BB58CBD"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846FA76"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560367E4"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68.76.00000</w:t>
            </w:r>
          </w:p>
        </w:tc>
      </w:tr>
      <w:tr w:rsidR="00150077" w14:paraId="6D90909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E5129D"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1507F6B7"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466</w:t>
            </w:r>
          </w:p>
        </w:tc>
      </w:tr>
      <w:tr w:rsidR="00150077" w14:paraId="5E92FBB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08B179"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0E8D5217"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33</w:t>
            </w:r>
          </w:p>
        </w:tc>
      </w:tr>
      <w:tr w:rsidR="00150077" w14:paraId="2F5F230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D09B7D"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28E9E0BB"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150077" w14:paraId="1295DCAF"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FCE9243"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62CDF751"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1A3FDB86" w14:textId="77777777" w:rsidR="0015007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VALIDADE, FORMALIZAÇÃO DA ATA DE REGISTRO DE PREÇOS E CADASTRO RESERVA</w:t>
      </w:r>
    </w:p>
    <w:p w14:paraId="1ED5752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QUARTA:</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7DFB3778"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QUINTA:</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298BF78C"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79A4808F"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CLÁUSULA SEXTA</w:t>
      </w:r>
      <w:r>
        <w:rPr>
          <w:rFonts w:ascii="Cambria" w:hAnsi="Cambria"/>
          <w:color w:val="000000" w:themeColor="text1"/>
          <w:sz w:val="24"/>
          <w:szCs w:val="24"/>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w:t>
      </w:r>
    </w:p>
    <w:p w14:paraId="36E4F1D3"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SÉTIMA</w:t>
      </w:r>
      <w:r>
        <w:rPr>
          <w:rFonts w:ascii="Cambria" w:hAnsi="Cambria"/>
          <w:color w:val="000000" w:themeColor="text1"/>
          <w:sz w:val="24"/>
          <w:szCs w:val="24"/>
        </w:rPr>
        <w:t>: Na formalização de contrato ou do instrumento substituto deverá haver a indicação da disponibilidade dos créditos orçamentários respectivos.</w:t>
      </w:r>
    </w:p>
    <w:p w14:paraId="081DF982"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OITAVA: </w:t>
      </w:r>
      <w:r>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00F99924"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instrumento contratual de que se trata a cláusula oitava deverá ser assinado no prazo de validade da Ata de Registro de Preços.</w:t>
      </w:r>
    </w:p>
    <w:p w14:paraId="0274B44D"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NONA: </w:t>
      </w:r>
      <w:r>
        <w:rPr>
          <w:rFonts w:ascii="Cambria" w:hAnsi="Cambria"/>
          <w:color w:val="000000" w:themeColor="text1"/>
          <w:sz w:val="24"/>
          <w:szCs w:val="24"/>
        </w:rPr>
        <w:t>Os contratos decorrentes do sistema de registro de preços poderão ser alterados, observado o artigo 124, da Lei Federal nº 14.133, de 2021.</w:t>
      </w:r>
    </w:p>
    <w:p w14:paraId="5235A69E"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w:t>
      </w:r>
      <w:r>
        <w:rPr>
          <w:rFonts w:ascii="Cambria" w:hAnsi="Cambria"/>
          <w:color w:val="000000" w:themeColor="text1"/>
          <w:sz w:val="24"/>
          <w:szCs w:val="24"/>
        </w:rPr>
        <w:t>Após a homologação da licitação, deverão ser observadas as seguintes condições para formalização da Ata de Registro de Preços:</w:t>
      </w:r>
    </w:p>
    <w:p w14:paraId="6F45ED06"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Será incluído na ata, na forma de anexo, o registro dos licitantes ou dos fornecedores que:</w:t>
      </w:r>
    </w:p>
    <w:p w14:paraId="68A2E6CE"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Aceitarem cotar os bens com preços iguais ao adjudicatário, observada a ordem de classificação da licitação; e</w:t>
      </w:r>
    </w:p>
    <w:p w14:paraId="4C7D4EC4" w14:textId="77777777" w:rsidR="00150077"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Mantiverem sua proposta original.</w:t>
      </w:r>
    </w:p>
    <w:p w14:paraId="7E439E8C"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Será respeitada, nas contratações, a ordem de classificação dos licitantes ou dos fornecedores registrados na ata.</w:t>
      </w:r>
    </w:p>
    <w:p w14:paraId="03266FE7"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749F9AF3"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IV.</w:t>
      </w:r>
      <w:r>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2A0858AA"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PRIMEIRA: </w:t>
      </w:r>
      <w:r>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1D3E2A08"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Quando o licitante vencedor não assinar a Ata de Registro de Preços, no prazo e nas condições previamente estabelecidos.</w:t>
      </w:r>
    </w:p>
    <w:p w14:paraId="74DF3830"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327B8DFD"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SEGUNDA: </w:t>
      </w:r>
      <w:r>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4902E2D3"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DECIMA TERCEIRA:</w:t>
      </w:r>
      <w:r>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0EC4902C"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25DBA175"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QUARTA:</w:t>
      </w:r>
      <w:r>
        <w:rPr>
          <w:rFonts w:ascii="Cambria" w:hAnsi="Cambria"/>
          <w:color w:val="000000" w:themeColor="text1"/>
          <w:sz w:val="24"/>
          <w:szCs w:val="24"/>
        </w:rPr>
        <w:t xml:space="preserve"> A Ata de Registro de Preços será assinada por meio de assinatura digital e disponibilizada no Sistema de Registro de Preços.</w:t>
      </w:r>
    </w:p>
    <w:p w14:paraId="75CDC531"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QUINTA:</w:t>
      </w:r>
      <w:r>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w:t>
      </w:r>
      <w:r>
        <w:rPr>
          <w:rFonts w:ascii="Cambria" w:hAnsi="Cambria"/>
          <w:color w:val="000000" w:themeColor="text1"/>
          <w:sz w:val="24"/>
          <w:szCs w:val="24"/>
        </w:rPr>
        <w:lastRenderedPageBreak/>
        <w:t>reserva, na ordem de classificação, para fazê-lo em igual prazo e condições propostas pelo primeiro classificado.</w:t>
      </w:r>
    </w:p>
    <w:p w14:paraId="7212D1C6"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SEXTA:</w:t>
      </w:r>
      <w:r>
        <w:rPr>
          <w:rFonts w:ascii="Cambria" w:hAnsi="Cambria"/>
          <w:color w:val="000000" w:themeColor="text1"/>
          <w:sz w:val="24"/>
          <w:szCs w:val="24"/>
        </w:rPr>
        <w:t xml:space="preserve"> Na hipótese de nenhum dos licitantes que trata a cláusula décima, inciso I, alínea “b”, aceitar a contratação </w:t>
      </w:r>
      <w:proofErr w:type="spellStart"/>
      <w:r>
        <w:rPr>
          <w:rFonts w:ascii="Cambria" w:hAnsi="Cambria"/>
          <w:color w:val="000000" w:themeColor="text1"/>
          <w:sz w:val="24"/>
          <w:szCs w:val="24"/>
        </w:rPr>
        <w:t>nos</w:t>
      </w:r>
      <w:proofErr w:type="spellEnd"/>
      <w:r>
        <w:rPr>
          <w:rFonts w:ascii="Cambria" w:hAnsi="Cambria"/>
          <w:color w:val="000000" w:themeColor="text1"/>
          <w:sz w:val="24"/>
          <w:szCs w:val="24"/>
        </w:rPr>
        <w:t xml:space="preserve"> temos do inciso anterior, a Administração observados o valor estimado e sua eventual atualização nos termos publicitados, poderá:</w:t>
      </w:r>
    </w:p>
    <w:p w14:paraId="57068533"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3030E180" w14:textId="77777777" w:rsidR="00150077"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5E47BB86" w14:textId="77777777" w:rsidR="00150077"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DÉCIMA SÉTIMA:</w:t>
      </w:r>
      <w:r>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fornecimento pretendida, desde que devidamente justificada.</w:t>
      </w:r>
    </w:p>
    <w:p w14:paraId="00F1DD39"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ALTERAÇÕES OU ATUALIZAÇÕES DOS PREÇOS REGISTRADOS</w:t>
      </w:r>
    </w:p>
    <w:p w14:paraId="59C08981" w14:textId="77777777" w:rsidR="00150077" w:rsidRDefault="00000000">
      <w:pPr>
        <w:pStyle w:val="Nivel2"/>
      </w:pPr>
      <w:r>
        <w:rPr>
          <w:b/>
        </w:rPr>
        <w:t>CLÁUSULA DÉCIMA OITAVA:</w:t>
      </w:r>
      <w:r>
        <w:t xml:space="preserve"> Os preços registrados poderão ser alterados ou atualizados em decorrência de eventual redução dos preços pra</w:t>
      </w:r>
      <w:r>
        <w:rPr>
          <w:rFonts w:eastAsia="Calibri"/>
        </w:rPr>
        <w:t>ti</w:t>
      </w:r>
      <w:r>
        <w:t>cados no mercado ou de fato que eleve o custo dos bens registrados, nas seguintes situações:</w:t>
      </w:r>
    </w:p>
    <w:p w14:paraId="4A6803BD"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136441DB"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 caso de criação, alteração ou ex</w:t>
      </w:r>
      <w:r>
        <w:rPr>
          <w:rFonts w:ascii="Cambria" w:eastAsia="Calibri" w:hAnsi="Cambria"/>
          <w:color w:val="000000" w:themeColor="text1"/>
          <w:sz w:val="24"/>
          <w:szCs w:val="24"/>
        </w:rPr>
        <w:t>ti</w:t>
      </w:r>
      <w:r>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083F1A05"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III.</w:t>
      </w:r>
      <w:r>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77D5F2C7" w14:textId="77777777" w:rsidR="00150077"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No caso do reajustamento, deverá ser respeitada a contagem da anualidade e o índice previstos para a contratação;  </w:t>
      </w:r>
    </w:p>
    <w:p w14:paraId="65CFA8A3" w14:textId="77777777" w:rsidR="00150077"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No caso da repactuação, poderá ser a pedido do interessado, conforme critérios definidos para a contratação.</w:t>
      </w:r>
    </w:p>
    <w:p w14:paraId="6A85683A"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 NEGOCIAÇÃO DE PREÇOS REGISTRADOS</w:t>
      </w:r>
    </w:p>
    <w:p w14:paraId="1AFC724F" w14:textId="77777777" w:rsidR="00150077" w:rsidRDefault="00000000">
      <w:pPr>
        <w:pStyle w:val="Nivel2"/>
      </w:pPr>
      <w:r>
        <w:rPr>
          <w:b/>
        </w:rPr>
        <w:t>CLÁUSULA DÉCIMA NONA:</w:t>
      </w:r>
      <w:r>
        <w:t xml:space="preserve"> Na hipótese de o preço registrado tornar-se superior ao preço pra</w:t>
      </w:r>
      <w:r>
        <w:rPr>
          <w:rFonts w:eastAsia="Calibri"/>
        </w:rPr>
        <w:t>ti</w:t>
      </w:r>
      <w:r>
        <w:t>cado no mercado por mo</w:t>
      </w:r>
      <w:r>
        <w:rPr>
          <w:rFonts w:eastAsia="Calibri"/>
        </w:rPr>
        <w:t>ti</w:t>
      </w:r>
      <w:r>
        <w:t>vo superveniente, o órgão ou en</w:t>
      </w:r>
      <w:r>
        <w:rPr>
          <w:rFonts w:eastAsia="Calibri"/>
        </w:rPr>
        <w:t>ti</w:t>
      </w:r>
      <w:r>
        <w:t>dade gerenciadora convocará o fornecedor para negociar a redução do preço registrado.</w:t>
      </w:r>
    </w:p>
    <w:p w14:paraId="61B9F021"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Caso não aceite reduzir seu preço aos valores pra</w:t>
      </w:r>
      <w:r>
        <w:rPr>
          <w:rFonts w:ascii="Cambria" w:eastAsia="Calibri" w:hAnsi="Cambria"/>
          <w:color w:val="000000" w:themeColor="text1"/>
          <w:sz w:val="24"/>
          <w:szCs w:val="24"/>
        </w:rPr>
        <w:t>ti</w:t>
      </w:r>
      <w:r>
        <w:rPr>
          <w:rFonts w:ascii="Cambria" w:hAnsi="Cambria"/>
          <w:color w:val="000000" w:themeColor="text1"/>
          <w:sz w:val="24"/>
          <w:szCs w:val="24"/>
        </w:rPr>
        <w:t>cados pelo mercado, o fornecedor será liberado do compromisso assumido quanto ao item registrado, sem aplicação de penalidades administrativas.</w:t>
      </w:r>
    </w:p>
    <w:p w14:paraId="353DFB01"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25D3271D"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obtiver êxito nas negociações, o órgão ou en</w:t>
      </w:r>
      <w:r>
        <w:rPr>
          <w:rFonts w:ascii="Cambria" w:eastAsia="Calibri" w:hAnsi="Cambria"/>
          <w:color w:val="000000" w:themeColor="text1"/>
          <w:sz w:val="24"/>
          <w:szCs w:val="24"/>
        </w:rPr>
        <w:t>tid</w:t>
      </w:r>
      <w:r>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86" w:name="reducao_preco_mercado_negociacao_frustra"/>
      <w:bookmarkEnd w:id="86"/>
    </w:p>
    <w:p w14:paraId="30903D88"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cs="Calibri"/>
          <w:b/>
          <w:bCs/>
          <w:color w:val="000000" w:themeColor="text1"/>
          <w:sz w:val="24"/>
          <w:szCs w:val="24"/>
        </w:rPr>
        <w:t>IV.</w:t>
      </w:r>
      <w:r>
        <w:rPr>
          <w:rFonts w:ascii="Cambria" w:hAnsi="Cambria" w:cs="Calibri"/>
          <w:color w:val="000000" w:themeColor="text1"/>
          <w:sz w:val="24"/>
          <w:szCs w:val="24"/>
        </w:rPr>
        <w:t xml:space="preserve"> Na hipótese de</w:t>
      </w:r>
      <w:r>
        <w:rPr>
          <w:rFonts w:ascii="Cambria" w:hAnsi="Cambria"/>
          <w:color w:val="000000" w:themeColor="text1"/>
          <w:sz w:val="24"/>
          <w:szCs w:val="24"/>
        </w:rPr>
        <w:t xml:space="preserve"> redução do preço registrado, o gerenciador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28955483" w14:textId="77777777" w:rsidR="00150077" w:rsidRDefault="00000000">
      <w:pPr>
        <w:pStyle w:val="Nivel2"/>
      </w:pPr>
      <w:r>
        <w:rPr>
          <w:b/>
        </w:rPr>
        <w:t>CLÁUSULA VIGÉSIMA:</w:t>
      </w:r>
      <w: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7" w:name="hipotese_preco_mercado_maior"/>
      <w:bookmarkEnd w:id="87"/>
    </w:p>
    <w:p w14:paraId="03D7F1B9"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88" w:name="prova_preco_mercado_maior"/>
      <w:bookmarkEnd w:id="88"/>
    </w:p>
    <w:p w14:paraId="0E60E84E"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89" w:name="nao_comprovacao_majoracao_mercado"/>
      <w:bookmarkEnd w:id="89"/>
    </w:p>
    <w:p w14:paraId="36BC9E40"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7D0FD3A4"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90" w:name="majora_preco_mercado_negociacao_frustra"/>
      <w:bookmarkEnd w:id="90"/>
    </w:p>
    <w:p w14:paraId="633724F9"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atualizará o preço registrado, de acordo com a realidade dos valores praticados pelo mercado.</w:t>
      </w:r>
    </w:p>
    <w:p w14:paraId="559261F6" w14:textId="77777777" w:rsidR="00150077" w:rsidRDefault="00000000">
      <w:pPr>
        <w:spacing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VI. </w:t>
      </w:r>
      <w:r>
        <w:rPr>
          <w:rFonts w:ascii="Cambria" w:hAnsi="Cambria"/>
          <w:color w:val="000000" w:themeColor="text1"/>
          <w:sz w:val="24"/>
          <w:szCs w:val="24"/>
        </w:rPr>
        <w:t>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sobre a efe</w:t>
      </w:r>
      <w:r>
        <w:rPr>
          <w:rFonts w:ascii="Cambria" w:eastAsia="Calibri" w:hAnsi="Cambria"/>
          <w:color w:val="000000" w:themeColor="text1"/>
          <w:sz w:val="24"/>
          <w:szCs w:val="24"/>
        </w:rPr>
        <w:t>ti</w:t>
      </w:r>
      <w:r>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6BC4FDB8"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REMANEJAMENTO DAS QUANTIDADES REGISTRADAS</w:t>
      </w:r>
    </w:p>
    <w:p w14:paraId="7F46767F" w14:textId="77777777" w:rsidR="00150077" w:rsidRDefault="00000000">
      <w:pPr>
        <w:pStyle w:val="Nivel2"/>
      </w:pPr>
      <w:r>
        <w:rPr>
          <w:b/>
        </w:rPr>
        <w:t>CLÁUSULA VIGÉSIMA PRIMEIRA:</w:t>
      </w:r>
      <w: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D3CF3AD" w14:textId="77777777" w:rsidR="00150077" w:rsidRDefault="00000000">
      <w:pPr>
        <w:pStyle w:val="Nivel2"/>
      </w:pPr>
      <w:r>
        <w:rPr>
          <w:b/>
        </w:rPr>
        <w:t>CLÁUSULA VIGÉSIMA SEGUNDA:</w:t>
      </w:r>
      <w:r>
        <w:t xml:space="preserve"> O remanejamento somente poderá ser feito:</w:t>
      </w:r>
    </w:p>
    <w:p w14:paraId="365D1255"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ou</w:t>
      </w:r>
    </w:p>
    <w:p w14:paraId="2B952298"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entidade não participante.</w:t>
      </w:r>
    </w:p>
    <w:p w14:paraId="135CE149" w14:textId="77777777" w:rsidR="00150077" w:rsidRDefault="00000000">
      <w:pPr>
        <w:pStyle w:val="Nivel2"/>
      </w:pPr>
      <w:r>
        <w:rPr>
          <w:b/>
        </w:rPr>
        <w:t>CLÁUSULA VIGÉSIMA TERCEIRA:</w:t>
      </w:r>
      <w:r>
        <w:t xml:space="preserve"> O órgão ou entidade gerenciadora que tiver estimado as quantidades que pretende contratar será considerado participante para efeito do remanejamento.</w:t>
      </w:r>
      <w:bookmarkStart w:id="91" w:name="gerenciador_estimador_é_partic_em_remane"/>
      <w:bookmarkEnd w:id="91"/>
    </w:p>
    <w:p w14:paraId="6D3B6C9B" w14:textId="77777777" w:rsidR="00150077" w:rsidRDefault="00000000">
      <w:pPr>
        <w:pStyle w:val="Nivel2"/>
      </w:pPr>
      <w:r>
        <w:rPr>
          <w:b/>
        </w:rPr>
        <w:t>CLÁUSULA VIGÉSIMA QUARTA:</w:t>
      </w:r>
      <w:r>
        <w:t xml:space="preserve"> Na hipótese de remanejamento de órgão ou entidade participante para órgão ou entidade não participante, serão observados os limites previstos no artigo 32 do Decreto nº 11.462, de 2023.</w:t>
      </w:r>
    </w:p>
    <w:p w14:paraId="1BC27444" w14:textId="77777777" w:rsidR="00150077" w:rsidRDefault="00000000">
      <w:pPr>
        <w:pStyle w:val="Nivel2"/>
      </w:pPr>
      <w:r>
        <w:rPr>
          <w:b/>
        </w:rPr>
        <w:t>CLÁUSULA VIGÉSIMA QUINTA:</w:t>
      </w:r>
      <w: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DF31538" w14:textId="77777777" w:rsidR="00150077" w:rsidRDefault="00000000">
      <w:pPr>
        <w:pStyle w:val="Nivel2"/>
      </w:pPr>
      <w:r>
        <w:rPr>
          <w:b/>
        </w:rPr>
        <w:t>CLÁUSULA VIGÉSIMA SEXTA:</w:t>
      </w:r>
      <w: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181C7E1" w14:textId="77777777" w:rsidR="00150077" w:rsidRDefault="00000000">
      <w:pPr>
        <w:pStyle w:val="Nivel2"/>
      </w:pPr>
      <w:r>
        <w:rPr>
          <w:b/>
        </w:rPr>
        <w:t>CLÁUSULA VIGÉSIMA SÉTIMA:</w:t>
      </w:r>
      <w: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2ADDE7F8"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DA ADESÃO À ATA DE REGISTRO DE PREÇOS</w:t>
      </w:r>
    </w:p>
    <w:p w14:paraId="1E18D7C8" w14:textId="77777777" w:rsidR="00150077" w:rsidRDefault="00000000">
      <w:pPr>
        <w:pStyle w:val="Nvel2-Red"/>
        <w:rPr>
          <w:bCs/>
          <w:i w:val="0"/>
          <w:iCs w:val="0"/>
          <w:color w:val="auto"/>
        </w:rPr>
      </w:pPr>
      <w:r>
        <w:rPr>
          <w:b/>
          <w:i w:val="0"/>
          <w:iCs w:val="0"/>
          <w:color w:val="auto"/>
        </w:rPr>
        <w:t>CLÁUSULA VIGÉSIMA OITAVA:</w:t>
      </w:r>
      <w:r>
        <w:rPr>
          <w:bCs/>
          <w:i w:val="0"/>
          <w:iCs w:val="0"/>
          <w:color w:val="auto"/>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3A1AE075" w14:textId="77777777" w:rsidR="00150077" w:rsidRDefault="00000000">
      <w:pPr>
        <w:pStyle w:val="Nvel3-R"/>
        <w:spacing w:line="360" w:lineRule="auto"/>
        <w:rPr>
          <w:i/>
          <w:iCs/>
          <w:color w:val="auto"/>
          <w:sz w:val="24"/>
          <w:szCs w:val="24"/>
        </w:rPr>
      </w:pPr>
      <w:r>
        <w:rPr>
          <w:b/>
          <w:bCs/>
          <w:color w:val="auto"/>
          <w:sz w:val="24"/>
          <w:szCs w:val="24"/>
        </w:rPr>
        <w:t>I.</w:t>
      </w:r>
      <w:r>
        <w:rPr>
          <w:color w:val="auto"/>
          <w:sz w:val="24"/>
          <w:szCs w:val="24"/>
        </w:rPr>
        <w:t xml:space="preserve"> Apresentação de justificativa da vantagem da adesão, inclusive em situações de provável desabastecimento ou descontinuidade de serviço público;</w:t>
      </w:r>
    </w:p>
    <w:p w14:paraId="3421C950" w14:textId="77777777" w:rsidR="00150077" w:rsidRDefault="00000000">
      <w:pPr>
        <w:pStyle w:val="Nvel3-R"/>
        <w:spacing w:line="360" w:lineRule="auto"/>
        <w:rPr>
          <w:i/>
          <w:iCs/>
          <w:color w:val="auto"/>
          <w:sz w:val="24"/>
          <w:szCs w:val="24"/>
        </w:rPr>
      </w:pPr>
      <w:r>
        <w:rPr>
          <w:b/>
          <w:bCs/>
          <w:color w:val="auto"/>
          <w:sz w:val="24"/>
          <w:szCs w:val="24"/>
        </w:rPr>
        <w:t>II.</w:t>
      </w:r>
      <w:r>
        <w:rPr>
          <w:color w:val="auto"/>
          <w:sz w:val="24"/>
          <w:szCs w:val="24"/>
        </w:rPr>
        <w:t xml:space="preserve"> Demonstração de que os valores registrados estão compatíveis com os valores praticados pelo mercado na forma do artigo 23 da Lei Federal nº 14.133, de 2021; e</w:t>
      </w:r>
    </w:p>
    <w:p w14:paraId="0F34CF9E" w14:textId="77777777" w:rsidR="00150077" w:rsidRDefault="00000000">
      <w:pPr>
        <w:pStyle w:val="Nvel3-R"/>
        <w:spacing w:line="360" w:lineRule="auto"/>
        <w:rPr>
          <w:i/>
          <w:iCs/>
          <w:color w:val="auto"/>
          <w:sz w:val="24"/>
          <w:szCs w:val="24"/>
        </w:rPr>
      </w:pPr>
      <w:r>
        <w:rPr>
          <w:b/>
          <w:bCs/>
          <w:color w:val="auto"/>
          <w:sz w:val="24"/>
          <w:szCs w:val="24"/>
        </w:rPr>
        <w:t>III.</w:t>
      </w:r>
      <w:r>
        <w:rPr>
          <w:color w:val="auto"/>
          <w:sz w:val="24"/>
          <w:szCs w:val="24"/>
        </w:rPr>
        <w:t xml:space="preserve"> Consulta e aceitação prévias do órgão ou da entidade gerenciadora e do fornecedor.</w:t>
      </w:r>
    </w:p>
    <w:p w14:paraId="780D93CC" w14:textId="77777777" w:rsidR="00150077" w:rsidRDefault="00000000">
      <w:pPr>
        <w:pStyle w:val="Nvel2-Red"/>
        <w:rPr>
          <w:i w:val="0"/>
          <w:iCs w:val="0"/>
          <w:color w:val="auto"/>
        </w:rPr>
      </w:pPr>
      <w:r>
        <w:rPr>
          <w:b/>
          <w:i w:val="0"/>
          <w:iCs w:val="0"/>
          <w:color w:val="auto"/>
        </w:rPr>
        <w:lastRenderedPageBreak/>
        <w:t xml:space="preserve">CLÁUSULA VIGÉSIMA NONA: </w:t>
      </w:r>
      <w:r>
        <w:rPr>
          <w:i w:val="0"/>
          <w:iCs w:val="0"/>
          <w:color w:val="auto"/>
        </w:rPr>
        <w:t>A autorização do órgão ou entidade gerenciadora apenas será realizada após a aceitação da adesão pelo fornecedor.</w:t>
      </w:r>
    </w:p>
    <w:p w14:paraId="3BEBEA2D" w14:textId="77777777" w:rsidR="00150077" w:rsidRDefault="00000000">
      <w:pPr>
        <w:pStyle w:val="Nvel3-R"/>
        <w:spacing w:line="360" w:lineRule="auto"/>
        <w:rPr>
          <w:color w:val="auto"/>
          <w:sz w:val="24"/>
          <w:szCs w:val="24"/>
        </w:rPr>
      </w:pPr>
      <w:r>
        <w:rPr>
          <w:b/>
          <w:bCs/>
          <w:color w:val="auto"/>
          <w:sz w:val="24"/>
          <w:szCs w:val="24"/>
        </w:rPr>
        <w:t>I.</w:t>
      </w:r>
      <w:r>
        <w:rPr>
          <w:color w:val="auto"/>
          <w:sz w:val="24"/>
          <w:szCs w:val="24"/>
        </w:rPr>
        <w:t xml:space="preserve"> O órgão ou entidade gerenciadora poderá rejeitar adesões caso elas possam acarretar prejuízo à execução de seus próprios contratos ou à sua capacidade de gerenciamento.</w:t>
      </w:r>
    </w:p>
    <w:p w14:paraId="64839DEE" w14:textId="77777777" w:rsidR="00150077" w:rsidRDefault="00000000">
      <w:pPr>
        <w:pStyle w:val="Nvel2-Red"/>
        <w:rPr>
          <w:i w:val="0"/>
          <w:iCs w:val="0"/>
          <w:color w:val="auto"/>
        </w:rPr>
      </w:pPr>
      <w:r>
        <w:rPr>
          <w:b/>
          <w:i w:val="0"/>
          <w:iCs w:val="0"/>
          <w:color w:val="auto"/>
        </w:rPr>
        <w:t xml:space="preserve">CLÁUSULA TRIGÉSIMA: </w:t>
      </w:r>
      <w:r>
        <w:rPr>
          <w:i w:val="0"/>
          <w:iCs w:val="0"/>
          <w:color w:val="auto"/>
        </w:rPr>
        <w:t>Após a autorização do órgão ou da entidade gerenciadora, o órgão ou entidade não participante deverá efetivar a contratação solicitada em até noventa dias, observado o prazo de vigência da ata.</w:t>
      </w:r>
    </w:p>
    <w:p w14:paraId="284EAEA5" w14:textId="77777777" w:rsidR="00150077" w:rsidRDefault="00000000">
      <w:pPr>
        <w:pStyle w:val="Nvel2-Red"/>
        <w:rPr>
          <w:i w:val="0"/>
          <w:iCs w:val="0"/>
          <w:color w:val="auto"/>
        </w:rPr>
      </w:pPr>
      <w:r>
        <w:rPr>
          <w:b/>
          <w:i w:val="0"/>
          <w:iCs w:val="0"/>
          <w:color w:val="auto"/>
        </w:rPr>
        <w:t xml:space="preserve">CLÁUSULA TRIGÉSIMA PRIMEIRA: </w:t>
      </w:r>
      <w:r>
        <w:rPr>
          <w:i w:val="0"/>
          <w:iCs w:val="0"/>
          <w:color w:val="auto"/>
        </w:rP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D8EBB18" w14:textId="77777777" w:rsidR="00150077" w:rsidRDefault="00000000">
      <w:pPr>
        <w:pStyle w:val="Nvel2-Red"/>
        <w:rPr>
          <w:i w:val="0"/>
          <w:iCs w:val="0"/>
          <w:color w:val="auto"/>
        </w:rPr>
      </w:pPr>
      <w:r>
        <w:rPr>
          <w:b/>
          <w:i w:val="0"/>
          <w:iCs w:val="0"/>
          <w:color w:val="auto"/>
        </w:rPr>
        <w:t xml:space="preserve">CLÁUSULA TRIGÉSIMA SEGUNDA: </w:t>
      </w:r>
      <w:r>
        <w:rPr>
          <w:i w:val="0"/>
          <w:iCs w:val="0"/>
          <w:color w:val="auto"/>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17AC68AE" w14:textId="77777777" w:rsidR="00150077" w:rsidRDefault="00000000">
      <w:pPr>
        <w:pStyle w:val="Nvel2-Red"/>
        <w:rPr>
          <w:i w:val="0"/>
          <w:iCs w:val="0"/>
          <w:color w:val="auto"/>
        </w:rPr>
      </w:pPr>
      <w:r>
        <w:rPr>
          <w:b/>
          <w:i w:val="0"/>
          <w:iCs w:val="0"/>
          <w:color w:val="auto"/>
        </w:rPr>
        <w:t xml:space="preserve">CLÁUSULA TRIGÉSIMA TERCEIRA: </w:t>
      </w:r>
      <w:r>
        <w:rPr>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38907C" w14:textId="77777777" w:rsidR="00150077" w:rsidRDefault="00000000">
      <w:pPr>
        <w:pStyle w:val="Nvel2-Red"/>
        <w:rPr>
          <w:i w:val="0"/>
          <w:iCs w:val="0"/>
          <w:color w:val="auto"/>
        </w:rPr>
      </w:pPr>
      <w:r>
        <w:rPr>
          <w:b/>
          <w:i w:val="0"/>
          <w:iCs w:val="0"/>
          <w:color w:val="auto"/>
        </w:rPr>
        <w:t xml:space="preserve">CLÁUSULA TRIGÉSIMA QUARTA: </w:t>
      </w:r>
      <w:r>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10BC482" w14:textId="77777777" w:rsidR="00150077" w:rsidRDefault="00000000">
      <w:pPr>
        <w:pStyle w:val="Nivel2"/>
      </w:pPr>
      <w:r>
        <w:rPr>
          <w:b/>
        </w:rPr>
        <w:t xml:space="preserve">CLÁUSULA TRIGÉSIMA QUINTA: </w:t>
      </w:r>
      <w:r>
        <w:rPr>
          <w:bCs/>
        </w:rPr>
        <w:t>No caso de</w:t>
      </w:r>
      <w:r>
        <w:rPr>
          <w:b/>
        </w:rPr>
        <w:t xml:space="preserve"> </w:t>
      </w:r>
      <w:r>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2B7E7270" w14:textId="77777777" w:rsidR="00150077" w:rsidRDefault="00000000">
      <w:pPr>
        <w:pStyle w:val="Nivel2"/>
      </w:pPr>
      <w:r>
        <w:rPr>
          <w:b/>
        </w:rPr>
        <w:t xml:space="preserve">CLÁUSULA TRIGÉSIMA SEXTA: </w:t>
      </w:r>
      <w:r>
        <w:t>É vedado efetuar acréscimos nos quantitativos fixados na ata de registro de preços.</w:t>
      </w:r>
    </w:p>
    <w:p w14:paraId="2CF909E8"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lastRenderedPageBreak/>
        <w:t>DAS PENALIDADES</w:t>
      </w:r>
    </w:p>
    <w:p w14:paraId="68FDCD3D" w14:textId="77777777" w:rsidR="00150077" w:rsidRDefault="00000000">
      <w:pPr>
        <w:pStyle w:val="Nvel3"/>
        <w:numPr>
          <w:ilvl w:val="0"/>
          <w:numId w:val="0"/>
        </w:numPr>
        <w:spacing w:line="360" w:lineRule="auto"/>
        <w:rPr>
          <w:rFonts w:ascii="Cambria" w:hAnsi="Cambria"/>
          <w:sz w:val="24"/>
          <w:szCs w:val="24"/>
        </w:rPr>
      </w:pPr>
      <w:r>
        <w:rPr>
          <w:rFonts w:ascii="Cambria" w:hAnsi="Cambria"/>
          <w:b/>
          <w:bCs/>
          <w:sz w:val="24"/>
          <w:szCs w:val="24"/>
        </w:rPr>
        <w:t>CLÁSULA TRIGÉSIMA SÉTIMA:</w:t>
      </w:r>
      <w:r>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6BB793B2" w14:textId="77777777" w:rsidR="00150077"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sz w:val="24"/>
          <w:szCs w:val="24"/>
        </w:rPr>
        <w:t>CLÁSULA TRIGÉSIMA OITAVA:</w:t>
      </w:r>
      <w:r>
        <w:rPr>
          <w:rFonts w:ascii="Cambria" w:hAnsi="Cambria"/>
          <w:sz w:val="24"/>
          <w:szCs w:val="24"/>
        </w:rPr>
        <w:t xml:space="preserve"> As sanções também se aplicam aos integrantes do cadastro de reserva no registro de preços que</w:t>
      </w:r>
      <w:r>
        <w:rPr>
          <w:rFonts w:ascii="Cambria" w:hAnsi="Cambria"/>
          <w:color w:val="000000" w:themeColor="text1"/>
          <w:sz w:val="24"/>
          <w:szCs w:val="24"/>
        </w:rPr>
        <w:t xml:space="preserve">, convocados, não honrarem o compromisso assumido injustificadamente após terem assinado a ata. </w:t>
      </w:r>
    </w:p>
    <w:p w14:paraId="7CA9FB23" w14:textId="77777777" w:rsidR="00150077"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color w:val="000000" w:themeColor="text1"/>
          <w:sz w:val="24"/>
          <w:szCs w:val="24"/>
        </w:rPr>
        <w:t>CLÁSULA TRIGÉSIMA NONA:</w:t>
      </w:r>
      <w:r>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20146813" w14:textId="77777777" w:rsidR="00150077" w:rsidRDefault="00000000">
      <w:pPr>
        <w:pStyle w:val="Nivel2"/>
      </w:pPr>
      <w:r>
        <w:rPr>
          <w:b/>
          <w:bCs/>
        </w:rPr>
        <w:t>CLÁSULA QUADRAGÉSIMA:</w:t>
      </w:r>
      <w: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49E96C34"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CANCELAMENTO DO REGISTRO VENCEDOR E DOS PREÇOS REGISTRADOS</w:t>
      </w:r>
    </w:p>
    <w:p w14:paraId="1AE8F5C9" w14:textId="77777777" w:rsidR="00150077" w:rsidRDefault="00000000">
      <w:pPr>
        <w:pStyle w:val="Nivel2"/>
      </w:pPr>
      <w:r>
        <w:rPr>
          <w:b/>
          <w:bCs/>
        </w:rPr>
        <w:t xml:space="preserve">CLÁSULA QUADRAGÉSIMA PRIMEIRA: </w:t>
      </w:r>
      <w:r>
        <w:t>O registro do fornecedor será cancelado pelo gerenciador, quando o fornecedor:</w:t>
      </w:r>
      <w:bookmarkStart w:id="92" w:name="cancelamento_do_fornecedor"/>
      <w:bookmarkEnd w:id="92"/>
    </w:p>
    <w:p w14:paraId="7629F343"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Descumprir as condições da ata de registro de preços, sem motivo justificado;</w:t>
      </w:r>
    </w:p>
    <w:p w14:paraId="426649F9"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re</w:t>
      </w:r>
      <w:r>
        <w:rPr>
          <w:rFonts w:ascii="Cambria" w:eastAsia="Arial" w:hAnsi="Cambria"/>
          <w:color w:val="000000" w:themeColor="text1"/>
          <w:sz w:val="24"/>
          <w:szCs w:val="24"/>
        </w:rPr>
        <w:t>ti</w:t>
      </w:r>
      <w:r>
        <w:rPr>
          <w:rFonts w:ascii="Cambria" w:hAnsi="Cambria"/>
          <w:color w:val="000000" w:themeColor="text1"/>
          <w:sz w:val="24"/>
          <w:szCs w:val="24"/>
        </w:rPr>
        <w:t>rar a nota de empenho, ou instrumento equivalente, no prazo estabelecido pela Administração sem justificativa razoável;</w:t>
      </w:r>
    </w:p>
    <w:p w14:paraId="6930C061"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manter seu preço registrado, na hipótese prevista no artigo 27, § 2º, do Decreto nº 11.462, de 2023; ou</w:t>
      </w:r>
    </w:p>
    <w:p w14:paraId="0E512ACC"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nos incisos III ou IV do caput do artigo 156 da Lei Federal nº 14.133, de 2021.</w:t>
      </w:r>
    </w:p>
    <w:p w14:paraId="5AE39A9E" w14:textId="77777777" w:rsidR="00150077"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w:t>
      </w:r>
      <w:r>
        <w:rPr>
          <w:rFonts w:ascii="Cambria" w:hAnsi="Cambria"/>
          <w:color w:val="000000" w:themeColor="text1"/>
          <w:sz w:val="24"/>
          <w:szCs w:val="24"/>
        </w:rPr>
        <w:lastRenderedPageBreak/>
        <w:t>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8AF7650" w14:textId="77777777" w:rsidR="00150077" w:rsidRDefault="00000000">
      <w:pPr>
        <w:pStyle w:val="Nivel2"/>
      </w:pPr>
      <w:r>
        <w:rPr>
          <w:b/>
          <w:bCs/>
        </w:rPr>
        <w:t xml:space="preserve">CLÁSULA QUADRAGÉSIMA SEGUNDA: </w:t>
      </w:r>
      <w:r>
        <w:t>O cancelamento de registros nas hipóteses previstas na cláusula quadragésima primeira será formalizada por despacho do órgão ou da entidade gerenciadora, garantidos os princípios do contraditório e da ampla defesa.</w:t>
      </w:r>
    </w:p>
    <w:p w14:paraId="2E5ACFE1" w14:textId="77777777" w:rsidR="00150077" w:rsidRDefault="00000000">
      <w:pPr>
        <w:pStyle w:val="Nivel2"/>
      </w:pPr>
      <w:r>
        <w:rPr>
          <w:b/>
          <w:bCs/>
        </w:rPr>
        <w:t xml:space="preserve">CLÁSULA QUADRAGÉSIMA TERCEIRA: </w:t>
      </w:r>
      <w:r>
        <w:t>Na hipótese de cancelamento do registro do fornecedor, o órgão ou a entidade gerenciadora poderá convocar os licitantes que compõem o cadastro de reserva, observada a ordem de classificação.</w:t>
      </w:r>
    </w:p>
    <w:p w14:paraId="6CE5A508" w14:textId="77777777" w:rsidR="00150077" w:rsidRDefault="00000000">
      <w:pPr>
        <w:pStyle w:val="Nivel2"/>
      </w:pPr>
      <w:r>
        <w:rPr>
          <w:b/>
          <w:bCs/>
        </w:rPr>
        <w:t xml:space="preserve">CLÁSULA QUADRAGÉSIMA QUARTA: </w:t>
      </w:r>
      <w:r>
        <w:t>O cancelamento dos preços registrados poderá ser realizado pelo gerenciador, em determinada ata de registro de preços, total ou parcialmente, nas seguintes hipóteses, desde que devidamente comprovadas e justificadas:</w:t>
      </w:r>
      <w:bookmarkStart w:id="93" w:name="cancelamento_da_ata"/>
      <w:bookmarkEnd w:id="93"/>
      <w:r>
        <w:t xml:space="preserve"> </w:t>
      </w:r>
    </w:p>
    <w:p w14:paraId="40F909E2"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Por razão de interesse público;</w:t>
      </w:r>
    </w:p>
    <w:p w14:paraId="2CFD052F"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 pedido do fornecedor, decorrente de caso fortuito ou força maior; ou</w:t>
      </w:r>
    </w:p>
    <w:p w14:paraId="01BCAD00" w14:textId="77777777" w:rsidR="00150077"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houver êxito nas negociações, nas hipóteses em que o preço de mercado </w:t>
      </w:r>
      <w:proofErr w:type="gramStart"/>
      <w:r>
        <w:rPr>
          <w:rFonts w:ascii="Cambria" w:hAnsi="Cambria"/>
          <w:color w:val="000000" w:themeColor="text1"/>
          <w:sz w:val="24"/>
          <w:szCs w:val="24"/>
        </w:rPr>
        <w:t>tornar-se</w:t>
      </w:r>
      <w:proofErr w:type="gramEnd"/>
      <w:r>
        <w:rPr>
          <w:rFonts w:ascii="Cambria" w:hAnsi="Cambria"/>
          <w:color w:val="000000" w:themeColor="text1"/>
          <w:sz w:val="24"/>
          <w:szCs w:val="24"/>
        </w:rPr>
        <w:t xml:space="preserve"> superior ou inferior ao preço registrado, nos termos do Decreto Municipal nº 17, de 08 de janeiro de 2024.</w:t>
      </w:r>
    </w:p>
    <w:p w14:paraId="3E459312"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DIREITOS E OBRIGAÇÕES DAS PARTES</w:t>
      </w:r>
    </w:p>
    <w:p w14:paraId="0E27EA9E" w14:textId="77777777" w:rsidR="00150077"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CLÁSULA QUADRAGÉSIMA QUINTA: </w:t>
      </w:r>
      <w:r>
        <w:rPr>
          <w:rFonts w:ascii="Cambria" w:hAnsi="Cambria"/>
          <w:color w:val="000000" w:themeColor="text1"/>
          <w:sz w:val="24"/>
          <w:szCs w:val="24"/>
        </w:rPr>
        <w:t>Compete ao órgão Gestor:</w:t>
      </w:r>
    </w:p>
    <w:p w14:paraId="2C60680C"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09845421"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349C1935" w14:textId="77777777" w:rsidR="00150077"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a) </w:t>
      </w:r>
      <w:r>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637FC7F7"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fornecimento, respeitada a legislação relativas às licitações, em que caiba recurso ou indenização.</w:t>
      </w:r>
    </w:p>
    <w:p w14:paraId="38273409"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observando o prazo legalmente permitido, quando os preços apresentarem mais vantajosos para a administração e/ou existirem demandas para atendimento dos órgãos usuários.</w:t>
      </w:r>
    </w:p>
    <w:p w14:paraId="530406EC"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5C8A7AC7"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Emitir autorização de compra.</w:t>
      </w:r>
    </w:p>
    <w:p w14:paraId="4795057A"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VII.</w:t>
      </w:r>
      <w:r>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3AFFE35A" w14:textId="77777777" w:rsidR="00150077"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CLÁSULA QUADRAGÉSIMA SEXTA: </w:t>
      </w:r>
      <w:r>
        <w:rPr>
          <w:rFonts w:ascii="Cambria" w:hAnsi="Cambria"/>
          <w:color w:val="000000" w:themeColor="text1"/>
          <w:sz w:val="24"/>
          <w:szCs w:val="24"/>
        </w:rPr>
        <w:t>Compete aos órgãos ou entidades usuárias:</w:t>
      </w:r>
    </w:p>
    <w:p w14:paraId="05C1B8DC"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73DD7622"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Tomar conhecimento da Ata de Registro de Preços, inclusive de eventuais alterações para o correto cumprimento de suas disposições.</w:t>
      </w:r>
    </w:p>
    <w:p w14:paraId="1209E89F"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212DCF64" w14:textId="77777777" w:rsidR="00150077"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a) </w:t>
      </w:r>
      <w:r>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7579E892"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Rejeitar, no todo ou em parte, os produtos entregues em desacordo com as obrigações assumidas pelo detentor da ata.</w:t>
      </w:r>
    </w:p>
    <w:p w14:paraId="60DC208C" w14:textId="77777777" w:rsidR="00150077"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CLÁSULA QUINQUAGÉSIMA: </w:t>
      </w:r>
      <w:r>
        <w:rPr>
          <w:rFonts w:ascii="Cambria" w:hAnsi="Cambria"/>
          <w:color w:val="000000" w:themeColor="text1"/>
          <w:sz w:val="24"/>
          <w:szCs w:val="24"/>
        </w:rPr>
        <w:t>Compete ao compromitente da Ata:</w:t>
      </w:r>
    </w:p>
    <w:p w14:paraId="77D99045"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Entregar os bens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7080991B"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Manter durante a vigência do registro de preços, a compatibilidade de todas as condições de habilitação e qualificação exigidas na licitação.</w:t>
      </w:r>
    </w:p>
    <w:p w14:paraId="107E8C55"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Substituir os produtos recusados pelo órgão ou entidade usuária, sem qualquer ônus para a Administração no prazo máximo de 1 (um) dia, independentemente da aplicação das penalidades cabíveis.</w:t>
      </w:r>
    </w:p>
    <w:p w14:paraId="61DA6587"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Ter revisado ou cancelado o registro de seus preços, quando presentes os pressupostos previstos nesta Ata de Registro de Preços.</w:t>
      </w:r>
    </w:p>
    <w:p w14:paraId="1275E548"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4FE9AA96"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 </w:t>
      </w:r>
      <w:r>
        <w:rPr>
          <w:rFonts w:ascii="Cambria" w:hAnsi="Cambria"/>
          <w:color w:val="000000" w:themeColor="text1"/>
          <w:sz w:val="24"/>
          <w:szCs w:val="24"/>
        </w:rPr>
        <w:t>Vincular-se ao preço máximo (novo preço) definido pela Administração, resultante do ato de revisão.</w:t>
      </w:r>
    </w:p>
    <w:p w14:paraId="52421582"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VII. </w:t>
      </w:r>
      <w:r>
        <w:rPr>
          <w:rFonts w:ascii="Cambria" w:hAnsi="Cambria"/>
          <w:color w:val="000000" w:themeColor="text1"/>
          <w:sz w:val="24"/>
          <w:szCs w:val="24"/>
        </w:rPr>
        <w:t>Ter direito de preferência ou, igualdade de condições caso a administração optar pela contratação de materiais, bens ou serviços objeto de registro por outros meios facultados na legislação relativa às licitações.</w:t>
      </w:r>
    </w:p>
    <w:p w14:paraId="4C3FEDF9"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VIII. </w:t>
      </w:r>
      <w:r>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4B9949D0" w14:textId="77777777" w:rsidR="00150077"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IX. </w:t>
      </w:r>
      <w:r>
        <w:rPr>
          <w:rFonts w:ascii="Cambria" w:hAnsi="Cambria"/>
          <w:color w:val="000000" w:themeColor="text1"/>
          <w:sz w:val="24"/>
          <w:szCs w:val="24"/>
        </w:rPr>
        <w:t>Receber os pagamentos respectivos nas condições pactuadas no edital e nesta Ata de Registro de Preços.</w:t>
      </w:r>
    </w:p>
    <w:p w14:paraId="52B1A10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FORNECIMENTO, LOCAL E PRAZO DE ENTREGA</w:t>
      </w:r>
    </w:p>
    <w:p w14:paraId="037B7C0A" w14:textId="77777777" w:rsidR="0015007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CLÁSULA QUINQUAGÉSIMA PRIMEIRA:</w:t>
      </w:r>
      <w:r>
        <w:rPr>
          <w:rFonts w:ascii="Cambria" w:hAnsi="Cambria" w:cs="Arial"/>
          <w:color w:val="000000" w:themeColor="text1"/>
          <w:sz w:val="24"/>
          <w:szCs w:val="24"/>
        </w:rPr>
        <w:t xml:space="preserve"> </w:t>
      </w:r>
      <w:r>
        <w:rPr>
          <w:rFonts w:ascii="Cambria" w:eastAsia="Arial" w:hAnsi="Cambria" w:cs="Arial"/>
          <w:sz w:val="24"/>
          <w:szCs w:val="24"/>
        </w:rPr>
        <w:t>Os bens deverão ser entregues, montados e instalados em local especificado pela Secretaria Municipal de Cultura, em até 10 (dez) dias úteis, em horário conforme determinação dada através de Requisição/Solicitação/Ordem de Fornecimento pela requisitante s</w:t>
      </w:r>
      <w:r>
        <w:rPr>
          <w:rFonts w:ascii="Cambria" w:hAnsi="Cambria" w:cs="Arial"/>
          <w:sz w:val="24"/>
          <w:szCs w:val="24"/>
        </w:rPr>
        <w:t>em quaisquer despesas além do valor registrado.</w:t>
      </w:r>
    </w:p>
    <w:p w14:paraId="33522DBA" w14:textId="77777777" w:rsidR="00150077" w:rsidRDefault="00000000">
      <w:pPr>
        <w:pStyle w:val="SemEspaamento"/>
        <w:spacing w:before="100" w:after="240" w:line="360" w:lineRule="auto"/>
        <w:ind w:right="-1"/>
        <w:jc w:val="both"/>
        <w:rPr>
          <w:rFonts w:ascii="Cambria" w:hAnsi="Cambria"/>
          <w:color w:val="000000" w:themeColor="text1"/>
          <w:sz w:val="24"/>
          <w:szCs w:val="24"/>
        </w:rPr>
      </w:pPr>
      <w:bookmarkStart w:id="94" w:name="_Hlk160026043"/>
      <w:r>
        <w:rPr>
          <w:rFonts w:ascii="Cambria" w:hAnsi="Cambria"/>
          <w:b/>
          <w:bCs/>
          <w:color w:val="000000" w:themeColor="text1"/>
          <w:sz w:val="24"/>
          <w:szCs w:val="24"/>
        </w:rPr>
        <w:t>CLÁSULA QUINQUAGÉSIMA SEGUNDA:</w:t>
      </w:r>
      <w:r>
        <w:rPr>
          <w:rFonts w:ascii="Cambria" w:hAnsi="Cambria"/>
          <w:color w:val="000000" w:themeColor="text1"/>
          <w:sz w:val="24"/>
          <w:szCs w:val="24"/>
        </w:rPr>
        <w:t xml:space="preserve"> Os bens serão recebidos:</w:t>
      </w:r>
    </w:p>
    <w:p w14:paraId="72B104D8" w14:textId="77777777" w:rsidR="00150077"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0C13CF3A" w14:textId="77777777" w:rsidR="00150077"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01 (um) dia útil, a contar do recebimento provisório, após a verificação da qualidade e quantidade do material e consequente aceitação mediante termo detalhado.</w:t>
      </w:r>
    </w:p>
    <w:p w14:paraId="6F01A82D" w14:textId="77777777" w:rsidR="00150077"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2D9DCAD3" w14:textId="77777777" w:rsidR="00150077"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94"/>
    </w:p>
    <w:p w14:paraId="197AB987" w14:textId="77777777" w:rsidR="00150077"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lastRenderedPageBreak/>
        <w:t>CLÁSULA QUINQUAGÉSIMA TERCEIRA:</w:t>
      </w:r>
      <w:r>
        <w:rPr>
          <w:rFonts w:ascii="Cambria" w:hAnsi="Cambria"/>
          <w:color w:val="000000" w:themeColor="text1"/>
          <w:sz w:val="24"/>
          <w:szCs w:val="24"/>
        </w:rPr>
        <w:t xml:space="preserve"> Os objetos deste registro </w:t>
      </w:r>
      <w:r>
        <w:rPr>
          <w:rFonts w:ascii="Cambria" w:hAnsi="Cambria"/>
          <w:iCs/>
          <w:color w:val="000000" w:themeColor="text1"/>
          <w:sz w:val="24"/>
          <w:szCs w:val="24"/>
        </w:rPr>
        <w:t xml:space="preserve">serão solicitados conforme as necessidades da </w:t>
      </w:r>
      <w:r>
        <w:rPr>
          <w:rFonts w:ascii="Cambria" w:hAnsi="Cambria" w:cs="Arial"/>
          <w:color w:val="000000" w:themeColor="text1"/>
          <w:sz w:val="24"/>
          <w:szCs w:val="24"/>
        </w:rPr>
        <w:t>Secretaria</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142C1E5A" w14:textId="77777777" w:rsidR="0015007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CLÁSULA QUINQUAGÉSIMA QUARTA:</w:t>
      </w:r>
      <w:r>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7B951FE9" w14:textId="77777777" w:rsidR="0015007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CLÁSULA QUINQUAGÉSIMA QUINTA:</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22F616D9"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b/>
          <w:color w:val="000000" w:themeColor="text1"/>
          <w:sz w:val="24"/>
          <w:szCs w:val="24"/>
        </w:rPr>
      </w:pPr>
      <w:r>
        <w:rPr>
          <w:rFonts w:ascii="Cambria" w:hAnsi="Cambria"/>
          <w:b/>
          <w:color w:val="000000" w:themeColor="text1"/>
          <w:sz w:val="24"/>
          <w:szCs w:val="24"/>
        </w:rPr>
        <w:t>DO PAGAMENTO</w:t>
      </w:r>
    </w:p>
    <w:p w14:paraId="55D73735" w14:textId="77777777" w:rsidR="00150077" w:rsidRDefault="00000000">
      <w:pPr>
        <w:pStyle w:val="Rodap"/>
        <w:spacing w:line="360" w:lineRule="auto"/>
        <w:rPr>
          <w:rFonts w:ascii="Cambria" w:hAnsi="Cambria" w:cstheme="minorHAnsi"/>
          <w:color w:val="000000" w:themeColor="text1"/>
          <w:sz w:val="24"/>
          <w:szCs w:val="24"/>
        </w:rPr>
      </w:pPr>
      <w:r>
        <w:rPr>
          <w:rFonts w:ascii="Cambria" w:hAnsi="Cambria" w:cstheme="minorHAnsi"/>
          <w:b/>
          <w:bCs/>
          <w:color w:val="000000" w:themeColor="text1"/>
          <w:sz w:val="24"/>
          <w:szCs w:val="24"/>
        </w:rPr>
        <w:t xml:space="preserve">CLÁSULA QUINQUAGÉSIMA SEXTA: </w:t>
      </w:r>
      <w:r>
        <w:rPr>
          <w:rFonts w:ascii="Cambria" w:hAnsi="Cambria" w:cstheme="minorHAnsi"/>
          <w:color w:val="000000" w:themeColor="text1"/>
          <w:sz w:val="24"/>
          <w:szCs w:val="24"/>
        </w:rPr>
        <w:t>A forma de pagamento será de até 30 (trinta) dias, após a protocolização da Nota Fiscal, entregues na secretaria requisitante. Devidamente atestada/liquidada pelo fiscal do contrato.</w:t>
      </w:r>
    </w:p>
    <w:p w14:paraId="3C6DC4D2" w14:textId="77777777" w:rsidR="00150077" w:rsidRDefault="00000000">
      <w:pPr>
        <w:spacing w:after="240" w:line="360" w:lineRule="auto"/>
        <w:ind w:right="-1" w:firstLine="567"/>
        <w:rPr>
          <w:rFonts w:ascii="Cambria" w:hAnsi="Cambria"/>
          <w:bCs/>
          <w:color w:val="000000" w:themeColor="text1"/>
          <w:sz w:val="24"/>
          <w:szCs w:val="24"/>
        </w:rPr>
      </w:pPr>
      <w:r>
        <w:rPr>
          <w:rFonts w:ascii="Cambria" w:hAnsi="Cambria" w:cstheme="minorHAnsi"/>
          <w:b/>
          <w:color w:val="000000" w:themeColor="text1"/>
          <w:sz w:val="24"/>
          <w:szCs w:val="24"/>
        </w:rPr>
        <w:t xml:space="preserve">I. </w:t>
      </w:r>
      <w:r>
        <w:rPr>
          <w:rFonts w:ascii="Cambria" w:hAnsi="Cambria" w:cstheme="minorHAnsi"/>
          <w:bCs/>
          <w:color w:val="000000" w:themeColor="text1"/>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Pr>
          <w:rFonts w:ascii="Cambria" w:hAnsi="Cambria"/>
          <w:bCs/>
          <w:color w:val="000000" w:themeColor="text1"/>
          <w:sz w:val="24"/>
          <w:szCs w:val="24"/>
        </w:rPr>
        <w:t xml:space="preserve"> de liquidação e pagamento.</w:t>
      </w:r>
    </w:p>
    <w:p w14:paraId="5A247A96" w14:textId="77777777" w:rsidR="00150077"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 xml:space="preserve">II. </w:t>
      </w:r>
      <w:r>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447FC594" w14:textId="77777777" w:rsidR="00150077"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74CB869E" w14:textId="77777777" w:rsidR="00150077"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lastRenderedPageBreak/>
        <w:t>IV.</w:t>
      </w:r>
      <w:r>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3EF86305" w14:textId="77777777" w:rsidR="00150077"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V.</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às condições de habilitação e qualificação exigidas também no processo licitatório, cujo resultado será impresso e juntado aos autos do processo.</w:t>
      </w:r>
    </w:p>
    <w:p w14:paraId="59FB87F6" w14:textId="77777777" w:rsidR="00150077" w:rsidRDefault="00000000">
      <w:pPr>
        <w:pStyle w:val="NormalWeb"/>
        <w:spacing w:before="280" w:after="280" w:line="360" w:lineRule="auto"/>
        <w:ind w:right="-1" w:firstLine="567"/>
        <w:jc w:val="both"/>
        <w:rPr>
          <w:rFonts w:ascii="Cambria" w:hAnsi="Cambria"/>
          <w:color w:val="000000" w:themeColor="text1"/>
        </w:rPr>
      </w:pPr>
      <w:r>
        <w:rPr>
          <w:rFonts w:ascii="Cambria" w:hAnsi="Cambria"/>
          <w:b/>
          <w:color w:val="000000" w:themeColor="text1"/>
        </w:rPr>
        <w:t xml:space="preserve">VI. </w:t>
      </w:r>
      <w:r>
        <w:rPr>
          <w:rFonts w:ascii="Cambria" w:hAnsi="Cambria"/>
          <w:color w:val="000000" w:themeColor="text1"/>
        </w:rPr>
        <w:t>O pagamento será efetuado pelo total do item fornecido, constante da ordem de fornecimento, acompanhada da Nota Fiscal.</w:t>
      </w:r>
    </w:p>
    <w:p w14:paraId="219BDDB5" w14:textId="77777777" w:rsidR="00150077" w:rsidRDefault="00000000">
      <w:pPr>
        <w:pStyle w:val="Nivel2"/>
      </w:pPr>
      <w:r>
        <w:rPr>
          <w:b/>
          <w:bCs/>
        </w:rPr>
        <w:t xml:space="preserve">CLÁSULA QUINQUAGÉSIMA SÉTIMA: </w:t>
      </w:r>
      <w:r>
        <w:t xml:space="preserve">Para fins de liquidação, o setor competente deverá verificar se a nota fiscal ou instrumento de cobrança equivalente apresentado expressa os elementos necessários e essenciais do documento, tais como: </w:t>
      </w:r>
    </w:p>
    <w:p w14:paraId="73952D76" w14:textId="77777777" w:rsidR="00150077" w:rsidRDefault="00000000">
      <w:pPr>
        <w:pStyle w:val="Nivel3"/>
        <w:ind w:firstLine="708"/>
        <w:rPr>
          <w:sz w:val="24"/>
          <w:szCs w:val="24"/>
        </w:rPr>
      </w:pPr>
      <w:r>
        <w:rPr>
          <w:b/>
          <w:bCs/>
          <w:sz w:val="24"/>
          <w:szCs w:val="24"/>
        </w:rPr>
        <w:t>I.</w:t>
      </w:r>
      <w:r>
        <w:rPr>
          <w:sz w:val="24"/>
          <w:szCs w:val="24"/>
        </w:rPr>
        <w:t xml:space="preserve"> o prazo de validade;</w:t>
      </w:r>
    </w:p>
    <w:p w14:paraId="3CFDF75C" w14:textId="77777777" w:rsidR="00150077" w:rsidRDefault="00000000">
      <w:pPr>
        <w:pStyle w:val="Nivel3"/>
        <w:ind w:firstLine="708"/>
        <w:rPr>
          <w:sz w:val="24"/>
          <w:szCs w:val="24"/>
        </w:rPr>
      </w:pPr>
      <w:r>
        <w:rPr>
          <w:b/>
          <w:bCs/>
          <w:sz w:val="24"/>
          <w:szCs w:val="24"/>
        </w:rPr>
        <w:t>II.</w:t>
      </w:r>
      <w:r>
        <w:rPr>
          <w:sz w:val="24"/>
          <w:szCs w:val="24"/>
        </w:rPr>
        <w:t xml:space="preserve"> a data da emissão; </w:t>
      </w:r>
    </w:p>
    <w:p w14:paraId="7607690C" w14:textId="77777777" w:rsidR="00150077" w:rsidRDefault="00000000">
      <w:pPr>
        <w:pStyle w:val="Nivel3"/>
        <w:ind w:firstLine="708"/>
        <w:rPr>
          <w:sz w:val="24"/>
          <w:szCs w:val="24"/>
        </w:rPr>
      </w:pPr>
      <w:r>
        <w:rPr>
          <w:b/>
          <w:bCs/>
          <w:sz w:val="24"/>
          <w:szCs w:val="24"/>
        </w:rPr>
        <w:t>III.</w:t>
      </w:r>
      <w:r>
        <w:rPr>
          <w:sz w:val="24"/>
          <w:szCs w:val="24"/>
        </w:rPr>
        <w:t xml:space="preserve"> os dados da Ata de Registro de preços e do órgão contratante; </w:t>
      </w:r>
    </w:p>
    <w:p w14:paraId="1555EF64" w14:textId="77777777" w:rsidR="00150077" w:rsidRDefault="00000000">
      <w:pPr>
        <w:pStyle w:val="Nivel3"/>
        <w:ind w:firstLine="708"/>
        <w:rPr>
          <w:sz w:val="24"/>
          <w:szCs w:val="24"/>
        </w:rPr>
      </w:pPr>
      <w:r>
        <w:rPr>
          <w:b/>
          <w:bCs/>
          <w:sz w:val="24"/>
          <w:szCs w:val="24"/>
        </w:rPr>
        <w:t>IV.</w:t>
      </w:r>
      <w:r>
        <w:rPr>
          <w:sz w:val="24"/>
          <w:szCs w:val="24"/>
        </w:rPr>
        <w:t xml:space="preserve"> o período respectivo de execução da Ata de Registro de Preços; </w:t>
      </w:r>
    </w:p>
    <w:p w14:paraId="1CCD96E3" w14:textId="77777777" w:rsidR="00150077" w:rsidRDefault="00000000">
      <w:pPr>
        <w:pStyle w:val="Nivel3"/>
        <w:ind w:firstLine="708"/>
        <w:rPr>
          <w:sz w:val="24"/>
          <w:szCs w:val="24"/>
        </w:rPr>
      </w:pPr>
      <w:r>
        <w:rPr>
          <w:b/>
          <w:bCs/>
          <w:sz w:val="24"/>
          <w:szCs w:val="24"/>
        </w:rPr>
        <w:t>V.</w:t>
      </w:r>
      <w:r>
        <w:rPr>
          <w:sz w:val="24"/>
          <w:szCs w:val="24"/>
        </w:rPr>
        <w:t xml:space="preserve"> o valor a pagar; e </w:t>
      </w:r>
    </w:p>
    <w:p w14:paraId="162247DA" w14:textId="77777777" w:rsidR="00150077" w:rsidRDefault="00000000">
      <w:pPr>
        <w:pStyle w:val="SemEspaamento"/>
        <w:spacing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eventual destaque do valor de retenções tributárias cabíveis.</w:t>
      </w:r>
    </w:p>
    <w:p w14:paraId="3C2B3150"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DISPOSIÇÕES FINAIS</w:t>
      </w:r>
    </w:p>
    <w:p w14:paraId="600FAFF7" w14:textId="77777777" w:rsidR="00150077"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CLÁSULA QUINQUAGÉSIMA OITAVA</w:t>
      </w:r>
      <w:r>
        <w:rPr>
          <w:rFonts w:ascii="Cambria" w:eastAsia="Arial" w:hAnsi="Cambria"/>
          <w:b/>
          <w:color w:val="000000" w:themeColor="text1"/>
          <w:sz w:val="24"/>
          <w:szCs w:val="24"/>
        </w:rPr>
        <w:t xml:space="preserve">: </w:t>
      </w:r>
      <w:r>
        <w:rPr>
          <w:rFonts w:ascii="Cambria" w:hAnsi="Cambria"/>
          <w:color w:val="000000" w:themeColor="text1"/>
          <w:sz w:val="24"/>
          <w:szCs w:val="24"/>
        </w:rPr>
        <w:t>As omissões desta Ata e as dúvidas oriundas de sua interpretação serão sanadas de acordo com o que dispuserem o Edital do Pregão Eletrônico nº 31/2026 e a proposta apresentada pela licitante, prevalecendo, em caso de conflito, as disposições do Edital sobre a da proposta.</w:t>
      </w:r>
    </w:p>
    <w:p w14:paraId="54DE71C4" w14:textId="77777777" w:rsidR="00150077" w:rsidRDefault="00000000">
      <w:pPr>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lastRenderedPageBreak/>
        <w:t>CLÁSULA QUINQUAGÉSIMA NONA</w:t>
      </w:r>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O presente registro decorre de adjudicação à Promitente Contratada dos objetos, cujas descrições, quantidades e especificações constam no Termo de Referência - Anexo, do Pregão Eletrônico nº 31/2026, conforme decisão da Agente de Contratação/ Pregoeira do Município, lavrada em Ata de Sessão Eletrônica datada de __ </w:t>
      </w:r>
      <w:proofErr w:type="spellStart"/>
      <w:r>
        <w:rPr>
          <w:rFonts w:ascii="Cambria" w:hAnsi="Cambria"/>
          <w:color w:val="000000" w:themeColor="text1"/>
          <w:sz w:val="24"/>
          <w:szCs w:val="24"/>
        </w:rPr>
        <w:t>de</w:t>
      </w:r>
      <w:proofErr w:type="spellEnd"/>
      <w:r>
        <w:rPr>
          <w:rFonts w:ascii="Cambria" w:hAnsi="Cambria"/>
          <w:color w:val="000000" w:themeColor="text1"/>
          <w:sz w:val="24"/>
          <w:szCs w:val="24"/>
        </w:rPr>
        <w:t xml:space="preserve"> ____________ </w:t>
      </w:r>
      <w:proofErr w:type="spellStart"/>
      <w:r>
        <w:rPr>
          <w:rFonts w:ascii="Cambria" w:hAnsi="Cambria"/>
          <w:color w:val="000000" w:themeColor="text1"/>
          <w:sz w:val="24"/>
          <w:szCs w:val="24"/>
        </w:rPr>
        <w:t>de</w:t>
      </w:r>
      <w:proofErr w:type="spellEnd"/>
      <w:r>
        <w:rPr>
          <w:rFonts w:ascii="Cambria" w:hAnsi="Cambria"/>
          <w:color w:val="000000" w:themeColor="text1"/>
          <w:sz w:val="24"/>
          <w:szCs w:val="24"/>
        </w:rPr>
        <w:t xml:space="preserve"> 20___, e Termo de Homologação exarado pelo atual Gestor.</w:t>
      </w:r>
    </w:p>
    <w:p w14:paraId="74BF60A4" w14:textId="77777777" w:rsidR="00150077"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58">
        <w:r w:rsidR="00150077">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Caberá à </w:t>
      </w:r>
      <w:r>
        <w:rPr>
          <w:rFonts w:ascii="Cambria" w:hAnsi="Cambria" w:cs="Arial"/>
          <w:color w:val="000000" w:themeColor="text1"/>
          <w:sz w:val="24"/>
          <w:szCs w:val="24"/>
        </w:rPr>
        <w:t>Secretaria Municipal de Cultura de Piracanjuba/GO,</w:t>
      </w:r>
      <w:r>
        <w:rPr>
          <w:rFonts w:ascii="Cambria" w:hAnsi="Cambria"/>
          <w:color w:val="000000" w:themeColor="text1"/>
          <w:sz w:val="24"/>
          <w:szCs w:val="24"/>
        </w:rPr>
        <w:t xml:space="preserve"> o gerenciamento da presente Ata de Registro de Preços nos termos da legislação vigente.</w:t>
      </w:r>
    </w:p>
    <w:p w14:paraId="6CEB57C1"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FORO</w:t>
      </w:r>
    </w:p>
    <w:p w14:paraId="1B9281C6" w14:textId="77777777" w:rsidR="00150077"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59">
        <w:r w:rsidR="00150077">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PRIMEIRA: </w:t>
      </w:r>
      <w:r>
        <w:rPr>
          <w:rFonts w:ascii="Cambria" w:hAnsi="Cambria"/>
          <w:color w:val="000000" w:themeColor="text1"/>
          <w:sz w:val="24"/>
          <w:szCs w:val="24"/>
        </w:rPr>
        <w:t xml:space="preserve">Fica eleito o foro da Comarca de Piracanjuba, para dirimir quaisquer dúvidas decorrentes da execução desta Ata, com renúncia das partes a qualquer outro, por mais privilegiado que seja. </w:t>
      </w:r>
    </w:p>
    <w:p w14:paraId="5E8949BE" w14:textId="77777777" w:rsidR="00150077" w:rsidRDefault="00000000">
      <w:pPr>
        <w:pStyle w:val="NormalWeb"/>
        <w:spacing w:before="0" w:beforeAutospacing="0" w:after="0" w:afterAutospacing="0" w:line="360" w:lineRule="auto"/>
        <w:ind w:right="-1"/>
        <w:jc w:val="right"/>
        <w:rPr>
          <w:rFonts w:ascii="Cambria" w:hAnsi="Cambria"/>
          <w:b/>
          <w:color w:val="000000" w:themeColor="text1"/>
        </w:rPr>
      </w:pPr>
      <w:r>
        <w:rPr>
          <w:rFonts w:ascii="Cambria" w:hAnsi="Cambria"/>
          <w:color w:val="000000" w:themeColor="text1"/>
        </w:rPr>
        <w:t xml:space="preserve">Piracanjuba/ GO, aos _____ dias do mês de ___________ </w:t>
      </w:r>
      <w:proofErr w:type="spellStart"/>
      <w:r>
        <w:rPr>
          <w:rFonts w:ascii="Cambria" w:hAnsi="Cambria"/>
          <w:color w:val="000000" w:themeColor="text1"/>
        </w:rPr>
        <w:t>de</w:t>
      </w:r>
      <w:proofErr w:type="spellEnd"/>
      <w:r>
        <w:rPr>
          <w:rFonts w:ascii="Cambria" w:hAnsi="Cambria"/>
          <w:color w:val="000000" w:themeColor="text1"/>
        </w:rPr>
        <w:t xml:space="preserve"> 2026.</w:t>
      </w:r>
    </w:p>
    <w:p w14:paraId="53DEDC6F" w14:textId="77777777" w:rsidR="00150077" w:rsidRDefault="00150077">
      <w:pPr>
        <w:spacing w:before="0" w:after="0" w:line="360" w:lineRule="auto"/>
        <w:ind w:right="-1"/>
        <w:jc w:val="center"/>
        <w:rPr>
          <w:rFonts w:ascii="Cambria" w:hAnsi="Cambria"/>
          <w:b/>
          <w:color w:val="000000" w:themeColor="text1"/>
          <w:sz w:val="24"/>
          <w:szCs w:val="24"/>
        </w:rPr>
      </w:pPr>
    </w:p>
    <w:p w14:paraId="27BB6312" w14:textId="77777777" w:rsidR="00150077" w:rsidRDefault="00150077">
      <w:pPr>
        <w:spacing w:before="0" w:after="0" w:line="360" w:lineRule="auto"/>
        <w:ind w:right="-1"/>
        <w:jc w:val="center"/>
        <w:rPr>
          <w:rFonts w:ascii="Cambria" w:hAnsi="Cambria"/>
          <w:b/>
          <w:color w:val="000000" w:themeColor="text1"/>
          <w:sz w:val="24"/>
          <w:szCs w:val="24"/>
        </w:rPr>
      </w:pPr>
    </w:p>
    <w:p w14:paraId="5AD46DB9" w14:textId="77777777" w:rsidR="00150077" w:rsidRDefault="00000000">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2282374A" w14:textId="77777777" w:rsidR="00150077" w:rsidRDefault="00000000">
      <w:pPr>
        <w:spacing w:before="0" w:after="120" w:line="360" w:lineRule="auto"/>
        <w:ind w:right="-1"/>
        <w:contextualSpacing/>
        <w:jc w:val="center"/>
        <w:rPr>
          <w:rFonts w:ascii="Cambria" w:eastAsia="Arial" w:hAnsi="Cambria"/>
          <w:color w:val="000000" w:themeColor="text1"/>
          <w:sz w:val="24"/>
          <w:szCs w:val="24"/>
        </w:rPr>
      </w:pPr>
      <w:r>
        <w:rPr>
          <w:rFonts w:ascii="Cambria" w:eastAsia="Arial" w:hAnsi="Cambria"/>
          <w:color w:val="000000" w:themeColor="text1"/>
          <w:sz w:val="24"/>
          <w:szCs w:val="24"/>
        </w:rPr>
        <w:t>Contratante</w:t>
      </w:r>
    </w:p>
    <w:p w14:paraId="788FC6A1" w14:textId="77777777" w:rsidR="00150077" w:rsidRDefault="00150077">
      <w:pPr>
        <w:spacing w:before="0" w:after="120" w:line="360" w:lineRule="auto"/>
        <w:ind w:right="-1"/>
        <w:contextualSpacing/>
        <w:jc w:val="center"/>
        <w:rPr>
          <w:rFonts w:ascii="Cambria" w:eastAsia="Arial" w:hAnsi="Cambria"/>
          <w:color w:val="000000" w:themeColor="text1"/>
          <w:sz w:val="24"/>
          <w:szCs w:val="24"/>
        </w:rPr>
      </w:pPr>
    </w:p>
    <w:p w14:paraId="3EC409E5" w14:textId="77777777" w:rsidR="00150077" w:rsidRDefault="00150077">
      <w:pPr>
        <w:spacing w:before="0" w:after="120" w:line="360" w:lineRule="auto"/>
        <w:ind w:right="-1"/>
        <w:contextualSpacing/>
        <w:jc w:val="center"/>
        <w:rPr>
          <w:rFonts w:ascii="Cambria" w:eastAsia="Arial" w:hAnsi="Cambria"/>
          <w:color w:val="000000" w:themeColor="text1"/>
          <w:sz w:val="24"/>
          <w:szCs w:val="24"/>
        </w:rPr>
      </w:pPr>
    </w:p>
    <w:p w14:paraId="01BC7654" w14:textId="77777777" w:rsidR="00150077" w:rsidRDefault="00000000">
      <w:pPr>
        <w:spacing w:before="0" w:after="0" w:line="360" w:lineRule="auto"/>
        <w:jc w:val="center"/>
        <w:rPr>
          <w:rFonts w:ascii="Cambria" w:hAnsi="Cambria"/>
          <w:color w:val="000000" w:themeColor="text1"/>
          <w:sz w:val="24"/>
          <w:szCs w:val="24"/>
        </w:rPr>
      </w:pPr>
      <w:r>
        <w:rPr>
          <w:rFonts w:ascii="Cambria" w:hAnsi="Cambria"/>
          <w:b/>
          <w:color w:val="000000" w:themeColor="text1"/>
          <w:sz w:val="24"/>
          <w:szCs w:val="24"/>
        </w:rPr>
        <w:t>__________________________________</w:t>
      </w:r>
    </w:p>
    <w:p w14:paraId="361429B7" w14:textId="77777777" w:rsidR="00150077" w:rsidRDefault="00000000">
      <w:pPr>
        <w:tabs>
          <w:tab w:val="left" w:pos="1701"/>
        </w:tabs>
        <w:spacing w:before="0" w:after="0" w:line="360" w:lineRule="auto"/>
        <w:jc w:val="center"/>
        <w:rPr>
          <w:rFonts w:ascii="Cambria" w:hAnsi="Cambria"/>
          <w:bCs/>
          <w:color w:val="000000" w:themeColor="text1"/>
          <w:sz w:val="24"/>
          <w:szCs w:val="24"/>
        </w:rPr>
      </w:pPr>
      <w:r>
        <w:rPr>
          <w:rFonts w:ascii="Cambria" w:hAnsi="Cambria"/>
          <w:bCs/>
          <w:color w:val="000000" w:themeColor="text1"/>
          <w:sz w:val="24"/>
          <w:szCs w:val="24"/>
        </w:rPr>
        <w:t>Contratada</w:t>
      </w:r>
    </w:p>
    <w:p w14:paraId="3E9129F9" w14:textId="77777777" w:rsidR="00150077" w:rsidRDefault="00000000">
      <w:pPr>
        <w:spacing w:line="360" w:lineRule="auto"/>
        <w:rPr>
          <w:rFonts w:ascii="Cambria" w:hAnsi="Cambria"/>
          <w:b/>
          <w:color w:val="000000" w:themeColor="text1"/>
          <w:sz w:val="24"/>
          <w:szCs w:val="24"/>
        </w:rPr>
      </w:pPr>
      <w:r>
        <w:br w:type="page"/>
      </w:r>
    </w:p>
    <w:p w14:paraId="620413CA" w14:textId="77777777" w:rsidR="00150077"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31/2026</w:t>
      </w:r>
    </w:p>
    <w:p w14:paraId="51782085" w14:textId="77777777" w:rsidR="0015007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VII</w:t>
      </w:r>
    </w:p>
    <w:p w14:paraId="08847CFD" w14:textId="77777777" w:rsidR="00150077" w:rsidRDefault="00000000">
      <w:pPr>
        <w:tabs>
          <w:tab w:val="left" w:pos="3390"/>
        </w:tabs>
        <w:spacing w:before="240"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MINUTA DE CONTRATO DE FORNECIMENTO Nº _______/2026.</w:t>
      </w:r>
    </w:p>
    <w:p w14:paraId="5DBBB440" w14:textId="77777777" w:rsidR="00150077" w:rsidRDefault="00000000">
      <w:pPr>
        <w:spacing w:before="240" w:after="240" w:line="360" w:lineRule="auto"/>
        <w:ind w:left="4536" w:right="-1"/>
        <w:rPr>
          <w:rFonts w:ascii="Cambria" w:hAnsi="Cambria"/>
          <w:color w:val="000000" w:themeColor="text1"/>
          <w:sz w:val="24"/>
          <w:szCs w:val="24"/>
        </w:rPr>
      </w:pPr>
      <w:r>
        <w:rPr>
          <w:rFonts w:ascii="Cambria" w:hAnsi="Cambria"/>
          <w:color w:val="000000" w:themeColor="text1"/>
          <w:sz w:val="24"/>
          <w:szCs w:val="24"/>
        </w:rPr>
        <w:t xml:space="preserve">Contrato que entre si celebram o </w:t>
      </w:r>
      <w:r>
        <w:rPr>
          <w:rFonts w:ascii="Cambria" w:hAnsi="Cambria"/>
          <w:b/>
          <w:color w:val="000000" w:themeColor="text1"/>
          <w:sz w:val="24"/>
          <w:szCs w:val="24"/>
        </w:rPr>
        <w:t xml:space="preserve">FUNDO MUNICIPAL CULTURA DE PIRACANJUBA </w:t>
      </w:r>
      <w:r>
        <w:rPr>
          <w:rFonts w:ascii="Cambria" w:hAnsi="Cambria"/>
          <w:color w:val="000000" w:themeColor="text1"/>
          <w:sz w:val="24"/>
          <w:szCs w:val="24"/>
        </w:rPr>
        <w:t xml:space="preserve">e a Empresa </w:t>
      </w:r>
      <w:r>
        <w:rPr>
          <w:rFonts w:ascii="Cambria" w:eastAsia="Arial" w:hAnsi="Cambria" w:cs="Arial"/>
          <w:b/>
          <w:color w:val="000000" w:themeColor="text1"/>
          <w:sz w:val="24"/>
          <w:szCs w:val="24"/>
        </w:rPr>
        <w:t>_________________</w:t>
      </w:r>
      <w:r>
        <w:rPr>
          <w:rFonts w:ascii="Cambria" w:hAnsi="Cambria"/>
          <w:color w:val="000000" w:themeColor="text1"/>
          <w:sz w:val="24"/>
          <w:szCs w:val="24"/>
        </w:rPr>
        <w:t>, na forma abaixo:</w:t>
      </w:r>
    </w:p>
    <w:p w14:paraId="04FED9E3" w14:textId="77777777" w:rsidR="00150077"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CONTRATANTE</w:t>
      </w:r>
      <w:r>
        <w:rPr>
          <w:rFonts w:ascii="Cambria" w:hAnsi="Cambria"/>
          <w:color w:val="000000" w:themeColor="text1"/>
        </w:rPr>
        <w:t xml:space="preserve">: </w:t>
      </w:r>
      <w:r>
        <w:rPr>
          <w:rFonts w:ascii="Cambria" w:hAnsi="Cambria" w:cs="Arial"/>
          <w:b/>
          <w:color w:val="000000" w:themeColor="text1"/>
        </w:rPr>
        <w:t>FUNDO MUNICIPAL DE CULTURA DE PIRACANJUBA</w:t>
      </w:r>
      <w:r>
        <w:rPr>
          <w:rFonts w:ascii="Cambria" w:hAnsi="Cambria" w:cs="Arial"/>
          <w:color w:val="000000" w:themeColor="text1"/>
        </w:rPr>
        <w:t xml:space="preserve">, Pessoa Jurídica de Direito Público Interno, inscrito no CNPJ sob o nº 22.957.266/0001-60, com sede na Praça Wilson Eloy Pimenta, nº 100, Centro, Piracanjuba/GO, neste ato representado pelo seu atual Gestor, </w:t>
      </w:r>
      <w:r>
        <w:rPr>
          <w:rFonts w:ascii="Cambria" w:hAnsi="Cambria" w:cs="Arial"/>
          <w:b/>
          <w:color w:val="000000" w:themeColor="text1"/>
        </w:rPr>
        <w:t>Sr. Jovair Antônio Pontes dos Santos</w:t>
      </w:r>
      <w:r>
        <w:rPr>
          <w:rFonts w:ascii="Cambria" w:hAnsi="Cambria" w:cs="Arial"/>
          <w:color w:val="000000" w:themeColor="text1"/>
        </w:rPr>
        <w:t>, brasileiro, inscrito no CPF sob o nº 364.177.691-00, residente e domiciliado nesta cidade, doravante denominada simplesmente de CONTRATANTE</w:t>
      </w:r>
      <w:r>
        <w:rPr>
          <w:rFonts w:ascii="Cambria" w:hAnsi="Cambria"/>
          <w:color w:val="000000" w:themeColor="text1"/>
        </w:rPr>
        <w:t>.</w:t>
      </w:r>
    </w:p>
    <w:p w14:paraId="3FF99CC0" w14:textId="77777777" w:rsidR="00150077"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CONTRATADA</w:t>
      </w:r>
      <w:r>
        <w:rPr>
          <w:rFonts w:ascii="Cambria" w:hAnsi="Cambria"/>
          <w:color w:val="000000" w:themeColor="text1"/>
        </w:rPr>
        <w:t xml:space="preserve">: </w:t>
      </w:r>
      <w:r>
        <w:rPr>
          <w:rFonts w:ascii="Cambria" w:hAnsi="Cambria"/>
          <w:b/>
          <w:color w:val="000000" w:themeColor="text1"/>
        </w:rPr>
        <w:t xml:space="preserve">_______________________, </w:t>
      </w:r>
      <w:r>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 podendo ser localizada na sede da empresa, doravante denominada simplesmente de CONTRATADA.</w:t>
      </w:r>
    </w:p>
    <w:p w14:paraId="65FF4FEF" w14:textId="77777777" w:rsidR="00150077" w:rsidRDefault="00000000">
      <w:pPr>
        <w:spacing w:line="360" w:lineRule="auto"/>
        <w:rPr>
          <w:rFonts w:ascii="Cambria" w:hAnsi="Cambria"/>
          <w:color w:val="000000" w:themeColor="text1"/>
          <w:sz w:val="24"/>
          <w:szCs w:val="24"/>
        </w:rPr>
      </w:pPr>
      <w:r>
        <w:rPr>
          <w:rFonts w:ascii="Cambria" w:hAnsi="Cambria"/>
          <w:color w:val="000000" w:themeColor="text1"/>
          <w:sz w:val="24"/>
          <w:szCs w:val="24"/>
        </w:rPr>
        <w:t xml:space="preserve">O </w:t>
      </w:r>
      <w:r>
        <w:rPr>
          <w:rFonts w:ascii="Cambria" w:hAnsi="Cambria"/>
          <w:b/>
          <w:color w:val="000000" w:themeColor="text1"/>
          <w:sz w:val="24"/>
          <w:szCs w:val="24"/>
        </w:rPr>
        <w:t>CONTRATANTE</w:t>
      </w:r>
      <w:r>
        <w:rPr>
          <w:rFonts w:ascii="Cambria" w:hAnsi="Cambria"/>
          <w:color w:val="000000" w:themeColor="text1"/>
          <w:sz w:val="24"/>
          <w:szCs w:val="24"/>
        </w:rPr>
        <w:t xml:space="preserve"> e a </w:t>
      </w:r>
      <w:r>
        <w:rPr>
          <w:rFonts w:ascii="Cambria" w:hAnsi="Cambria"/>
          <w:b/>
          <w:color w:val="000000" w:themeColor="text1"/>
          <w:sz w:val="24"/>
          <w:szCs w:val="24"/>
        </w:rPr>
        <w:t>CONTRATADA</w:t>
      </w:r>
      <w:r>
        <w:rPr>
          <w:rFonts w:ascii="Cambria" w:hAnsi="Cambria"/>
          <w:color w:val="000000" w:themeColor="text1"/>
          <w:sz w:val="24"/>
          <w:szCs w:val="24"/>
        </w:rPr>
        <w:t xml:space="preserve">, acima especificados, têm entre si ajustados o presente Contrato de Fornecimento, conforme autorização constante do </w:t>
      </w:r>
      <w:r>
        <w:rPr>
          <w:rFonts w:ascii="Cambria" w:eastAsia="Arial" w:hAnsi="Cambria"/>
          <w:color w:val="000000" w:themeColor="text1"/>
          <w:sz w:val="24"/>
          <w:szCs w:val="24"/>
        </w:rPr>
        <w:t>Pregão Eletrônico</w:t>
      </w:r>
      <w:r>
        <w:rPr>
          <w:rFonts w:ascii="Cambria" w:hAnsi="Cambria"/>
          <w:color w:val="000000" w:themeColor="text1"/>
          <w:sz w:val="24"/>
          <w:szCs w:val="24"/>
        </w:rPr>
        <w:t xml:space="preserve"> nº 31/2026 e do Despacho Homologatório expedido em __ de ______________ </w:t>
      </w:r>
      <w:proofErr w:type="spellStart"/>
      <w:r>
        <w:rPr>
          <w:rFonts w:ascii="Cambria" w:hAnsi="Cambria"/>
          <w:color w:val="000000" w:themeColor="text1"/>
          <w:sz w:val="24"/>
          <w:szCs w:val="24"/>
        </w:rPr>
        <w:t>de</w:t>
      </w:r>
      <w:proofErr w:type="spellEnd"/>
      <w:r>
        <w:rPr>
          <w:rFonts w:ascii="Cambria" w:hAnsi="Cambria"/>
          <w:color w:val="000000" w:themeColor="text1"/>
          <w:sz w:val="24"/>
          <w:szCs w:val="24"/>
        </w:rPr>
        <w:t xml:space="preserve"> 20__, Processo Administrativo </w:t>
      </w:r>
      <w:r>
        <w:rPr>
          <w:rFonts w:ascii="Cambria" w:hAnsi="Cambria"/>
          <w:bCs/>
          <w:color w:val="000000" w:themeColor="text1"/>
          <w:sz w:val="23"/>
          <w:szCs w:val="23"/>
        </w:rPr>
        <w:t>nº</w:t>
      </w:r>
      <w:r>
        <w:rPr>
          <w:rFonts w:ascii="Cambria" w:hAnsi="Cambria"/>
          <w:bCs/>
          <w:color w:val="000000" w:themeColor="text1"/>
          <w:sz w:val="23"/>
          <w:szCs w:val="23"/>
          <w:vertAlign w:val="superscript"/>
        </w:rPr>
        <w:t xml:space="preserve"> </w:t>
      </w:r>
      <w:r>
        <w:rPr>
          <w:rFonts w:ascii="Cambria" w:hAnsi="Cambria"/>
          <w:bCs/>
          <w:color w:val="000000" w:themeColor="text1"/>
          <w:sz w:val="23"/>
          <w:szCs w:val="23"/>
        </w:rPr>
        <w:t>5091/2026</w:t>
      </w:r>
      <w:r>
        <w:rPr>
          <w:rFonts w:eastAsia="Arial"/>
          <w:color w:val="000000" w:themeColor="text1"/>
        </w:rPr>
        <w:t xml:space="preserve">, </w:t>
      </w:r>
      <w:r>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0EAA6A08"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120" w:line="360" w:lineRule="auto"/>
        <w:ind w:right="-1"/>
        <w:rPr>
          <w:rFonts w:ascii="Cambria" w:hAnsi="Cambria"/>
          <w:b/>
          <w:color w:val="000000" w:themeColor="text1"/>
          <w:sz w:val="24"/>
          <w:szCs w:val="24"/>
        </w:rPr>
      </w:pPr>
      <w:r>
        <w:rPr>
          <w:rFonts w:ascii="Cambria" w:hAnsi="Cambria"/>
          <w:b/>
          <w:color w:val="000000" w:themeColor="text1"/>
          <w:sz w:val="24"/>
          <w:szCs w:val="24"/>
        </w:rPr>
        <w:t>CLÁUSULA PRIMEIRA – DO OBJETO</w:t>
      </w:r>
    </w:p>
    <w:p w14:paraId="3AB25F17" w14:textId="77777777" w:rsidR="00150077" w:rsidRDefault="00000000">
      <w:pPr>
        <w:pStyle w:val="PargrafodaLista"/>
        <w:numPr>
          <w:ilvl w:val="1"/>
          <w:numId w:val="3"/>
        </w:numPr>
        <w:spacing w:line="360" w:lineRule="auto"/>
        <w:ind w:left="0" w:firstLine="0"/>
        <w:rPr>
          <w:rFonts w:ascii="Cambria" w:hAnsi="Cambria"/>
          <w:color w:val="000000" w:themeColor="text1"/>
          <w:sz w:val="24"/>
          <w:szCs w:val="24"/>
        </w:rPr>
      </w:pPr>
      <w:r>
        <w:rPr>
          <w:rFonts w:ascii="Cambria" w:hAnsi="Cambria"/>
          <w:color w:val="000000" w:themeColor="text1"/>
          <w:sz w:val="24"/>
          <w:szCs w:val="24"/>
        </w:rPr>
        <w:t xml:space="preserve">O presente Termo de Contrato tem por objeto a </w:t>
      </w:r>
      <w:r>
        <w:rPr>
          <w:rFonts w:ascii="Cambria" w:hAnsi="Cambria"/>
          <w:sz w:val="24"/>
          <w:szCs w:val="24"/>
        </w:rPr>
        <w:t xml:space="preserve">aquisição de solução completa de visualização e sinalização digital (Digital Signage), composta por painel de LED modular de </w:t>
      </w:r>
      <w:r>
        <w:rPr>
          <w:rFonts w:ascii="Cambria" w:hAnsi="Cambria"/>
          <w:sz w:val="24"/>
          <w:szCs w:val="24"/>
        </w:rPr>
        <w:lastRenderedPageBreak/>
        <w:t>alta performance híbrido (indoor/outdoor), projetado para operação em eventos culturais e ambientes institucionais, atendendo assim as necessidades da Secretaria Municipal de Cultura de Piracanjuba/GO</w:t>
      </w:r>
      <w:r>
        <w:rPr>
          <w:rFonts w:ascii="Cambria" w:hAnsi="Cambria" w:cs="Segoe UI"/>
          <w:sz w:val="24"/>
          <w:szCs w:val="24"/>
        </w:rPr>
        <w:t>.</w:t>
      </w:r>
    </w:p>
    <w:p w14:paraId="67F6D94F" w14:textId="77777777" w:rsidR="00150077" w:rsidRDefault="00000000">
      <w:pPr>
        <w:spacing w:before="240" w:line="360" w:lineRule="auto"/>
        <w:ind w:right="-1"/>
        <w:rPr>
          <w:rFonts w:ascii="Cambria" w:hAnsi="Cambria"/>
          <w:color w:val="000000" w:themeColor="text1"/>
          <w:sz w:val="24"/>
          <w:szCs w:val="24"/>
        </w:rPr>
      </w:pPr>
      <w:r>
        <w:rPr>
          <w:rFonts w:ascii="Cambria" w:hAnsi="Cambria"/>
          <w:b/>
          <w:color w:val="000000" w:themeColor="text1"/>
          <w:sz w:val="24"/>
          <w:szCs w:val="24"/>
        </w:rPr>
        <w:t>1.2</w:t>
      </w:r>
      <w:r>
        <w:rPr>
          <w:rFonts w:ascii="Cambria" w:hAnsi="Cambria"/>
          <w:color w:val="000000" w:themeColor="text1"/>
          <w:sz w:val="24"/>
          <w:szCs w:val="24"/>
        </w:rPr>
        <w:t xml:space="preserve"> Fazem parte integrante deste Contrato, independentemente de sua transcrição, o Termo de Referência, o Edital de Pregão Eletrônico nº 31/2026 a Proposta de Preços Realinhada do Contratado e/ou Planilha de Composição de Custos e Formação de Preços e outros documentos utilizados no julgamento da respectiva licitação, sendo vinculado o Edital a este Contrato, conforme inciso I e II, do artigo 92, da Lei Federal nº 14.133, de 2021.</w:t>
      </w:r>
    </w:p>
    <w:p w14:paraId="03FB9162"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SEGUNDA</w:t>
      </w:r>
      <w:r>
        <w:rPr>
          <w:rFonts w:ascii="Cambria" w:hAnsi="Cambria"/>
          <w:color w:val="000000" w:themeColor="text1"/>
          <w:sz w:val="24"/>
          <w:szCs w:val="24"/>
        </w:rPr>
        <w:t xml:space="preserve"> – </w:t>
      </w:r>
      <w:r>
        <w:rPr>
          <w:rFonts w:ascii="Cambria" w:hAnsi="Cambria"/>
          <w:b/>
          <w:color w:val="000000" w:themeColor="text1"/>
          <w:sz w:val="24"/>
          <w:szCs w:val="24"/>
        </w:rPr>
        <w:t>DA ESPECIFICAÇÃO E DO PREÇO</w:t>
      </w:r>
    </w:p>
    <w:p w14:paraId="6504FC5F" w14:textId="77777777" w:rsidR="00150077" w:rsidRDefault="00000000">
      <w:pPr>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2.1</w:t>
      </w:r>
      <w:r>
        <w:rPr>
          <w:rFonts w:ascii="Cambria" w:hAnsi="Cambria"/>
          <w:color w:val="000000" w:themeColor="text1"/>
          <w:sz w:val="24"/>
          <w:szCs w:val="24"/>
        </w:rPr>
        <w:t xml:space="preserve"> O </w:t>
      </w:r>
      <w:r>
        <w:rPr>
          <w:rFonts w:ascii="Cambria" w:hAnsi="Cambria"/>
          <w:b/>
          <w:color w:val="000000" w:themeColor="text1"/>
          <w:sz w:val="24"/>
          <w:szCs w:val="24"/>
        </w:rPr>
        <w:t>CONTRATANTE</w:t>
      </w:r>
      <w:r>
        <w:rPr>
          <w:rFonts w:ascii="Cambria" w:hAnsi="Cambria"/>
          <w:color w:val="000000" w:themeColor="text1"/>
          <w:sz w:val="24"/>
          <w:szCs w:val="24"/>
        </w:rPr>
        <w:t xml:space="preserve"> se obriga a pagar à </w:t>
      </w:r>
      <w:r>
        <w:rPr>
          <w:rFonts w:ascii="Cambria" w:hAnsi="Cambria"/>
          <w:b/>
          <w:color w:val="000000" w:themeColor="text1"/>
          <w:sz w:val="24"/>
          <w:szCs w:val="24"/>
        </w:rPr>
        <w:t>CONTRATADA</w:t>
      </w:r>
      <w:r>
        <w:rPr>
          <w:rFonts w:ascii="Cambria" w:hAnsi="Cambria"/>
          <w:color w:val="000000" w:themeColor="text1"/>
          <w:sz w:val="24"/>
          <w:szCs w:val="24"/>
        </w:rPr>
        <w:t>, pelo fornecimento do objeto do presente contrato, os preços conforme abaixo especificados: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977"/>
        <w:gridCol w:w="567"/>
        <w:gridCol w:w="1134"/>
        <w:gridCol w:w="710"/>
        <w:gridCol w:w="1416"/>
        <w:gridCol w:w="1776"/>
      </w:tblGrid>
      <w:tr w:rsidR="00150077" w14:paraId="289C000F" w14:textId="77777777">
        <w:tc>
          <w:tcPr>
            <w:tcW w:w="633" w:type="dxa"/>
            <w:tcBorders>
              <w:top w:val="single" w:sz="4" w:space="0" w:color="000000"/>
              <w:left w:val="single" w:sz="4" w:space="0" w:color="000000"/>
              <w:bottom w:val="single" w:sz="4" w:space="0" w:color="000000"/>
              <w:right w:val="single" w:sz="4" w:space="0" w:color="000000"/>
            </w:tcBorders>
          </w:tcPr>
          <w:p w14:paraId="0B52A2F4"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Item</w:t>
            </w:r>
          </w:p>
        </w:tc>
        <w:tc>
          <w:tcPr>
            <w:tcW w:w="2977" w:type="dxa"/>
            <w:tcBorders>
              <w:top w:val="single" w:sz="4" w:space="0" w:color="000000"/>
              <w:left w:val="single" w:sz="4" w:space="0" w:color="000000"/>
              <w:bottom w:val="single" w:sz="4" w:space="0" w:color="000000"/>
              <w:right w:val="single" w:sz="4" w:space="0" w:color="000000"/>
            </w:tcBorders>
          </w:tcPr>
          <w:p w14:paraId="7C422754"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Descrição Item/Objeto</w:t>
            </w:r>
          </w:p>
        </w:tc>
        <w:tc>
          <w:tcPr>
            <w:tcW w:w="567" w:type="dxa"/>
            <w:tcBorders>
              <w:top w:val="single" w:sz="4" w:space="0" w:color="000000"/>
              <w:left w:val="single" w:sz="4" w:space="0" w:color="000000"/>
              <w:bottom w:val="single" w:sz="4" w:space="0" w:color="000000"/>
              <w:right w:val="single" w:sz="4" w:space="0" w:color="000000"/>
            </w:tcBorders>
          </w:tcPr>
          <w:p w14:paraId="10EBC6AB" w14:textId="77777777" w:rsidR="00150077" w:rsidRDefault="00000000">
            <w:pPr>
              <w:spacing w:after="0" w:line="360" w:lineRule="auto"/>
              <w:ind w:right="-1"/>
              <w:jc w:val="center"/>
              <w:rPr>
                <w:rFonts w:ascii="Cambria" w:hAnsi="Cambria"/>
                <w:b/>
                <w:color w:val="000000" w:themeColor="text1"/>
              </w:rPr>
            </w:pPr>
            <w:proofErr w:type="spellStart"/>
            <w:r>
              <w:rPr>
                <w:rFonts w:ascii="Cambria" w:hAnsi="Cambria"/>
                <w:b/>
                <w:color w:val="000000" w:themeColor="text1"/>
              </w:rPr>
              <w:t>Und</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4031390E"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Marca/ Modelo</w:t>
            </w:r>
          </w:p>
        </w:tc>
        <w:tc>
          <w:tcPr>
            <w:tcW w:w="710" w:type="dxa"/>
            <w:tcBorders>
              <w:top w:val="single" w:sz="4" w:space="0" w:color="000000"/>
              <w:left w:val="single" w:sz="4" w:space="0" w:color="000000"/>
              <w:bottom w:val="single" w:sz="4" w:space="0" w:color="000000"/>
              <w:right w:val="single" w:sz="4" w:space="0" w:color="000000"/>
            </w:tcBorders>
          </w:tcPr>
          <w:p w14:paraId="3B66AAFF" w14:textId="77777777" w:rsidR="00150077" w:rsidRDefault="00000000">
            <w:pPr>
              <w:spacing w:after="0" w:line="36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416" w:type="dxa"/>
            <w:tcBorders>
              <w:top w:val="single" w:sz="4" w:space="0" w:color="000000"/>
              <w:left w:val="single" w:sz="4" w:space="0" w:color="000000"/>
              <w:bottom w:val="single" w:sz="4" w:space="0" w:color="000000"/>
              <w:right w:val="single" w:sz="4" w:space="0" w:color="000000"/>
            </w:tcBorders>
          </w:tcPr>
          <w:p w14:paraId="6CBADB77"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Valor</w:t>
            </w:r>
          </w:p>
          <w:p w14:paraId="57825479"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Unitário</w:t>
            </w:r>
          </w:p>
        </w:tc>
        <w:tc>
          <w:tcPr>
            <w:tcW w:w="1776" w:type="dxa"/>
            <w:tcBorders>
              <w:top w:val="single" w:sz="4" w:space="0" w:color="000000"/>
              <w:left w:val="single" w:sz="4" w:space="0" w:color="000000"/>
              <w:bottom w:val="single" w:sz="4" w:space="0" w:color="000000"/>
              <w:right w:val="single" w:sz="4" w:space="0" w:color="000000"/>
            </w:tcBorders>
          </w:tcPr>
          <w:p w14:paraId="3DEF83B1" w14:textId="77777777" w:rsidR="00150077" w:rsidRDefault="00000000">
            <w:pPr>
              <w:spacing w:after="0" w:line="360" w:lineRule="auto"/>
              <w:ind w:right="-1"/>
              <w:jc w:val="center"/>
              <w:rPr>
                <w:rFonts w:ascii="Cambria" w:hAnsi="Cambria"/>
                <w:b/>
                <w:color w:val="000000" w:themeColor="text1"/>
              </w:rPr>
            </w:pPr>
            <w:r>
              <w:rPr>
                <w:rFonts w:ascii="Cambria" w:hAnsi="Cambria"/>
                <w:b/>
                <w:color w:val="000000" w:themeColor="text1"/>
              </w:rPr>
              <w:t>Valor Total</w:t>
            </w:r>
          </w:p>
        </w:tc>
      </w:tr>
      <w:tr w:rsidR="00150077" w14:paraId="19A0CDE6" w14:textId="77777777">
        <w:tc>
          <w:tcPr>
            <w:tcW w:w="633" w:type="dxa"/>
            <w:tcBorders>
              <w:top w:val="single" w:sz="4" w:space="0" w:color="000000"/>
              <w:left w:val="single" w:sz="4" w:space="0" w:color="000000"/>
              <w:bottom w:val="single" w:sz="4" w:space="0" w:color="000000"/>
              <w:right w:val="single" w:sz="4" w:space="0" w:color="000000"/>
            </w:tcBorders>
          </w:tcPr>
          <w:p w14:paraId="03BB025D" w14:textId="77777777" w:rsidR="00150077" w:rsidRDefault="00150077">
            <w:pPr>
              <w:spacing w:after="0" w:line="360" w:lineRule="auto"/>
              <w:ind w:right="-1"/>
              <w:jc w:val="center"/>
              <w:rPr>
                <w:rFonts w:ascii="Cambria" w:hAnsi="Cambria"/>
                <w:color w:val="000000" w:themeColor="text1"/>
              </w:rPr>
            </w:pPr>
          </w:p>
        </w:tc>
        <w:tc>
          <w:tcPr>
            <w:tcW w:w="2977" w:type="dxa"/>
            <w:tcBorders>
              <w:top w:val="single" w:sz="4" w:space="0" w:color="000000"/>
              <w:left w:val="single" w:sz="4" w:space="0" w:color="000000"/>
              <w:bottom w:val="single" w:sz="4" w:space="0" w:color="000000"/>
              <w:right w:val="single" w:sz="4" w:space="0" w:color="000000"/>
            </w:tcBorders>
          </w:tcPr>
          <w:p w14:paraId="38566521" w14:textId="77777777" w:rsidR="00150077" w:rsidRDefault="00150077">
            <w:pPr>
              <w:spacing w:before="240" w:after="0" w:line="360" w:lineRule="auto"/>
              <w:ind w:right="-1"/>
              <w:jc w:val="center"/>
              <w:rPr>
                <w:rFonts w:ascii="Cambria" w:hAnsi="Cambria"/>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tcPr>
          <w:p w14:paraId="6572776E" w14:textId="77777777" w:rsidR="00150077" w:rsidRDefault="00150077">
            <w:pPr>
              <w:spacing w:before="240" w:after="0" w:line="360" w:lineRule="auto"/>
              <w:ind w:right="-1"/>
              <w:jc w:val="center"/>
              <w:rPr>
                <w:rFonts w:ascii="Cambria" w:hAnsi="Cambria"/>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735CABFF" w14:textId="77777777" w:rsidR="00150077" w:rsidRDefault="00150077">
            <w:pPr>
              <w:spacing w:before="240" w:after="0" w:line="360" w:lineRule="auto"/>
              <w:ind w:right="-1"/>
              <w:jc w:val="center"/>
              <w:rPr>
                <w:rFonts w:ascii="Cambria" w:hAnsi="Cambr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14:paraId="453F4B33" w14:textId="77777777" w:rsidR="00150077" w:rsidRDefault="00150077">
            <w:pPr>
              <w:spacing w:before="240" w:after="0" w:line="360" w:lineRule="auto"/>
              <w:ind w:right="-1"/>
              <w:jc w:val="center"/>
              <w:rPr>
                <w:rFonts w:ascii="Cambria" w:hAnsi="Cambria"/>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14:paraId="2834BD38" w14:textId="77777777" w:rsidR="00150077" w:rsidRDefault="00150077">
            <w:pPr>
              <w:spacing w:before="240" w:after="0" w:line="360" w:lineRule="auto"/>
              <w:ind w:right="-1"/>
              <w:jc w:val="center"/>
              <w:rPr>
                <w:rFonts w:ascii="Cambria" w:hAnsi="Cambria"/>
                <w:color w:val="000000" w:themeColor="text1"/>
              </w:rPr>
            </w:pPr>
          </w:p>
        </w:tc>
        <w:tc>
          <w:tcPr>
            <w:tcW w:w="1776" w:type="dxa"/>
            <w:tcBorders>
              <w:top w:val="single" w:sz="4" w:space="0" w:color="000000"/>
              <w:left w:val="single" w:sz="4" w:space="0" w:color="000000"/>
              <w:bottom w:val="single" w:sz="4" w:space="0" w:color="000000"/>
              <w:right w:val="single" w:sz="4" w:space="0" w:color="000000"/>
            </w:tcBorders>
          </w:tcPr>
          <w:p w14:paraId="0A4BD115" w14:textId="77777777" w:rsidR="00150077" w:rsidRDefault="00150077">
            <w:pPr>
              <w:spacing w:before="240" w:after="0" w:line="360" w:lineRule="auto"/>
              <w:ind w:right="-1"/>
              <w:jc w:val="center"/>
              <w:rPr>
                <w:rFonts w:ascii="Cambria" w:hAnsi="Cambria"/>
                <w:color w:val="000000" w:themeColor="text1"/>
              </w:rPr>
            </w:pPr>
          </w:p>
        </w:tc>
      </w:tr>
      <w:tr w:rsidR="00150077" w14:paraId="49120BB4"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4907BE08" w14:textId="77777777" w:rsidR="00150077" w:rsidRDefault="00000000">
            <w:pPr>
              <w:spacing w:before="240" w:after="0" w:line="360" w:lineRule="auto"/>
              <w:ind w:right="-1"/>
              <w:jc w:val="center"/>
              <w:rPr>
                <w:rFonts w:ascii="Cambria" w:hAnsi="Cambria"/>
                <w:b/>
                <w:bCs/>
                <w:color w:val="000000" w:themeColor="text1"/>
              </w:rPr>
            </w:pPr>
            <w:r>
              <w:rPr>
                <w:rFonts w:ascii="Cambria" w:hAnsi="Cambria"/>
                <w:b/>
                <w:bCs/>
                <w:color w:val="000000" w:themeColor="text1"/>
              </w:rPr>
              <w:t>VALOR TOTAL DO FORNECEDOR --------------------------------------- R$</w:t>
            </w:r>
          </w:p>
        </w:tc>
      </w:tr>
    </w:tbl>
    <w:p w14:paraId="5457C73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line="360" w:lineRule="auto"/>
        <w:ind w:right="-1"/>
        <w:rPr>
          <w:rFonts w:ascii="Cambria" w:eastAsia="Calibri" w:hAnsi="Cambria"/>
          <w:color w:val="000000" w:themeColor="text1"/>
          <w:sz w:val="24"/>
          <w:szCs w:val="24"/>
        </w:rPr>
      </w:pPr>
      <w:r>
        <w:rPr>
          <w:rFonts w:ascii="Cambria" w:hAnsi="Cambria"/>
          <w:b/>
          <w:color w:val="000000" w:themeColor="text1"/>
          <w:sz w:val="24"/>
          <w:szCs w:val="24"/>
        </w:rPr>
        <w:t xml:space="preserve">CLÁUSULA TERCEIRA – DA VIGÊNCIA </w:t>
      </w:r>
    </w:p>
    <w:p w14:paraId="4682661E" w14:textId="77777777" w:rsidR="00150077"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3.1 </w:t>
      </w:r>
      <w:r>
        <w:rPr>
          <w:rFonts w:ascii="Cambria" w:hAnsi="Cambria"/>
          <w:color w:val="000000" w:themeColor="text1"/>
          <w:sz w:val="24"/>
          <w:szCs w:val="24"/>
        </w:rPr>
        <w:t xml:space="preserve">O prazo de vigência da contratação é </w:t>
      </w:r>
      <w:r>
        <w:rPr>
          <w:rFonts w:ascii="Cambria" w:hAnsi="Cambria"/>
          <w:b/>
          <w:bCs/>
          <w:color w:val="000000" w:themeColor="text1"/>
          <w:sz w:val="24"/>
          <w:szCs w:val="24"/>
        </w:rPr>
        <w:t>_________________________</w:t>
      </w:r>
      <w:r>
        <w:rPr>
          <w:rFonts w:ascii="Cambria" w:hAnsi="Cambria"/>
          <w:color w:val="000000" w:themeColor="text1"/>
          <w:sz w:val="24"/>
          <w:szCs w:val="24"/>
        </w:rPr>
        <w:t xml:space="preserve"> contados a partir da data de sua publicação no Portal Nacional de Contratações Públicas, na forma do artigo 94, prorrogável nos termos dos artigos 106 e 107, ambos da Lei Federal nº 14.133, de 2021.</w:t>
      </w:r>
    </w:p>
    <w:p w14:paraId="13945E46" w14:textId="77777777" w:rsidR="00150077" w:rsidRDefault="00000000">
      <w:pPr>
        <w:shd w:val="clear" w:color="auto" w:fill="FFFFFF"/>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3DF160F2" w14:textId="77777777" w:rsidR="00150077"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3.2</w:t>
      </w:r>
      <w:r>
        <w:rPr>
          <w:rFonts w:ascii="Cambria" w:hAnsi="Cambria"/>
          <w:color w:val="000000" w:themeColor="text1"/>
          <w:sz w:val="24"/>
          <w:szCs w:val="24"/>
        </w:rPr>
        <w:t xml:space="preserve"> O contratado não tem direito subjetivo à prorrogação contratual.</w:t>
      </w:r>
    </w:p>
    <w:p w14:paraId="7021029F" w14:textId="77777777" w:rsidR="00150077"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3.3</w:t>
      </w:r>
      <w:r>
        <w:rPr>
          <w:rFonts w:ascii="Cambria" w:hAnsi="Cambria"/>
          <w:color w:val="000000" w:themeColor="text1"/>
          <w:sz w:val="24"/>
          <w:szCs w:val="24"/>
        </w:rPr>
        <w:t xml:space="preserve"> A prorrogação de contrato deverá ser promovida mediante prorrogação contratual.</w:t>
      </w:r>
    </w:p>
    <w:p w14:paraId="3D6E7E61" w14:textId="77777777" w:rsidR="00150077" w:rsidRDefault="00000000">
      <w:pPr>
        <w:shd w:val="clear" w:color="auto" w:fill="FFFFFF"/>
        <w:spacing w:before="240" w:after="240" w:line="360" w:lineRule="auto"/>
        <w:ind w:right="-1"/>
        <w:rPr>
          <w:rFonts w:ascii="Cambria" w:hAnsi="Cambria"/>
          <w:bCs/>
          <w:color w:val="000000" w:themeColor="text1"/>
          <w:sz w:val="24"/>
          <w:szCs w:val="24"/>
        </w:rPr>
      </w:pPr>
      <w:r>
        <w:rPr>
          <w:rFonts w:ascii="Cambria" w:hAnsi="Cambria"/>
          <w:b/>
          <w:color w:val="000000" w:themeColor="text1"/>
          <w:sz w:val="24"/>
          <w:szCs w:val="24"/>
        </w:rPr>
        <w:lastRenderedPageBreak/>
        <w:t xml:space="preserve">3.4 </w:t>
      </w:r>
      <w:r>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52F32960"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b/>
          <w:color w:val="000000" w:themeColor="text1"/>
          <w:sz w:val="24"/>
          <w:szCs w:val="24"/>
        </w:rPr>
      </w:pPr>
      <w:r>
        <w:rPr>
          <w:rFonts w:ascii="Cambria" w:hAnsi="Cambria"/>
          <w:b/>
          <w:color w:val="000000" w:themeColor="text1"/>
          <w:sz w:val="24"/>
          <w:szCs w:val="24"/>
        </w:rPr>
        <w:t xml:space="preserve">CLÁUSULA QUARTA – DO LOCAL E PRAZO PARA EXECUÇÃO </w:t>
      </w:r>
    </w:p>
    <w:p w14:paraId="5587356B" w14:textId="77777777" w:rsidR="00150077" w:rsidRDefault="00000000">
      <w:pPr>
        <w:pStyle w:val="Rodap"/>
        <w:spacing w:line="360" w:lineRule="auto"/>
        <w:rPr>
          <w:rFonts w:ascii="Cambria" w:hAnsi="Cambria"/>
          <w:color w:val="000000" w:themeColor="text1"/>
          <w:sz w:val="24"/>
          <w:szCs w:val="24"/>
        </w:rPr>
      </w:pPr>
      <w:r>
        <w:rPr>
          <w:rFonts w:ascii="Cambria" w:hAnsi="Cambria" w:cs="Arial"/>
          <w:b/>
          <w:bCs/>
          <w:color w:val="000000" w:themeColor="text1"/>
          <w:sz w:val="24"/>
          <w:szCs w:val="24"/>
        </w:rPr>
        <w:t>4.1</w:t>
      </w:r>
      <w:r>
        <w:rPr>
          <w:rFonts w:ascii="Cambria" w:hAnsi="Cambria" w:cs="Arial"/>
          <w:color w:val="000000" w:themeColor="text1"/>
          <w:sz w:val="24"/>
          <w:szCs w:val="24"/>
        </w:rPr>
        <w:t xml:space="preserve"> </w:t>
      </w:r>
      <w:r>
        <w:rPr>
          <w:rFonts w:ascii="Cambria" w:eastAsia="Arial" w:hAnsi="Cambria" w:cs="Arial"/>
          <w:sz w:val="24"/>
          <w:szCs w:val="24"/>
        </w:rPr>
        <w:t xml:space="preserve">Os bens deverão ser entregues, montados e instalados em local especificado pela Secretaria Municipal de Cultura, em até 10 (dez) dias úteis, em horário conforme determinação dada através de Requisição/Solicitação/Ordem de Fornecimento pela requisitante, sem </w:t>
      </w:r>
      <w:r>
        <w:rPr>
          <w:rFonts w:ascii="Cambria" w:hAnsi="Cambria" w:cs="Arial"/>
          <w:sz w:val="24"/>
          <w:szCs w:val="24"/>
        </w:rPr>
        <w:t>quaisquer despesas além do valor registrado.</w:t>
      </w:r>
    </w:p>
    <w:p w14:paraId="3F193924" w14:textId="77777777" w:rsidR="0015007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4.2.</w:t>
      </w:r>
      <w:r>
        <w:rPr>
          <w:rFonts w:ascii="Cambria" w:hAnsi="Cambria"/>
          <w:color w:val="000000" w:themeColor="text1"/>
          <w:sz w:val="24"/>
          <w:szCs w:val="24"/>
        </w:rPr>
        <w:t xml:space="preserve"> Os bens serão recebidos:</w:t>
      </w:r>
    </w:p>
    <w:p w14:paraId="45B1E9CD" w14:textId="77777777" w:rsidR="00150077"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55634180" w14:textId="77777777" w:rsidR="00150077"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01 (um) dia útil, a contar do recebimento provisório, após a verificação da qualidade e quantidade do material e consequente aceitação mediante termo detalhado.</w:t>
      </w:r>
    </w:p>
    <w:p w14:paraId="5BD4B825" w14:textId="77777777" w:rsidR="00150077"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0AA94BD2" w14:textId="77777777" w:rsidR="00150077"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1BCE6BBE" w14:textId="77777777" w:rsidR="00150077"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4.3</w:t>
      </w:r>
      <w:r>
        <w:rPr>
          <w:rFonts w:ascii="Cambria" w:hAnsi="Cambria"/>
          <w:color w:val="000000" w:themeColor="text1"/>
          <w:sz w:val="24"/>
          <w:szCs w:val="24"/>
        </w:rPr>
        <w:t xml:space="preserve"> O objeto deste contrato </w:t>
      </w:r>
      <w:r>
        <w:rPr>
          <w:rFonts w:ascii="Cambria" w:hAnsi="Cambria"/>
          <w:iCs/>
          <w:color w:val="000000" w:themeColor="text1"/>
          <w:sz w:val="24"/>
          <w:szCs w:val="24"/>
        </w:rPr>
        <w:t xml:space="preserve">será solicitado conforme as necessidades da </w:t>
      </w:r>
      <w:r>
        <w:rPr>
          <w:rFonts w:ascii="Cambria" w:hAnsi="Cambria" w:cs="Arial"/>
          <w:color w:val="000000" w:themeColor="text1"/>
          <w:sz w:val="24"/>
          <w:szCs w:val="24"/>
        </w:rPr>
        <w:t xml:space="preserve">Secretaria de </w:t>
      </w:r>
      <w:r>
        <w:rPr>
          <w:rFonts w:ascii="Cambria" w:hAnsi="Cambria" w:cs="Segoe UI"/>
          <w:sz w:val="24"/>
          <w:szCs w:val="24"/>
        </w:rPr>
        <w:t>Cultura de Piracanjuba/GO</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59081131" w14:textId="77777777" w:rsidR="0015007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lastRenderedPageBreak/>
        <w:t>4.4</w:t>
      </w:r>
      <w:r>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25887558" w14:textId="77777777" w:rsidR="0015007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4.5</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7F0A8410"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QUINTA – DO PAGAMENTO</w:t>
      </w:r>
      <w:r>
        <w:rPr>
          <w:rFonts w:ascii="Cambria" w:hAnsi="Cambria"/>
          <w:color w:val="000000" w:themeColor="text1"/>
          <w:sz w:val="24"/>
          <w:szCs w:val="24"/>
        </w:rPr>
        <w:t xml:space="preserve"> </w:t>
      </w:r>
      <w:r>
        <w:rPr>
          <w:rFonts w:ascii="Cambria" w:hAnsi="Cambria"/>
          <w:b/>
          <w:color w:val="000000" w:themeColor="text1"/>
          <w:sz w:val="24"/>
          <w:szCs w:val="24"/>
        </w:rPr>
        <w:t>E PRECIFICAÇÃO</w:t>
      </w:r>
    </w:p>
    <w:p w14:paraId="51794482" w14:textId="77777777" w:rsidR="00150077" w:rsidRDefault="00000000">
      <w:pPr>
        <w:pStyle w:val="Rodap"/>
        <w:spacing w:line="360" w:lineRule="auto"/>
        <w:rPr>
          <w:rFonts w:ascii="Cambria" w:hAnsi="Cambria"/>
          <w:color w:val="000000" w:themeColor="text1"/>
          <w:sz w:val="24"/>
          <w:szCs w:val="24"/>
        </w:rPr>
      </w:pPr>
      <w:r>
        <w:rPr>
          <w:rFonts w:ascii="Cambria" w:hAnsi="Cambria"/>
          <w:b/>
          <w:color w:val="000000" w:themeColor="text1"/>
          <w:sz w:val="24"/>
          <w:szCs w:val="24"/>
        </w:rPr>
        <w:t>5.1</w:t>
      </w:r>
      <w:r>
        <w:rPr>
          <w:rFonts w:ascii="Cambria" w:hAnsi="Cambria"/>
          <w:color w:val="000000" w:themeColor="text1"/>
          <w:sz w:val="24"/>
          <w:szCs w:val="24"/>
        </w:rPr>
        <w:t xml:space="preserve"> A forma de pagamento será de até 30 (trinta) dias, após a protocolização da Nota Fiscal, entregues na Secretaria Requisitante.</w:t>
      </w:r>
    </w:p>
    <w:p w14:paraId="3446223E" w14:textId="77777777" w:rsidR="00150077" w:rsidRDefault="00000000">
      <w:pPr>
        <w:spacing w:after="240" w:line="360" w:lineRule="auto"/>
        <w:ind w:left="567" w:right="-1"/>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Sendo o valor total do contrato de </w:t>
      </w:r>
      <w:r>
        <w:rPr>
          <w:rFonts w:ascii="Cambria" w:hAnsi="Cambria"/>
          <w:b/>
          <w:color w:val="000000" w:themeColor="text1"/>
          <w:sz w:val="24"/>
          <w:szCs w:val="24"/>
        </w:rPr>
        <w:t>R$ __________ (________).</w:t>
      </w:r>
    </w:p>
    <w:p w14:paraId="019C7766"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 xml:space="preserve">5.2 </w:t>
      </w:r>
      <w:r>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9D337B"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5.3</w:t>
      </w:r>
      <w:r>
        <w:rPr>
          <w:rFonts w:ascii="Cambria" w:hAnsi="Cambria"/>
          <w:bCs/>
          <w:color w:val="000000" w:themeColor="text1"/>
          <w:sz w:val="24"/>
          <w:szCs w:val="24"/>
        </w:rPr>
        <w:t xml:space="preserve"> O valor acima é meramente estimativo, de forma que os pagamentos devidos ao contratado dependerão dos quantitativos fornecidos.</w:t>
      </w:r>
    </w:p>
    <w:p w14:paraId="2BCCF510"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5.4</w:t>
      </w:r>
      <w:r>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70E24405"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5.5</w:t>
      </w:r>
      <w:r>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33587285"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5.6</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w:t>
      </w:r>
      <w:r>
        <w:rPr>
          <w:rFonts w:ascii="Cambria" w:hAnsi="Cambria"/>
          <w:bCs/>
          <w:color w:val="000000" w:themeColor="text1"/>
          <w:sz w:val="24"/>
          <w:szCs w:val="24"/>
        </w:rPr>
        <w:lastRenderedPageBreak/>
        <w:t>corrente e agencia com a qual opera. A Contratante não efetuará pagamento por meio de títulos de cobrança bancária.</w:t>
      </w:r>
    </w:p>
    <w:p w14:paraId="632E3826"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5.7</w:t>
      </w:r>
      <w:r>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7F2CEFDA" w14:textId="77777777" w:rsidR="00150077"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5.8</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79FA8D88" w14:textId="77777777" w:rsidR="00150077"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 xml:space="preserve">5.9 </w:t>
      </w:r>
      <w:r>
        <w:rPr>
          <w:rFonts w:ascii="Cambria" w:hAnsi="Cambria"/>
          <w:color w:val="000000" w:themeColor="text1"/>
        </w:rPr>
        <w:t>O pagamento será efetuado pelo total do item fornecido, constante da ordem de fornecimento, acompanhada da Nota Fiscal.</w:t>
      </w:r>
    </w:p>
    <w:p w14:paraId="1C1486AE" w14:textId="77777777" w:rsidR="00150077" w:rsidRDefault="00000000">
      <w:pPr>
        <w:pStyle w:val="Nivel2"/>
      </w:pPr>
      <w:r>
        <w:rPr>
          <w:b/>
          <w:bCs/>
        </w:rPr>
        <w:t>5.10</w:t>
      </w:r>
      <w:r>
        <w:t xml:space="preserve"> Para fins de liquidação, o setor competente deverá verificar se a nota fiscal ou instrumento de cobrança equivalente apresentado expressa os elementos necessários e essenciais do documento, tais como: </w:t>
      </w:r>
    </w:p>
    <w:p w14:paraId="5A7F86D1" w14:textId="77777777" w:rsidR="00150077" w:rsidRDefault="00000000">
      <w:pPr>
        <w:pStyle w:val="Nivel3"/>
        <w:ind w:firstLine="708"/>
        <w:rPr>
          <w:sz w:val="24"/>
          <w:szCs w:val="24"/>
        </w:rPr>
      </w:pPr>
      <w:r>
        <w:rPr>
          <w:b/>
          <w:bCs/>
          <w:sz w:val="24"/>
          <w:szCs w:val="24"/>
        </w:rPr>
        <w:t>I.</w:t>
      </w:r>
      <w:r>
        <w:rPr>
          <w:sz w:val="24"/>
          <w:szCs w:val="24"/>
        </w:rPr>
        <w:t xml:space="preserve"> o prazo de validade;</w:t>
      </w:r>
    </w:p>
    <w:p w14:paraId="6963F64F" w14:textId="77777777" w:rsidR="00150077" w:rsidRDefault="00000000">
      <w:pPr>
        <w:pStyle w:val="Nivel3"/>
        <w:ind w:firstLine="708"/>
        <w:rPr>
          <w:sz w:val="24"/>
          <w:szCs w:val="24"/>
        </w:rPr>
      </w:pPr>
      <w:r>
        <w:rPr>
          <w:b/>
          <w:bCs/>
          <w:sz w:val="24"/>
          <w:szCs w:val="24"/>
        </w:rPr>
        <w:t>II.</w:t>
      </w:r>
      <w:r>
        <w:rPr>
          <w:sz w:val="24"/>
          <w:szCs w:val="24"/>
        </w:rPr>
        <w:t xml:space="preserve"> a data da emissão; </w:t>
      </w:r>
    </w:p>
    <w:p w14:paraId="3AED349A" w14:textId="77777777" w:rsidR="00150077" w:rsidRDefault="00000000">
      <w:pPr>
        <w:pStyle w:val="Nivel3"/>
        <w:ind w:firstLine="708"/>
        <w:rPr>
          <w:sz w:val="24"/>
          <w:szCs w:val="24"/>
        </w:rPr>
      </w:pPr>
      <w:r>
        <w:rPr>
          <w:b/>
          <w:bCs/>
          <w:sz w:val="24"/>
          <w:szCs w:val="24"/>
        </w:rPr>
        <w:t>III.</w:t>
      </w:r>
      <w:r>
        <w:rPr>
          <w:sz w:val="24"/>
          <w:szCs w:val="24"/>
        </w:rPr>
        <w:t xml:space="preserve"> os dados do contrato e do órgão contratante; </w:t>
      </w:r>
    </w:p>
    <w:p w14:paraId="3907D41C" w14:textId="77777777" w:rsidR="00150077" w:rsidRDefault="00000000">
      <w:pPr>
        <w:pStyle w:val="Nivel3"/>
        <w:ind w:firstLine="708"/>
        <w:rPr>
          <w:sz w:val="24"/>
          <w:szCs w:val="24"/>
        </w:rPr>
      </w:pPr>
      <w:r>
        <w:rPr>
          <w:b/>
          <w:bCs/>
          <w:sz w:val="24"/>
          <w:szCs w:val="24"/>
        </w:rPr>
        <w:t>IV.</w:t>
      </w:r>
      <w:r>
        <w:rPr>
          <w:sz w:val="24"/>
          <w:szCs w:val="24"/>
        </w:rPr>
        <w:t xml:space="preserve"> o período respectivo de execução do contrato; </w:t>
      </w:r>
    </w:p>
    <w:p w14:paraId="7C60F9AE" w14:textId="77777777" w:rsidR="00150077" w:rsidRDefault="00000000">
      <w:pPr>
        <w:pStyle w:val="Nivel3"/>
        <w:ind w:firstLine="708"/>
        <w:rPr>
          <w:sz w:val="24"/>
          <w:szCs w:val="24"/>
        </w:rPr>
      </w:pPr>
      <w:r>
        <w:rPr>
          <w:b/>
          <w:bCs/>
          <w:sz w:val="24"/>
          <w:szCs w:val="24"/>
        </w:rPr>
        <w:t>V.</w:t>
      </w:r>
      <w:r>
        <w:rPr>
          <w:sz w:val="24"/>
          <w:szCs w:val="24"/>
        </w:rPr>
        <w:t xml:space="preserve"> o valor a pagar; e </w:t>
      </w:r>
    </w:p>
    <w:p w14:paraId="2F577B4D" w14:textId="77777777" w:rsidR="00150077" w:rsidRDefault="00000000">
      <w:pPr>
        <w:pStyle w:val="Nivel3"/>
        <w:ind w:firstLine="708"/>
        <w:rPr>
          <w:sz w:val="24"/>
          <w:szCs w:val="24"/>
        </w:rPr>
      </w:pPr>
      <w:r>
        <w:rPr>
          <w:b/>
          <w:bCs/>
          <w:sz w:val="24"/>
          <w:szCs w:val="24"/>
        </w:rPr>
        <w:t>VI.</w:t>
      </w:r>
      <w:r>
        <w:rPr>
          <w:sz w:val="24"/>
          <w:szCs w:val="24"/>
        </w:rPr>
        <w:t xml:space="preserve"> eventual destaque do valor de retenções tributárias cabíveis.</w:t>
      </w:r>
    </w:p>
    <w:p w14:paraId="4A2212D0"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SEXTA </w:t>
      </w:r>
      <w:r>
        <w:rPr>
          <w:rFonts w:ascii="Cambria" w:hAnsi="Cambria"/>
          <w:color w:val="000000" w:themeColor="text1"/>
          <w:sz w:val="24"/>
          <w:szCs w:val="24"/>
        </w:rPr>
        <w:t xml:space="preserve">– </w:t>
      </w:r>
      <w:r>
        <w:rPr>
          <w:rFonts w:ascii="Cambria" w:hAnsi="Cambria"/>
          <w:b/>
          <w:color w:val="000000" w:themeColor="text1"/>
          <w:sz w:val="24"/>
          <w:szCs w:val="24"/>
        </w:rPr>
        <w:t>DO REAJUSTE</w:t>
      </w:r>
    </w:p>
    <w:p w14:paraId="1838873D" w14:textId="77777777" w:rsidR="00150077" w:rsidRDefault="00000000">
      <w:pPr>
        <w:pStyle w:val="Nivel3"/>
        <w:rPr>
          <w:sz w:val="24"/>
          <w:szCs w:val="24"/>
        </w:rPr>
      </w:pPr>
      <w:r>
        <w:rPr>
          <w:b/>
          <w:bCs/>
          <w:sz w:val="24"/>
          <w:szCs w:val="24"/>
        </w:rPr>
        <w:lastRenderedPageBreak/>
        <w:t>6.1</w:t>
      </w:r>
      <w:r>
        <w:rPr>
          <w:sz w:val="24"/>
          <w:szCs w:val="24"/>
        </w:rPr>
        <w:t xml:space="preserve"> Os preços inicialmente contratados são fixos e irreajustáveis no prazo de um ano contado da data do orçamento estimado, nos termos do inciso V, do artigo 92, da Lei Federal nº 14.133, de 2021.</w:t>
      </w:r>
    </w:p>
    <w:p w14:paraId="4BA8E230" w14:textId="77777777" w:rsidR="00150077" w:rsidRDefault="00000000">
      <w:pPr>
        <w:pStyle w:val="Nivel3"/>
        <w:rPr>
          <w:sz w:val="24"/>
          <w:szCs w:val="24"/>
        </w:rPr>
      </w:pPr>
      <w:r>
        <w:rPr>
          <w:b/>
          <w:bCs/>
          <w:sz w:val="24"/>
          <w:szCs w:val="24"/>
        </w:rPr>
        <w:t>6.2</w:t>
      </w:r>
      <w:r>
        <w:rPr>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8FA19AA" w14:textId="77777777" w:rsidR="00150077" w:rsidRDefault="00000000">
      <w:pPr>
        <w:pStyle w:val="Nivel3"/>
        <w:rPr>
          <w:sz w:val="24"/>
          <w:szCs w:val="24"/>
        </w:rPr>
      </w:pPr>
      <w:r>
        <w:rPr>
          <w:b/>
          <w:bCs/>
          <w:sz w:val="24"/>
          <w:szCs w:val="24"/>
        </w:rPr>
        <w:t>6.3</w:t>
      </w:r>
      <w:r>
        <w:rPr>
          <w:sz w:val="24"/>
          <w:szCs w:val="24"/>
        </w:rPr>
        <w:t xml:space="preserve"> Nos reajustes subsequentes ao primeiro, o interregno mínimo de um ano será contado a partir dos efeitos financeiros do último reajuste.</w:t>
      </w:r>
    </w:p>
    <w:p w14:paraId="1DB75A83" w14:textId="77777777" w:rsidR="00150077" w:rsidRDefault="00000000">
      <w:pPr>
        <w:pStyle w:val="Nivel3"/>
        <w:rPr>
          <w:sz w:val="24"/>
          <w:szCs w:val="24"/>
        </w:rPr>
      </w:pPr>
      <w:r>
        <w:rPr>
          <w:b/>
          <w:bCs/>
          <w:sz w:val="24"/>
          <w:szCs w:val="24"/>
        </w:rPr>
        <w:t>6.4</w:t>
      </w:r>
      <w:r>
        <w:rPr>
          <w:sz w:val="24"/>
          <w:szCs w:val="24"/>
        </w:rP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1E181F92" w14:textId="77777777" w:rsidR="00150077" w:rsidRDefault="00000000">
      <w:pPr>
        <w:pStyle w:val="Nivel3"/>
        <w:rPr>
          <w:sz w:val="24"/>
          <w:szCs w:val="24"/>
        </w:rPr>
      </w:pPr>
      <w:r>
        <w:rPr>
          <w:b/>
          <w:bCs/>
          <w:sz w:val="24"/>
          <w:szCs w:val="24"/>
        </w:rPr>
        <w:t>6.5</w:t>
      </w:r>
      <w:r>
        <w:rPr>
          <w:sz w:val="24"/>
          <w:szCs w:val="24"/>
        </w:rPr>
        <w:t xml:space="preserve"> Na aferição final, o índice utilizado para reajuste será obrigatoriamente definitivo.</w:t>
      </w:r>
    </w:p>
    <w:p w14:paraId="1E7FDE8F" w14:textId="77777777" w:rsidR="00150077" w:rsidRDefault="00000000">
      <w:pPr>
        <w:pStyle w:val="Nivel3"/>
        <w:rPr>
          <w:sz w:val="24"/>
          <w:szCs w:val="24"/>
        </w:rPr>
      </w:pPr>
      <w:r>
        <w:rPr>
          <w:b/>
          <w:bCs/>
          <w:sz w:val="24"/>
          <w:szCs w:val="24"/>
        </w:rPr>
        <w:t>6.6</w:t>
      </w:r>
      <w:r>
        <w:rPr>
          <w:sz w:val="24"/>
          <w:szCs w:val="24"/>
        </w:rPr>
        <w:t xml:space="preserve"> Caso o índice estabelecido para reajustamento venha a ser extinto ou de qualquer forma não possa mais ser utilizado, será adotado, em substituição, o que vier a ser determinado por legislação então e vigor.</w:t>
      </w:r>
    </w:p>
    <w:p w14:paraId="2A89E878" w14:textId="77777777" w:rsidR="00150077" w:rsidRDefault="00000000">
      <w:pPr>
        <w:pStyle w:val="Nivel3"/>
        <w:rPr>
          <w:sz w:val="24"/>
          <w:szCs w:val="24"/>
        </w:rPr>
      </w:pPr>
      <w:r>
        <w:rPr>
          <w:b/>
          <w:bCs/>
          <w:sz w:val="24"/>
          <w:szCs w:val="24"/>
        </w:rPr>
        <w:t>6.7</w:t>
      </w:r>
      <w:r>
        <w:rPr>
          <w:sz w:val="24"/>
          <w:szCs w:val="24"/>
        </w:rPr>
        <w:t xml:space="preserve"> Na ausência de previsão legal quanto ao índice substituto, as partes elegerão novo índice oficial, para reajustamento do preço do valor remanescente, por meio de termo aditivo.</w:t>
      </w:r>
    </w:p>
    <w:p w14:paraId="07A8193E" w14:textId="77777777" w:rsidR="00150077" w:rsidRDefault="00000000">
      <w:pPr>
        <w:pStyle w:val="Nivel3"/>
        <w:rPr>
          <w:sz w:val="24"/>
          <w:szCs w:val="24"/>
        </w:rPr>
      </w:pPr>
      <w:r>
        <w:rPr>
          <w:b/>
          <w:bCs/>
          <w:sz w:val="24"/>
          <w:szCs w:val="24"/>
        </w:rPr>
        <w:t>6.8</w:t>
      </w:r>
      <w:r>
        <w:rPr>
          <w:sz w:val="24"/>
          <w:szCs w:val="24"/>
        </w:rPr>
        <w:t xml:space="preserve"> O reajuste será realizado por apostilamento.</w:t>
      </w:r>
    </w:p>
    <w:p w14:paraId="56DD043D"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SÉTIMA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CONTRATANTE</w:t>
      </w:r>
    </w:p>
    <w:p w14:paraId="77F87225" w14:textId="77777777" w:rsidR="00150077" w:rsidRDefault="00000000">
      <w:pPr>
        <w:pStyle w:val="Nivel2"/>
        <w:rPr>
          <w:b/>
          <w:bCs/>
        </w:rPr>
      </w:pPr>
      <w:r>
        <w:rPr>
          <w:b/>
          <w:bCs/>
        </w:rPr>
        <w:t>7.1</w:t>
      </w:r>
      <w:r>
        <w:t xml:space="preserve"> São obrigações do Contratante, nos termos dos incisos X, XI e XIV do artigo 92, da Lei Federal nº 14.133, de 2021:</w:t>
      </w:r>
    </w:p>
    <w:p w14:paraId="113FFB6B" w14:textId="77777777" w:rsidR="00150077" w:rsidRDefault="00000000">
      <w:pPr>
        <w:pStyle w:val="Nivel2"/>
        <w:ind w:firstLine="708"/>
      </w:pPr>
      <w:r>
        <w:rPr>
          <w:b/>
          <w:bCs/>
        </w:rPr>
        <w:t>I.</w:t>
      </w:r>
      <w:r>
        <w:t xml:space="preserve"> Exigir o cumprimento de todas as obrigações assumidas pelo Contratado, de acordo com o contrato e seus anexos;</w:t>
      </w:r>
    </w:p>
    <w:p w14:paraId="5E9CE2A7" w14:textId="77777777" w:rsidR="00150077" w:rsidRDefault="00000000">
      <w:pPr>
        <w:pStyle w:val="Nivel2"/>
        <w:ind w:firstLine="708"/>
      </w:pPr>
      <w:r>
        <w:rPr>
          <w:b/>
          <w:bCs/>
        </w:rPr>
        <w:t>II.</w:t>
      </w:r>
      <w:r>
        <w:t xml:space="preserve"> Receber o objeto no prazo e condições estabelecidas no Termo de Referência;</w:t>
      </w:r>
    </w:p>
    <w:p w14:paraId="43B01601" w14:textId="77777777" w:rsidR="00150077" w:rsidRDefault="00000000">
      <w:pPr>
        <w:pStyle w:val="Nivel2"/>
        <w:ind w:firstLine="708"/>
      </w:pPr>
      <w:r>
        <w:rPr>
          <w:b/>
          <w:bCs/>
        </w:rPr>
        <w:t>III.</w:t>
      </w:r>
      <w:r>
        <w:t xml:space="preserve"> Notificar o Contratado, por escrito, sobre vícios, defeitos ou incorreções verificadas no objeto fornecido, para que seja por ele substituído, reparado ou corrigido, no total ou em parte, às suas expensas;</w:t>
      </w:r>
    </w:p>
    <w:p w14:paraId="55490F6F" w14:textId="77777777" w:rsidR="00150077" w:rsidRDefault="00000000">
      <w:pPr>
        <w:pStyle w:val="Nivel2"/>
        <w:ind w:firstLine="708"/>
      </w:pPr>
      <w:r>
        <w:rPr>
          <w:b/>
          <w:bCs/>
        </w:rPr>
        <w:lastRenderedPageBreak/>
        <w:t>IV.</w:t>
      </w:r>
      <w:r>
        <w:t xml:space="preserve"> Acompanhar e fiscalizar a execução do contrato e o cumprimento das obrigações pelo Contratado;</w:t>
      </w:r>
    </w:p>
    <w:p w14:paraId="6EE204D1" w14:textId="77777777" w:rsidR="00150077" w:rsidRDefault="00000000">
      <w:pPr>
        <w:pStyle w:val="Nivel2"/>
        <w:ind w:firstLine="708"/>
      </w:pPr>
      <w:r>
        <w:rPr>
          <w:b/>
          <w:bCs/>
        </w:rPr>
        <w:t>V.</w:t>
      </w:r>
      <w:r>
        <w:t xml:space="preserve"> Efetuar o pagamento ao Contratado do valor correspondente ao fornecimento do objeto, no prazo, forma e condições estabelecidos no presente Contrato e no Termo de Referência.</w:t>
      </w:r>
    </w:p>
    <w:p w14:paraId="6FDFAA8D" w14:textId="77777777" w:rsidR="00150077" w:rsidRDefault="00000000">
      <w:pPr>
        <w:pStyle w:val="Nivel2"/>
        <w:ind w:firstLine="708"/>
      </w:pPr>
      <w:r>
        <w:rPr>
          <w:b/>
          <w:bCs/>
        </w:rPr>
        <w:t>VI.</w:t>
      </w:r>
      <w:r>
        <w:t xml:space="preserve"> Aplicar ao Contratado as sanções previstas na lei e neste Contrato; </w:t>
      </w:r>
    </w:p>
    <w:p w14:paraId="729EE153" w14:textId="77777777" w:rsidR="00150077" w:rsidRDefault="00000000">
      <w:pPr>
        <w:pStyle w:val="Nivel2"/>
        <w:ind w:firstLine="708"/>
      </w:pPr>
      <w:r>
        <w:rPr>
          <w:b/>
          <w:bCs/>
        </w:rPr>
        <w:t>VII.</w:t>
      </w:r>
      <w:r>
        <w:t xml:space="preserve"> Cientificar o órgão de representação judicial da Procuradoria Geral para adoção das medidas cabíveis quando do descumprimento de obrigações pelo Contratado;</w:t>
      </w:r>
    </w:p>
    <w:p w14:paraId="543721F7" w14:textId="77777777" w:rsidR="00150077" w:rsidRDefault="00000000">
      <w:pPr>
        <w:pStyle w:val="Nivel2"/>
        <w:ind w:firstLine="708"/>
      </w:pPr>
      <w:r>
        <w:rPr>
          <w:b/>
          <w:bCs/>
        </w:rPr>
        <w:t>VIII.</w:t>
      </w:r>
      <w: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21EE176" w14:textId="77777777" w:rsidR="00150077" w:rsidRDefault="00000000">
      <w:pPr>
        <w:pStyle w:val="Nivel2"/>
        <w:ind w:firstLine="708"/>
      </w:pPr>
      <w:r>
        <w:rPr>
          <w:b/>
          <w:bCs/>
        </w:rPr>
        <w:t>IX.</w:t>
      </w:r>
      <w:r>
        <w:t xml:space="preserve"> A Administração terá o prazo de 60 dias, a contar da data do protocolo do requerimento para decidir, admitida a prorrogação motivada, por igual período. </w:t>
      </w:r>
    </w:p>
    <w:p w14:paraId="55BC58D0" w14:textId="77777777" w:rsidR="00150077" w:rsidRDefault="00000000">
      <w:pPr>
        <w:pStyle w:val="Nivel2"/>
        <w:ind w:firstLine="708"/>
      </w:pPr>
      <w:r>
        <w:rPr>
          <w:b/>
          <w:bCs/>
        </w:rPr>
        <w:t>X.</w:t>
      </w:r>
      <w:r>
        <w:t xml:space="preserve"> Responder eventuais pedidos de reestabelecimento do equilíbrio econômico-financeiro feitos pelo contratado no prazo máximo de 60 dias.</w:t>
      </w:r>
    </w:p>
    <w:p w14:paraId="35A80173" w14:textId="77777777" w:rsidR="00150077" w:rsidRDefault="00000000">
      <w:pPr>
        <w:pStyle w:val="Nivel2"/>
        <w:ind w:firstLine="708"/>
      </w:pPr>
      <w:r>
        <w:rPr>
          <w:b/>
          <w:bCs/>
        </w:rPr>
        <w:t>XI.</w:t>
      </w:r>
      <w:r>
        <w:t xml:space="preserve"> Notificar os emitentes das garantias quanto ao início de processo administrativo para apuração de descumprimento de cláusulas contratuais.</w:t>
      </w:r>
    </w:p>
    <w:p w14:paraId="094C631C" w14:textId="77777777" w:rsidR="00150077" w:rsidRDefault="00000000">
      <w:pPr>
        <w:pStyle w:val="SemEspaamento"/>
        <w:spacing w:before="100" w:after="240"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XII.</w:t>
      </w:r>
      <w:r>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82E3D7" w14:textId="77777777" w:rsidR="0015007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OITAVA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CONTRATADO</w:t>
      </w:r>
    </w:p>
    <w:p w14:paraId="026B9191" w14:textId="77777777" w:rsidR="00150077" w:rsidRDefault="00000000">
      <w:pPr>
        <w:pStyle w:val="Nivel2"/>
      </w:pPr>
      <w:r>
        <w:rPr>
          <w:b/>
          <w:bCs/>
        </w:rPr>
        <w:t>8.1</w:t>
      </w:r>
      <w: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73BC0EB6" w14:textId="77777777" w:rsidR="00150077" w:rsidRDefault="00000000">
      <w:pPr>
        <w:pStyle w:val="Nivel2"/>
        <w:ind w:firstLine="708"/>
      </w:pPr>
      <w:r>
        <w:rPr>
          <w:b/>
          <w:bCs/>
        </w:rPr>
        <w:t>I.</w:t>
      </w:r>
      <w:r>
        <w:t xml:space="preserve"> Responsabilizar-se pelos vícios e danos decorrentes do objeto, de acordo com o Código de Defesa do Consumidor (</w:t>
      </w:r>
      <w:hyperlink r:id="rId60">
        <w:r w:rsidR="00150077">
          <w:rPr>
            <w:rStyle w:val="Hyperlink"/>
            <w:color w:val="000000" w:themeColor="text1"/>
          </w:rPr>
          <w:t>Lei nº 8.078, de 1990</w:t>
        </w:r>
      </w:hyperlink>
      <w:r>
        <w:t>);</w:t>
      </w:r>
    </w:p>
    <w:p w14:paraId="108D4E50" w14:textId="77777777" w:rsidR="00150077" w:rsidRDefault="00000000">
      <w:pPr>
        <w:pStyle w:val="Nivel2"/>
        <w:ind w:firstLine="708"/>
      </w:pPr>
      <w:r>
        <w:rPr>
          <w:b/>
          <w:bCs/>
        </w:rPr>
        <w:lastRenderedPageBreak/>
        <w:t>II.</w:t>
      </w:r>
      <w:r>
        <w:t xml:space="preserve"> Comunicar ao contratante, no prazo máximo de 05 (cinco) dias que antecede a data da entrega, os motivos que impossibilitem o cumprimento do prazo previsto, com a devida comprovação;</w:t>
      </w:r>
    </w:p>
    <w:p w14:paraId="180216BA" w14:textId="77777777" w:rsidR="00150077" w:rsidRDefault="00000000">
      <w:pPr>
        <w:pStyle w:val="Nivel2"/>
        <w:ind w:firstLine="708"/>
      </w:pPr>
      <w:r>
        <w:rPr>
          <w:b/>
          <w:bCs/>
        </w:rPr>
        <w:t>III.</w:t>
      </w:r>
      <w:r>
        <w:t xml:space="preserve"> Atender às determinações regulares emitidas pelo fiscal ou gestor do contrato ou autoridade superior (inciso II, do </w:t>
      </w:r>
      <w:hyperlink r:id="rId61" w:anchor="art137" w:history="1">
        <w:r w:rsidR="00150077">
          <w:rPr>
            <w:rStyle w:val="Hyperlink"/>
            <w:color w:val="000000" w:themeColor="text1"/>
          </w:rPr>
          <w:t xml:space="preserve">artigo 137, da </w:t>
        </w:r>
      </w:hyperlink>
      <w:r>
        <w:rPr>
          <w:rStyle w:val="Hyperlink"/>
        </w:rPr>
        <w:t>Lei Federal nº 14.133, de 2021</w:t>
      </w:r>
      <w:r>
        <w:t>) e prestar todo esclarecimento ou informação por eles solicitados;</w:t>
      </w:r>
    </w:p>
    <w:p w14:paraId="232E91DF" w14:textId="77777777" w:rsidR="00150077" w:rsidRDefault="00000000">
      <w:pPr>
        <w:pStyle w:val="Nivel2"/>
        <w:ind w:firstLine="708"/>
      </w:pPr>
      <w:r>
        <w:rPr>
          <w:b/>
          <w:bCs/>
        </w:rPr>
        <w:t>IV.</w:t>
      </w:r>
      <w:r>
        <w:t xml:space="preserve"> Reparar, corrigir, remover, reconstruir ou substituir, às suas expensas, no total ou em parte, no prazo de 24 (vinte e quatro) horas, os bens nos quais se verificarem vícios, defeitos ou incorreções resultantes da execução ou dos materiais empregados;</w:t>
      </w:r>
    </w:p>
    <w:p w14:paraId="4C9EE99C" w14:textId="77777777" w:rsidR="00150077" w:rsidRDefault="00000000">
      <w:pPr>
        <w:pStyle w:val="Nivel2"/>
        <w:ind w:firstLine="708"/>
      </w:pPr>
      <w:r>
        <w:rPr>
          <w:b/>
          <w:bCs/>
        </w:rPr>
        <w:t>V.</w:t>
      </w:r>
      <w: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74D819" w14:textId="77777777" w:rsidR="00150077" w:rsidRDefault="00000000">
      <w:pPr>
        <w:pStyle w:val="Nivel2"/>
        <w:ind w:firstLine="708"/>
      </w:pPr>
      <w:r>
        <w:rPr>
          <w:b/>
          <w:bCs/>
        </w:rPr>
        <w:t>VI.</w:t>
      </w:r>
      <w: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2892E311" w14:textId="77777777" w:rsidR="00150077" w:rsidRDefault="00000000">
      <w:pPr>
        <w:pStyle w:val="Nivel2"/>
        <w:ind w:firstLine="708"/>
      </w:pPr>
      <w:r>
        <w:rPr>
          <w:b/>
          <w:bCs/>
        </w:rPr>
        <w:t>a)</w:t>
      </w:r>
      <w:r>
        <w:t xml:space="preserve"> prova de regularidade relativa à Seguridade Social; </w:t>
      </w:r>
    </w:p>
    <w:p w14:paraId="261DCE8E" w14:textId="77777777" w:rsidR="00150077" w:rsidRDefault="00000000">
      <w:pPr>
        <w:pStyle w:val="Nivel2"/>
        <w:ind w:firstLine="708"/>
      </w:pPr>
      <w:r>
        <w:rPr>
          <w:b/>
          <w:bCs/>
        </w:rPr>
        <w:t>b)</w:t>
      </w:r>
      <w:r>
        <w:t xml:space="preserve"> certidão conjunta relativa aos tributos federais e à Dívida Ativa da União; </w:t>
      </w:r>
    </w:p>
    <w:p w14:paraId="6089ED15" w14:textId="77777777" w:rsidR="00150077" w:rsidRDefault="00000000">
      <w:pPr>
        <w:pStyle w:val="Nivel2"/>
        <w:ind w:firstLine="708"/>
      </w:pPr>
      <w:r>
        <w:rPr>
          <w:b/>
          <w:bCs/>
        </w:rPr>
        <w:t>c)</w:t>
      </w:r>
      <w:r>
        <w:t xml:space="preserve"> certidões que comprovem a regularidade perante a Fazenda Estadual ou Distrital do domicílio ou sede do contratado; </w:t>
      </w:r>
    </w:p>
    <w:p w14:paraId="2659341E" w14:textId="77777777" w:rsidR="00150077" w:rsidRDefault="00000000">
      <w:pPr>
        <w:pStyle w:val="Nivel2"/>
        <w:ind w:firstLine="708"/>
      </w:pPr>
      <w:r>
        <w:rPr>
          <w:b/>
          <w:bCs/>
        </w:rPr>
        <w:t>d)</w:t>
      </w:r>
      <w:r>
        <w:t xml:space="preserve"> Certidão de Regularidade do FGTS – CRF; e </w:t>
      </w:r>
    </w:p>
    <w:p w14:paraId="4731358B" w14:textId="77777777" w:rsidR="00150077" w:rsidRDefault="00000000">
      <w:pPr>
        <w:pStyle w:val="Nivel2"/>
        <w:ind w:firstLine="708"/>
      </w:pPr>
      <w:r>
        <w:rPr>
          <w:b/>
          <w:bCs/>
        </w:rPr>
        <w:t>e)</w:t>
      </w:r>
      <w:r>
        <w:t xml:space="preserve"> Certidão Negativa de Débitos Trabalhistas – CNDT; </w:t>
      </w:r>
    </w:p>
    <w:p w14:paraId="45DFFCBF" w14:textId="77777777" w:rsidR="00150077" w:rsidRDefault="00000000">
      <w:pPr>
        <w:pStyle w:val="Nivel2"/>
        <w:ind w:firstLine="708"/>
      </w:pPr>
      <w:r>
        <w:rPr>
          <w:b/>
          <w:bCs/>
        </w:rPr>
        <w:t>VII.</w:t>
      </w:r>
      <w: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F010C4" w14:textId="77777777" w:rsidR="00150077" w:rsidRDefault="00000000">
      <w:pPr>
        <w:pStyle w:val="Nivel2"/>
        <w:ind w:firstLine="708"/>
      </w:pPr>
      <w:r>
        <w:rPr>
          <w:b/>
          <w:bCs/>
        </w:rPr>
        <w:t>VIII.</w:t>
      </w:r>
      <w:r>
        <w:t xml:space="preserve"> Comunicar ao Fiscal do contrato, no prazo de 24 (vinte e quatro) horas, qualquer ocorrência anormal ou acidente que se verifique no local da execução do objeto contratual.</w:t>
      </w:r>
    </w:p>
    <w:p w14:paraId="60BFFFD3" w14:textId="77777777" w:rsidR="00150077" w:rsidRDefault="00000000">
      <w:pPr>
        <w:pStyle w:val="Nivel2"/>
        <w:ind w:firstLine="708"/>
      </w:pPr>
      <w:r>
        <w:rPr>
          <w:b/>
          <w:bCs/>
        </w:rPr>
        <w:lastRenderedPageBreak/>
        <w:t>IX.</w:t>
      </w:r>
      <w:r>
        <w:t xml:space="preserve"> Paralisar, por determinação do contratante, qualquer atividade que não esteja sendo executada de acordo com a boa técnica ou que ponha em risco a segurança de pessoas ou bens de terceiros.</w:t>
      </w:r>
    </w:p>
    <w:p w14:paraId="40C62C93" w14:textId="77777777" w:rsidR="00150077" w:rsidRDefault="00000000">
      <w:pPr>
        <w:pStyle w:val="Nivel2"/>
        <w:ind w:firstLine="708"/>
      </w:pPr>
      <w:r>
        <w:rPr>
          <w:b/>
          <w:bCs/>
        </w:rPr>
        <w:t>X.</w:t>
      </w:r>
      <w:r>
        <w:t xml:space="preserve"> Manter durante toda a vigência do contrato, em compatibilidade com as obrigações assumidas, todas as condições exigidas para habilitação na licitação; </w:t>
      </w:r>
    </w:p>
    <w:p w14:paraId="0DA8E4F6" w14:textId="77777777" w:rsidR="00150077" w:rsidRDefault="00000000">
      <w:pPr>
        <w:pStyle w:val="Nivel2"/>
        <w:ind w:firstLine="708"/>
        <w:rPr>
          <w:b/>
          <w:bCs/>
        </w:rPr>
      </w:pPr>
      <w:r>
        <w:rPr>
          <w:b/>
          <w:bCs/>
        </w:rPr>
        <w:t>XI.</w:t>
      </w:r>
      <w: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00150077">
          <w:rPr>
            <w:rStyle w:val="Hyperlink"/>
            <w:color w:val="000000" w:themeColor="text1"/>
          </w:rPr>
          <w:t xml:space="preserve">artigo 116, da </w:t>
        </w:r>
      </w:hyperlink>
      <w:r>
        <w:rPr>
          <w:rStyle w:val="Hyperlink"/>
        </w:rPr>
        <w:t>Lei Federal nº 14.133, de 2021</w:t>
      </w:r>
      <w:r>
        <w:t>);</w:t>
      </w:r>
    </w:p>
    <w:p w14:paraId="236477E0" w14:textId="77777777" w:rsidR="00150077" w:rsidRDefault="00000000">
      <w:pPr>
        <w:pStyle w:val="Nivel2"/>
        <w:ind w:firstLine="708"/>
      </w:pPr>
      <w:r>
        <w:rPr>
          <w:b/>
          <w:bCs/>
        </w:rPr>
        <w:t>XII.</w:t>
      </w:r>
      <w:r>
        <w:t xml:space="preserve"> Comprovar a reserva de cargos a que se refere a cláusula acima, no prazo fixado pelo fiscal do contrato, com a indicação dos empregados que preencheram as referidas vagas (§ único, do </w:t>
      </w:r>
      <w:hyperlink r:id="rId63" w:anchor="art116" w:history="1">
        <w:r w:rsidR="00150077">
          <w:rPr>
            <w:rStyle w:val="Hyperlink"/>
            <w:color w:val="000000" w:themeColor="text1"/>
          </w:rPr>
          <w:t xml:space="preserve">artigo 116, da </w:t>
        </w:r>
      </w:hyperlink>
      <w:r>
        <w:rPr>
          <w:rStyle w:val="Hyperlink"/>
        </w:rPr>
        <w:t>Lei Federal nº 14.133, de 2021</w:t>
      </w:r>
      <w:r>
        <w:t>);</w:t>
      </w:r>
    </w:p>
    <w:p w14:paraId="6057A34A" w14:textId="77777777" w:rsidR="00150077" w:rsidRDefault="00000000">
      <w:pPr>
        <w:pStyle w:val="Nivel2"/>
        <w:ind w:firstLine="708"/>
      </w:pPr>
      <w:r>
        <w:rPr>
          <w:b/>
          <w:bCs/>
        </w:rPr>
        <w:t>XIII.</w:t>
      </w:r>
      <w:r>
        <w:t xml:space="preserve"> Guardar sigilo sobre todas as informações obtidas em decorrência do cumprimento do contrato; </w:t>
      </w:r>
    </w:p>
    <w:p w14:paraId="1D2042B3" w14:textId="77777777" w:rsidR="00150077" w:rsidRDefault="00000000">
      <w:pPr>
        <w:pStyle w:val="Nivel2"/>
        <w:ind w:firstLine="708"/>
      </w:pPr>
      <w:r>
        <w:rPr>
          <w:b/>
          <w:bCs/>
        </w:rPr>
        <w:t>XIV.</w:t>
      </w:r>
      <w: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64" w:anchor="art124" w:history="1">
        <w:r w:rsidR="00150077">
          <w:rPr>
            <w:rStyle w:val="Hyperlink"/>
            <w:color w:val="000000" w:themeColor="text1"/>
          </w:rPr>
          <w:t xml:space="preserve">artigo 124, da </w:t>
        </w:r>
      </w:hyperlink>
      <w:r>
        <w:rPr>
          <w:rStyle w:val="Hyperlink"/>
        </w:rPr>
        <w:t>Lei Federal nº 14.133, de 2021</w:t>
      </w:r>
      <w:r>
        <w:rPr>
          <w:rStyle w:val="Hyperlink"/>
          <w:color w:val="000000" w:themeColor="text1"/>
        </w:rPr>
        <w:t>.</w:t>
      </w:r>
    </w:p>
    <w:p w14:paraId="79AB8752" w14:textId="77777777" w:rsidR="00150077" w:rsidRDefault="00000000">
      <w:pPr>
        <w:pStyle w:val="Nivel2"/>
        <w:ind w:firstLine="708"/>
      </w:pPr>
      <w:r>
        <w:rPr>
          <w:b/>
          <w:bCs/>
        </w:rPr>
        <w:t>XV.</w:t>
      </w:r>
      <w:r>
        <w:t xml:space="preserve"> Cumprir, além dos postulados legais vigentes de âmbito federal, estadual ou municipal, as normas de segurança do contratante.</w:t>
      </w:r>
    </w:p>
    <w:p w14:paraId="44733AC4"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NONA – DAS INFRAÇÕES E SANÇÕES ADMINISTRATIVAS</w:t>
      </w:r>
    </w:p>
    <w:p w14:paraId="13A2534A" w14:textId="77777777" w:rsidR="00150077" w:rsidRDefault="00000000">
      <w:pPr>
        <w:pStyle w:val="Nivel2"/>
      </w:pPr>
      <w:r>
        <w:rPr>
          <w:b/>
          <w:bCs/>
        </w:rPr>
        <w:t>9.1</w:t>
      </w:r>
      <w:r>
        <w:t xml:space="preserve"> Comete infração administrativa, nos termos da </w:t>
      </w:r>
      <w:hyperlink r:id="rId65">
        <w:r w:rsidR="00150077">
          <w:rPr>
            <w:rStyle w:val="Hyperlink"/>
            <w:color w:val="000000" w:themeColor="text1"/>
          </w:rPr>
          <w:t>Lei</w:t>
        </w:r>
      </w:hyperlink>
      <w:r>
        <w:rPr>
          <w:rStyle w:val="Hyperlink"/>
          <w:color w:val="000000" w:themeColor="text1"/>
        </w:rPr>
        <w:t xml:space="preserve"> Federal nº 14.133, de 2021</w:t>
      </w:r>
      <w:r>
        <w:t>, o contratado que:</w:t>
      </w:r>
    </w:p>
    <w:p w14:paraId="5561E871" w14:textId="77777777" w:rsidR="00150077" w:rsidRDefault="00000000">
      <w:pPr>
        <w:pStyle w:val="Nivel2"/>
        <w:ind w:firstLine="708"/>
      </w:pPr>
      <w:r>
        <w:rPr>
          <w:b/>
          <w:bCs/>
        </w:rPr>
        <w:t>I.</w:t>
      </w:r>
      <w:r>
        <w:t xml:space="preserve"> der causa à inexecução parcial do contrato;</w:t>
      </w:r>
    </w:p>
    <w:p w14:paraId="281F177C" w14:textId="77777777" w:rsidR="00150077" w:rsidRDefault="00000000">
      <w:pPr>
        <w:pStyle w:val="Nivel2"/>
        <w:ind w:firstLine="708"/>
      </w:pPr>
      <w:r>
        <w:rPr>
          <w:b/>
          <w:bCs/>
        </w:rPr>
        <w:t>II.</w:t>
      </w:r>
      <w:r>
        <w:t xml:space="preserve"> der causa à inexecução parcial do contrato que cause grave dano à Administração ou ao funcionamento das atividades públicas ou ao interesse coletivo;</w:t>
      </w:r>
    </w:p>
    <w:p w14:paraId="4BD4C11E" w14:textId="77777777" w:rsidR="00150077" w:rsidRDefault="00000000">
      <w:pPr>
        <w:pStyle w:val="Nivel2"/>
        <w:ind w:firstLine="708"/>
      </w:pPr>
      <w:r>
        <w:rPr>
          <w:b/>
          <w:bCs/>
        </w:rPr>
        <w:t>III.</w:t>
      </w:r>
      <w:r>
        <w:t xml:space="preserve"> der causa à inexecução total do contrato;</w:t>
      </w:r>
    </w:p>
    <w:p w14:paraId="3C018A45" w14:textId="77777777" w:rsidR="00150077" w:rsidRDefault="00000000">
      <w:pPr>
        <w:pStyle w:val="Nivel2"/>
        <w:ind w:firstLine="708"/>
      </w:pPr>
      <w:r>
        <w:rPr>
          <w:b/>
          <w:bCs/>
        </w:rPr>
        <w:t>IV.</w:t>
      </w:r>
      <w:r>
        <w:t xml:space="preserve"> ensejar o retardamento da execução ou da entrega do objeto da contratação sem motivo justificado;</w:t>
      </w:r>
    </w:p>
    <w:p w14:paraId="222241E6" w14:textId="77777777" w:rsidR="00150077" w:rsidRDefault="00000000">
      <w:pPr>
        <w:pStyle w:val="Nivel2"/>
        <w:ind w:firstLine="708"/>
      </w:pPr>
      <w:r>
        <w:rPr>
          <w:b/>
          <w:bCs/>
        </w:rPr>
        <w:lastRenderedPageBreak/>
        <w:t>V.</w:t>
      </w:r>
      <w:r>
        <w:t xml:space="preserve"> apresentar documentação falsa ou prestar declaração falsa durante a execução do contrato;</w:t>
      </w:r>
    </w:p>
    <w:p w14:paraId="1746DD50" w14:textId="77777777" w:rsidR="00150077" w:rsidRDefault="00000000">
      <w:pPr>
        <w:pStyle w:val="Nivel2"/>
        <w:ind w:firstLine="708"/>
      </w:pPr>
      <w:r>
        <w:rPr>
          <w:b/>
          <w:bCs/>
        </w:rPr>
        <w:t>VI.</w:t>
      </w:r>
      <w:r>
        <w:t xml:space="preserve"> praticar ato fraudulento na execução do contrato;</w:t>
      </w:r>
    </w:p>
    <w:p w14:paraId="14A507DA" w14:textId="77777777" w:rsidR="00150077" w:rsidRDefault="00000000">
      <w:pPr>
        <w:pStyle w:val="Nivel2"/>
        <w:ind w:firstLine="708"/>
      </w:pPr>
      <w:r>
        <w:rPr>
          <w:b/>
          <w:bCs/>
        </w:rPr>
        <w:t>VII.</w:t>
      </w:r>
      <w:r>
        <w:t xml:space="preserve"> comportar-se de modo inidôneo ou cometer fraude de qualquer natureza;</w:t>
      </w:r>
    </w:p>
    <w:p w14:paraId="1A2AFC1B" w14:textId="77777777" w:rsidR="00150077" w:rsidRDefault="00000000">
      <w:pPr>
        <w:pStyle w:val="Nivel2"/>
        <w:ind w:firstLine="708"/>
        <w:rPr>
          <w:color w:val="000000" w:themeColor="text1"/>
        </w:rPr>
      </w:pPr>
      <w:r>
        <w:rPr>
          <w:b/>
          <w:bCs/>
          <w:color w:val="000000" w:themeColor="text1"/>
        </w:rPr>
        <w:t>VIII.</w:t>
      </w:r>
      <w:r>
        <w:rPr>
          <w:color w:val="000000" w:themeColor="text1"/>
        </w:rPr>
        <w:t xml:space="preserve"> praticar ato lesivo previsto no </w:t>
      </w:r>
      <w:hyperlink r:id="rId66" w:anchor="art5" w:history="1">
        <w:r w:rsidR="00150077">
          <w:rPr>
            <w:rStyle w:val="Hyperlink"/>
            <w:color w:val="000000" w:themeColor="text1"/>
          </w:rPr>
          <w:t>artigo 5º da lei nº 12.846/13</w:t>
        </w:r>
      </w:hyperlink>
      <w:r>
        <w:rPr>
          <w:color w:val="000000" w:themeColor="text1"/>
        </w:rPr>
        <w:t>.</w:t>
      </w:r>
    </w:p>
    <w:p w14:paraId="7E165D57" w14:textId="77777777" w:rsidR="00150077" w:rsidRDefault="00000000">
      <w:pPr>
        <w:pStyle w:val="Nivel2"/>
      </w:pPr>
      <w:r>
        <w:rPr>
          <w:b/>
          <w:bCs/>
        </w:rPr>
        <w:t>9.2</w:t>
      </w:r>
      <w:r>
        <w:t xml:space="preserve"> Serão aplicadas ao contratado que incorrer nas infrações acima descritas as seguintes sanções:</w:t>
      </w:r>
    </w:p>
    <w:p w14:paraId="3B07C206" w14:textId="77777777" w:rsidR="00150077"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67" w:anchor="art156%C2%A72" w:history="1">
        <w:r w:rsidR="00150077">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33AB3DEB" w14:textId="77777777" w:rsidR="00150077"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68" w:anchor="art156%C2%A74" w:history="1">
        <w:r w:rsidR="00150077">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4B731CC3" w14:textId="77777777" w:rsidR="00150077"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9" w:anchor="art156%C2%A75" w:history="1">
        <w:r w:rsidR="00150077">
          <w:rPr>
            <w:rStyle w:val="Hyperlink"/>
            <w:rFonts w:ascii="Cambria" w:eastAsia="Arial" w:hAnsi="Cambria" w:cs="Arial"/>
            <w:color w:val="000000" w:themeColor="text1"/>
            <w:sz w:val="24"/>
            <w:szCs w:val="24"/>
          </w:rPr>
          <w:t xml:space="preserve">artigo 156, §5º,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1A234E1E" w14:textId="77777777" w:rsidR="00150077"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Multa:</w:t>
      </w:r>
    </w:p>
    <w:p w14:paraId="5778903E" w14:textId="77777777" w:rsidR="0015007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Moratória de 1,5 (</w:t>
      </w:r>
      <w:proofErr w:type="gramStart"/>
      <w:r>
        <w:rPr>
          <w:rFonts w:ascii="Cambria" w:eastAsia="Arial" w:hAnsi="Cambria" w:cs="Arial"/>
          <w:color w:val="000000" w:themeColor="text1"/>
          <w:sz w:val="24"/>
          <w:szCs w:val="24"/>
        </w:rPr>
        <w:t>um vírgula</w:t>
      </w:r>
      <w:proofErr w:type="gramEnd"/>
      <w:r>
        <w:rPr>
          <w:rFonts w:ascii="Cambria" w:eastAsia="Arial" w:hAnsi="Cambria" w:cs="Arial"/>
          <w:color w:val="000000" w:themeColor="text1"/>
          <w:sz w:val="24"/>
          <w:szCs w:val="24"/>
        </w:rPr>
        <w:t xml:space="preserve"> cinco por cento) por dia de atraso injustificado sobre o valor da parcela inadimplida, até o limite de 20 (vinte) dias;</w:t>
      </w:r>
    </w:p>
    <w:p w14:paraId="47426EF8" w14:textId="77777777" w:rsidR="00150077" w:rsidRDefault="00000000">
      <w:pPr>
        <w:spacing w:before="120" w:after="120" w:line="360" w:lineRule="auto"/>
        <w:ind w:left="1134"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1.</w:t>
      </w:r>
      <w:r>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5AA7EEC4" w14:textId="77777777" w:rsidR="0015007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 xml:space="preserve">b) </w:t>
      </w:r>
      <w:r>
        <w:rPr>
          <w:rFonts w:ascii="Cambria" w:eastAsia="Arial" w:hAnsi="Cambria" w:cs="Arial"/>
          <w:color w:val="000000" w:themeColor="text1"/>
          <w:sz w:val="24"/>
          <w:szCs w:val="24"/>
        </w:rPr>
        <w:t>Compensatória de 30% (trinta por cento) sobre o valor total do contrato, no caso de inexecução total do objeto.</w:t>
      </w:r>
    </w:p>
    <w:p w14:paraId="777FCAC3" w14:textId="77777777" w:rsidR="0015007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lastRenderedPageBreak/>
        <w:t>c)</w:t>
      </w:r>
      <w:r>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7C929AD0" w14:textId="77777777" w:rsidR="00150077" w:rsidRDefault="00000000">
      <w:pPr>
        <w:pStyle w:val="Nivel2"/>
      </w:pPr>
      <w:r>
        <w:rPr>
          <w:b/>
          <w:bCs/>
        </w:rPr>
        <w:t>9.3</w:t>
      </w:r>
      <w:r>
        <w:t xml:space="preserve"> A aplicação das sanções previstas neste Contrato não exclui, em hipótese alguma, a obrigação de reparação integral do dano causado ao Contratante (§ 9º do </w:t>
      </w:r>
      <w:hyperlink r:id="rId70" w:anchor="art156%C2%A79" w:history="1">
        <w:r w:rsidR="00150077">
          <w:rPr>
            <w:rStyle w:val="Hyperlink"/>
            <w:color w:val="000000" w:themeColor="text1"/>
          </w:rPr>
          <w:t>artigo 156, da Lei Federal nº 14.133, de 2021</w:t>
        </w:r>
      </w:hyperlink>
      <w:r>
        <w:t>)</w:t>
      </w:r>
    </w:p>
    <w:p w14:paraId="1F4A270F" w14:textId="77777777" w:rsidR="00150077" w:rsidRDefault="00000000">
      <w:pPr>
        <w:pStyle w:val="Nivel3"/>
        <w:rPr>
          <w:b/>
          <w:bCs/>
          <w:color w:val="000000" w:themeColor="text1"/>
          <w:sz w:val="24"/>
          <w:szCs w:val="24"/>
        </w:rPr>
      </w:pPr>
      <w:r>
        <w:rPr>
          <w:b/>
          <w:bCs/>
          <w:color w:val="000000" w:themeColor="text1"/>
          <w:sz w:val="24"/>
          <w:szCs w:val="24"/>
        </w:rPr>
        <w:t xml:space="preserve">9.4 </w:t>
      </w:r>
      <w:r>
        <w:rPr>
          <w:color w:val="000000" w:themeColor="text1"/>
          <w:sz w:val="24"/>
          <w:szCs w:val="24"/>
        </w:rPr>
        <w:t xml:space="preserve">Todas as sanções previstas neste Contrato poderão ser aplicadas cumulativamente com a multa (§ 7º, do </w:t>
      </w:r>
      <w:hyperlink r:id="rId71" w:anchor="art156%C2%A77" w:history="1">
        <w:r w:rsidR="00150077">
          <w:rPr>
            <w:rStyle w:val="Hyperlink"/>
            <w:color w:val="000000" w:themeColor="text1"/>
            <w:sz w:val="24"/>
            <w:szCs w:val="24"/>
          </w:rPr>
          <w:t>artigo 156, da Lei Federal nº 14.133, de 2021</w:t>
        </w:r>
      </w:hyperlink>
      <w:r>
        <w:rPr>
          <w:color w:val="000000" w:themeColor="text1"/>
          <w:sz w:val="24"/>
          <w:szCs w:val="24"/>
        </w:rPr>
        <w:t>).</w:t>
      </w:r>
    </w:p>
    <w:p w14:paraId="7AC929E9" w14:textId="77777777" w:rsidR="00150077" w:rsidRDefault="00000000">
      <w:pPr>
        <w:pStyle w:val="Nivel3"/>
        <w:rPr>
          <w:sz w:val="24"/>
          <w:szCs w:val="24"/>
        </w:rPr>
      </w:pPr>
      <w:r>
        <w:rPr>
          <w:b/>
          <w:bCs/>
          <w:sz w:val="24"/>
          <w:szCs w:val="24"/>
        </w:rPr>
        <w:t>9.5</w:t>
      </w:r>
      <w:r>
        <w:rPr>
          <w:sz w:val="24"/>
          <w:szCs w:val="24"/>
        </w:rPr>
        <w:t xml:space="preserve"> Antes da aplicação da multa será facultada a defesa do interessado no prazo de 15 (quinze) dias úteis, contado da data de sua intimação (</w:t>
      </w:r>
      <w:hyperlink r:id="rId72" w:anchor="art157" w:history="1">
        <w:r w:rsidR="00150077">
          <w:rPr>
            <w:rStyle w:val="Hyperlink"/>
            <w:b/>
            <w:bCs/>
            <w:color w:val="000000" w:themeColor="text1"/>
            <w:sz w:val="24"/>
            <w:szCs w:val="24"/>
          </w:rPr>
          <w:t>artigo 157, da Lei Federal nº 14.133, de 2021</w:t>
        </w:r>
      </w:hyperlink>
      <w:r>
        <w:rPr>
          <w:sz w:val="24"/>
          <w:szCs w:val="24"/>
        </w:rPr>
        <w:t>)</w:t>
      </w:r>
    </w:p>
    <w:p w14:paraId="1259CA15" w14:textId="77777777" w:rsidR="00150077" w:rsidRDefault="00000000">
      <w:pPr>
        <w:pStyle w:val="Nivel3"/>
        <w:rPr>
          <w:sz w:val="24"/>
          <w:szCs w:val="24"/>
        </w:rPr>
      </w:pPr>
      <w:r>
        <w:rPr>
          <w:b/>
          <w:bCs/>
          <w:sz w:val="24"/>
          <w:szCs w:val="24"/>
        </w:rPr>
        <w:t>9.6</w:t>
      </w:r>
      <w:r>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73" w:anchor="art156%C2%A78" w:history="1">
        <w:r w:rsidR="00150077">
          <w:rPr>
            <w:rStyle w:val="Hyperlink"/>
            <w:b/>
            <w:bCs/>
            <w:color w:val="000000" w:themeColor="text1"/>
            <w:sz w:val="24"/>
            <w:szCs w:val="24"/>
          </w:rPr>
          <w:t>artigo 156, da Lei Federal nº 14.133, de 2021</w:t>
        </w:r>
      </w:hyperlink>
      <w:r>
        <w:rPr>
          <w:sz w:val="24"/>
          <w:szCs w:val="24"/>
        </w:rPr>
        <w:t>).</w:t>
      </w:r>
    </w:p>
    <w:p w14:paraId="19AA339D" w14:textId="77777777" w:rsidR="00150077" w:rsidRDefault="00000000">
      <w:pPr>
        <w:pStyle w:val="Nivel3"/>
        <w:ind w:firstLine="708"/>
        <w:rPr>
          <w:sz w:val="24"/>
          <w:szCs w:val="24"/>
        </w:rPr>
      </w:pPr>
      <w:r>
        <w:rPr>
          <w:b/>
          <w:bCs/>
          <w:sz w:val="24"/>
          <w:szCs w:val="24"/>
        </w:rPr>
        <w:t>I.</w:t>
      </w:r>
      <w:r>
        <w:rPr>
          <w:sz w:val="24"/>
          <w:szCs w:val="24"/>
        </w:rPr>
        <w:t xml:space="preserve"> Previamente ao encaminhamento à cobrança judicial, a multa poderá ser recolhida administrativamente no prazo máximo de 15 (quinze)</w:t>
      </w:r>
      <w:r>
        <w:rPr>
          <w:i/>
          <w:iCs/>
          <w:sz w:val="24"/>
          <w:szCs w:val="24"/>
        </w:rPr>
        <w:t xml:space="preserve"> </w:t>
      </w:r>
      <w:r>
        <w:rPr>
          <w:sz w:val="24"/>
          <w:szCs w:val="24"/>
        </w:rPr>
        <w:t>dias, a contar da data do recebimento da comunicação enviada pela autoridade competente.</w:t>
      </w:r>
      <w:bookmarkStart w:id="95" w:name="_Hlk78351618"/>
      <w:bookmarkEnd w:id="95"/>
    </w:p>
    <w:p w14:paraId="318AD96A" w14:textId="77777777" w:rsidR="00150077" w:rsidRDefault="00000000">
      <w:pPr>
        <w:pStyle w:val="Nivel2"/>
      </w:pPr>
      <w:r>
        <w:rPr>
          <w:b/>
          <w:bCs/>
        </w:rPr>
        <w:t>9.7</w:t>
      </w:r>
      <w:r>
        <w:t xml:space="preserve"> A aplicação das sanções realizar-se-á em processo administrativo que assegure o contraditório e a ampla defesa ao Contratado, observando-se o procedimento previsto no caput e parágrafos do </w:t>
      </w:r>
      <w:hyperlink r:id="rId74" w:anchor="art158" w:history="1">
        <w:r w:rsidR="00150077">
          <w:rPr>
            <w:rStyle w:val="Hyperlink"/>
            <w:color w:val="000000" w:themeColor="text1"/>
          </w:rPr>
          <w:t>artigo 158 da Lei Federal nº 14.133, de 2021</w:t>
        </w:r>
      </w:hyperlink>
      <w:r>
        <w:t>, para as penalidades de impedimento de licitar e contratar e de declaração de inidoneidade para licitar ou contratar.</w:t>
      </w:r>
    </w:p>
    <w:p w14:paraId="36C38702" w14:textId="77777777" w:rsidR="00150077" w:rsidRDefault="00000000">
      <w:pPr>
        <w:pStyle w:val="Nivel2"/>
        <w:rPr>
          <w:color w:val="000000" w:themeColor="text1"/>
        </w:rPr>
      </w:pPr>
      <w:r>
        <w:rPr>
          <w:b/>
          <w:bCs/>
          <w:color w:val="000000" w:themeColor="text1"/>
        </w:rPr>
        <w:t>9.8</w:t>
      </w:r>
      <w:r>
        <w:rPr>
          <w:color w:val="000000" w:themeColor="text1"/>
        </w:rPr>
        <w:t xml:space="preserve"> Na aplicação das sanções serão considerados (§ 1º, do </w:t>
      </w:r>
      <w:hyperlink r:id="rId75" w:anchor="art156%C2%A71" w:history="1">
        <w:r w:rsidR="00150077">
          <w:rPr>
            <w:rStyle w:val="Hyperlink"/>
            <w:color w:val="000000" w:themeColor="text1"/>
          </w:rPr>
          <w:t>artigo 156, da Lei Federal nº 14.133, de 2021</w:t>
        </w:r>
      </w:hyperlink>
      <w:r>
        <w:rPr>
          <w:color w:val="000000" w:themeColor="text1"/>
        </w:rPr>
        <w:t>):</w:t>
      </w:r>
    </w:p>
    <w:p w14:paraId="061F26DB" w14:textId="77777777" w:rsidR="0015007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 natureza e a gravidade da infração cometida;</w:t>
      </w:r>
    </w:p>
    <w:p w14:paraId="74224BD7" w14:textId="77777777" w:rsidR="0015007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as peculiaridades do caso concreto;</w:t>
      </w:r>
    </w:p>
    <w:p w14:paraId="62C45E5B" w14:textId="77777777" w:rsidR="0015007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as circunstâncias agravantes ou atenuantes;</w:t>
      </w:r>
    </w:p>
    <w:p w14:paraId="2264AE97" w14:textId="77777777" w:rsidR="0015007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os danos que dela provierem para o Contratante;</w:t>
      </w:r>
    </w:p>
    <w:p w14:paraId="0B8A8F0E" w14:textId="77777777" w:rsidR="0015007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lastRenderedPageBreak/>
        <w:t>V.</w:t>
      </w:r>
      <w:r>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5D9EC867" w14:textId="77777777" w:rsidR="00150077" w:rsidRDefault="00000000">
      <w:pPr>
        <w:pStyle w:val="Nivel2"/>
      </w:pPr>
      <w:r>
        <w:rPr>
          <w:b/>
          <w:bCs/>
        </w:rPr>
        <w:t>9.9</w:t>
      </w:r>
      <w:r>
        <w:t xml:space="preserve"> Os atos previstos como infrações administrativas na </w:t>
      </w:r>
      <w:hyperlink r:id="rId76">
        <w:r w:rsidR="00150077">
          <w:rPr>
            <w:rStyle w:val="Hyperlink"/>
            <w:color w:val="000000" w:themeColor="text1"/>
          </w:rPr>
          <w:t>Lei</w:t>
        </w:r>
      </w:hyperlink>
      <w:r>
        <w:rPr>
          <w:rStyle w:val="Hyperlink"/>
          <w:color w:val="000000" w:themeColor="text1"/>
        </w:rPr>
        <w:t xml:space="preserve"> Federal nº 14.133, de 2021</w:t>
      </w:r>
      <w:r>
        <w:t xml:space="preserve">, ou em outras leis de licitações e contratos da Administração Pública que também sejam tipificados como atos lesivos na </w:t>
      </w:r>
      <w:hyperlink r:id="rId77">
        <w:r w:rsidR="00150077">
          <w:rPr>
            <w:rStyle w:val="Hyperlink"/>
            <w:color w:val="000000" w:themeColor="text1"/>
          </w:rPr>
          <w:t>Lei nº 12.846, de 2013</w:t>
        </w:r>
      </w:hyperlink>
      <w:r>
        <w:t>, serão apurados e julgados conjuntamente, nos mesmos autos, observados o rito procedimental e autoridade competente definidos na referida Lei (</w:t>
      </w:r>
      <w:hyperlink r:id="rId78">
        <w:r w:rsidR="00150077">
          <w:rPr>
            <w:rStyle w:val="Hyperlink"/>
            <w:color w:val="000000" w:themeColor="text1"/>
          </w:rPr>
          <w:t>artigo 159</w:t>
        </w:r>
      </w:hyperlink>
      <w:r>
        <w:t>).</w:t>
      </w:r>
    </w:p>
    <w:p w14:paraId="2F7AF9BA" w14:textId="77777777" w:rsidR="00150077" w:rsidRDefault="00000000">
      <w:pPr>
        <w:pStyle w:val="Nivel2"/>
        <w:rPr>
          <w:i/>
          <w:iCs/>
        </w:rPr>
      </w:pPr>
      <w:r>
        <w:rPr>
          <w:b/>
          <w:bCs/>
        </w:rPr>
        <w:t>9.10</w:t>
      </w:r>
      <w: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9" w:anchor="art160" w:history="1">
        <w:r w:rsidR="00150077">
          <w:rPr>
            <w:rStyle w:val="Hyperlink"/>
            <w:color w:val="000000" w:themeColor="text1"/>
          </w:rPr>
          <w:t>artigo 160, da Lei Federal nº 14.133, de 2021</w:t>
        </w:r>
      </w:hyperlink>
      <w:r>
        <w:t>).</w:t>
      </w:r>
    </w:p>
    <w:p w14:paraId="1BCB140A" w14:textId="77777777" w:rsidR="00150077" w:rsidRDefault="00000000">
      <w:pPr>
        <w:pStyle w:val="Nivel2"/>
        <w:rPr>
          <w:i/>
          <w:iCs/>
        </w:rPr>
      </w:pPr>
      <w:r>
        <w:rPr>
          <w:b/>
          <w:bCs/>
        </w:rPr>
        <w:t>9.11</w:t>
      </w:r>
      <w: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0" w:anchor="art161" w:history="1">
        <w:r w:rsidR="00150077">
          <w:rPr>
            <w:rStyle w:val="Hyperlink"/>
            <w:color w:val="000000" w:themeColor="text1"/>
          </w:rPr>
          <w:t>Artigo 161, da Lei Federal nº 14.133, de 2021</w:t>
        </w:r>
      </w:hyperlink>
      <w:r>
        <w:t>).</w:t>
      </w:r>
    </w:p>
    <w:p w14:paraId="58CC7156" w14:textId="77777777" w:rsidR="00150077" w:rsidRDefault="00000000">
      <w:pPr>
        <w:pStyle w:val="Nivel2"/>
        <w:rPr>
          <w:i/>
          <w:iCs/>
        </w:rPr>
      </w:pPr>
      <w:r>
        <w:rPr>
          <w:b/>
          <w:bCs/>
        </w:rPr>
        <w:t>9.12</w:t>
      </w:r>
      <w:r>
        <w:t xml:space="preserve"> As sanções de impedimento de licitar e contratar e declaração de inidoneidade para licitar ou contratar são passíveis de reabilitação na forma do </w:t>
      </w:r>
      <w:hyperlink r:id="rId81" w:anchor="163" w:history="1">
        <w:r w:rsidR="00150077">
          <w:rPr>
            <w:rStyle w:val="Hyperlink"/>
            <w:color w:val="000000" w:themeColor="text1"/>
          </w:rPr>
          <w:t>artigo 163 da Lei Federal nº 14.133, de 2021</w:t>
        </w:r>
      </w:hyperlink>
      <w:r>
        <w:t>.</w:t>
      </w:r>
    </w:p>
    <w:p w14:paraId="3624E8CD" w14:textId="77777777" w:rsidR="00150077" w:rsidRDefault="00000000">
      <w:pPr>
        <w:pStyle w:val="Nivel2"/>
      </w:pPr>
      <w:r>
        <w:rPr>
          <w:b/>
          <w:bCs/>
        </w:rPr>
        <w:t>9.13</w:t>
      </w:r>
      <w: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103E447"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 DA EXTINÇÃO CONTRATUAL</w:t>
      </w:r>
    </w:p>
    <w:p w14:paraId="4D594F89" w14:textId="77777777" w:rsidR="00150077" w:rsidRDefault="00000000">
      <w:pPr>
        <w:pStyle w:val="Nivel2"/>
      </w:pPr>
      <w:r>
        <w:rPr>
          <w:b/>
          <w:bCs/>
        </w:rPr>
        <w:t>10.1</w:t>
      </w:r>
      <w:r>
        <w:t xml:space="preserve"> O contrato será extinto quando cumpridas as obrigações de ambas as partes, ainda que isso ocorra antes do prazo estipulado para tanto.</w:t>
      </w:r>
    </w:p>
    <w:p w14:paraId="764D0924" w14:textId="77777777" w:rsidR="00150077" w:rsidRDefault="00000000">
      <w:pPr>
        <w:pStyle w:val="Nivel2"/>
      </w:pPr>
      <w:r>
        <w:rPr>
          <w:b/>
          <w:bCs/>
        </w:rPr>
        <w:lastRenderedPageBreak/>
        <w:t>10.2</w:t>
      </w:r>
      <w:r>
        <w:t xml:space="preserve"> Se as obrigações não forem cumpridas no prazo estipulado, a vigência ficará prorrogada até a conclusão do objeto, caso em que deverá a Administração providenciar a readequação do cronograma fixado para o contrato.</w:t>
      </w:r>
    </w:p>
    <w:p w14:paraId="0464AA22" w14:textId="77777777" w:rsidR="00150077" w:rsidRDefault="00000000">
      <w:pPr>
        <w:pStyle w:val="Nivel3"/>
        <w:ind w:firstLine="567"/>
        <w:rPr>
          <w:i/>
          <w:iCs/>
          <w:sz w:val="24"/>
          <w:szCs w:val="24"/>
        </w:rPr>
      </w:pPr>
      <w:r>
        <w:rPr>
          <w:b/>
          <w:bCs/>
          <w:sz w:val="24"/>
          <w:szCs w:val="24"/>
        </w:rPr>
        <w:t>I.</w:t>
      </w:r>
      <w:r>
        <w:rPr>
          <w:sz w:val="24"/>
          <w:szCs w:val="24"/>
        </w:rPr>
        <w:t xml:space="preserve"> Quando a não conclusão do contrato referida no item anterior decorrer de culpa do contratado:</w:t>
      </w:r>
    </w:p>
    <w:p w14:paraId="24DF9E2A" w14:textId="77777777" w:rsidR="0015007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ficará ele constituído em mora, sendo-lhe aplicáveis as respectivas sanções administrativas; e </w:t>
      </w:r>
    </w:p>
    <w:p w14:paraId="31C3737F" w14:textId="77777777" w:rsidR="0015007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b)</w:t>
      </w:r>
      <w:r>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3232987E" w14:textId="77777777" w:rsidR="00150077" w:rsidRDefault="00000000">
      <w:pPr>
        <w:pStyle w:val="Nivel2"/>
      </w:pPr>
      <w:r>
        <w:rPr>
          <w:b/>
          <w:bCs/>
        </w:rPr>
        <w:t>10.3</w:t>
      </w:r>
      <w:r>
        <w:t xml:space="preserve"> O contrato também será extinto quando vencido o prazo nele estipulado, independentemente de terem sido cumpridas ou não as obrigações de ambas as partes contraentes.</w:t>
      </w:r>
    </w:p>
    <w:p w14:paraId="5A10ECF1" w14:textId="77777777" w:rsidR="00150077" w:rsidRDefault="00000000">
      <w:pPr>
        <w:pStyle w:val="Nivel3"/>
        <w:rPr>
          <w:i/>
          <w:iCs/>
          <w:sz w:val="24"/>
          <w:szCs w:val="24"/>
        </w:rPr>
      </w:pPr>
      <w:r>
        <w:rPr>
          <w:b/>
          <w:bCs/>
          <w:sz w:val="24"/>
          <w:szCs w:val="24"/>
        </w:rPr>
        <w:t>10.4</w:t>
      </w:r>
      <w:r>
        <w:rPr>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14:paraId="565ECB37" w14:textId="77777777" w:rsidR="00150077" w:rsidRDefault="00000000">
      <w:pPr>
        <w:pStyle w:val="Nivel3"/>
        <w:ind w:firstLine="708"/>
        <w:rPr>
          <w:i/>
          <w:iCs/>
          <w:sz w:val="24"/>
          <w:szCs w:val="24"/>
        </w:rPr>
      </w:pPr>
      <w:r>
        <w:rPr>
          <w:b/>
          <w:bCs/>
          <w:sz w:val="24"/>
          <w:szCs w:val="24"/>
        </w:rPr>
        <w:t>I.</w:t>
      </w:r>
      <w:r>
        <w:rPr>
          <w:sz w:val="24"/>
          <w:szCs w:val="24"/>
        </w:rPr>
        <w:t xml:space="preserve"> A extinção nesta hipótese ocorrerá na próxima data de aniversário do contrato, desde que haja a notificação do contratado pelo contratante nesse sentido com pelo menos 2 (dois) meses de antecedência desse dia.</w:t>
      </w:r>
    </w:p>
    <w:p w14:paraId="0DA6EBE1" w14:textId="77777777" w:rsidR="00150077" w:rsidRDefault="00000000">
      <w:pPr>
        <w:pStyle w:val="Nivel3"/>
        <w:ind w:firstLine="708"/>
        <w:rPr>
          <w:i/>
          <w:iCs/>
          <w:sz w:val="24"/>
          <w:szCs w:val="24"/>
        </w:rPr>
      </w:pPr>
      <w:r>
        <w:rPr>
          <w:b/>
          <w:bCs/>
          <w:sz w:val="24"/>
          <w:szCs w:val="24"/>
        </w:rPr>
        <w:t>II.</w:t>
      </w:r>
      <w:r>
        <w:rPr>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57B3C39F" w14:textId="77777777" w:rsidR="00150077" w:rsidRDefault="00000000">
      <w:pPr>
        <w:pStyle w:val="Nivel2"/>
      </w:pPr>
      <w:r>
        <w:rPr>
          <w:b/>
          <w:bCs/>
        </w:rPr>
        <w:t>10.5</w:t>
      </w:r>
      <w:r>
        <w:t xml:space="preserve"> O contrato poderá ser extinto antes de cumpridas as obrigações nele estipuladas, ou antes do prazo nele fixado, por algum dos motivos previstos no artigo 137, da </w:t>
      </w:r>
      <w:hyperlink r:id="rId82">
        <w:r w:rsidR="00150077">
          <w:rPr>
            <w:rStyle w:val="Hyperlink"/>
            <w:color w:val="000000" w:themeColor="text1"/>
          </w:rPr>
          <w:t>Lei</w:t>
        </w:r>
      </w:hyperlink>
      <w:r>
        <w:rPr>
          <w:rStyle w:val="Hyperlink"/>
          <w:color w:val="000000" w:themeColor="text1"/>
        </w:rPr>
        <w:t xml:space="preserve"> Federal nº 14.133, de 2021</w:t>
      </w:r>
      <w:r>
        <w:t xml:space="preserve">, bem como amigavelmente, assegurados o contraditório e a ampla defesa. Conforme os artigos 138 e 139, ambos da </w:t>
      </w:r>
      <w:hyperlink r:id="rId83">
        <w:r w:rsidR="00150077">
          <w:rPr>
            <w:rStyle w:val="Hyperlink"/>
            <w:color w:val="000000" w:themeColor="text1"/>
          </w:rPr>
          <w:t>Lei</w:t>
        </w:r>
      </w:hyperlink>
      <w:r>
        <w:rPr>
          <w:rStyle w:val="Hyperlink"/>
          <w:color w:val="000000" w:themeColor="text1"/>
        </w:rPr>
        <w:t xml:space="preserve"> Federal nº 14.133, de 2021</w:t>
      </w:r>
      <w:r>
        <w:t>.</w:t>
      </w:r>
    </w:p>
    <w:p w14:paraId="26647D09" w14:textId="77777777" w:rsidR="00150077" w:rsidRDefault="00000000">
      <w:pPr>
        <w:pStyle w:val="Nivel3"/>
        <w:rPr>
          <w:sz w:val="24"/>
          <w:szCs w:val="24"/>
        </w:rPr>
      </w:pPr>
      <w:r>
        <w:rPr>
          <w:b/>
          <w:bCs/>
          <w:sz w:val="24"/>
          <w:szCs w:val="24"/>
        </w:rPr>
        <w:t>10.6</w:t>
      </w:r>
      <w:r>
        <w:rPr>
          <w:sz w:val="24"/>
          <w:szCs w:val="24"/>
        </w:rPr>
        <w:t xml:space="preserve"> A alteração social ou a modificação da finalidade ou da estrutura da empresa não ensejará a extinção se não restringir sua capacidade de concluir o contrato.</w:t>
      </w:r>
    </w:p>
    <w:p w14:paraId="781D86AD" w14:textId="77777777" w:rsidR="00150077" w:rsidRDefault="00000000">
      <w:pPr>
        <w:pStyle w:val="Nivel3"/>
        <w:ind w:firstLine="708"/>
        <w:rPr>
          <w:sz w:val="24"/>
          <w:szCs w:val="24"/>
        </w:rPr>
      </w:pPr>
      <w:r>
        <w:rPr>
          <w:b/>
          <w:bCs/>
          <w:sz w:val="24"/>
          <w:szCs w:val="24"/>
        </w:rPr>
        <w:t>I.</w:t>
      </w:r>
      <w:r>
        <w:rPr>
          <w:sz w:val="24"/>
          <w:szCs w:val="24"/>
        </w:rPr>
        <w:t xml:space="preserve"> Se a operação implicar mudança da pessoa jurídica contratada, deverá ser formalizado termo aditivo para alteração subjetiva.</w:t>
      </w:r>
    </w:p>
    <w:p w14:paraId="1FC494D5" w14:textId="77777777" w:rsidR="00150077" w:rsidRDefault="00000000">
      <w:pPr>
        <w:pStyle w:val="Nivel2"/>
      </w:pPr>
      <w:r>
        <w:rPr>
          <w:b/>
          <w:bCs/>
        </w:rPr>
        <w:lastRenderedPageBreak/>
        <w:t>10.7</w:t>
      </w:r>
      <w:r>
        <w:t xml:space="preserve"> O termo de extinção, sempre que possível, será precedido:</w:t>
      </w:r>
    </w:p>
    <w:p w14:paraId="538E7E21" w14:textId="77777777" w:rsidR="00150077" w:rsidRDefault="00000000">
      <w:pPr>
        <w:pStyle w:val="Nivel3"/>
        <w:ind w:firstLine="708"/>
        <w:rPr>
          <w:sz w:val="24"/>
          <w:szCs w:val="24"/>
        </w:rPr>
      </w:pPr>
      <w:r>
        <w:rPr>
          <w:b/>
          <w:bCs/>
          <w:sz w:val="24"/>
          <w:szCs w:val="24"/>
        </w:rPr>
        <w:t>I.</w:t>
      </w:r>
      <w:r>
        <w:rPr>
          <w:sz w:val="24"/>
          <w:szCs w:val="24"/>
        </w:rPr>
        <w:t xml:space="preserve"> Balanço dos eventos contratuais já cumpridos ou parcialmente cumpridos;</w:t>
      </w:r>
    </w:p>
    <w:p w14:paraId="1C898E29" w14:textId="77777777" w:rsidR="00150077" w:rsidRDefault="00000000">
      <w:pPr>
        <w:pStyle w:val="Nivel3"/>
        <w:ind w:firstLine="708"/>
        <w:rPr>
          <w:sz w:val="24"/>
          <w:szCs w:val="24"/>
        </w:rPr>
      </w:pPr>
      <w:r>
        <w:rPr>
          <w:b/>
          <w:bCs/>
          <w:sz w:val="24"/>
          <w:szCs w:val="24"/>
        </w:rPr>
        <w:t>II.</w:t>
      </w:r>
      <w:r>
        <w:rPr>
          <w:sz w:val="24"/>
          <w:szCs w:val="24"/>
        </w:rPr>
        <w:t xml:space="preserve"> Relação dos pagamentos já efetuados e ainda devidos;</w:t>
      </w:r>
    </w:p>
    <w:p w14:paraId="641F6A06" w14:textId="77777777" w:rsidR="00150077" w:rsidRDefault="00000000">
      <w:pPr>
        <w:pStyle w:val="Nivel3"/>
        <w:ind w:firstLine="708"/>
        <w:rPr>
          <w:sz w:val="24"/>
          <w:szCs w:val="24"/>
        </w:rPr>
      </w:pPr>
      <w:r>
        <w:rPr>
          <w:b/>
          <w:bCs/>
          <w:sz w:val="24"/>
          <w:szCs w:val="24"/>
        </w:rPr>
        <w:t>III.</w:t>
      </w:r>
      <w:r>
        <w:rPr>
          <w:sz w:val="24"/>
          <w:szCs w:val="24"/>
        </w:rPr>
        <w:t xml:space="preserve"> Indenizações e multas.</w:t>
      </w:r>
    </w:p>
    <w:p w14:paraId="24334BB0" w14:textId="77777777" w:rsidR="00150077" w:rsidRDefault="00000000">
      <w:pPr>
        <w:pStyle w:val="Nivel2"/>
      </w:pPr>
      <w:r>
        <w:rPr>
          <w:b/>
          <w:bCs/>
        </w:rPr>
        <w:t>10.8</w:t>
      </w:r>
      <w:r>
        <w:t xml:space="preserve"> A extinção do contrato não configura óbice para o reconhecimento do desequilíbrio econômico-financeiro, hipótese em que será concedida indenização por meio de termo indenizatório (caput, do artigo 131, da </w:t>
      </w:r>
      <w:hyperlink r:id="rId84">
        <w:r w:rsidR="00150077">
          <w:rPr>
            <w:rStyle w:val="Hyperlink"/>
            <w:color w:val="000000" w:themeColor="text1"/>
          </w:rPr>
          <w:t>Lei</w:t>
        </w:r>
      </w:hyperlink>
      <w:r>
        <w:rPr>
          <w:rStyle w:val="Hyperlink"/>
          <w:color w:val="000000" w:themeColor="text1"/>
        </w:rPr>
        <w:t xml:space="preserve"> Federal nº 14.133, de 2021</w:t>
      </w:r>
      <w:r>
        <w:t xml:space="preserve">). </w:t>
      </w:r>
    </w:p>
    <w:p w14:paraId="5EEB5ACE" w14:textId="77777777" w:rsidR="00150077" w:rsidRDefault="00000000">
      <w:pPr>
        <w:pStyle w:val="Nivel2"/>
      </w:pPr>
      <w:r>
        <w:rPr>
          <w:b/>
          <w:bCs/>
        </w:rPr>
        <w:t>10.9</w:t>
      </w:r>
      <w: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85">
        <w:r w:rsidR="00150077">
          <w:rPr>
            <w:rStyle w:val="Hyperlink"/>
            <w:color w:val="000000" w:themeColor="text1"/>
          </w:rPr>
          <w:t>Lei</w:t>
        </w:r>
      </w:hyperlink>
      <w:r>
        <w:rPr>
          <w:rStyle w:val="Hyperlink"/>
          <w:color w:val="000000" w:themeColor="text1"/>
        </w:rPr>
        <w:t xml:space="preserve"> Federal nº 14.133, de 2021</w:t>
      </w:r>
      <w:r>
        <w:t>).</w:t>
      </w:r>
    </w:p>
    <w:p w14:paraId="06076FB3"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PRIMEIRA – DA DOTAÇÃO ORÇAMENTÁRIA</w:t>
      </w:r>
    </w:p>
    <w:p w14:paraId="6654D7DA" w14:textId="77777777" w:rsidR="00150077" w:rsidRDefault="00000000">
      <w:pPr>
        <w:tabs>
          <w:tab w:val="left" w:pos="1701"/>
        </w:tabs>
        <w:spacing w:before="240" w:after="240" w:line="360" w:lineRule="auto"/>
        <w:rPr>
          <w:rFonts w:ascii="Cambria" w:hAnsi="Cambria"/>
          <w:sz w:val="24"/>
          <w:szCs w:val="24"/>
        </w:rPr>
      </w:pPr>
      <w:r>
        <w:rPr>
          <w:rFonts w:ascii="Cambria" w:hAnsi="Cambria"/>
          <w:b/>
          <w:bCs/>
          <w:sz w:val="24"/>
          <w:szCs w:val="24"/>
        </w:rPr>
        <w:t>11.1</w:t>
      </w:r>
      <w:r>
        <w:rPr>
          <w:rFonts w:ascii="Cambria" w:hAnsi="Cambria"/>
          <w:sz w:val="24"/>
          <w:szCs w:val="24"/>
        </w:rPr>
        <w:t xml:space="preserve"> As despesas decorrentes da aquisição do objeto deste Contrato correrão à conta dos recursos das dotações orçamentárias afeta aos órgãos do Fundo Municipal de Cultura de Piracanjuba/GO, a saber:</w:t>
      </w:r>
    </w:p>
    <w:tbl>
      <w:tblPr>
        <w:tblW w:w="5973" w:type="dxa"/>
        <w:jc w:val="center"/>
        <w:tblLayout w:type="fixed"/>
        <w:tblLook w:val="04A0" w:firstRow="1" w:lastRow="0" w:firstColumn="1" w:lastColumn="0" w:noHBand="0" w:noVBand="1"/>
      </w:tblPr>
      <w:tblGrid>
        <w:gridCol w:w="2693"/>
        <w:gridCol w:w="3280"/>
      </w:tblGrid>
      <w:tr w:rsidR="00150077" w14:paraId="28865EA9"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FE9BE61"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25397691"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68.76.13.392.2818.1096.4.4.90.52</w:t>
            </w:r>
          </w:p>
        </w:tc>
      </w:tr>
      <w:tr w:rsidR="00150077" w14:paraId="5311927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5EA45E5"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47884D7D"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68.76.00000</w:t>
            </w:r>
          </w:p>
        </w:tc>
      </w:tr>
      <w:tr w:rsidR="00150077" w14:paraId="24188E35"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42BF7AD"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05C9A701"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466</w:t>
            </w:r>
          </w:p>
        </w:tc>
      </w:tr>
      <w:tr w:rsidR="00150077" w14:paraId="5FE7F525"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D144D9C"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EF24903"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33</w:t>
            </w:r>
          </w:p>
        </w:tc>
      </w:tr>
      <w:tr w:rsidR="00150077" w14:paraId="7D41EE7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0B46C6C"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04B05F3A"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150077" w14:paraId="5D32B3B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5652BA2" w14:textId="77777777" w:rsidR="00150077" w:rsidRPr="00F467C1" w:rsidRDefault="00000000">
            <w:pPr>
              <w:tabs>
                <w:tab w:val="left" w:pos="1701"/>
              </w:tabs>
              <w:spacing w:before="0" w:after="0" w:line="240" w:lineRule="auto"/>
              <w:jc w:val="left"/>
              <w:rPr>
                <w:rFonts w:ascii="Cambria" w:hAnsi="Cambria"/>
                <w:sz w:val="21"/>
                <w:szCs w:val="21"/>
              </w:rPr>
            </w:pPr>
            <w:r w:rsidRPr="00F467C1">
              <w:rPr>
                <w:rFonts w:ascii="Cambria" w:hAnsi="Cambria"/>
                <w:sz w:val="21"/>
                <w:szCs w:val="21"/>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7547C3E2" w14:textId="77777777" w:rsidR="00150077"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7D25E5DF" w14:textId="77777777" w:rsidR="00150077" w:rsidRDefault="00000000">
      <w:pPr>
        <w:pStyle w:val="Nivel2"/>
      </w:pPr>
      <w:r>
        <w:rPr>
          <w:b/>
          <w:bCs/>
        </w:rPr>
        <w:t>11.2</w:t>
      </w:r>
      <w:r>
        <w:t xml:space="preserve"> A dotação relativa aos exercícios financeiros subsequentes será indicada após aprovação da Lei Orçamentária respectiva e liberação dos créditos correspondentes, mediante apostilamento.</w:t>
      </w:r>
    </w:p>
    <w:p w14:paraId="31F08D28"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rPr>
          <w:rFonts w:ascii="Cambria" w:hAnsi="Cambria"/>
          <w:b/>
          <w:color w:val="000000" w:themeColor="text1"/>
        </w:rPr>
      </w:pPr>
      <w:r>
        <w:rPr>
          <w:rFonts w:ascii="Cambria" w:hAnsi="Cambria"/>
          <w:b/>
          <w:color w:val="000000" w:themeColor="text1"/>
        </w:rPr>
        <w:t>CLÁUSULA DÉCIMA SEGUNDA – DOS CASOS OMISSOS</w:t>
      </w:r>
    </w:p>
    <w:p w14:paraId="7463F5CB" w14:textId="77777777" w:rsidR="00150077" w:rsidRDefault="00000000">
      <w:pPr>
        <w:tabs>
          <w:tab w:val="left" w:pos="3119"/>
        </w:tabs>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Os casos omissos serão decididos pelo contratante, segundo as disposições contidas na </w:t>
      </w:r>
      <w:hyperlink r:id="rId86">
        <w:r w:rsidR="00150077">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demais normas federais aplicáveis e, subsidiariamente, </w:t>
      </w:r>
      <w:r>
        <w:rPr>
          <w:rFonts w:ascii="Cambria" w:hAnsi="Cambria"/>
          <w:color w:val="000000" w:themeColor="text1"/>
          <w:sz w:val="24"/>
          <w:szCs w:val="24"/>
        </w:rPr>
        <w:lastRenderedPageBreak/>
        <w:t xml:space="preserve">segundo as disposições contidas na </w:t>
      </w:r>
      <w:hyperlink r:id="rId87">
        <w:r w:rsidR="00150077">
          <w:rPr>
            <w:rStyle w:val="Hyperlink"/>
            <w:rFonts w:ascii="Cambria" w:hAnsi="Cambria"/>
            <w:color w:val="000000" w:themeColor="text1"/>
            <w:sz w:val="24"/>
            <w:szCs w:val="24"/>
          </w:rPr>
          <w:t>Lei nº 8.078, de 1990 – Código de Defesa do Consumidor</w:t>
        </w:r>
      </w:hyperlink>
      <w:r>
        <w:rPr>
          <w:rFonts w:ascii="Cambria" w:hAnsi="Cambria"/>
          <w:color w:val="000000" w:themeColor="text1"/>
          <w:sz w:val="24"/>
          <w:szCs w:val="24"/>
        </w:rPr>
        <w:t xml:space="preserve"> – e normas e princípios gerais dos contratos.</w:t>
      </w:r>
    </w:p>
    <w:p w14:paraId="39D96AC7"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TERCEIRA – DAS ALTERAÇÕES</w:t>
      </w:r>
    </w:p>
    <w:p w14:paraId="64E21BD9" w14:textId="77777777" w:rsidR="00150077" w:rsidRDefault="00000000">
      <w:pPr>
        <w:pStyle w:val="Nivel2"/>
        <w:rPr>
          <w:color w:val="000000" w:themeColor="text1"/>
        </w:rPr>
      </w:pPr>
      <w:r>
        <w:rPr>
          <w:b/>
          <w:bCs/>
          <w:color w:val="000000" w:themeColor="text1"/>
        </w:rPr>
        <w:t>13.1</w:t>
      </w:r>
      <w:r>
        <w:rPr>
          <w:color w:val="000000" w:themeColor="text1"/>
        </w:rPr>
        <w:t xml:space="preserve"> Eventuais alterações contratuais reger-se-ão pela disciplina do </w:t>
      </w:r>
      <w:hyperlink r:id="rId88" w:anchor="art124" w:history="1">
        <w:r w:rsidR="00150077">
          <w:rPr>
            <w:rStyle w:val="Hyperlink"/>
            <w:color w:val="000000" w:themeColor="text1"/>
          </w:rPr>
          <w:t>artigo 124 e seguintes da Lei Federal nº 14.133, de 2021</w:t>
        </w:r>
      </w:hyperlink>
      <w:r>
        <w:rPr>
          <w:rStyle w:val="Hyperlink"/>
          <w:color w:val="000000" w:themeColor="text1"/>
        </w:rPr>
        <w:t>.</w:t>
      </w:r>
    </w:p>
    <w:p w14:paraId="51533F94" w14:textId="77777777" w:rsidR="00150077" w:rsidRDefault="00000000">
      <w:pPr>
        <w:pStyle w:val="Nivel2"/>
      </w:pP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01BAF240" w14:textId="77777777" w:rsidR="00150077" w:rsidRDefault="00000000">
      <w:pPr>
        <w:pStyle w:val="Nivel2"/>
      </w:pP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89">
        <w:r w:rsidR="00150077">
          <w:rPr>
            <w:rStyle w:val="Hyperlink"/>
            <w:color w:val="000000" w:themeColor="text1"/>
          </w:rPr>
          <w:t>Lei</w:t>
        </w:r>
      </w:hyperlink>
      <w:r>
        <w:rPr>
          <w:rStyle w:val="Hyperlink"/>
          <w:color w:val="000000" w:themeColor="text1"/>
        </w:rPr>
        <w:t xml:space="preserve"> Federal nº 14.133, de 2021</w:t>
      </w:r>
      <w:r>
        <w:t>).</w:t>
      </w:r>
    </w:p>
    <w:p w14:paraId="7BEC40C9" w14:textId="77777777" w:rsidR="00150077" w:rsidRDefault="00000000">
      <w:pPr>
        <w:pStyle w:val="Nivel2"/>
        <w:rPr>
          <w:rStyle w:val="Hyperlink"/>
          <w:color w:val="000000" w:themeColor="text1"/>
        </w:rPr>
      </w:pPr>
      <w:r>
        <w:rPr>
          <w:b/>
          <w:bCs/>
        </w:rPr>
        <w:t>13.4</w:t>
      </w:r>
      <w:r>
        <w:t xml:space="preserve"> Registros que não caracterizam alteração do contrato podem ser realizados por simples apostila, dispensada a celebração de termo aditivo, na forma do </w:t>
      </w:r>
      <w:hyperlink r:id="rId90" w:anchor="art136" w:history="1">
        <w:r w:rsidR="00150077">
          <w:rPr>
            <w:rStyle w:val="Hyperlink"/>
            <w:color w:val="000000" w:themeColor="text1"/>
          </w:rPr>
          <w:t>artigo 136 da Lei Federal nº 14.133, de 2021</w:t>
        </w:r>
      </w:hyperlink>
      <w:r>
        <w:rPr>
          <w:rStyle w:val="Hyperlink"/>
          <w:color w:val="000000" w:themeColor="text1"/>
        </w:rPr>
        <w:t>.</w:t>
      </w:r>
    </w:p>
    <w:p w14:paraId="317E606D"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QUARTA – DA PUBLICAÇÃO</w:t>
      </w:r>
    </w:p>
    <w:p w14:paraId="5845F450" w14:textId="77777777" w:rsidR="00150077"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91" w:anchor="art94" w:history="1">
        <w:r w:rsidR="00150077">
          <w:rPr>
            <w:rStyle w:val="Hyperlink"/>
            <w:rFonts w:ascii="Cambria" w:hAnsi="Cambria"/>
            <w:color w:val="000000" w:themeColor="text1"/>
            <w:sz w:val="24"/>
            <w:szCs w:val="24"/>
          </w:rPr>
          <w:t>artigo 94 da Lei Federal nº 14.133, de 2021</w:t>
        </w:r>
      </w:hyperlink>
      <w:r>
        <w:rPr>
          <w:rFonts w:ascii="Cambria" w:hAnsi="Cambria"/>
          <w:color w:val="000000" w:themeColor="text1"/>
          <w:sz w:val="24"/>
          <w:szCs w:val="24"/>
        </w:rPr>
        <w:t xml:space="preserve">, bem como no respectivo sítio oficial na Internet, em atenção ao caput, do artigo 91, da </w:t>
      </w:r>
      <w:hyperlink r:id="rId92">
        <w:r w:rsidR="00150077">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ao  § 2º, do </w:t>
      </w:r>
      <w:hyperlink r:id="rId93" w:anchor="art8%C2%A72" w:history="1">
        <w:r w:rsidR="00150077">
          <w:rPr>
            <w:rStyle w:val="Hyperlink"/>
            <w:rFonts w:ascii="Cambria" w:hAnsi="Cambria"/>
            <w:color w:val="000000" w:themeColor="text1"/>
            <w:sz w:val="24"/>
            <w:szCs w:val="24"/>
          </w:rPr>
          <w:t>artigo 8º, da Lei n. 12.527, de 2011</w:t>
        </w:r>
      </w:hyperlink>
      <w:r>
        <w:rPr>
          <w:rFonts w:ascii="Cambria" w:hAnsi="Cambria"/>
          <w:color w:val="000000" w:themeColor="text1"/>
          <w:sz w:val="24"/>
          <w:szCs w:val="24"/>
        </w:rPr>
        <w:t xml:space="preserve">, c/c o inciso V, do § 3º, do </w:t>
      </w:r>
      <w:hyperlink r:id="rId94" w:anchor="art7%C2%A73" w:history="1">
        <w:r w:rsidR="00150077">
          <w:rPr>
            <w:rStyle w:val="Hyperlink"/>
            <w:rFonts w:ascii="Cambria" w:hAnsi="Cambria"/>
            <w:color w:val="000000" w:themeColor="text1"/>
            <w:sz w:val="24"/>
            <w:szCs w:val="24"/>
          </w:rPr>
          <w:t>artigo 7º, do Decreto nº 7.724, de 2012</w:t>
        </w:r>
      </w:hyperlink>
      <w:r>
        <w:rPr>
          <w:rFonts w:ascii="Cambria" w:hAnsi="Cambria"/>
          <w:color w:val="000000" w:themeColor="text1"/>
          <w:sz w:val="24"/>
          <w:szCs w:val="24"/>
        </w:rPr>
        <w:t>.</w:t>
      </w:r>
    </w:p>
    <w:p w14:paraId="0EBA7C2E"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QUINTA – DA GESTÃO E FISCALIZAÇÃO DO CONTRATO</w:t>
      </w:r>
    </w:p>
    <w:p w14:paraId="233A9F65" w14:textId="77777777" w:rsidR="00150077" w:rsidRDefault="00000000">
      <w:pPr>
        <w:spacing w:before="240" w:line="360" w:lineRule="auto"/>
        <w:rPr>
          <w:rFonts w:ascii="Cambria" w:hAnsi="Cambria" w:cs="Calibri"/>
          <w:color w:val="000000" w:themeColor="text1"/>
          <w:sz w:val="24"/>
          <w:szCs w:val="24"/>
        </w:rPr>
      </w:pPr>
      <w:r>
        <w:rPr>
          <w:rFonts w:ascii="Cambria" w:hAnsi="Cambria" w:cs="Calibri"/>
          <w:b/>
          <w:bCs/>
          <w:color w:val="000000" w:themeColor="text1"/>
          <w:sz w:val="24"/>
          <w:szCs w:val="24"/>
        </w:rPr>
        <w:t>15.1</w:t>
      </w:r>
      <w:r>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1B019F64"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15.2 </w:t>
      </w:r>
      <w:r>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284C6D90"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15.3 </w:t>
      </w:r>
      <w:r>
        <w:rPr>
          <w:rFonts w:ascii="Cambria" w:hAnsi="Cambria" w:cs="Calibri"/>
          <w:color w:val="000000" w:themeColor="text1"/>
          <w:sz w:val="24"/>
          <w:szCs w:val="24"/>
        </w:rPr>
        <w:t xml:space="preserve">As comunicações entre 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e 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devem ser realizadas por escrito sempre que o ato exigir tal formalidade, admitindo-se o uso de mensagem eletrônica para esse fim.</w:t>
      </w:r>
    </w:p>
    <w:p w14:paraId="1713E390"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15.4 </w:t>
      </w:r>
      <w:r>
        <w:rPr>
          <w:rFonts w:ascii="Cambria" w:hAnsi="Cambria" w:cs="Calibri"/>
          <w:color w:val="000000" w:themeColor="text1"/>
          <w:sz w:val="24"/>
          <w:szCs w:val="24"/>
        </w:rPr>
        <w:t xml:space="preserve">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poderá convocar o representante do(a)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para adoção de providências que devam ser cumpridas de imediato.</w:t>
      </w:r>
    </w:p>
    <w:p w14:paraId="710DD244"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15.5 </w:t>
      </w:r>
      <w:r>
        <w:rPr>
          <w:rFonts w:ascii="Cambria" w:hAnsi="Cambria" w:cs="Calibri"/>
          <w:color w:val="000000" w:themeColor="text1"/>
          <w:sz w:val="24"/>
          <w:szCs w:val="24"/>
        </w:rPr>
        <w:t>A execução do contrato deverá ser acompanhada e fiscalizada pelo(s) fiscal(</w:t>
      </w:r>
      <w:proofErr w:type="spellStart"/>
      <w:r>
        <w:rPr>
          <w:rFonts w:ascii="Cambria" w:hAnsi="Cambria" w:cs="Calibri"/>
          <w:color w:val="000000" w:themeColor="text1"/>
          <w:sz w:val="24"/>
          <w:szCs w:val="24"/>
        </w:rPr>
        <w:t>is</w:t>
      </w:r>
      <w:proofErr w:type="spellEnd"/>
      <w:r>
        <w:rPr>
          <w:rFonts w:ascii="Cambria" w:hAnsi="Cambria" w:cs="Calibri"/>
          <w:color w:val="000000" w:themeColor="text1"/>
          <w:sz w:val="24"/>
          <w:szCs w:val="24"/>
        </w:rPr>
        <w:t>) do contrato, ou pelos respectivos substitutos (Lei nº 14.133, de 2021, art. 117, caput).</w:t>
      </w:r>
    </w:p>
    <w:p w14:paraId="3A487B6E"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15.6 </w:t>
      </w:r>
      <w:r>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09B40734"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15.7 </w:t>
      </w:r>
      <w:r>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5A84FA01"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15.8 </w:t>
      </w:r>
      <w:r>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3A77E755"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15.9 </w:t>
      </w:r>
      <w:r>
        <w:rPr>
          <w:rFonts w:ascii="Cambria" w:hAnsi="Cambria" w:cs="Calibri"/>
          <w:color w:val="000000" w:themeColor="text1"/>
          <w:sz w:val="24"/>
          <w:szCs w:val="24"/>
        </w:rPr>
        <w:t xml:space="preserve">O gestor do contrato verificará a manutenção das condições de habilitação do(a) </w:t>
      </w:r>
      <w:r>
        <w:rPr>
          <w:rFonts w:ascii="Cambria" w:hAnsi="Cambria" w:cs="Calibri,Bold"/>
          <w:color w:val="000000" w:themeColor="text1"/>
          <w:sz w:val="24"/>
          <w:szCs w:val="24"/>
        </w:rPr>
        <w:t>contratado(a)</w:t>
      </w:r>
      <w:r>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24F28218"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15.10 </w:t>
      </w:r>
      <w:r>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0675A0DF"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15.11 </w:t>
      </w:r>
      <w:r>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9A94FCB"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15.12 </w:t>
      </w:r>
      <w:r>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F671536"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15.13 </w:t>
      </w:r>
      <w:r>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50A572C3" w14:textId="77777777" w:rsidR="00150077"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15.14 </w:t>
      </w:r>
      <w:r>
        <w:rPr>
          <w:rFonts w:ascii="Cambria" w:hAnsi="Cambria" w:cs="Calibri"/>
          <w:color w:val="000000" w:themeColor="text1"/>
          <w:sz w:val="24"/>
          <w:szCs w:val="24"/>
        </w:rPr>
        <w:t xml:space="preserve">A fiscalização de que trata este item não exclui nem reduz a responsabilidade do(a) </w:t>
      </w:r>
      <w:r>
        <w:rPr>
          <w:rFonts w:ascii="Cambria" w:hAnsi="Cambria" w:cs="Calibri,Bold"/>
          <w:color w:val="000000" w:themeColor="text1"/>
          <w:sz w:val="24"/>
          <w:szCs w:val="24"/>
        </w:rPr>
        <w:t>contratado(a)</w:t>
      </w:r>
      <w:r>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76307AE1" w14:textId="77777777" w:rsidR="0015007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SEXTA – DO FORO</w:t>
      </w:r>
    </w:p>
    <w:p w14:paraId="3CE6F3FD" w14:textId="77777777" w:rsidR="00150077"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032AFA45" w14:textId="77777777" w:rsidR="00150077" w:rsidRDefault="00000000">
      <w:pPr>
        <w:pStyle w:val="NormalWeb"/>
        <w:spacing w:before="240" w:beforeAutospacing="0" w:after="240" w:afterAutospacing="0" w:line="360" w:lineRule="auto"/>
        <w:jc w:val="both"/>
        <w:rPr>
          <w:rFonts w:ascii="Cambria" w:hAnsi="Cambria"/>
          <w:color w:val="000000" w:themeColor="text1"/>
        </w:rPr>
      </w:pPr>
      <w:r>
        <w:rPr>
          <w:rFonts w:ascii="Cambria" w:hAnsi="Cambria"/>
          <w:b/>
          <w:color w:val="000000" w:themeColor="text1"/>
        </w:rPr>
        <w:t>16.2</w:t>
      </w:r>
      <w:r>
        <w:rPr>
          <w:rFonts w:ascii="Cambria" w:hAnsi="Cambria"/>
          <w:color w:val="000000" w:themeColor="text1"/>
        </w:rPr>
        <w:t xml:space="preserve"> E por estarem de acordo, depois de lido e achado conforme o presente termo, lavrado em 03 (três) vias de igual teor e forma, assinam as partes abaixo:</w:t>
      </w:r>
    </w:p>
    <w:p w14:paraId="22CFD5E0" w14:textId="77777777" w:rsidR="00150077" w:rsidRDefault="00000000">
      <w:pPr>
        <w:spacing w:before="240" w:after="240" w:line="360" w:lineRule="auto"/>
        <w:jc w:val="right"/>
        <w:rPr>
          <w:rFonts w:ascii="Cambria" w:hAnsi="Cambria"/>
          <w:color w:val="000000" w:themeColor="text1"/>
          <w:sz w:val="24"/>
          <w:szCs w:val="24"/>
        </w:rPr>
      </w:pPr>
      <w:r>
        <w:rPr>
          <w:rFonts w:ascii="Cambria" w:hAnsi="Cambria"/>
          <w:sz w:val="24"/>
          <w:szCs w:val="24"/>
        </w:rPr>
        <w:t xml:space="preserve">Piracanjuba, </w:t>
      </w:r>
      <w:r>
        <w:rPr>
          <w:rFonts w:ascii="Cambria" w:hAnsi="Cambria"/>
          <w:color w:val="000000" w:themeColor="text1"/>
          <w:sz w:val="24"/>
          <w:szCs w:val="24"/>
        </w:rPr>
        <w:t>aos ____ dias do mês de _______ do ano de 2026.</w:t>
      </w:r>
    </w:p>
    <w:p w14:paraId="1A4CBDAF" w14:textId="77777777" w:rsidR="00150077" w:rsidRDefault="00150077">
      <w:pPr>
        <w:spacing w:before="240" w:after="240" w:line="360" w:lineRule="auto"/>
        <w:jc w:val="right"/>
        <w:rPr>
          <w:rFonts w:ascii="Cambria" w:hAnsi="Cambria"/>
          <w:color w:val="000000" w:themeColor="text1"/>
          <w:sz w:val="24"/>
          <w:szCs w:val="24"/>
        </w:rPr>
      </w:pPr>
    </w:p>
    <w:p w14:paraId="0D159BBF" w14:textId="77777777" w:rsidR="00150077"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lastRenderedPageBreak/>
        <w:t>_____________________________</w:t>
      </w:r>
    </w:p>
    <w:p w14:paraId="1104B892" w14:textId="77777777" w:rsidR="00150077"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Contratante</w:t>
      </w:r>
    </w:p>
    <w:p w14:paraId="7D2965C5" w14:textId="77777777" w:rsidR="00150077"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____________________________</w:t>
      </w:r>
    </w:p>
    <w:p w14:paraId="38322144" w14:textId="77777777" w:rsidR="00150077"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Contratada</w:t>
      </w:r>
    </w:p>
    <w:p w14:paraId="7632FA5A" w14:textId="77777777" w:rsidR="00150077" w:rsidRDefault="00150077">
      <w:pPr>
        <w:pStyle w:val="NormalWeb"/>
        <w:spacing w:before="0" w:beforeAutospacing="0" w:after="0" w:afterAutospacing="0" w:line="360" w:lineRule="auto"/>
        <w:jc w:val="center"/>
        <w:rPr>
          <w:rFonts w:ascii="Cambria" w:hAnsi="Cambria"/>
          <w:color w:val="000000" w:themeColor="text1"/>
        </w:rPr>
      </w:pPr>
    </w:p>
    <w:p w14:paraId="1CBB47EF" w14:textId="77777777" w:rsidR="00150077"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Testemunha:</w:t>
      </w:r>
    </w:p>
    <w:p w14:paraId="57C34B67" w14:textId="77777777" w:rsidR="00150077"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01)                                                                                02)</w:t>
      </w:r>
    </w:p>
    <w:p w14:paraId="7A30955E" w14:textId="77777777" w:rsidR="00150077" w:rsidRDefault="00150077">
      <w:pPr>
        <w:pStyle w:val="NormalWeb"/>
        <w:spacing w:before="0" w:beforeAutospacing="0" w:after="0" w:afterAutospacing="0" w:line="360" w:lineRule="auto"/>
        <w:rPr>
          <w:rFonts w:ascii="Cambria" w:hAnsi="Cambria"/>
          <w:b/>
          <w:bCs/>
          <w:color w:val="000000" w:themeColor="text1"/>
        </w:rPr>
      </w:pPr>
    </w:p>
    <w:p w14:paraId="34DF2704" w14:textId="77777777" w:rsidR="00150077" w:rsidRDefault="00000000">
      <w:pPr>
        <w:rPr>
          <w:rFonts w:ascii="Cambria" w:eastAsia="Times New Roman" w:hAnsi="Cambria" w:cs="Arial"/>
          <w:b/>
          <w:bCs/>
          <w:sz w:val="24"/>
          <w:szCs w:val="24"/>
          <w:u w:val="single"/>
          <w:lang w:eastAsia="pt-BR"/>
        </w:rPr>
      </w:pPr>
      <w:bookmarkStart w:id="96" w:name="_Hlk194649076"/>
      <w:r>
        <w:br w:type="page"/>
      </w:r>
    </w:p>
    <w:p w14:paraId="6FE8A5A2" w14:textId="77777777" w:rsidR="00150077"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31/2026</w:t>
      </w:r>
    </w:p>
    <w:p w14:paraId="735FFDD5" w14:textId="193DE8A4" w:rsidR="00511F57" w:rsidRDefault="00511F57">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t>ANEXO VIII</w:t>
      </w:r>
    </w:p>
    <w:p w14:paraId="1D23C7FA" w14:textId="7B425CFC" w:rsidR="00511F57" w:rsidRDefault="00511F57">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t>MATRIZ DE RISCO</w:t>
      </w:r>
    </w:p>
    <w:bookmarkEnd w:id="96"/>
    <w:p w14:paraId="006A9EF1" w14:textId="55978311" w:rsidR="00150077" w:rsidRPr="00511F57" w:rsidRDefault="00511F57" w:rsidP="00511F57">
      <w:pPr>
        <w:shd w:val="clear" w:color="auto" w:fill="A6A6A6" w:themeFill="background1" w:themeFillShade="A6"/>
        <w:rPr>
          <w:rFonts w:ascii="Cambria" w:hAnsi="Cambria"/>
          <w:b/>
          <w:bCs/>
          <w:color w:val="000000" w:themeColor="text1"/>
          <w:sz w:val="24"/>
          <w:szCs w:val="24"/>
        </w:rPr>
      </w:pPr>
      <w:r w:rsidRPr="00511F57">
        <w:rPr>
          <w:rFonts w:ascii="Cambria" w:hAnsi="Cambria"/>
          <w:b/>
          <w:bCs/>
          <w:color w:val="000000" w:themeColor="text1"/>
          <w:sz w:val="24"/>
          <w:szCs w:val="24"/>
        </w:rPr>
        <w:t xml:space="preserve">1. </w:t>
      </w:r>
      <w:r w:rsidR="00000000" w:rsidRPr="00511F57">
        <w:rPr>
          <w:rFonts w:ascii="Cambria" w:hAnsi="Cambria"/>
          <w:b/>
          <w:bCs/>
          <w:color w:val="000000" w:themeColor="text1"/>
          <w:sz w:val="24"/>
          <w:szCs w:val="24"/>
        </w:rPr>
        <w:t>OBJETO</w:t>
      </w:r>
    </w:p>
    <w:p w14:paraId="15602918" w14:textId="77777777" w:rsidR="00150077" w:rsidRPr="00511F57" w:rsidRDefault="00000000" w:rsidP="00511F57">
      <w:pPr>
        <w:rPr>
          <w:rFonts w:ascii="Cambria" w:hAnsi="Cambria"/>
          <w:sz w:val="24"/>
          <w:szCs w:val="24"/>
        </w:rPr>
      </w:pPr>
      <w:r w:rsidRPr="00511F57">
        <w:rPr>
          <w:rFonts w:ascii="Cambria" w:hAnsi="Cambria"/>
          <w:sz w:val="24"/>
          <w:szCs w:val="24"/>
        </w:rPr>
        <w:t xml:space="preserve">Sistema de Registro de Preços para parcelada, eventual e futura aquisição de solução completa de visualização e sinalização digital (Digital </w:t>
      </w:r>
      <w:proofErr w:type="spellStart"/>
      <w:r w:rsidRPr="00511F57">
        <w:rPr>
          <w:rFonts w:ascii="Cambria" w:hAnsi="Cambria"/>
          <w:sz w:val="24"/>
          <w:szCs w:val="24"/>
        </w:rPr>
        <w:t>Signage</w:t>
      </w:r>
      <w:proofErr w:type="spellEnd"/>
      <w:r w:rsidRPr="00511F57">
        <w:rPr>
          <w:rFonts w:ascii="Cambria" w:hAnsi="Cambria"/>
          <w:sz w:val="24"/>
          <w:szCs w:val="24"/>
        </w:rPr>
        <w:t>), composta por painel de LED modular de alta performance híbrido (indoor/outdoor), projetado para operação em eventos culturais e ambientes institucionais, atendendo às necessidades da Secretaria Municipal de Cultura de Piracanjuba/GO.</w:t>
      </w:r>
    </w:p>
    <w:p w14:paraId="25153146" w14:textId="593D6427" w:rsidR="00150077" w:rsidRPr="00511F57" w:rsidRDefault="00511F57" w:rsidP="00511F57">
      <w:pPr>
        <w:shd w:val="clear" w:color="auto" w:fill="A6A6A6" w:themeFill="background1" w:themeFillShade="A6"/>
        <w:rPr>
          <w:rFonts w:ascii="Cambria" w:hAnsi="Cambria"/>
          <w:b/>
          <w:bCs/>
          <w:color w:val="000000" w:themeColor="text1"/>
          <w:sz w:val="24"/>
          <w:szCs w:val="24"/>
        </w:rPr>
      </w:pPr>
      <w:r>
        <w:rPr>
          <w:rFonts w:ascii="Cambria" w:hAnsi="Cambria"/>
          <w:b/>
          <w:bCs/>
          <w:color w:val="000000" w:themeColor="text1"/>
          <w:sz w:val="24"/>
          <w:szCs w:val="24"/>
        </w:rPr>
        <w:t xml:space="preserve">2. </w:t>
      </w:r>
      <w:r w:rsidR="00000000" w:rsidRPr="00511F57">
        <w:rPr>
          <w:rFonts w:ascii="Cambria" w:hAnsi="Cambria"/>
          <w:b/>
          <w:bCs/>
          <w:color w:val="000000" w:themeColor="text1"/>
          <w:sz w:val="24"/>
          <w:szCs w:val="24"/>
        </w:rPr>
        <w:t>MATRIZ DE RISCOS</w:t>
      </w:r>
    </w:p>
    <w:tbl>
      <w:tblPr>
        <w:tblStyle w:val="Tabelacomgrade"/>
        <w:tblW w:w="9351" w:type="dxa"/>
        <w:tblLayout w:type="fixed"/>
        <w:tblLook w:val="04A0" w:firstRow="1" w:lastRow="0" w:firstColumn="1" w:lastColumn="0" w:noHBand="0" w:noVBand="1"/>
      </w:tblPr>
      <w:tblGrid>
        <w:gridCol w:w="1697"/>
        <w:gridCol w:w="993"/>
        <w:gridCol w:w="850"/>
        <w:gridCol w:w="1417"/>
        <w:gridCol w:w="2127"/>
        <w:gridCol w:w="2267"/>
      </w:tblGrid>
      <w:tr w:rsidR="00150077" w:rsidRPr="00511F57" w14:paraId="1E8C1D88" w14:textId="77777777">
        <w:tc>
          <w:tcPr>
            <w:tcW w:w="1696" w:type="dxa"/>
            <w:vAlign w:val="center"/>
          </w:tcPr>
          <w:p w14:paraId="39100835" w14:textId="77777777" w:rsidR="00150077" w:rsidRPr="00511F57" w:rsidRDefault="00000000" w:rsidP="00511F57">
            <w:pPr>
              <w:rPr>
                <w:rFonts w:ascii="Cambria" w:hAnsi="Cambria"/>
                <w:color w:val="000000" w:themeColor="text1"/>
              </w:rPr>
            </w:pPr>
            <w:r w:rsidRPr="00511F57">
              <w:rPr>
                <w:rStyle w:val="Forte"/>
                <w:rFonts w:ascii="Cambria" w:eastAsia="Calibri" w:hAnsi="Cambria" w:cs="Times New Roman"/>
              </w:rPr>
              <w:t>Risco</w:t>
            </w:r>
          </w:p>
        </w:tc>
        <w:tc>
          <w:tcPr>
            <w:tcW w:w="993" w:type="dxa"/>
            <w:vAlign w:val="center"/>
          </w:tcPr>
          <w:p w14:paraId="3717BD2C" w14:textId="77777777" w:rsidR="00150077" w:rsidRPr="00511F57" w:rsidRDefault="00000000" w:rsidP="00511F57">
            <w:pPr>
              <w:rPr>
                <w:rFonts w:ascii="Cambria" w:hAnsi="Cambria"/>
                <w:color w:val="000000" w:themeColor="text1"/>
                <w:szCs w:val="22"/>
              </w:rPr>
            </w:pPr>
            <w:proofErr w:type="spellStart"/>
            <w:r w:rsidRPr="00511F57">
              <w:rPr>
                <w:rFonts w:ascii="Cambria" w:hAnsi="Cambria"/>
                <w:color w:val="000000" w:themeColor="text1"/>
                <w:szCs w:val="22"/>
              </w:rPr>
              <w:t>Probab</w:t>
            </w:r>
            <w:proofErr w:type="spellEnd"/>
          </w:p>
        </w:tc>
        <w:tc>
          <w:tcPr>
            <w:tcW w:w="850" w:type="dxa"/>
            <w:vAlign w:val="center"/>
          </w:tcPr>
          <w:p w14:paraId="24C10FF6" w14:textId="77777777" w:rsidR="00150077" w:rsidRPr="00511F57" w:rsidRDefault="00000000" w:rsidP="00511F57">
            <w:pPr>
              <w:rPr>
                <w:rFonts w:ascii="Cambria" w:hAnsi="Cambria"/>
                <w:color w:val="000000" w:themeColor="text1"/>
                <w:szCs w:val="22"/>
              </w:rPr>
            </w:pPr>
            <w:r w:rsidRPr="00511F57">
              <w:rPr>
                <w:rFonts w:ascii="Cambria" w:hAnsi="Cambria"/>
                <w:color w:val="000000" w:themeColor="text1"/>
                <w:szCs w:val="22"/>
              </w:rPr>
              <w:t>Impacto</w:t>
            </w:r>
          </w:p>
        </w:tc>
        <w:tc>
          <w:tcPr>
            <w:tcW w:w="1417" w:type="dxa"/>
            <w:vAlign w:val="center"/>
          </w:tcPr>
          <w:p w14:paraId="1D8E1514" w14:textId="77777777" w:rsidR="00150077" w:rsidRPr="00511F57" w:rsidRDefault="00000000" w:rsidP="00511F57">
            <w:pPr>
              <w:rPr>
                <w:rFonts w:ascii="Cambria" w:hAnsi="Cambria"/>
                <w:color w:val="000000" w:themeColor="text1"/>
                <w:szCs w:val="22"/>
              </w:rPr>
            </w:pPr>
            <w:r w:rsidRPr="00511F57">
              <w:rPr>
                <w:rFonts w:ascii="Cambria" w:hAnsi="Cambria"/>
                <w:color w:val="000000" w:themeColor="text1"/>
                <w:szCs w:val="22"/>
              </w:rPr>
              <w:t>Responsável</w:t>
            </w:r>
          </w:p>
        </w:tc>
        <w:tc>
          <w:tcPr>
            <w:tcW w:w="2127" w:type="dxa"/>
            <w:vAlign w:val="center"/>
          </w:tcPr>
          <w:p w14:paraId="6ECB6965" w14:textId="77777777" w:rsidR="00150077" w:rsidRPr="00511F57" w:rsidRDefault="00000000" w:rsidP="00511F57">
            <w:pPr>
              <w:rPr>
                <w:rFonts w:ascii="Cambria" w:hAnsi="Cambria"/>
                <w:color w:val="000000" w:themeColor="text1"/>
                <w:szCs w:val="22"/>
              </w:rPr>
            </w:pPr>
            <w:r w:rsidRPr="00511F57">
              <w:rPr>
                <w:rFonts w:ascii="Cambria" w:hAnsi="Cambria"/>
                <w:color w:val="000000" w:themeColor="text1"/>
                <w:szCs w:val="22"/>
              </w:rPr>
              <w:t>Medidas Preventivas</w:t>
            </w:r>
          </w:p>
        </w:tc>
        <w:tc>
          <w:tcPr>
            <w:tcW w:w="2267" w:type="dxa"/>
            <w:vAlign w:val="center"/>
          </w:tcPr>
          <w:p w14:paraId="0C972C53" w14:textId="77777777" w:rsidR="00150077" w:rsidRPr="00511F57" w:rsidRDefault="00000000" w:rsidP="00511F57">
            <w:pPr>
              <w:rPr>
                <w:rFonts w:ascii="Cambria" w:hAnsi="Cambria"/>
                <w:color w:val="000000" w:themeColor="text1"/>
                <w:szCs w:val="22"/>
              </w:rPr>
            </w:pPr>
            <w:r w:rsidRPr="00511F57">
              <w:rPr>
                <w:rFonts w:ascii="Cambria" w:hAnsi="Cambria"/>
                <w:color w:val="000000" w:themeColor="text1"/>
                <w:szCs w:val="22"/>
              </w:rPr>
              <w:t>Plano de Contingência</w:t>
            </w:r>
          </w:p>
        </w:tc>
      </w:tr>
      <w:tr w:rsidR="00150077" w:rsidRPr="00511F57" w14:paraId="7636B1B2" w14:textId="77777777">
        <w:tc>
          <w:tcPr>
            <w:tcW w:w="1696" w:type="dxa"/>
          </w:tcPr>
          <w:p w14:paraId="0055B8C9" w14:textId="77777777" w:rsidR="00150077" w:rsidRPr="00511F57" w:rsidRDefault="00000000" w:rsidP="00511F57">
            <w:pPr>
              <w:rPr>
                <w:rFonts w:ascii="Cambria" w:hAnsi="Cambria"/>
              </w:rPr>
            </w:pPr>
            <w:r w:rsidRPr="00511F57">
              <w:rPr>
                <w:rFonts w:ascii="Cambria" w:hAnsi="Cambria"/>
              </w:rPr>
              <w:t>Especificações técnicas insuficientes ou incompatíveis com a necessidade da Administração</w:t>
            </w:r>
          </w:p>
        </w:tc>
        <w:tc>
          <w:tcPr>
            <w:tcW w:w="993" w:type="dxa"/>
          </w:tcPr>
          <w:p w14:paraId="739EAA58" w14:textId="77777777" w:rsidR="00150077" w:rsidRPr="00511F57" w:rsidRDefault="00000000" w:rsidP="00511F57">
            <w:pPr>
              <w:rPr>
                <w:rFonts w:ascii="Cambria" w:hAnsi="Cambria"/>
              </w:rPr>
            </w:pPr>
            <w:r w:rsidRPr="00511F57">
              <w:rPr>
                <w:rFonts w:ascii="Cambria" w:hAnsi="Cambria"/>
              </w:rPr>
              <w:t>Baixa</w:t>
            </w:r>
          </w:p>
        </w:tc>
        <w:tc>
          <w:tcPr>
            <w:tcW w:w="850" w:type="dxa"/>
          </w:tcPr>
          <w:p w14:paraId="28F9DC12" w14:textId="77777777" w:rsidR="00150077" w:rsidRPr="00511F57" w:rsidRDefault="00000000" w:rsidP="00511F57">
            <w:pPr>
              <w:rPr>
                <w:rFonts w:ascii="Cambria" w:hAnsi="Cambria"/>
              </w:rPr>
            </w:pPr>
            <w:r w:rsidRPr="00511F57">
              <w:rPr>
                <w:rFonts w:ascii="Cambria" w:hAnsi="Cambria"/>
              </w:rPr>
              <w:t>Alto</w:t>
            </w:r>
          </w:p>
        </w:tc>
        <w:tc>
          <w:tcPr>
            <w:tcW w:w="1417" w:type="dxa"/>
          </w:tcPr>
          <w:p w14:paraId="147C6832" w14:textId="77777777" w:rsidR="00150077" w:rsidRPr="00511F57" w:rsidRDefault="00000000" w:rsidP="00511F57">
            <w:pPr>
              <w:rPr>
                <w:rFonts w:ascii="Cambria" w:hAnsi="Cambria"/>
              </w:rPr>
            </w:pPr>
            <w:r w:rsidRPr="00511F57">
              <w:rPr>
                <w:rFonts w:ascii="Cambria" w:hAnsi="Cambria"/>
              </w:rPr>
              <w:t>Administração</w:t>
            </w:r>
          </w:p>
        </w:tc>
        <w:tc>
          <w:tcPr>
            <w:tcW w:w="2127" w:type="dxa"/>
          </w:tcPr>
          <w:p w14:paraId="03B60ED9" w14:textId="77777777" w:rsidR="00150077" w:rsidRPr="00511F57" w:rsidRDefault="00000000" w:rsidP="00511F57">
            <w:pPr>
              <w:rPr>
                <w:rFonts w:ascii="Cambria" w:hAnsi="Cambria"/>
              </w:rPr>
            </w:pPr>
            <w:r w:rsidRPr="00511F57">
              <w:rPr>
                <w:rFonts w:ascii="Cambria" w:hAnsi="Cambria"/>
              </w:rPr>
              <w:t>Elaboração do Estudo Técnico Preliminar e Termo de Referência com especificações detalhadas e pesquisa de mercado.</w:t>
            </w:r>
          </w:p>
        </w:tc>
        <w:tc>
          <w:tcPr>
            <w:tcW w:w="2267" w:type="dxa"/>
          </w:tcPr>
          <w:p w14:paraId="7A6455A6" w14:textId="77777777" w:rsidR="00150077" w:rsidRPr="00511F57" w:rsidRDefault="00000000" w:rsidP="00511F57">
            <w:pPr>
              <w:rPr>
                <w:rFonts w:ascii="Cambria" w:hAnsi="Cambria"/>
              </w:rPr>
            </w:pPr>
            <w:r w:rsidRPr="00511F57">
              <w:rPr>
                <w:rFonts w:ascii="Cambria" w:hAnsi="Cambria"/>
              </w:rPr>
              <w:t>Revisão das especificações antes da contratação ou revogação/anulação do certame, quando cabível.</w:t>
            </w:r>
          </w:p>
        </w:tc>
      </w:tr>
      <w:tr w:rsidR="00150077" w:rsidRPr="00511F57" w14:paraId="6F9FE733" w14:textId="77777777">
        <w:tc>
          <w:tcPr>
            <w:tcW w:w="1696" w:type="dxa"/>
          </w:tcPr>
          <w:p w14:paraId="2B4BE530" w14:textId="77777777" w:rsidR="00150077" w:rsidRPr="00511F57" w:rsidRDefault="00000000" w:rsidP="00511F57">
            <w:pPr>
              <w:rPr>
                <w:rFonts w:ascii="Cambria" w:hAnsi="Cambria"/>
              </w:rPr>
            </w:pPr>
            <w:r w:rsidRPr="00511F57">
              <w:rPr>
                <w:rFonts w:ascii="Cambria" w:hAnsi="Cambria"/>
              </w:rPr>
              <w:t>Entrega dos equipamentos fora do prazo contratado</w:t>
            </w:r>
          </w:p>
        </w:tc>
        <w:tc>
          <w:tcPr>
            <w:tcW w:w="993" w:type="dxa"/>
          </w:tcPr>
          <w:p w14:paraId="19A42F18" w14:textId="77777777" w:rsidR="00150077" w:rsidRPr="00511F57" w:rsidRDefault="00000000" w:rsidP="00511F57">
            <w:pPr>
              <w:rPr>
                <w:rFonts w:ascii="Cambria" w:hAnsi="Cambria"/>
              </w:rPr>
            </w:pPr>
            <w:r w:rsidRPr="00511F57">
              <w:rPr>
                <w:rFonts w:ascii="Cambria" w:hAnsi="Cambria"/>
              </w:rPr>
              <w:t>Média</w:t>
            </w:r>
          </w:p>
        </w:tc>
        <w:tc>
          <w:tcPr>
            <w:tcW w:w="850" w:type="dxa"/>
          </w:tcPr>
          <w:p w14:paraId="4AAF583A" w14:textId="77777777" w:rsidR="00150077" w:rsidRPr="00511F57" w:rsidRDefault="00000000" w:rsidP="00511F57">
            <w:pPr>
              <w:rPr>
                <w:rFonts w:ascii="Cambria" w:hAnsi="Cambria"/>
              </w:rPr>
            </w:pPr>
            <w:r w:rsidRPr="00511F57">
              <w:rPr>
                <w:rFonts w:ascii="Cambria" w:hAnsi="Cambria"/>
              </w:rPr>
              <w:t>Alto</w:t>
            </w:r>
          </w:p>
        </w:tc>
        <w:tc>
          <w:tcPr>
            <w:tcW w:w="1417" w:type="dxa"/>
          </w:tcPr>
          <w:p w14:paraId="43D87EDD"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6387BD4C" w14:textId="77777777" w:rsidR="00150077" w:rsidRPr="00511F57" w:rsidRDefault="00000000" w:rsidP="00511F57">
            <w:pPr>
              <w:rPr>
                <w:rFonts w:ascii="Cambria" w:hAnsi="Cambria"/>
              </w:rPr>
            </w:pPr>
            <w:r w:rsidRPr="00511F57">
              <w:rPr>
                <w:rFonts w:ascii="Cambria" w:hAnsi="Cambria"/>
              </w:rPr>
              <w:t>Definição de prazo compatível e aplicação das sanções previstas no edital e contrato.</w:t>
            </w:r>
          </w:p>
        </w:tc>
        <w:tc>
          <w:tcPr>
            <w:tcW w:w="2267" w:type="dxa"/>
          </w:tcPr>
          <w:p w14:paraId="697604B8" w14:textId="77777777" w:rsidR="00150077" w:rsidRPr="00511F57" w:rsidRDefault="00000000" w:rsidP="00511F57">
            <w:pPr>
              <w:rPr>
                <w:rFonts w:ascii="Cambria" w:hAnsi="Cambria"/>
              </w:rPr>
            </w:pPr>
            <w:r w:rsidRPr="00511F57">
              <w:rPr>
                <w:rFonts w:ascii="Cambria" w:hAnsi="Cambria"/>
              </w:rPr>
              <w:t>Notificação da contratada, aplicação de penalidades e convocação do fornecedor remanescente, quando cabível.</w:t>
            </w:r>
          </w:p>
        </w:tc>
      </w:tr>
      <w:tr w:rsidR="00150077" w:rsidRPr="00511F57" w14:paraId="6FE40DDE" w14:textId="77777777">
        <w:tc>
          <w:tcPr>
            <w:tcW w:w="1696" w:type="dxa"/>
          </w:tcPr>
          <w:p w14:paraId="64757FFE" w14:textId="77777777" w:rsidR="00150077" w:rsidRPr="00511F57" w:rsidRDefault="00000000" w:rsidP="00511F57">
            <w:pPr>
              <w:rPr>
                <w:rFonts w:ascii="Cambria" w:hAnsi="Cambria"/>
              </w:rPr>
            </w:pPr>
            <w:r w:rsidRPr="00511F57">
              <w:rPr>
                <w:rFonts w:ascii="Cambria" w:hAnsi="Cambria"/>
              </w:rPr>
              <w:t>Fornecimento de painel de LED em desacordo com as especificações técnicas</w:t>
            </w:r>
          </w:p>
        </w:tc>
        <w:tc>
          <w:tcPr>
            <w:tcW w:w="993" w:type="dxa"/>
          </w:tcPr>
          <w:p w14:paraId="0ABC25D8" w14:textId="77777777" w:rsidR="00150077" w:rsidRPr="00511F57" w:rsidRDefault="00000000" w:rsidP="00511F57">
            <w:pPr>
              <w:rPr>
                <w:rFonts w:ascii="Cambria" w:hAnsi="Cambria"/>
              </w:rPr>
            </w:pPr>
            <w:r w:rsidRPr="00511F57">
              <w:rPr>
                <w:rFonts w:ascii="Cambria" w:hAnsi="Cambria"/>
              </w:rPr>
              <w:t>Média</w:t>
            </w:r>
          </w:p>
        </w:tc>
        <w:tc>
          <w:tcPr>
            <w:tcW w:w="850" w:type="dxa"/>
          </w:tcPr>
          <w:p w14:paraId="6F047887" w14:textId="77777777" w:rsidR="00150077" w:rsidRPr="00511F57" w:rsidRDefault="00000000" w:rsidP="00511F57">
            <w:pPr>
              <w:rPr>
                <w:rFonts w:ascii="Cambria" w:hAnsi="Cambria"/>
              </w:rPr>
            </w:pPr>
            <w:r w:rsidRPr="00511F57">
              <w:rPr>
                <w:rFonts w:ascii="Cambria" w:hAnsi="Cambria"/>
              </w:rPr>
              <w:t>Alto</w:t>
            </w:r>
          </w:p>
        </w:tc>
        <w:tc>
          <w:tcPr>
            <w:tcW w:w="1417" w:type="dxa"/>
          </w:tcPr>
          <w:p w14:paraId="1990C191"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615E8827" w14:textId="77777777" w:rsidR="00150077" w:rsidRPr="00511F57" w:rsidRDefault="00000000" w:rsidP="00511F57">
            <w:pPr>
              <w:rPr>
                <w:rFonts w:ascii="Cambria" w:hAnsi="Cambria"/>
              </w:rPr>
            </w:pPr>
            <w:r w:rsidRPr="00511F57">
              <w:rPr>
                <w:rFonts w:ascii="Cambria" w:hAnsi="Cambria"/>
              </w:rPr>
              <w:t>Exigência de catálogo técnico, certificações, fichas técnicas e garantia mínima.</w:t>
            </w:r>
          </w:p>
        </w:tc>
        <w:tc>
          <w:tcPr>
            <w:tcW w:w="2267" w:type="dxa"/>
          </w:tcPr>
          <w:p w14:paraId="029A2E04" w14:textId="77777777" w:rsidR="00150077" w:rsidRPr="00511F57" w:rsidRDefault="00000000" w:rsidP="00511F57">
            <w:pPr>
              <w:rPr>
                <w:rFonts w:ascii="Cambria" w:hAnsi="Cambria"/>
              </w:rPr>
            </w:pPr>
            <w:r w:rsidRPr="00511F57">
              <w:rPr>
                <w:rFonts w:ascii="Cambria" w:hAnsi="Cambria"/>
              </w:rPr>
              <w:t>Recusa do material, substituição imediata e aplicação das penalidades contratuais.</w:t>
            </w:r>
          </w:p>
        </w:tc>
      </w:tr>
      <w:tr w:rsidR="00150077" w:rsidRPr="00511F57" w14:paraId="6384FAE2" w14:textId="77777777">
        <w:tc>
          <w:tcPr>
            <w:tcW w:w="1696" w:type="dxa"/>
          </w:tcPr>
          <w:p w14:paraId="1AF4E342" w14:textId="77777777" w:rsidR="00150077" w:rsidRPr="00511F57" w:rsidRDefault="00000000" w:rsidP="00511F57">
            <w:pPr>
              <w:rPr>
                <w:rFonts w:ascii="Cambria" w:hAnsi="Cambria"/>
              </w:rPr>
            </w:pPr>
            <w:r w:rsidRPr="00511F57">
              <w:rPr>
                <w:rFonts w:ascii="Cambria" w:hAnsi="Cambria"/>
              </w:rPr>
              <w:t xml:space="preserve">Defeitos de fabricação durante o </w:t>
            </w:r>
            <w:r w:rsidRPr="00511F57">
              <w:rPr>
                <w:rFonts w:ascii="Cambria" w:hAnsi="Cambria"/>
              </w:rPr>
              <w:lastRenderedPageBreak/>
              <w:t>período de garantia</w:t>
            </w:r>
          </w:p>
        </w:tc>
        <w:tc>
          <w:tcPr>
            <w:tcW w:w="993" w:type="dxa"/>
          </w:tcPr>
          <w:p w14:paraId="3FBF0ADB" w14:textId="77777777" w:rsidR="00150077" w:rsidRPr="00511F57" w:rsidRDefault="00000000" w:rsidP="00511F57">
            <w:pPr>
              <w:rPr>
                <w:rFonts w:ascii="Cambria" w:hAnsi="Cambria"/>
              </w:rPr>
            </w:pPr>
            <w:r w:rsidRPr="00511F57">
              <w:rPr>
                <w:rFonts w:ascii="Cambria" w:hAnsi="Cambria"/>
              </w:rPr>
              <w:lastRenderedPageBreak/>
              <w:t>Média</w:t>
            </w:r>
          </w:p>
        </w:tc>
        <w:tc>
          <w:tcPr>
            <w:tcW w:w="850" w:type="dxa"/>
          </w:tcPr>
          <w:p w14:paraId="1F105006" w14:textId="77777777" w:rsidR="00150077" w:rsidRPr="00511F57" w:rsidRDefault="00000000" w:rsidP="00511F57">
            <w:pPr>
              <w:rPr>
                <w:rFonts w:ascii="Cambria" w:hAnsi="Cambria"/>
              </w:rPr>
            </w:pPr>
            <w:r w:rsidRPr="00511F57">
              <w:rPr>
                <w:rFonts w:ascii="Cambria" w:hAnsi="Cambria"/>
              </w:rPr>
              <w:t>Alto</w:t>
            </w:r>
          </w:p>
        </w:tc>
        <w:tc>
          <w:tcPr>
            <w:tcW w:w="1417" w:type="dxa"/>
          </w:tcPr>
          <w:p w14:paraId="4FDAAF33"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13801A23" w14:textId="77777777" w:rsidR="00150077" w:rsidRPr="00511F57" w:rsidRDefault="00000000" w:rsidP="00511F57">
            <w:pPr>
              <w:rPr>
                <w:rFonts w:ascii="Cambria" w:hAnsi="Cambria"/>
              </w:rPr>
            </w:pPr>
            <w:r w:rsidRPr="00511F57">
              <w:rPr>
                <w:rFonts w:ascii="Cambria" w:hAnsi="Cambria"/>
              </w:rPr>
              <w:t xml:space="preserve">Exigência de garantia contratual e assistência técnica </w:t>
            </w:r>
            <w:r w:rsidRPr="00511F57">
              <w:rPr>
                <w:rFonts w:ascii="Cambria" w:hAnsi="Cambria"/>
              </w:rPr>
              <w:lastRenderedPageBreak/>
              <w:t>especializada.</w:t>
            </w:r>
          </w:p>
        </w:tc>
        <w:tc>
          <w:tcPr>
            <w:tcW w:w="2267" w:type="dxa"/>
          </w:tcPr>
          <w:p w14:paraId="347765B1" w14:textId="77777777" w:rsidR="00150077" w:rsidRPr="00511F57" w:rsidRDefault="00000000" w:rsidP="00511F57">
            <w:pPr>
              <w:rPr>
                <w:rFonts w:ascii="Cambria" w:hAnsi="Cambria"/>
              </w:rPr>
            </w:pPr>
            <w:r w:rsidRPr="00511F57">
              <w:rPr>
                <w:rFonts w:ascii="Cambria" w:hAnsi="Cambria"/>
              </w:rPr>
              <w:lastRenderedPageBreak/>
              <w:t xml:space="preserve">Acionamento da garantia para reparo ou substituição sem ônus </w:t>
            </w:r>
            <w:r w:rsidRPr="00511F57">
              <w:rPr>
                <w:rFonts w:ascii="Cambria" w:hAnsi="Cambria"/>
              </w:rPr>
              <w:lastRenderedPageBreak/>
              <w:t>para a Administração.</w:t>
            </w:r>
          </w:p>
        </w:tc>
      </w:tr>
      <w:tr w:rsidR="00150077" w:rsidRPr="00511F57" w14:paraId="54F51332" w14:textId="77777777">
        <w:tc>
          <w:tcPr>
            <w:tcW w:w="1696" w:type="dxa"/>
          </w:tcPr>
          <w:p w14:paraId="7F99AA28" w14:textId="77777777" w:rsidR="00150077" w:rsidRPr="00511F57" w:rsidRDefault="00000000" w:rsidP="00511F57">
            <w:pPr>
              <w:rPr>
                <w:rFonts w:ascii="Cambria" w:hAnsi="Cambria"/>
              </w:rPr>
            </w:pPr>
            <w:r w:rsidRPr="00511F57">
              <w:rPr>
                <w:rFonts w:ascii="Cambria" w:hAnsi="Cambria"/>
              </w:rPr>
              <w:lastRenderedPageBreak/>
              <w:t>Danos aos equipamentos durante transporte ou descarregamento</w:t>
            </w:r>
          </w:p>
        </w:tc>
        <w:tc>
          <w:tcPr>
            <w:tcW w:w="993" w:type="dxa"/>
          </w:tcPr>
          <w:p w14:paraId="4521BC9D" w14:textId="77777777" w:rsidR="00150077" w:rsidRPr="00511F57" w:rsidRDefault="00000000" w:rsidP="00511F57">
            <w:pPr>
              <w:rPr>
                <w:rFonts w:ascii="Cambria" w:hAnsi="Cambria"/>
              </w:rPr>
            </w:pPr>
            <w:r w:rsidRPr="00511F57">
              <w:rPr>
                <w:rFonts w:ascii="Cambria" w:hAnsi="Cambria"/>
              </w:rPr>
              <w:t>Média</w:t>
            </w:r>
          </w:p>
        </w:tc>
        <w:tc>
          <w:tcPr>
            <w:tcW w:w="850" w:type="dxa"/>
          </w:tcPr>
          <w:p w14:paraId="3A4DA515" w14:textId="77777777" w:rsidR="00150077" w:rsidRPr="00511F57" w:rsidRDefault="00000000" w:rsidP="00511F57">
            <w:pPr>
              <w:rPr>
                <w:rFonts w:ascii="Cambria" w:hAnsi="Cambria"/>
              </w:rPr>
            </w:pPr>
            <w:r w:rsidRPr="00511F57">
              <w:rPr>
                <w:rFonts w:ascii="Cambria" w:hAnsi="Cambria"/>
              </w:rPr>
              <w:t>Médio</w:t>
            </w:r>
          </w:p>
        </w:tc>
        <w:tc>
          <w:tcPr>
            <w:tcW w:w="1417" w:type="dxa"/>
          </w:tcPr>
          <w:p w14:paraId="4FC2EC7F"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03F7A420" w14:textId="77777777" w:rsidR="00150077" w:rsidRPr="00511F57" w:rsidRDefault="00000000" w:rsidP="00511F57">
            <w:pPr>
              <w:rPr>
                <w:rFonts w:ascii="Cambria" w:hAnsi="Cambria"/>
              </w:rPr>
            </w:pPr>
            <w:r w:rsidRPr="00511F57">
              <w:rPr>
                <w:rFonts w:ascii="Cambria" w:hAnsi="Cambria"/>
              </w:rPr>
              <w:t>Transporte adequado, embalagem reforçada e seguro da carga, quando aplicável.</w:t>
            </w:r>
          </w:p>
        </w:tc>
        <w:tc>
          <w:tcPr>
            <w:tcW w:w="2267" w:type="dxa"/>
          </w:tcPr>
          <w:p w14:paraId="4E6006E3" w14:textId="77777777" w:rsidR="00150077" w:rsidRPr="00511F57" w:rsidRDefault="00000000" w:rsidP="00511F57">
            <w:pPr>
              <w:rPr>
                <w:rFonts w:ascii="Cambria" w:hAnsi="Cambria"/>
              </w:rPr>
            </w:pPr>
            <w:r w:rsidRPr="00511F57">
              <w:rPr>
                <w:rFonts w:ascii="Cambria" w:hAnsi="Cambria"/>
              </w:rPr>
              <w:t>Substituição dos equipamentos danificados sem custos adicionais.</w:t>
            </w:r>
          </w:p>
        </w:tc>
      </w:tr>
      <w:tr w:rsidR="00150077" w:rsidRPr="00511F57" w14:paraId="7DC1B07D" w14:textId="77777777">
        <w:tc>
          <w:tcPr>
            <w:tcW w:w="1696" w:type="dxa"/>
          </w:tcPr>
          <w:p w14:paraId="58EE521C" w14:textId="77777777" w:rsidR="00150077" w:rsidRPr="00511F57" w:rsidRDefault="00000000" w:rsidP="00511F57">
            <w:pPr>
              <w:rPr>
                <w:rFonts w:ascii="Cambria" w:hAnsi="Cambria"/>
              </w:rPr>
            </w:pPr>
            <w:r w:rsidRPr="00511F57">
              <w:rPr>
                <w:rFonts w:ascii="Cambria" w:hAnsi="Cambria"/>
              </w:rPr>
              <w:t>Oscilação significativa dos preços de mercado durante a vigência da Ata de Registro de Preços</w:t>
            </w:r>
          </w:p>
        </w:tc>
        <w:tc>
          <w:tcPr>
            <w:tcW w:w="993" w:type="dxa"/>
          </w:tcPr>
          <w:p w14:paraId="49D0DA0F" w14:textId="77777777" w:rsidR="00150077" w:rsidRPr="00511F57" w:rsidRDefault="00000000" w:rsidP="00511F57">
            <w:pPr>
              <w:rPr>
                <w:rFonts w:ascii="Cambria" w:hAnsi="Cambria"/>
              </w:rPr>
            </w:pPr>
            <w:r w:rsidRPr="00511F57">
              <w:rPr>
                <w:rFonts w:ascii="Cambria" w:hAnsi="Cambria"/>
              </w:rPr>
              <w:t>Média</w:t>
            </w:r>
          </w:p>
        </w:tc>
        <w:tc>
          <w:tcPr>
            <w:tcW w:w="850" w:type="dxa"/>
          </w:tcPr>
          <w:p w14:paraId="6C4A3BC7" w14:textId="77777777" w:rsidR="00150077" w:rsidRPr="00511F57" w:rsidRDefault="00000000" w:rsidP="00511F57">
            <w:pPr>
              <w:rPr>
                <w:rFonts w:ascii="Cambria" w:hAnsi="Cambria"/>
              </w:rPr>
            </w:pPr>
            <w:r w:rsidRPr="00511F57">
              <w:rPr>
                <w:rFonts w:ascii="Cambria" w:hAnsi="Cambria"/>
              </w:rPr>
              <w:t>Médio</w:t>
            </w:r>
          </w:p>
        </w:tc>
        <w:tc>
          <w:tcPr>
            <w:tcW w:w="1417" w:type="dxa"/>
          </w:tcPr>
          <w:p w14:paraId="76E42252" w14:textId="77777777" w:rsidR="00150077" w:rsidRPr="00511F57" w:rsidRDefault="00000000" w:rsidP="00511F57">
            <w:pPr>
              <w:rPr>
                <w:rFonts w:ascii="Cambria" w:hAnsi="Cambria"/>
              </w:rPr>
            </w:pPr>
            <w:r w:rsidRPr="00511F57">
              <w:rPr>
                <w:rFonts w:ascii="Cambria" w:hAnsi="Cambria"/>
              </w:rPr>
              <w:t>Compartilhado</w:t>
            </w:r>
          </w:p>
        </w:tc>
        <w:tc>
          <w:tcPr>
            <w:tcW w:w="2127" w:type="dxa"/>
          </w:tcPr>
          <w:p w14:paraId="2905ACAF" w14:textId="77777777" w:rsidR="00150077" w:rsidRPr="00511F57" w:rsidRDefault="00000000" w:rsidP="00511F57">
            <w:pPr>
              <w:rPr>
                <w:rFonts w:ascii="Cambria" w:hAnsi="Cambria"/>
              </w:rPr>
            </w:pPr>
            <w:r w:rsidRPr="00511F57">
              <w:rPr>
                <w:rFonts w:ascii="Cambria" w:hAnsi="Cambria"/>
              </w:rPr>
              <w:t>Pesquisa de preços atualizada e acompanhamento periódico do mercado.</w:t>
            </w:r>
          </w:p>
        </w:tc>
        <w:tc>
          <w:tcPr>
            <w:tcW w:w="2267" w:type="dxa"/>
          </w:tcPr>
          <w:p w14:paraId="59BE8A04" w14:textId="77777777" w:rsidR="00150077" w:rsidRPr="00511F57" w:rsidRDefault="00000000" w:rsidP="00511F57">
            <w:pPr>
              <w:rPr>
                <w:rFonts w:ascii="Cambria" w:hAnsi="Cambria"/>
              </w:rPr>
            </w:pPr>
            <w:r w:rsidRPr="00511F57">
              <w:rPr>
                <w:rFonts w:ascii="Cambria" w:hAnsi="Cambria"/>
              </w:rPr>
              <w:t>Aplicação das hipóteses legais de revisão ou reequilíbrio econômico-financeiro, quando devidamente comprovadas.</w:t>
            </w:r>
          </w:p>
        </w:tc>
      </w:tr>
      <w:tr w:rsidR="00150077" w:rsidRPr="00511F57" w14:paraId="4804078D" w14:textId="77777777">
        <w:tc>
          <w:tcPr>
            <w:tcW w:w="1696" w:type="dxa"/>
          </w:tcPr>
          <w:p w14:paraId="0A9CA0FA" w14:textId="77777777" w:rsidR="00150077" w:rsidRPr="00511F57" w:rsidRDefault="00000000" w:rsidP="00511F57">
            <w:pPr>
              <w:rPr>
                <w:rFonts w:ascii="Cambria" w:hAnsi="Cambria"/>
              </w:rPr>
            </w:pPr>
            <w:r w:rsidRPr="00511F57">
              <w:rPr>
                <w:rFonts w:ascii="Cambria" w:hAnsi="Cambria"/>
              </w:rPr>
              <w:t>Baixa competitividade no certame</w:t>
            </w:r>
          </w:p>
        </w:tc>
        <w:tc>
          <w:tcPr>
            <w:tcW w:w="993" w:type="dxa"/>
          </w:tcPr>
          <w:p w14:paraId="35D84A26" w14:textId="77777777" w:rsidR="00150077" w:rsidRPr="00511F57" w:rsidRDefault="00000000" w:rsidP="00511F57">
            <w:pPr>
              <w:rPr>
                <w:rFonts w:ascii="Cambria" w:hAnsi="Cambria"/>
              </w:rPr>
            </w:pPr>
            <w:r w:rsidRPr="00511F57">
              <w:rPr>
                <w:rFonts w:ascii="Cambria" w:hAnsi="Cambria"/>
              </w:rPr>
              <w:t>Baixa</w:t>
            </w:r>
          </w:p>
        </w:tc>
        <w:tc>
          <w:tcPr>
            <w:tcW w:w="850" w:type="dxa"/>
          </w:tcPr>
          <w:p w14:paraId="45A1578A" w14:textId="77777777" w:rsidR="00150077" w:rsidRPr="00511F57" w:rsidRDefault="00000000" w:rsidP="00511F57">
            <w:pPr>
              <w:rPr>
                <w:rFonts w:ascii="Cambria" w:hAnsi="Cambria"/>
              </w:rPr>
            </w:pPr>
            <w:r w:rsidRPr="00511F57">
              <w:rPr>
                <w:rFonts w:ascii="Cambria" w:hAnsi="Cambria"/>
              </w:rPr>
              <w:t>Médio</w:t>
            </w:r>
          </w:p>
        </w:tc>
        <w:tc>
          <w:tcPr>
            <w:tcW w:w="1417" w:type="dxa"/>
          </w:tcPr>
          <w:p w14:paraId="59A82AC3" w14:textId="77777777" w:rsidR="00150077" w:rsidRPr="00511F57" w:rsidRDefault="00000000" w:rsidP="00511F57">
            <w:pPr>
              <w:rPr>
                <w:rFonts w:ascii="Cambria" w:hAnsi="Cambria"/>
              </w:rPr>
            </w:pPr>
            <w:r w:rsidRPr="00511F57">
              <w:rPr>
                <w:rFonts w:ascii="Cambria" w:hAnsi="Cambria"/>
              </w:rPr>
              <w:t>Administração</w:t>
            </w:r>
          </w:p>
        </w:tc>
        <w:tc>
          <w:tcPr>
            <w:tcW w:w="2127" w:type="dxa"/>
          </w:tcPr>
          <w:p w14:paraId="237D6EAE" w14:textId="77777777" w:rsidR="00150077" w:rsidRPr="00511F57" w:rsidRDefault="00000000" w:rsidP="00511F57">
            <w:pPr>
              <w:rPr>
                <w:rFonts w:ascii="Cambria" w:hAnsi="Cambria"/>
              </w:rPr>
            </w:pPr>
            <w:r w:rsidRPr="00511F57">
              <w:rPr>
                <w:rFonts w:ascii="Cambria" w:hAnsi="Cambria"/>
              </w:rPr>
              <w:t>Ampla divulgação da licitação, especificações sem direcionamento e observância ao princípio da competitividade.</w:t>
            </w:r>
          </w:p>
        </w:tc>
        <w:tc>
          <w:tcPr>
            <w:tcW w:w="2267" w:type="dxa"/>
          </w:tcPr>
          <w:p w14:paraId="1E0BDC02" w14:textId="77777777" w:rsidR="00150077" w:rsidRPr="00511F57" w:rsidRDefault="00000000" w:rsidP="00511F57">
            <w:pPr>
              <w:rPr>
                <w:rFonts w:ascii="Cambria" w:hAnsi="Cambria"/>
              </w:rPr>
            </w:pPr>
            <w:r w:rsidRPr="00511F57">
              <w:rPr>
                <w:rFonts w:ascii="Cambria" w:hAnsi="Cambria"/>
              </w:rPr>
              <w:t>Republicação do edital com ajustes, caso necessário.</w:t>
            </w:r>
          </w:p>
        </w:tc>
      </w:tr>
      <w:tr w:rsidR="00150077" w:rsidRPr="00511F57" w14:paraId="6B830679" w14:textId="77777777">
        <w:tc>
          <w:tcPr>
            <w:tcW w:w="1696" w:type="dxa"/>
          </w:tcPr>
          <w:p w14:paraId="5DA2895B" w14:textId="77777777" w:rsidR="00150077" w:rsidRPr="00511F57" w:rsidRDefault="00000000" w:rsidP="00511F57">
            <w:pPr>
              <w:rPr>
                <w:rFonts w:ascii="Cambria" w:hAnsi="Cambria"/>
              </w:rPr>
            </w:pPr>
            <w:r w:rsidRPr="00511F57">
              <w:rPr>
                <w:rFonts w:ascii="Cambria" w:hAnsi="Cambria"/>
              </w:rPr>
              <w:t>Inexecução total ou parcial da Ata de Registro de Preços</w:t>
            </w:r>
          </w:p>
        </w:tc>
        <w:tc>
          <w:tcPr>
            <w:tcW w:w="993" w:type="dxa"/>
          </w:tcPr>
          <w:p w14:paraId="3F7C5FCB" w14:textId="77777777" w:rsidR="00150077" w:rsidRPr="00511F57" w:rsidRDefault="00000000" w:rsidP="00511F57">
            <w:pPr>
              <w:rPr>
                <w:rFonts w:ascii="Cambria" w:hAnsi="Cambria"/>
              </w:rPr>
            </w:pPr>
            <w:r w:rsidRPr="00511F57">
              <w:rPr>
                <w:rFonts w:ascii="Cambria" w:hAnsi="Cambria"/>
              </w:rPr>
              <w:t>Baixa</w:t>
            </w:r>
          </w:p>
        </w:tc>
        <w:tc>
          <w:tcPr>
            <w:tcW w:w="850" w:type="dxa"/>
          </w:tcPr>
          <w:p w14:paraId="2173D2A1" w14:textId="77777777" w:rsidR="00150077" w:rsidRPr="00511F57" w:rsidRDefault="00000000" w:rsidP="00511F57">
            <w:pPr>
              <w:rPr>
                <w:rFonts w:ascii="Cambria" w:hAnsi="Cambria"/>
              </w:rPr>
            </w:pPr>
            <w:r w:rsidRPr="00511F57">
              <w:rPr>
                <w:rFonts w:ascii="Cambria" w:hAnsi="Cambria"/>
              </w:rPr>
              <w:t>Alto</w:t>
            </w:r>
          </w:p>
        </w:tc>
        <w:tc>
          <w:tcPr>
            <w:tcW w:w="1417" w:type="dxa"/>
          </w:tcPr>
          <w:p w14:paraId="736422D5"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639935FF" w14:textId="77777777" w:rsidR="00150077" w:rsidRPr="00511F57" w:rsidRDefault="00000000" w:rsidP="00511F57">
            <w:pPr>
              <w:rPr>
                <w:rFonts w:ascii="Cambria" w:hAnsi="Cambria"/>
              </w:rPr>
            </w:pPr>
            <w:r w:rsidRPr="00511F57">
              <w:rPr>
                <w:rFonts w:ascii="Cambria" w:hAnsi="Cambria"/>
              </w:rPr>
              <w:t>Exigência de qualificação técnica e econômico-financeira compatível com o objeto.</w:t>
            </w:r>
          </w:p>
        </w:tc>
        <w:tc>
          <w:tcPr>
            <w:tcW w:w="2267" w:type="dxa"/>
          </w:tcPr>
          <w:p w14:paraId="07B951C7" w14:textId="77777777" w:rsidR="00150077" w:rsidRPr="00511F57" w:rsidRDefault="00000000" w:rsidP="00511F57">
            <w:pPr>
              <w:rPr>
                <w:rFonts w:ascii="Cambria" w:hAnsi="Cambria"/>
              </w:rPr>
            </w:pPr>
            <w:r w:rsidRPr="00511F57">
              <w:rPr>
                <w:rFonts w:ascii="Cambria" w:hAnsi="Cambria"/>
              </w:rPr>
              <w:t>Aplicação das penalidades legais, cancelamento do registro e convocação dos demais fornecedores classificados.</w:t>
            </w:r>
          </w:p>
        </w:tc>
      </w:tr>
      <w:tr w:rsidR="00150077" w:rsidRPr="00511F57" w14:paraId="57E0364A" w14:textId="77777777">
        <w:tc>
          <w:tcPr>
            <w:tcW w:w="1696" w:type="dxa"/>
          </w:tcPr>
          <w:p w14:paraId="1C9C3F3A" w14:textId="77777777" w:rsidR="00150077" w:rsidRPr="00511F57" w:rsidRDefault="00000000" w:rsidP="00511F57">
            <w:pPr>
              <w:rPr>
                <w:rFonts w:ascii="Cambria" w:hAnsi="Cambria"/>
              </w:rPr>
            </w:pPr>
            <w:r w:rsidRPr="00511F57">
              <w:rPr>
                <w:rFonts w:ascii="Cambria" w:hAnsi="Cambria"/>
              </w:rPr>
              <w:t>Necessidade de instalação inadequada que comprometa o funcionamento do painel</w:t>
            </w:r>
          </w:p>
        </w:tc>
        <w:tc>
          <w:tcPr>
            <w:tcW w:w="993" w:type="dxa"/>
          </w:tcPr>
          <w:p w14:paraId="313263DF" w14:textId="77777777" w:rsidR="00150077" w:rsidRPr="00511F57" w:rsidRDefault="00000000" w:rsidP="00511F57">
            <w:pPr>
              <w:rPr>
                <w:rFonts w:ascii="Cambria" w:hAnsi="Cambria"/>
              </w:rPr>
            </w:pPr>
            <w:r w:rsidRPr="00511F57">
              <w:rPr>
                <w:rFonts w:ascii="Cambria" w:hAnsi="Cambria"/>
              </w:rPr>
              <w:t>Baixa</w:t>
            </w:r>
          </w:p>
        </w:tc>
        <w:tc>
          <w:tcPr>
            <w:tcW w:w="850" w:type="dxa"/>
          </w:tcPr>
          <w:p w14:paraId="752E26A5" w14:textId="77777777" w:rsidR="00150077" w:rsidRPr="00511F57" w:rsidRDefault="00000000" w:rsidP="00511F57">
            <w:pPr>
              <w:rPr>
                <w:rFonts w:ascii="Cambria" w:hAnsi="Cambria"/>
              </w:rPr>
            </w:pPr>
            <w:r w:rsidRPr="00511F57">
              <w:rPr>
                <w:rFonts w:ascii="Cambria" w:hAnsi="Cambria"/>
              </w:rPr>
              <w:t>Alto</w:t>
            </w:r>
          </w:p>
        </w:tc>
        <w:tc>
          <w:tcPr>
            <w:tcW w:w="1417" w:type="dxa"/>
          </w:tcPr>
          <w:p w14:paraId="068D7078" w14:textId="77777777" w:rsidR="00150077" w:rsidRPr="00511F57" w:rsidRDefault="00000000" w:rsidP="00511F57">
            <w:pPr>
              <w:rPr>
                <w:rFonts w:ascii="Cambria" w:hAnsi="Cambria"/>
              </w:rPr>
            </w:pPr>
            <w:r w:rsidRPr="00511F57">
              <w:rPr>
                <w:rFonts w:ascii="Cambria" w:hAnsi="Cambria"/>
              </w:rPr>
              <w:t>Compartilhado</w:t>
            </w:r>
          </w:p>
        </w:tc>
        <w:tc>
          <w:tcPr>
            <w:tcW w:w="2127" w:type="dxa"/>
          </w:tcPr>
          <w:p w14:paraId="7B206E0D" w14:textId="77777777" w:rsidR="00150077" w:rsidRPr="00511F57" w:rsidRDefault="00000000" w:rsidP="00511F57">
            <w:pPr>
              <w:rPr>
                <w:rFonts w:ascii="Cambria" w:hAnsi="Cambria"/>
              </w:rPr>
            </w:pPr>
            <w:r w:rsidRPr="00511F57">
              <w:rPr>
                <w:rFonts w:ascii="Cambria" w:hAnsi="Cambria"/>
              </w:rPr>
              <w:t>Definição clara das responsabilidades pela instalação e treinamento dos responsáveis, quando previsto.</w:t>
            </w:r>
          </w:p>
        </w:tc>
        <w:tc>
          <w:tcPr>
            <w:tcW w:w="2267" w:type="dxa"/>
          </w:tcPr>
          <w:p w14:paraId="262AED59" w14:textId="77777777" w:rsidR="00150077" w:rsidRPr="00511F57" w:rsidRDefault="00000000" w:rsidP="00511F57">
            <w:pPr>
              <w:rPr>
                <w:rFonts w:ascii="Cambria" w:hAnsi="Cambria"/>
              </w:rPr>
            </w:pPr>
            <w:r w:rsidRPr="00511F57">
              <w:rPr>
                <w:rFonts w:ascii="Cambria" w:hAnsi="Cambria"/>
              </w:rPr>
              <w:t>Correção da instalação e substituição dos componentes eventualmente danificados por responsabilidade da parte causadora.</w:t>
            </w:r>
          </w:p>
        </w:tc>
      </w:tr>
      <w:tr w:rsidR="00150077" w:rsidRPr="00511F57" w14:paraId="04824923" w14:textId="77777777">
        <w:tc>
          <w:tcPr>
            <w:tcW w:w="1696" w:type="dxa"/>
          </w:tcPr>
          <w:p w14:paraId="4F8F8F3F" w14:textId="77777777" w:rsidR="00150077" w:rsidRPr="00511F57" w:rsidRDefault="00000000" w:rsidP="00511F57">
            <w:pPr>
              <w:rPr>
                <w:rFonts w:ascii="Cambria" w:hAnsi="Cambria"/>
              </w:rPr>
            </w:pPr>
            <w:r w:rsidRPr="00511F57">
              <w:rPr>
                <w:rFonts w:ascii="Cambria" w:hAnsi="Cambria"/>
              </w:rPr>
              <w:t xml:space="preserve">Falhas de funcionamento em eventos </w:t>
            </w:r>
            <w:r w:rsidRPr="00511F57">
              <w:rPr>
                <w:rFonts w:ascii="Cambria" w:hAnsi="Cambria"/>
              </w:rPr>
              <w:lastRenderedPageBreak/>
              <w:t>oficiais da Administração</w:t>
            </w:r>
          </w:p>
        </w:tc>
        <w:tc>
          <w:tcPr>
            <w:tcW w:w="993" w:type="dxa"/>
          </w:tcPr>
          <w:p w14:paraId="51773FF9" w14:textId="77777777" w:rsidR="00150077" w:rsidRPr="00511F57" w:rsidRDefault="00000000" w:rsidP="00511F57">
            <w:pPr>
              <w:rPr>
                <w:rFonts w:ascii="Cambria" w:hAnsi="Cambria"/>
              </w:rPr>
            </w:pPr>
            <w:r w:rsidRPr="00511F57">
              <w:rPr>
                <w:rFonts w:ascii="Cambria" w:hAnsi="Cambria"/>
              </w:rPr>
              <w:lastRenderedPageBreak/>
              <w:t>Média</w:t>
            </w:r>
          </w:p>
        </w:tc>
        <w:tc>
          <w:tcPr>
            <w:tcW w:w="850" w:type="dxa"/>
          </w:tcPr>
          <w:p w14:paraId="66DE165C" w14:textId="77777777" w:rsidR="00150077" w:rsidRPr="00511F57" w:rsidRDefault="00000000" w:rsidP="00511F57">
            <w:pPr>
              <w:rPr>
                <w:rFonts w:ascii="Cambria" w:hAnsi="Cambria"/>
              </w:rPr>
            </w:pPr>
            <w:r w:rsidRPr="00511F57">
              <w:rPr>
                <w:rFonts w:ascii="Cambria" w:hAnsi="Cambria"/>
              </w:rPr>
              <w:t>Alto</w:t>
            </w:r>
          </w:p>
        </w:tc>
        <w:tc>
          <w:tcPr>
            <w:tcW w:w="1417" w:type="dxa"/>
          </w:tcPr>
          <w:p w14:paraId="710CBEA1"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10FA2652" w14:textId="77777777" w:rsidR="00150077" w:rsidRPr="00511F57" w:rsidRDefault="00000000" w:rsidP="00511F57">
            <w:pPr>
              <w:rPr>
                <w:rFonts w:ascii="Cambria" w:hAnsi="Cambria"/>
              </w:rPr>
            </w:pPr>
            <w:r w:rsidRPr="00511F57">
              <w:rPr>
                <w:rFonts w:ascii="Cambria" w:hAnsi="Cambria"/>
              </w:rPr>
              <w:t xml:space="preserve">Testes de funcionamento antes da entrega definitiva e </w:t>
            </w:r>
            <w:r w:rsidRPr="00511F57">
              <w:rPr>
                <w:rFonts w:ascii="Cambria" w:hAnsi="Cambria"/>
              </w:rPr>
              <w:lastRenderedPageBreak/>
              <w:t>garantia técnica.</w:t>
            </w:r>
          </w:p>
        </w:tc>
        <w:tc>
          <w:tcPr>
            <w:tcW w:w="2267" w:type="dxa"/>
          </w:tcPr>
          <w:p w14:paraId="679CC6C4" w14:textId="77777777" w:rsidR="00150077" w:rsidRPr="00511F57" w:rsidRDefault="00000000" w:rsidP="00511F57">
            <w:pPr>
              <w:rPr>
                <w:rFonts w:ascii="Cambria" w:hAnsi="Cambria"/>
              </w:rPr>
            </w:pPr>
            <w:r w:rsidRPr="00511F57">
              <w:rPr>
                <w:rFonts w:ascii="Cambria" w:hAnsi="Cambria"/>
              </w:rPr>
              <w:lastRenderedPageBreak/>
              <w:t xml:space="preserve">Atendimento técnico imediato, substituição de módulos defeituosos </w:t>
            </w:r>
            <w:r w:rsidRPr="00511F57">
              <w:rPr>
                <w:rFonts w:ascii="Cambria" w:hAnsi="Cambria"/>
              </w:rPr>
              <w:lastRenderedPageBreak/>
              <w:t>e acionamento da garantia.</w:t>
            </w:r>
          </w:p>
        </w:tc>
      </w:tr>
      <w:tr w:rsidR="00150077" w:rsidRPr="00511F57" w14:paraId="14061E53" w14:textId="77777777">
        <w:tc>
          <w:tcPr>
            <w:tcW w:w="1696" w:type="dxa"/>
          </w:tcPr>
          <w:p w14:paraId="153C87D4" w14:textId="77777777" w:rsidR="00150077" w:rsidRPr="00511F57" w:rsidRDefault="00000000" w:rsidP="00511F57">
            <w:pPr>
              <w:rPr>
                <w:rFonts w:ascii="Cambria" w:hAnsi="Cambria"/>
              </w:rPr>
            </w:pPr>
            <w:r w:rsidRPr="00511F57">
              <w:rPr>
                <w:rFonts w:ascii="Cambria" w:hAnsi="Cambria"/>
              </w:rPr>
              <w:lastRenderedPageBreak/>
              <w:t>Descontinuidade de fabricação ou indisponibilidade de peças de reposição</w:t>
            </w:r>
          </w:p>
        </w:tc>
        <w:tc>
          <w:tcPr>
            <w:tcW w:w="993" w:type="dxa"/>
          </w:tcPr>
          <w:p w14:paraId="4E3387C3" w14:textId="77777777" w:rsidR="00150077" w:rsidRPr="00511F57" w:rsidRDefault="00000000" w:rsidP="00511F57">
            <w:pPr>
              <w:rPr>
                <w:rFonts w:ascii="Cambria" w:hAnsi="Cambria"/>
              </w:rPr>
            </w:pPr>
            <w:r w:rsidRPr="00511F57">
              <w:rPr>
                <w:rFonts w:ascii="Cambria" w:hAnsi="Cambria"/>
              </w:rPr>
              <w:t>Baixa</w:t>
            </w:r>
          </w:p>
        </w:tc>
        <w:tc>
          <w:tcPr>
            <w:tcW w:w="850" w:type="dxa"/>
          </w:tcPr>
          <w:p w14:paraId="29EC2313" w14:textId="77777777" w:rsidR="00150077" w:rsidRPr="00511F57" w:rsidRDefault="00000000" w:rsidP="00511F57">
            <w:pPr>
              <w:rPr>
                <w:rFonts w:ascii="Cambria" w:hAnsi="Cambria"/>
              </w:rPr>
            </w:pPr>
            <w:r w:rsidRPr="00511F57">
              <w:rPr>
                <w:rFonts w:ascii="Cambria" w:hAnsi="Cambria"/>
              </w:rPr>
              <w:t>Médio</w:t>
            </w:r>
          </w:p>
        </w:tc>
        <w:tc>
          <w:tcPr>
            <w:tcW w:w="1417" w:type="dxa"/>
          </w:tcPr>
          <w:p w14:paraId="630A6492" w14:textId="77777777" w:rsidR="00150077" w:rsidRPr="00511F57" w:rsidRDefault="00000000" w:rsidP="00511F57">
            <w:pPr>
              <w:rPr>
                <w:rFonts w:ascii="Cambria" w:hAnsi="Cambria"/>
              </w:rPr>
            </w:pPr>
            <w:r w:rsidRPr="00511F57">
              <w:rPr>
                <w:rFonts w:ascii="Cambria" w:hAnsi="Cambria"/>
              </w:rPr>
              <w:t>Contratada</w:t>
            </w:r>
          </w:p>
        </w:tc>
        <w:tc>
          <w:tcPr>
            <w:tcW w:w="2127" w:type="dxa"/>
          </w:tcPr>
          <w:p w14:paraId="20C1189F" w14:textId="77777777" w:rsidR="00150077" w:rsidRPr="00511F57" w:rsidRDefault="00000000" w:rsidP="00511F57">
            <w:pPr>
              <w:rPr>
                <w:rFonts w:ascii="Cambria" w:hAnsi="Cambria"/>
              </w:rPr>
            </w:pPr>
            <w:r w:rsidRPr="00511F57">
              <w:rPr>
                <w:rFonts w:ascii="Cambria" w:hAnsi="Cambria"/>
              </w:rPr>
              <w:t>Exigência de garantia de disponibilidade de peças e suporte técnico durante o período de garantia.</w:t>
            </w:r>
          </w:p>
        </w:tc>
        <w:tc>
          <w:tcPr>
            <w:tcW w:w="2267" w:type="dxa"/>
          </w:tcPr>
          <w:p w14:paraId="2ADA4E99" w14:textId="77777777" w:rsidR="00150077" w:rsidRPr="00511F57" w:rsidRDefault="00000000" w:rsidP="00511F57">
            <w:pPr>
              <w:rPr>
                <w:rFonts w:ascii="Cambria" w:hAnsi="Cambria"/>
              </w:rPr>
            </w:pPr>
            <w:r w:rsidRPr="00511F57">
              <w:rPr>
                <w:rFonts w:ascii="Cambria" w:hAnsi="Cambria"/>
              </w:rPr>
              <w:t>Substituição por componentes equivalentes ou superiores, sem prejuízo ao desempenho do equipamento.</w:t>
            </w:r>
          </w:p>
        </w:tc>
      </w:tr>
      <w:tr w:rsidR="00150077" w:rsidRPr="00511F57" w14:paraId="5687703B" w14:textId="77777777">
        <w:tc>
          <w:tcPr>
            <w:tcW w:w="1696" w:type="dxa"/>
          </w:tcPr>
          <w:p w14:paraId="49C6085B" w14:textId="77777777" w:rsidR="00150077" w:rsidRPr="00511F57" w:rsidRDefault="00000000" w:rsidP="00511F57">
            <w:pPr>
              <w:rPr>
                <w:rFonts w:ascii="Cambria" w:hAnsi="Cambria"/>
              </w:rPr>
            </w:pPr>
            <w:r w:rsidRPr="00511F57">
              <w:rPr>
                <w:rFonts w:ascii="Cambria" w:hAnsi="Cambria"/>
              </w:rPr>
              <w:t>Recebimento dos equipamentos sem conferência técnica</w:t>
            </w:r>
          </w:p>
        </w:tc>
        <w:tc>
          <w:tcPr>
            <w:tcW w:w="993" w:type="dxa"/>
          </w:tcPr>
          <w:p w14:paraId="4D3B595C" w14:textId="77777777" w:rsidR="00150077" w:rsidRPr="00511F57" w:rsidRDefault="00000000" w:rsidP="00511F57">
            <w:pPr>
              <w:rPr>
                <w:rFonts w:ascii="Cambria" w:hAnsi="Cambria"/>
              </w:rPr>
            </w:pPr>
            <w:r w:rsidRPr="00511F57">
              <w:rPr>
                <w:rFonts w:ascii="Cambria" w:hAnsi="Cambria"/>
              </w:rPr>
              <w:t>Baixa</w:t>
            </w:r>
          </w:p>
        </w:tc>
        <w:tc>
          <w:tcPr>
            <w:tcW w:w="850" w:type="dxa"/>
          </w:tcPr>
          <w:p w14:paraId="78DFF124" w14:textId="77777777" w:rsidR="00150077" w:rsidRPr="00511F57" w:rsidRDefault="00000000" w:rsidP="00511F57">
            <w:pPr>
              <w:rPr>
                <w:rFonts w:ascii="Cambria" w:hAnsi="Cambria"/>
              </w:rPr>
            </w:pPr>
            <w:r w:rsidRPr="00511F57">
              <w:rPr>
                <w:rFonts w:ascii="Cambria" w:hAnsi="Cambria"/>
              </w:rPr>
              <w:t>Alto</w:t>
            </w:r>
          </w:p>
        </w:tc>
        <w:tc>
          <w:tcPr>
            <w:tcW w:w="1417" w:type="dxa"/>
          </w:tcPr>
          <w:p w14:paraId="4232E04C" w14:textId="77777777" w:rsidR="00150077" w:rsidRPr="00511F57" w:rsidRDefault="00000000" w:rsidP="00511F57">
            <w:pPr>
              <w:rPr>
                <w:rFonts w:ascii="Cambria" w:hAnsi="Cambria"/>
              </w:rPr>
            </w:pPr>
            <w:r w:rsidRPr="00511F57">
              <w:rPr>
                <w:rFonts w:ascii="Cambria" w:hAnsi="Cambria"/>
              </w:rPr>
              <w:t>Administração</w:t>
            </w:r>
          </w:p>
        </w:tc>
        <w:tc>
          <w:tcPr>
            <w:tcW w:w="2127" w:type="dxa"/>
          </w:tcPr>
          <w:p w14:paraId="34D3A4F1" w14:textId="77777777" w:rsidR="00150077" w:rsidRPr="00511F57" w:rsidRDefault="00000000" w:rsidP="00511F57">
            <w:pPr>
              <w:rPr>
                <w:rFonts w:ascii="Cambria" w:hAnsi="Cambria"/>
              </w:rPr>
            </w:pPr>
            <w:r w:rsidRPr="00511F57">
              <w:rPr>
                <w:rFonts w:ascii="Cambria" w:hAnsi="Cambria"/>
              </w:rPr>
              <w:t>Designação de fiscal do contrato para conferência quantitativa e qualitativa.</w:t>
            </w:r>
          </w:p>
        </w:tc>
        <w:tc>
          <w:tcPr>
            <w:tcW w:w="2267" w:type="dxa"/>
          </w:tcPr>
          <w:p w14:paraId="366B8984" w14:textId="77777777" w:rsidR="00150077" w:rsidRPr="00511F57" w:rsidRDefault="00000000" w:rsidP="00511F57">
            <w:pPr>
              <w:rPr>
                <w:rFonts w:ascii="Cambria" w:hAnsi="Cambria"/>
              </w:rPr>
            </w:pPr>
            <w:r w:rsidRPr="00511F57">
              <w:rPr>
                <w:rFonts w:ascii="Cambria" w:hAnsi="Cambria"/>
              </w:rPr>
              <w:t>Rejeição do recebimento até a regularização das inconsistências identificadas.</w:t>
            </w:r>
          </w:p>
        </w:tc>
      </w:tr>
    </w:tbl>
    <w:p w14:paraId="24E97B20" w14:textId="23039B37" w:rsidR="00150077" w:rsidRPr="00511F57" w:rsidRDefault="00511F57" w:rsidP="00511F57">
      <w:pPr>
        <w:shd w:val="clear" w:color="auto" w:fill="A6A6A6" w:themeFill="background1" w:themeFillShade="A6"/>
        <w:rPr>
          <w:rFonts w:ascii="Cambria" w:hAnsi="Cambria"/>
          <w:b/>
          <w:bCs/>
          <w:color w:val="000000" w:themeColor="text1"/>
          <w:sz w:val="24"/>
          <w:szCs w:val="24"/>
        </w:rPr>
      </w:pPr>
      <w:r>
        <w:rPr>
          <w:rFonts w:ascii="Cambria" w:hAnsi="Cambria"/>
          <w:b/>
          <w:bCs/>
          <w:color w:val="000000" w:themeColor="text1"/>
          <w:sz w:val="24"/>
          <w:szCs w:val="24"/>
        </w:rPr>
        <w:t xml:space="preserve">3. </w:t>
      </w:r>
      <w:r w:rsidR="00000000" w:rsidRPr="00511F57">
        <w:rPr>
          <w:rFonts w:ascii="Cambria" w:hAnsi="Cambria"/>
          <w:b/>
          <w:bCs/>
          <w:color w:val="000000" w:themeColor="text1"/>
          <w:sz w:val="24"/>
          <w:szCs w:val="24"/>
        </w:rPr>
        <w:t>DISTRIBUIÇÃO DE RISCOS</w:t>
      </w:r>
    </w:p>
    <w:p w14:paraId="2C253F7C" w14:textId="77777777" w:rsidR="00150077" w:rsidRPr="00511F57" w:rsidRDefault="00000000" w:rsidP="00511F57">
      <w:pPr>
        <w:rPr>
          <w:rFonts w:ascii="Cambria" w:hAnsi="Cambria"/>
          <w:sz w:val="24"/>
        </w:rPr>
      </w:pPr>
      <w:r w:rsidRPr="00511F57">
        <w:rPr>
          <w:rFonts w:ascii="Cambria" w:hAnsi="Cambria"/>
          <w:b/>
          <w:bCs/>
          <w:sz w:val="24"/>
        </w:rPr>
        <w:t>São de responsabilidade da Administração:</w:t>
      </w:r>
    </w:p>
    <w:p w14:paraId="2C014F1D" w14:textId="77777777" w:rsidR="00150077" w:rsidRPr="00511F57" w:rsidRDefault="00000000" w:rsidP="00511F57">
      <w:pPr>
        <w:pStyle w:val="PargrafodaLista"/>
        <w:numPr>
          <w:ilvl w:val="0"/>
          <w:numId w:val="15"/>
        </w:numPr>
        <w:spacing w:line="360" w:lineRule="auto"/>
        <w:rPr>
          <w:rFonts w:ascii="Cambria" w:hAnsi="Cambria"/>
          <w:sz w:val="24"/>
        </w:rPr>
      </w:pPr>
      <w:r w:rsidRPr="00511F57">
        <w:rPr>
          <w:rFonts w:ascii="Cambria" w:hAnsi="Cambria"/>
          <w:sz w:val="24"/>
        </w:rPr>
        <w:t xml:space="preserve">Definição das especificações técnicas do objeto; </w:t>
      </w:r>
    </w:p>
    <w:p w14:paraId="4944E7EC" w14:textId="77777777" w:rsidR="00150077" w:rsidRPr="00511F57" w:rsidRDefault="00000000" w:rsidP="00511F57">
      <w:pPr>
        <w:pStyle w:val="PargrafodaLista"/>
        <w:numPr>
          <w:ilvl w:val="0"/>
          <w:numId w:val="15"/>
        </w:numPr>
        <w:spacing w:line="360" w:lineRule="auto"/>
        <w:rPr>
          <w:rFonts w:ascii="Cambria" w:hAnsi="Cambria"/>
          <w:sz w:val="24"/>
        </w:rPr>
      </w:pPr>
      <w:r w:rsidRPr="00511F57">
        <w:rPr>
          <w:rFonts w:ascii="Cambria" w:hAnsi="Cambria"/>
          <w:sz w:val="24"/>
        </w:rPr>
        <w:t xml:space="preserve">Disponibilização das condições para recebimento dos equipamentos; </w:t>
      </w:r>
    </w:p>
    <w:p w14:paraId="73822126" w14:textId="77777777" w:rsidR="00150077" w:rsidRPr="00511F57" w:rsidRDefault="00000000" w:rsidP="00511F57">
      <w:pPr>
        <w:pStyle w:val="PargrafodaLista"/>
        <w:numPr>
          <w:ilvl w:val="0"/>
          <w:numId w:val="15"/>
        </w:numPr>
        <w:spacing w:line="360" w:lineRule="auto"/>
        <w:rPr>
          <w:rFonts w:ascii="Cambria" w:hAnsi="Cambria"/>
          <w:sz w:val="24"/>
        </w:rPr>
      </w:pPr>
      <w:r w:rsidRPr="00511F57">
        <w:rPr>
          <w:rFonts w:ascii="Cambria" w:hAnsi="Cambria"/>
          <w:sz w:val="24"/>
        </w:rPr>
        <w:t xml:space="preserve">Fiscalização da execução contratual; </w:t>
      </w:r>
    </w:p>
    <w:p w14:paraId="623E9588" w14:textId="77777777" w:rsidR="00150077" w:rsidRPr="00511F57" w:rsidRDefault="00000000" w:rsidP="00511F57">
      <w:pPr>
        <w:pStyle w:val="PargrafodaLista"/>
        <w:numPr>
          <w:ilvl w:val="0"/>
          <w:numId w:val="15"/>
        </w:numPr>
        <w:spacing w:line="360" w:lineRule="auto"/>
        <w:rPr>
          <w:rFonts w:ascii="Cambria" w:hAnsi="Cambria"/>
          <w:sz w:val="24"/>
        </w:rPr>
      </w:pPr>
      <w:r w:rsidRPr="00511F57">
        <w:rPr>
          <w:rFonts w:ascii="Cambria" w:hAnsi="Cambria"/>
          <w:sz w:val="24"/>
        </w:rPr>
        <w:t xml:space="preserve">Gestão da Ata de Registro de Preços. </w:t>
      </w:r>
    </w:p>
    <w:p w14:paraId="15FB5D72" w14:textId="77777777" w:rsidR="00150077" w:rsidRPr="00511F57" w:rsidRDefault="00000000" w:rsidP="00511F57">
      <w:pPr>
        <w:rPr>
          <w:rFonts w:ascii="Cambria" w:hAnsi="Cambria"/>
          <w:sz w:val="24"/>
        </w:rPr>
      </w:pPr>
      <w:r w:rsidRPr="00511F57">
        <w:rPr>
          <w:rFonts w:ascii="Cambria" w:hAnsi="Cambria"/>
          <w:b/>
          <w:bCs/>
          <w:sz w:val="24"/>
        </w:rPr>
        <w:t>São de responsabilidade da Contratada:</w:t>
      </w:r>
    </w:p>
    <w:p w14:paraId="673CAC7D" w14:textId="77777777" w:rsidR="00150077" w:rsidRPr="00511F57" w:rsidRDefault="00000000" w:rsidP="00511F57">
      <w:pPr>
        <w:pStyle w:val="PargrafodaLista"/>
        <w:numPr>
          <w:ilvl w:val="0"/>
          <w:numId w:val="16"/>
        </w:numPr>
        <w:spacing w:line="360" w:lineRule="auto"/>
        <w:rPr>
          <w:rFonts w:ascii="Cambria" w:hAnsi="Cambria"/>
          <w:sz w:val="24"/>
        </w:rPr>
      </w:pPr>
      <w:r w:rsidRPr="00511F57">
        <w:rPr>
          <w:rFonts w:ascii="Cambria" w:hAnsi="Cambria"/>
          <w:sz w:val="24"/>
        </w:rPr>
        <w:t xml:space="preserve">Fornecimento dos equipamentos conforme especificações; </w:t>
      </w:r>
    </w:p>
    <w:p w14:paraId="1DB21B97" w14:textId="77777777" w:rsidR="00150077" w:rsidRPr="00511F57" w:rsidRDefault="00000000" w:rsidP="00511F57">
      <w:pPr>
        <w:pStyle w:val="PargrafodaLista"/>
        <w:numPr>
          <w:ilvl w:val="0"/>
          <w:numId w:val="16"/>
        </w:numPr>
        <w:spacing w:line="360" w:lineRule="auto"/>
        <w:rPr>
          <w:rFonts w:ascii="Cambria" w:hAnsi="Cambria"/>
          <w:sz w:val="24"/>
        </w:rPr>
      </w:pPr>
      <w:r w:rsidRPr="00511F57">
        <w:rPr>
          <w:rFonts w:ascii="Cambria" w:hAnsi="Cambria"/>
          <w:sz w:val="24"/>
        </w:rPr>
        <w:t xml:space="preserve">Transporte, acondicionamento e entrega; </w:t>
      </w:r>
    </w:p>
    <w:p w14:paraId="54D94413" w14:textId="77777777" w:rsidR="00150077" w:rsidRPr="00511F57" w:rsidRDefault="00000000" w:rsidP="00511F57">
      <w:pPr>
        <w:pStyle w:val="PargrafodaLista"/>
        <w:numPr>
          <w:ilvl w:val="0"/>
          <w:numId w:val="16"/>
        </w:numPr>
        <w:spacing w:line="360" w:lineRule="auto"/>
        <w:rPr>
          <w:rFonts w:ascii="Cambria" w:hAnsi="Cambria"/>
          <w:sz w:val="24"/>
        </w:rPr>
      </w:pPr>
      <w:r w:rsidRPr="00511F57">
        <w:rPr>
          <w:rFonts w:ascii="Cambria" w:hAnsi="Cambria"/>
          <w:sz w:val="24"/>
        </w:rPr>
        <w:t xml:space="preserve">Garantia, assistência técnica e substituição de equipamentos defeituosos; </w:t>
      </w:r>
    </w:p>
    <w:p w14:paraId="2E156D09" w14:textId="77777777" w:rsidR="00150077" w:rsidRPr="00511F57" w:rsidRDefault="00000000" w:rsidP="00511F57">
      <w:pPr>
        <w:pStyle w:val="PargrafodaLista"/>
        <w:numPr>
          <w:ilvl w:val="0"/>
          <w:numId w:val="16"/>
        </w:numPr>
        <w:spacing w:line="360" w:lineRule="auto"/>
        <w:rPr>
          <w:rFonts w:ascii="Cambria" w:hAnsi="Cambria"/>
          <w:sz w:val="24"/>
        </w:rPr>
      </w:pPr>
      <w:r w:rsidRPr="00511F57">
        <w:rPr>
          <w:rFonts w:ascii="Cambria" w:hAnsi="Cambria"/>
          <w:sz w:val="24"/>
        </w:rPr>
        <w:t xml:space="preserve">Cumprimento dos prazos estabelecidos; </w:t>
      </w:r>
    </w:p>
    <w:p w14:paraId="0704CDD6" w14:textId="77777777" w:rsidR="00150077" w:rsidRPr="00511F57" w:rsidRDefault="00000000" w:rsidP="00511F57">
      <w:pPr>
        <w:pStyle w:val="PargrafodaLista"/>
        <w:numPr>
          <w:ilvl w:val="0"/>
          <w:numId w:val="16"/>
        </w:numPr>
        <w:spacing w:line="360" w:lineRule="auto"/>
        <w:rPr>
          <w:rFonts w:ascii="Cambria" w:hAnsi="Cambria"/>
          <w:sz w:val="24"/>
        </w:rPr>
      </w:pPr>
      <w:r w:rsidRPr="00511F57">
        <w:rPr>
          <w:rFonts w:ascii="Cambria" w:hAnsi="Cambria"/>
          <w:sz w:val="24"/>
        </w:rPr>
        <w:t xml:space="preserve">Atendimento às normas técnicas aplicáveis. </w:t>
      </w:r>
    </w:p>
    <w:p w14:paraId="5E593CDE" w14:textId="77777777" w:rsidR="00150077" w:rsidRPr="00511F57" w:rsidRDefault="00000000" w:rsidP="00511F57">
      <w:pPr>
        <w:rPr>
          <w:rFonts w:ascii="Cambria" w:hAnsi="Cambria"/>
          <w:sz w:val="24"/>
        </w:rPr>
      </w:pPr>
      <w:r w:rsidRPr="00511F57">
        <w:rPr>
          <w:rFonts w:ascii="Cambria" w:hAnsi="Cambria"/>
          <w:b/>
          <w:bCs/>
          <w:sz w:val="24"/>
        </w:rPr>
        <w:t>São riscos compartilhados:</w:t>
      </w:r>
    </w:p>
    <w:p w14:paraId="2080FE58" w14:textId="77777777" w:rsidR="00150077" w:rsidRPr="00511F57" w:rsidRDefault="00000000" w:rsidP="00511F57">
      <w:pPr>
        <w:pStyle w:val="PargrafodaLista"/>
        <w:numPr>
          <w:ilvl w:val="0"/>
          <w:numId w:val="17"/>
        </w:numPr>
        <w:spacing w:line="360" w:lineRule="auto"/>
        <w:rPr>
          <w:rFonts w:ascii="Cambria" w:hAnsi="Cambria"/>
          <w:sz w:val="24"/>
        </w:rPr>
      </w:pPr>
      <w:r w:rsidRPr="00511F57">
        <w:rPr>
          <w:rFonts w:ascii="Cambria" w:hAnsi="Cambria"/>
          <w:sz w:val="24"/>
        </w:rPr>
        <w:t xml:space="preserve">Hipóteses legais de reequilíbrio econômico-financeiro; </w:t>
      </w:r>
    </w:p>
    <w:p w14:paraId="0FAA4CD0" w14:textId="77777777" w:rsidR="00150077" w:rsidRPr="00511F57" w:rsidRDefault="00000000" w:rsidP="00511F57">
      <w:pPr>
        <w:pStyle w:val="PargrafodaLista"/>
        <w:numPr>
          <w:ilvl w:val="0"/>
          <w:numId w:val="17"/>
        </w:numPr>
        <w:spacing w:line="360" w:lineRule="auto"/>
        <w:rPr>
          <w:rFonts w:ascii="Cambria" w:hAnsi="Cambria"/>
          <w:sz w:val="24"/>
        </w:rPr>
      </w:pPr>
      <w:r w:rsidRPr="00511F57">
        <w:rPr>
          <w:rFonts w:ascii="Cambria" w:hAnsi="Cambria"/>
          <w:sz w:val="24"/>
        </w:rPr>
        <w:t xml:space="preserve">Casos fortuitos e força maior; </w:t>
      </w:r>
    </w:p>
    <w:p w14:paraId="13518F0C" w14:textId="77777777" w:rsidR="00150077" w:rsidRPr="00511F57" w:rsidRDefault="00000000" w:rsidP="00511F57">
      <w:pPr>
        <w:pStyle w:val="PargrafodaLista"/>
        <w:numPr>
          <w:ilvl w:val="0"/>
          <w:numId w:val="17"/>
        </w:numPr>
        <w:spacing w:line="360" w:lineRule="auto"/>
        <w:rPr>
          <w:rFonts w:ascii="Cambria" w:hAnsi="Cambria"/>
          <w:sz w:val="24"/>
        </w:rPr>
      </w:pPr>
      <w:r w:rsidRPr="00511F57">
        <w:rPr>
          <w:rFonts w:ascii="Cambria" w:hAnsi="Cambria"/>
          <w:sz w:val="24"/>
        </w:rPr>
        <w:t>Alterações supervenientes da legislação que impactem diretamente a execução do contrato.</w:t>
      </w:r>
    </w:p>
    <w:sectPr w:rsidR="00150077" w:rsidRPr="00511F57">
      <w:headerReference w:type="even" r:id="rId95"/>
      <w:headerReference w:type="default" r:id="rId96"/>
      <w:footerReference w:type="even" r:id="rId97"/>
      <w:footerReference w:type="default" r:id="rId98"/>
      <w:headerReference w:type="first" r:id="rId99"/>
      <w:footerReference w:type="first" r:id="rId100"/>
      <w:pgSz w:w="11906" w:h="16838"/>
      <w:pgMar w:top="1417" w:right="991" w:bottom="1417" w:left="1560" w:header="283" w:footer="39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7B1FD" w14:textId="77777777" w:rsidR="001A12CD" w:rsidRDefault="001A12CD">
      <w:pPr>
        <w:spacing w:before="0" w:after="0" w:line="240" w:lineRule="auto"/>
      </w:pPr>
      <w:r>
        <w:separator/>
      </w:r>
    </w:p>
  </w:endnote>
  <w:endnote w:type="continuationSeparator" w:id="0">
    <w:p w14:paraId="71401592" w14:textId="77777777" w:rsidR="001A12CD" w:rsidRDefault="001A12C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charset w:val="00"/>
    <w:family w:val="roman"/>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Gadugi">
    <w:panose1 w:val="020B0502040204020203"/>
    <w:charset w:val="00"/>
    <w:family w:val="swiss"/>
    <w:pitch w:val="variable"/>
    <w:sig w:usb0="80000003" w:usb1="02000000" w:usb2="00003000" w:usb3="00000000" w:csb0="00000001" w:csb1="00000000"/>
  </w:font>
  <w:font w:name="Calibr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F84DA" w14:textId="77777777" w:rsidR="00150077" w:rsidRDefault="0015007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62574"/>
      <w:docPartObj>
        <w:docPartGallery w:val="Page Numbers (Top of Page)"/>
        <w:docPartUnique/>
      </w:docPartObj>
    </w:sdtPr>
    <w:sdtContent>
      <w:p w14:paraId="2CFD782F" w14:textId="77777777" w:rsidR="00150077" w:rsidRDefault="00150077">
        <w:pPr>
          <w:tabs>
            <w:tab w:val="center" w:pos="4252"/>
            <w:tab w:val="right" w:pos="8504"/>
          </w:tabs>
          <w:spacing w:line="276" w:lineRule="auto"/>
          <w:jc w:val="center"/>
          <w:rPr>
            <w:rFonts w:ascii="Cambria" w:eastAsia="Gadugi" w:hAnsi="Cambria" w:cs="Gadugi"/>
            <w:b/>
            <w:bCs/>
            <w:sz w:val="20"/>
            <w:szCs w:val="20"/>
          </w:rPr>
        </w:pPr>
      </w:p>
      <w:p w14:paraId="12F88037"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625B68FD" w14:textId="77777777" w:rsidR="00150077"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67D795CA" w14:textId="77777777" w:rsidR="0015007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750341"/>
      <w:docPartObj>
        <w:docPartGallery w:val="Page Numbers (Top of Page)"/>
        <w:docPartUnique/>
      </w:docPartObj>
    </w:sdtPr>
    <w:sdtContent>
      <w:p w14:paraId="70B861E4" w14:textId="77777777" w:rsidR="00150077" w:rsidRDefault="00150077">
        <w:pPr>
          <w:tabs>
            <w:tab w:val="center" w:pos="4252"/>
            <w:tab w:val="right" w:pos="8504"/>
          </w:tabs>
          <w:spacing w:line="276" w:lineRule="auto"/>
          <w:jc w:val="center"/>
          <w:rPr>
            <w:rFonts w:ascii="Cambria" w:eastAsia="Gadugi" w:hAnsi="Cambria" w:cs="Gadugi"/>
            <w:b/>
            <w:bCs/>
            <w:sz w:val="20"/>
            <w:szCs w:val="20"/>
          </w:rPr>
        </w:pPr>
      </w:p>
      <w:p w14:paraId="6C905B37"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790842B1" w14:textId="77777777" w:rsidR="00150077"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4CF367ED" w14:textId="77777777" w:rsidR="00150077" w:rsidRDefault="00000000">
    <w:pPr>
      <w:pStyle w:val="Rodap"/>
      <w:jc w:val="center"/>
      <w:rPr>
        <w:rFonts w:ascii="Cambria" w:hAnsi="Cambria" w:cs="Tahoma"/>
        <w:sz w:val="20"/>
        <w:szCs w:val="20"/>
      </w:rPr>
    </w:pPr>
    <w:bookmarkStart w:id="84" w:name="_Hlk204258590"/>
    <w:r>
      <w:rPr>
        <w:rFonts w:ascii="Cambria" w:hAnsi="Cambria" w:cs="Tahoma"/>
        <w:sz w:val="20"/>
        <w:szCs w:val="20"/>
      </w:rPr>
      <w:t>Praça Wilson Eloy Pimenta, R. Piracanjuba, 100, Cep: 75.640-103, Centro – Piracanjuba, Goiás</w:t>
    </w:r>
    <w:bookmarkEnd w:id="84"/>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87517" w14:textId="77777777" w:rsidR="00150077" w:rsidRDefault="00150077">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60919"/>
      <w:docPartObj>
        <w:docPartGallery w:val="Page Numbers (Top of Page)"/>
        <w:docPartUnique/>
      </w:docPartObj>
    </w:sdtPr>
    <w:sdtContent>
      <w:p w14:paraId="277DACCA" w14:textId="77777777" w:rsidR="00150077" w:rsidRDefault="00150077">
        <w:pPr>
          <w:tabs>
            <w:tab w:val="center" w:pos="4252"/>
            <w:tab w:val="right" w:pos="8504"/>
          </w:tabs>
          <w:spacing w:line="276" w:lineRule="auto"/>
          <w:jc w:val="center"/>
          <w:rPr>
            <w:rFonts w:ascii="Cambria" w:eastAsia="Gadugi" w:hAnsi="Cambria" w:cs="Gadugi"/>
            <w:b/>
            <w:bCs/>
            <w:sz w:val="20"/>
            <w:szCs w:val="20"/>
          </w:rPr>
        </w:pPr>
      </w:p>
      <w:p w14:paraId="1B5A9588"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70</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7D273534" w14:textId="77777777" w:rsidR="00150077"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643111EF" w14:textId="77777777" w:rsidR="0015007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29473"/>
      <w:docPartObj>
        <w:docPartGallery w:val="Page Numbers (Top of Page)"/>
        <w:docPartUnique/>
      </w:docPartObj>
    </w:sdtPr>
    <w:sdtContent>
      <w:p w14:paraId="7F8AC546" w14:textId="77777777" w:rsidR="00150077" w:rsidRDefault="00150077">
        <w:pPr>
          <w:tabs>
            <w:tab w:val="center" w:pos="4252"/>
            <w:tab w:val="right" w:pos="8504"/>
          </w:tabs>
          <w:spacing w:line="276" w:lineRule="auto"/>
          <w:jc w:val="center"/>
          <w:rPr>
            <w:rFonts w:ascii="Cambria" w:eastAsia="Gadugi" w:hAnsi="Cambria" w:cs="Gadugi"/>
            <w:b/>
            <w:bCs/>
            <w:sz w:val="20"/>
            <w:szCs w:val="20"/>
          </w:rPr>
        </w:pPr>
      </w:p>
      <w:p w14:paraId="09BF014C"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70</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7FA1859D" w14:textId="77777777" w:rsidR="00150077"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728FE366" w14:textId="77777777" w:rsidR="0015007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Content>
      <w:p w14:paraId="6DC40FBF"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0</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159D0B06" w14:textId="77777777" w:rsidR="00150077"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44BCA9BD" w14:textId="77777777" w:rsidR="0015007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14C89938" w14:textId="77777777" w:rsidR="00150077" w:rsidRDefault="00150077">
    <w:pPr>
      <w:pStyle w:val="Rodap"/>
      <w:jc w:val="center"/>
      <w:rPr>
        <w:rFonts w:ascii="Tahoma" w:hAnsi="Tahoma" w:cs="Tahoma"/>
        <w:sz w:val="18"/>
        <w:szCs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580433"/>
      <w:docPartObj>
        <w:docPartGallery w:val="Page Numbers (Top of Page)"/>
        <w:docPartUnique/>
      </w:docPartObj>
    </w:sdtPr>
    <w:sdtContent>
      <w:p w14:paraId="278EE51D"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79</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2FF857FD" w14:textId="77777777" w:rsidR="00150077"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65543F34" w14:textId="77777777" w:rsidR="0015007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6C0993DE" w14:textId="77777777" w:rsidR="00150077" w:rsidRDefault="00150077">
    <w:pPr>
      <w:pStyle w:val="Rodap"/>
      <w:jc w:val="center"/>
      <w:rPr>
        <w:rFonts w:ascii="Tahoma" w:hAnsi="Tahoma" w:cs="Tahoma"/>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734350"/>
      <w:docPartObj>
        <w:docPartGallery w:val="Page Numbers (Top of Page)"/>
        <w:docPartUnique/>
      </w:docPartObj>
    </w:sdtPr>
    <w:sdtContent>
      <w:p w14:paraId="6EAC47F7" w14:textId="77777777" w:rsidR="0015007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79</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116</w:t>
        </w:r>
        <w:r>
          <w:rPr>
            <w:rFonts w:ascii="Cambria" w:hAnsi="Cambria"/>
            <w:b/>
            <w:bCs/>
            <w:sz w:val="20"/>
            <w:szCs w:val="20"/>
          </w:rPr>
          <w:fldChar w:fldCharType="end"/>
        </w:r>
      </w:p>
      <w:p w14:paraId="6251D287" w14:textId="77777777" w:rsidR="00150077"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7806725C" w14:textId="77777777" w:rsidR="0015007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2A5E3426" w14:textId="77777777" w:rsidR="00150077" w:rsidRDefault="00150077">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E756B" w14:textId="77777777" w:rsidR="001A12CD" w:rsidRDefault="001A12CD">
      <w:pPr>
        <w:spacing w:before="0" w:after="0" w:line="240" w:lineRule="auto"/>
      </w:pPr>
      <w:r>
        <w:separator/>
      </w:r>
    </w:p>
  </w:footnote>
  <w:footnote w:type="continuationSeparator" w:id="0">
    <w:p w14:paraId="4EB62F08" w14:textId="77777777" w:rsidR="001A12CD" w:rsidRDefault="001A12C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66625" w14:textId="77777777" w:rsidR="00150077" w:rsidRDefault="00000000">
    <w:pPr>
      <w:pStyle w:val="Cabealho"/>
    </w:pPr>
    <w:r>
      <w:rPr>
        <w:noProof/>
      </w:rPr>
      <w:drawing>
        <wp:anchor distT="0" distB="0" distL="0" distR="0" simplePos="0" relativeHeight="251654144" behindDoc="1" locked="0" layoutInCell="0" allowOverlap="1" wp14:anchorId="42DC4313" wp14:editId="1706180E">
          <wp:simplePos x="0" y="0"/>
          <wp:positionH relativeFrom="margin">
            <wp:align>center</wp:align>
          </wp:positionH>
          <wp:positionV relativeFrom="margin">
            <wp:align>center</wp:align>
          </wp:positionV>
          <wp:extent cx="7561580" cy="10695305"/>
          <wp:effectExtent l="0" t="0" r="0" b="0"/>
          <wp:wrapNone/>
          <wp:docPr id="5" name="WordPictureWatermark859672079"/>
          <wp:cNvGraphicFramePr/>
          <a:graphic xmlns:a="http://schemas.openxmlformats.org/drawingml/2006/main">
            <a:graphicData uri="http://schemas.openxmlformats.org/drawingml/2006/picture">
              <pic:pic xmlns:pic="http://schemas.openxmlformats.org/drawingml/2006/picture">
                <pic:nvPicPr>
                  <pic:cNvPr id="6" name="WordPictureWatermark859672079"/>
                  <pic:cNvPicPr/>
                </pic:nvPicPr>
                <pic:blipFill>
                  <a:blip r:embed="rId1"/>
                  <a:stretch/>
                </pic:blipFill>
                <pic:spPr>
                  <a:xfrm>
                    <a:off x="0" y="0"/>
                    <a:ext cx="7561440" cy="1069524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8602" w14:textId="77777777" w:rsidR="00150077" w:rsidRDefault="00000000">
    <w:pPr>
      <w:pStyle w:val="Cabealho"/>
    </w:pPr>
    <w:r>
      <w:rPr>
        <w:noProof/>
      </w:rPr>
      <w:drawing>
        <wp:anchor distT="0" distB="0" distL="0" distR="0" simplePos="0" relativeHeight="251655168" behindDoc="1" locked="0" layoutInCell="0" allowOverlap="1" wp14:anchorId="5FD596FE" wp14:editId="200E7A2C">
          <wp:simplePos x="0" y="0"/>
          <wp:positionH relativeFrom="margin">
            <wp:align>center</wp:align>
          </wp:positionH>
          <wp:positionV relativeFrom="margin">
            <wp:align>center</wp:align>
          </wp:positionV>
          <wp:extent cx="7561580" cy="10695305"/>
          <wp:effectExtent l="0" t="0" r="0" b="0"/>
          <wp:wrapNone/>
          <wp:docPr id="7" name="WordPictureWatermark859672080"/>
          <wp:cNvGraphicFramePr/>
          <a:graphic xmlns:a="http://schemas.openxmlformats.org/drawingml/2006/main">
            <a:graphicData uri="http://schemas.openxmlformats.org/drawingml/2006/picture">
              <pic:pic xmlns:pic="http://schemas.openxmlformats.org/drawingml/2006/picture">
                <pic:nvPicPr>
                  <pic:cNvPr id="8"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59264" behindDoc="1" locked="0" layoutInCell="0" allowOverlap="1" wp14:anchorId="6671B30A" wp14:editId="32EE644B">
          <wp:simplePos x="0" y="0"/>
          <wp:positionH relativeFrom="column">
            <wp:posOffset>1205865</wp:posOffset>
          </wp:positionH>
          <wp:positionV relativeFrom="paragraph">
            <wp:posOffset>-87630</wp:posOffset>
          </wp:positionV>
          <wp:extent cx="2990850" cy="1002030"/>
          <wp:effectExtent l="0" t="0" r="0" b="0"/>
          <wp:wrapTopAndBottom/>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973F9" w14:textId="77777777" w:rsidR="00150077" w:rsidRDefault="00000000">
    <w:pPr>
      <w:pStyle w:val="Cabealho"/>
    </w:pPr>
    <w:r>
      <w:rPr>
        <w:noProof/>
      </w:rPr>
      <w:drawing>
        <wp:anchor distT="0" distB="0" distL="0" distR="0" simplePos="0" relativeHeight="251656192" behindDoc="1" locked="0" layoutInCell="0" allowOverlap="1" wp14:anchorId="7E8A6D08" wp14:editId="1F85B94E">
          <wp:simplePos x="0" y="0"/>
          <wp:positionH relativeFrom="margin">
            <wp:align>center</wp:align>
          </wp:positionH>
          <wp:positionV relativeFrom="margin">
            <wp:align>center</wp:align>
          </wp:positionV>
          <wp:extent cx="7561580" cy="10695305"/>
          <wp:effectExtent l="0" t="0" r="0" b="0"/>
          <wp:wrapNone/>
          <wp:docPr id="10" name="WordPictureWatermark859672080"/>
          <wp:cNvGraphicFramePr/>
          <a:graphic xmlns:a="http://schemas.openxmlformats.org/drawingml/2006/main">
            <a:graphicData uri="http://schemas.openxmlformats.org/drawingml/2006/picture">
              <pic:pic xmlns:pic="http://schemas.openxmlformats.org/drawingml/2006/picture">
                <pic:nvPicPr>
                  <pic:cNvPr id="11"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0288" behindDoc="1" locked="0" layoutInCell="0" allowOverlap="1" wp14:anchorId="6822A04D" wp14:editId="136CA84E">
          <wp:simplePos x="0" y="0"/>
          <wp:positionH relativeFrom="column">
            <wp:posOffset>1205865</wp:posOffset>
          </wp:positionH>
          <wp:positionV relativeFrom="paragraph">
            <wp:posOffset>-87630</wp:posOffset>
          </wp:positionV>
          <wp:extent cx="2990850" cy="1002030"/>
          <wp:effectExtent l="0" t="0" r="0" b="0"/>
          <wp:wrapTopAndBottom/>
          <wp:docPr id="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E2E5" w14:textId="77777777" w:rsidR="00150077" w:rsidRDefault="00000000">
    <w:pPr>
      <w:pStyle w:val="Cabealho"/>
    </w:pPr>
    <w:r>
      <w:rPr>
        <w:noProof/>
      </w:rPr>
      <w:drawing>
        <wp:anchor distT="0" distB="0" distL="0" distR="0" simplePos="0" relativeHeight="251663360" behindDoc="1" locked="0" layoutInCell="1" allowOverlap="1" wp14:anchorId="4A817541" wp14:editId="637C0BF0">
          <wp:simplePos x="0" y="0"/>
          <wp:positionH relativeFrom="margin">
            <wp:align>center</wp:align>
          </wp:positionH>
          <wp:positionV relativeFrom="margin">
            <wp:align>center</wp:align>
          </wp:positionV>
          <wp:extent cx="6117590" cy="8653145"/>
          <wp:effectExtent l="0" t="0" r="0" b="0"/>
          <wp:wrapNone/>
          <wp:docPr id="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2"/>
                  <pic:cNvPicPr>
                    <a:picLocks noChangeAspect="1" noChangeArrowheads="1"/>
                  </pic:cNvPicPr>
                </pic:nvPicPr>
                <pic:blipFill>
                  <a:blip r:embed="rId1"/>
                  <a:stretch>
                    <a:fillRect/>
                  </a:stretch>
                </pic:blipFill>
                <pic:spPr bwMode="auto">
                  <a:xfrm>
                    <a:off x="0" y="0"/>
                    <a:ext cx="6117590" cy="865314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C7E2F" w14:textId="77777777" w:rsidR="00150077" w:rsidRDefault="00000000">
    <w:pPr>
      <w:pStyle w:val="Cabealho"/>
    </w:pPr>
    <w:r>
      <w:rPr>
        <w:noProof/>
      </w:rPr>
      <w:drawing>
        <wp:anchor distT="0" distB="0" distL="0" distR="0" simplePos="0" relativeHeight="251652096" behindDoc="1" locked="0" layoutInCell="0" allowOverlap="1" wp14:anchorId="28E2E169" wp14:editId="22EE5037">
          <wp:simplePos x="0" y="0"/>
          <wp:positionH relativeFrom="margin">
            <wp:align>center</wp:align>
          </wp:positionH>
          <wp:positionV relativeFrom="margin">
            <wp:align>center</wp:align>
          </wp:positionV>
          <wp:extent cx="6117590" cy="8653145"/>
          <wp:effectExtent l="0" t="0" r="0" b="0"/>
          <wp:wrapNone/>
          <wp:docPr id="1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3"/>
                  <pic:cNvPicPr>
                    <a:picLocks noChangeAspect="1" noChangeArrowheads="1"/>
                  </pic:cNvPicPr>
                </pic:nvPicPr>
                <pic:blipFill>
                  <a:blip r:embed="rId1"/>
                  <a:stretch>
                    <a:fillRect/>
                  </a:stretch>
                </pic:blipFill>
                <pic:spPr bwMode="auto">
                  <a:xfrm>
                    <a:off x="0" y="0"/>
                    <a:ext cx="6117590" cy="8653145"/>
                  </a:xfrm>
                  <a:prstGeom prst="rect">
                    <a:avLst/>
                  </a:prstGeom>
                </pic:spPr>
              </pic:pic>
            </a:graphicData>
          </a:graphic>
        </wp:anchor>
      </w:drawing>
    </w:r>
    <w:r>
      <w:rPr>
        <w:noProof/>
      </w:rPr>
      <w:drawing>
        <wp:anchor distT="0" distB="0" distL="114300" distR="114300" simplePos="0" relativeHeight="251661312" behindDoc="1" locked="0" layoutInCell="0" allowOverlap="1" wp14:anchorId="2B880401" wp14:editId="1C0E72C8">
          <wp:simplePos x="0" y="0"/>
          <wp:positionH relativeFrom="column">
            <wp:posOffset>1205865</wp:posOffset>
          </wp:positionH>
          <wp:positionV relativeFrom="paragraph">
            <wp:posOffset>-87630</wp:posOffset>
          </wp:positionV>
          <wp:extent cx="2990850" cy="1002030"/>
          <wp:effectExtent l="0" t="0" r="0" b="0"/>
          <wp:wrapTopAndBottom/>
          <wp:docPr id="18"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4"/>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3E70F" w14:textId="77777777" w:rsidR="00150077" w:rsidRDefault="00000000">
    <w:pPr>
      <w:pStyle w:val="Cabealho"/>
    </w:pPr>
    <w:r>
      <w:rPr>
        <w:noProof/>
      </w:rPr>
      <w:drawing>
        <wp:anchor distT="0" distB="0" distL="0" distR="0" simplePos="0" relativeHeight="251653120" behindDoc="1" locked="0" layoutInCell="0" allowOverlap="1" wp14:anchorId="71562304" wp14:editId="108A51C8">
          <wp:simplePos x="0" y="0"/>
          <wp:positionH relativeFrom="margin">
            <wp:align>center</wp:align>
          </wp:positionH>
          <wp:positionV relativeFrom="margin">
            <wp:align>center</wp:align>
          </wp:positionV>
          <wp:extent cx="6117590" cy="8653145"/>
          <wp:effectExtent l="0" t="0" r="0" b="0"/>
          <wp:wrapNone/>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3"/>
                  <pic:cNvPicPr>
                    <a:picLocks noChangeAspect="1" noChangeArrowheads="1"/>
                  </pic:cNvPicPr>
                </pic:nvPicPr>
                <pic:blipFill>
                  <a:blip r:embed="rId1"/>
                  <a:stretch>
                    <a:fillRect/>
                  </a:stretch>
                </pic:blipFill>
                <pic:spPr bwMode="auto">
                  <a:xfrm>
                    <a:off x="0" y="0"/>
                    <a:ext cx="6117590" cy="8653145"/>
                  </a:xfrm>
                  <a:prstGeom prst="rect">
                    <a:avLst/>
                  </a:prstGeom>
                </pic:spPr>
              </pic:pic>
            </a:graphicData>
          </a:graphic>
        </wp:anchor>
      </w:drawing>
    </w:r>
    <w:r>
      <w:rPr>
        <w:noProof/>
      </w:rPr>
      <w:drawing>
        <wp:anchor distT="0" distB="0" distL="114300" distR="114300" simplePos="0" relativeHeight="251662336" behindDoc="1" locked="0" layoutInCell="0" allowOverlap="1" wp14:anchorId="25702CEA" wp14:editId="5B77DCE1">
          <wp:simplePos x="0" y="0"/>
          <wp:positionH relativeFrom="column">
            <wp:posOffset>1205865</wp:posOffset>
          </wp:positionH>
          <wp:positionV relativeFrom="paragraph">
            <wp:posOffset>-87630</wp:posOffset>
          </wp:positionV>
          <wp:extent cx="2990850" cy="1002030"/>
          <wp:effectExtent l="0" t="0" r="0" b="0"/>
          <wp:wrapTopAndBottom/>
          <wp:docPr id="20"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4"/>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FF8E" w14:textId="77777777" w:rsidR="00150077" w:rsidRDefault="00150077">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8275F" w14:textId="77777777" w:rsidR="00150077" w:rsidRDefault="00000000">
    <w:pPr>
      <w:pStyle w:val="Cabealho"/>
      <w:jc w:val="center"/>
    </w:pPr>
    <w:r>
      <w:rPr>
        <w:noProof/>
      </w:rPr>
      <w:drawing>
        <wp:anchor distT="0" distB="0" distL="114300" distR="114300" simplePos="0" relativeHeight="251657216" behindDoc="1" locked="0" layoutInCell="0" allowOverlap="1" wp14:anchorId="206195B5" wp14:editId="5AB8FECB">
          <wp:simplePos x="0" y="0"/>
          <wp:positionH relativeFrom="column">
            <wp:posOffset>1238250</wp:posOffset>
          </wp:positionH>
          <wp:positionV relativeFrom="paragraph">
            <wp:posOffset>172720</wp:posOffset>
          </wp:positionV>
          <wp:extent cx="3124200" cy="1049655"/>
          <wp:effectExtent l="0" t="0" r="0" b="0"/>
          <wp:wrapTopAndBottom/>
          <wp:docPr id="21"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5"/>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2C9B32D1" w14:textId="77777777" w:rsidR="00150077" w:rsidRDefault="00150077">
    <w:pPr>
      <w:pStyle w:val="Cabealho"/>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92FFC" w14:textId="77777777" w:rsidR="00150077" w:rsidRDefault="00000000">
    <w:pPr>
      <w:pStyle w:val="Cabealho"/>
      <w:jc w:val="center"/>
    </w:pPr>
    <w:r>
      <w:rPr>
        <w:noProof/>
      </w:rPr>
      <w:drawing>
        <wp:anchor distT="0" distB="0" distL="114300" distR="114300" simplePos="0" relativeHeight="251658240" behindDoc="1" locked="0" layoutInCell="0" allowOverlap="1" wp14:anchorId="06139AE0" wp14:editId="392930C8">
          <wp:simplePos x="0" y="0"/>
          <wp:positionH relativeFrom="column">
            <wp:posOffset>1238250</wp:posOffset>
          </wp:positionH>
          <wp:positionV relativeFrom="paragraph">
            <wp:posOffset>172720</wp:posOffset>
          </wp:positionV>
          <wp:extent cx="3124200" cy="1049655"/>
          <wp:effectExtent l="0" t="0" r="0" b="0"/>
          <wp:wrapTopAndBottom/>
          <wp:docPr id="22"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a5"/>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1DD2BB1A" w14:textId="77777777" w:rsidR="00150077" w:rsidRDefault="0015007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366"/>
    <w:multiLevelType w:val="multilevel"/>
    <w:tmpl w:val="31CE3416"/>
    <w:lvl w:ilvl="0">
      <w:start w:val="1"/>
      <w:numFmt w:val="lowerLetter"/>
      <w:lvlText w:val="%1)"/>
      <w:lvlJc w:val="left"/>
      <w:pPr>
        <w:tabs>
          <w:tab w:val="num" w:pos="0"/>
        </w:tabs>
        <w:ind w:left="1494" w:hanging="360"/>
      </w:pPr>
      <w:rPr>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1" w15:restartNumberingAfterBreak="0">
    <w:nsid w:val="0B852E80"/>
    <w:multiLevelType w:val="multilevel"/>
    <w:tmpl w:val="52307104"/>
    <w:lvl w:ilvl="0">
      <w:start w:val="1"/>
      <w:numFmt w:val="bullet"/>
      <w:lvlText w:val=""/>
      <w:lvlJc w:val="left"/>
      <w:pPr>
        <w:tabs>
          <w:tab w:val="num" w:pos="0"/>
        </w:tabs>
        <w:ind w:left="360" w:hanging="360"/>
      </w:pPr>
      <w:rPr>
        <w:rFonts w:ascii="Symbol" w:hAnsi="Symbol" w:cs="Symbol" w:hint="default"/>
        <w:u w:val="none"/>
      </w:rPr>
    </w:lvl>
    <w:lvl w:ilvl="1">
      <w:start w:val="1"/>
      <w:numFmt w:val="bullet"/>
      <w:lvlText w:val="o"/>
      <w:lvlJc w:val="left"/>
      <w:pPr>
        <w:tabs>
          <w:tab w:val="num" w:pos="0"/>
        </w:tabs>
        <w:ind w:left="1080" w:hanging="360"/>
      </w:pPr>
      <w:rPr>
        <w:rFonts w:ascii="OpenSymbol" w:hAnsi="OpenSymbol" w:cs="OpenSymbol" w:hint="default"/>
        <w:u w:val="none"/>
      </w:rPr>
    </w:lvl>
    <w:lvl w:ilvl="2">
      <w:start w:val="1"/>
      <w:numFmt w:val="bullet"/>
      <w:lvlText w:val="▪"/>
      <w:lvlJc w:val="left"/>
      <w:pPr>
        <w:tabs>
          <w:tab w:val="num" w:pos="0"/>
        </w:tabs>
        <w:ind w:left="1800" w:hanging="360"/>
      </w:pPr>
      <w:rPr>
        <w:rFonts w:ascii="OpenSymbol" w:hAnsi="OpenSymbol" w:cs="OpenSymbol" w:hint="default"/>
        <w:u w:val="none"/>
      </w:rPr>
    </w:lvl>
    <w:lvl w:ilvl="3">
      <w:start w:val="1"/>
      <w:numFmt w:val="bullet"/>
      <w:lvlText w:val=""/>
      <w:lvlJc w:val="left"/>
      <w:pPr>
        <w:tabs>
          <w:tab w:val="num" w:pos="0"/>
        </w:tabs>
        <w:ind w:left="2520" w:hanging="360"/>
      </w:pPr>
      <w:rPr>
        <w:rFonts w:ascii="Wingdings" w:hAnsi="Wingdings" w:cs="Wingdings" w:hint="default"/>
        <w:u w:val="none"/>
      </w:rPr>
    </w:lvl>
    <w:lvl w:ilvl="4">
      <w:start w:val="1"/>
      <w:numFmt w:val="bullet"/>
      <w:lvlText w:val="o"/>
      <w:lvlJc w:val="left"/>
      <w:pPr>
        <w:tabs>
          <w:tab w:val="num" w:pos="0"/>
        </w:tabs>
        <w:ind w:left="3240" w:hanging="360"/>
      </w:pPr>
      <w:rPr>
        <w:rFonts w:ascii="OpenSymbol" w:hAnsi="OpenSymbol" w:cs="OpenSymbol" w:hint="default"/>
        <w:u w:val="none"/>
      </w:rPr>
    </w:lvl>
    <w:lvl w:ilvl="5">
      <w:start w:val="1"/>
      <w:numFmt w:val="bullet"/>
      <w:lvlText w:val="▪"/>
      <w:lvlJc w:val="left"/>
      <w:pPr>
        <w:tabs>
          <w:tab w:val="num" w:pos="0"/>
        </w:tabs>
        <w:ind w:left="3960" w:hanging="360"/>
      </w:pPr>
      <w:rPr>
        <w:rFonts w:ascii="OpenSymbol" w:hAnsi="OpenSymbol" w:cs="OpenSymbol" w:hint="default"/>
        <w:u w:val="none"/>
      </w:rPr>
    </w:lvl>
    <w:lvl w:ilvl="6">
      <w:start w:val="1"/>
      <w:numFmt w:val="bullet"/>
      <w:lvlText w:val=""/>
      <w:lvlJc w:val="left"/>
      <w:pPr>
        <w:tabs>
          <w:tab w:val="num" w:pos="0"/>
        </w:tabs>
        <w:ind w:left="4680" w:hanging="360"/>
      </w:pPr>
      <w:rPr>
        <w:rFonts w:ascii="Wingdings" w:hAnsi="Wingdings" w:cs="Wingdings" w:hint="default"/>
        <w:u w:val="none"/>
      </w:rPr>
    </w:lvl>
    <w:lvl w:ilvl="7">
      <w:start w:val="1"/>
      <w:numFmt w:val="bullet"/>
      <w:lvlText w:val="o"/>
      <w:lvlJc w:val="left"/>
      <w:pPr>
        <w:tabs>
          <w:tab w:val="num" w:pos="0"/>
        </w:tabs>
        <w:ind w:left="5400" w:hanging="360"/>
      </w:pPr>
      <w:rPr>
        <w:rFonts w:ascii="OpenSymbol" w:hAnsi="OpenSymbol" w:cs="OpenSymbol" w:hint="default"/>
        <w:u w:val="none"/>
      </w:rPr>
    </w:lvl>
    <w:lvl w:ilvl="8">
      <w:start w:val="1"/>
      <w:numFmt w:val="bullet"/>
      <w:lvlText w:val="▪"/>
      <w:lvlJc w:val="left"/>
      <w:pPr>
        <w:tabs>
          <w:tab w:val="num" w:pos="0"/>
        </w:tabs>
        <w:ind w:left="6120" w:hanging="360"/>
      </w:pPr>
      <w:rPr>
        <w:rFonts w:ascii="OpenSymbol" w:hAnsi="OpenSymbol" w:cs="OpenSymbol" w:hint="default"/>
        <w:u w:val="none"/>
      </w:rPr>
    </w:lvl>
  </w:abstractNum>
  <w:abstractNum w:abstractNumId="2" w15:restartNumberingAfterBreak="0">
    <w:nsid w:val="10030537"/>
    <w:multiLevelType w:val="multilevel"/>
    <w:tmpl w:val="9AC865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BA50C6"/>
    <w:multiLevelType w:val="multilevel"/>
    <w:tmpl w:val="17CAEB86"/>
    <w:lvl w:ilvl="0">
      <w:start w:val="1"/>
      <w:numFmt w:val="bullet"/>
      <w:lvlText w:val=""/>
      <w:lvlJc w:val="left"/>
      <w:pPr>
        <w:tabs>
          <w:tab w:val="num" w:pos="0"/>
        </w:tabs>
        <w:ind w:left="720" w:hanging="360"/>
      </w:pPr>
      <w:rPr>
        <w:rFonts w:ascii="Symbol" w:hAnsi="Symbol" w:cs="Symbol" w:hint="default"/>
        <w:u w:val="none"/>
      </w:rPr>
    </w:lvl>
    <w:lvl w:ilvl="1">
      <w:start w:val="1"/>
      <w:numFmt w:val="bullet"/>
      <w:lvlText w:val="o"/>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o"/>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o"/>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15:restartNumberingAfterBreak="0">
    <w:nsid w:val="199C2E09"/>
    <w:multiLevelType w:val="multilevel"/>
    <w:tmpl w:val="7F1E014E"/>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430" w:hanging="720"/>
      </w:pPr>
      <w:rPr>
        <w:sz w:val="24"/>
        <w:szCs w:val="24"/>
      </w:rPr>
    </w:lvl>
    <w:lvl w:ilvl="3">
      <w:start w:val="1"/>
      <w:numFmt w:val="decimal"/>
      <w:pStyle w:val="Nvel4-R"/>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237A3C87"/>
    <w:multiLevelType w:val="multilevel"/>
    <w:tmpl w:val="7638C5DE"/>
    <w:lvl w:ilvl="0">
      <w:start w:val="1"/>
      <w:numFmt w:val="bullet"/>
      <w:lvlText w:val=""/>
      <w:lvlJc w:val="left"/>
      <w:pPr>
        <w:tabs>
          <w:tab w:val="num" w:pos="0"/>
        </w:tabs>
        <w:ind w:left="720" w:hanging="360"/>
      </w:pPr>
      <w:rPr>
        <w:rFonts w:ascii="Symbol" w:hAnsi="Symbol" w:cs="Symbol"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15:restartNumberingAfterBreak="0">
    <w:nsid w:val="27C15E5E"/>
    <w:multiLevelType w:val="multilevel"/>
    <w:tmpl w:val="82243A16"/>
    <w:lvl w:ilvl="0">
      <w:start w:val="4"/>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pStyle w:val="Nvel3"/>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34F42C1B"/>
    <w:multiLevelType w:val="multilevel"/>
    <w:tmpl w:val="6A607CA8"/>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8" w15:restartNumberingAfterBreak="0">
    <w:nsid w:val="36577188"/>
    <w:multiLevelType w:val="multilevel"/>
    <w:tmpl w:val="7F1E174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3C8A2981"/>
    <w:multiLevelType w:val="multilevel"/>
    <w:tmpl w:val="E03E67B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0" w15:restartNumberingAfterBreak="0">
    <w:nsid w:val="3EFC078B"/>
    <w:multiLevelType w:val="multilevel"/>
    <w:tmpl w:val="19787028"/>
    <w:lvl w:ilvl="0">
      <w:start w:val="1"/>
      <w:numFmt w:val="decimal"/>
      <w:lvlText w:val="%1."/>
      <w:lvlJc w:val="left"/>
      <w:pPr>
        <w:tabs>
          <w:tab w:val="num" w:pos="0"/>
        </w:tabs>
        <w:ind w:left="419" w:hanging="360"/>
      </w:pPr>
    </w:lvl>
    <w:lvl w:ilvl="1">
      <w:start w:val="1"/>
      <w:numFmt w:val="lowerLetter"/>
      <w:lvlText w:val="%2."/>
      <w:lvlJc w:val="left"/>
      <w:pPr>
        <w:tabs>
          <w:tab w:val="num" w:pos="0"/>
        </w:tabs>
        <w:ind w:left="1139" w:hanging="360"/>
      </w:pPr>
    </w:lvl>
    <w:lvl w:ilvl="2">
      <w:start w:val="1"/>
      <w:numFmt w:val="lowerRoman"/>
      <w:lvlText w:val="%3."/>
      <w:lvlJc w:val="right"/>
      <w:pPr>
        <w:tabs>
          <w:tab w:val="num" w:pos="0"/>
        </w:tabs>
        <w:ind w:left="1859" w:hanging="180"/>
      </w:pPr>
    </w:lvl>
    <w:lvl w:ilvl="3">
      <w:start w:val="1"/>
      <w:numFmt w:val="decimal"/>
      <w:lvlText w:val="%4."/>
      <w:lvlJc w:val="left"/>
      <w:pPr>
        <w:tabs>
          <w:tab w:val="num" w:pos="0"/>
        </w:tabs>
        <w:ind w:left="2579" w:hanging="360"/>
      </w:pPr>
    </w:lvl>
    <w:lvl w:ilvl="4">
      <w:start w:val="1"/>
      <w:numFmt w:val="lowerLetter"/>
      <w:lvlText w:val="%5."/>
      <w:lvlJc w:val="left"/>
      <w:pPr>
        <w:tabs>
          <w:tab w:val="num" w:pos="0"/>
        </w:tabs>
        <w:ind w:left="3299" w:hanging="360"/>
      </w:pPr>
    </w:lvl>
    <w:lvl w:ilvl="5">
      <w:start w:val="1"/>
      <w:numFmt w:val="lowerRoman"/>
      <w:lvlText w:val="%6."/>
      <w:lvlJc w:val="right"/>
      <w:pPr>
        <w:tabs>
          <w:tab w:val="num" w:pos="0"/>
        </w:tabs>
        <w:ind w:left="4019" w:hanging="180"/>
      </w:pPr>
    </w:lvl>
    <w:lvl w:ilvl="6">
      <w:start w:val="1"/>
      <w:numFmt w:val="decimal"/>
      <w:lvlText w:val="%7."/>
      <w:lvlJc w:val="left"/>
      <w:pPr>
        <w:tabs>
          <w:tab w:val="num" w:pos="0"/>
        </w:tabs>
        <w:ind w:left="4739" w:hanging="360"/>
      </w:pPr>
    </w:lvl>
    <w:lvl w:ilvl="7">
      <w:start w:val="1"/>
      <w:numFmt w:val="lowerLetter"/>
      <w:lvlText w:val="%8."/>
      <w:lvlJc w:val="left"/>
      <w:pPr>
        <w:tabs>
          <w:tab w:val="num" w:pos="0"/>
        </w:tabs>
        <w:ind w:left="5459" w:hanging="360"/>
      </w:pPr>
    </w:lvl>
    <w:lvl w:ilvl="8">
      <w:start w:val="1"/>
      <w:numFmt w:val="lowerRoman"/>
      <w:lvlText w:val="%9."/>
      <w:lvlJc w:val="right"/>
      <w:pPr>
        <w:tabs>
          <w:tab w:val="num" w:pos="0"/>
        </w:tabs>
        <w:ind w:left="6179" w:hanging="180"/>
      </w:pPr>
    </w:lvl>
  </w:abstractNum>
  <w:abstractNum w:abstractNumId="11" w15:restartNumberingAfterBreak="0">
    <w:nsid w:val="47BE02B8"/>
    <w:multiLevelType w:val="hybridMultilevel"/>
    <w:tmpl w:val="FBD48D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D5D26E4"/>
    <w:multiLevelType w:val="multilevel"/>
    <w:tmpl w:val="62B412BE"/>
    <w:lvl w:ilvl="0">
      <w:start w:val="1"/>
      <w:numFmt w:val="bullet"/>
      <w:lvlText w:val=""/>
      <w:lvlJc w:val="left"/>
      <w:pPr>
        <w:tabs>
          <w:tab w:val="num" w:pos="0"/>
        </w:tabs>
        <w:ind w:left="720" w:hanging="360"/>
      </w:pPr>
      <w:rPr>
        <w:rFonts w:ascii="Symbol" w:hAnsi="Symbol" w:cs="Symbol"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3" w15:restartNumberingAfterBreak="0">
    <w:nsid w:val="5793587F"/>
    <w:multiLevelType w:val="hybridMultilevel"/>
    <w:tmpl w:val="9A88F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6E4150F"/>
    <w:multiLevelType w:val="multilevel"/>
    <w:tmpl w:val="0526EF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693F5F56"/>
    <w:multiLevelType w:val="multilevel"/>
    <w:tmpl w:val="54E6890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7D7A7BFC"/>
    <w:multiLevelType w:val="hybridMultilevel"/>
    <w:tmpl w:val="7B0885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18132904">
    <w:abstractNumId w:val="6"/>
  </w:num>
  <w:num w:numId="2" w16cid:durableId="486282686">
    <w:abstractNumId w:val="0"/>
  </w:num>
  <w:num w:numId="3" w16cid:durableId="1499157173">
    <w:abstractNumId w:val="9"/>
  </w:num>
  <w:num w:numId="4" w16cid:durableId="1817994342">
    <w:abstractNumId w:val="10"/>
  </w:num>
  <w:num w:numId="5" w16cid:durableId="231742034">
    <w:abstractNumId w:val="4"/>
  </w:num>
  <w:num w:numId="6" w16cid:durableId="2058620590">
    <w:abstractNumId w:val="7"/>
  </w:num>
  <w:num w:numId="7" w16cid:durableId="1906531584">
    <w:abstractNumId w:val="5"/>
  </w:num>
  <w:num w:numId="8" w16cid:durableId="704864402">
    <w:abstractNumId w:val="12"/>
  </w:num>
  <w:num w:numId="9" w16cid:durableId="778837027">
    <w:abstractNumId w:val="3"/>
  </w:num>
  <w:num w:numId="10" w16cid:durableId="1381049242">
    <w:abstractNumId w:val="1"/>
  </w:num>
  <w:num w:numId="11" w16cid:durableId="711536254">
    <w:abstractNumId w:val="8"/>
  </w:num>
  <w:num w:numId="12" w16cid:durableId="484981334">
    <w:abstractNumId w:val="15"/>
  </w:num>
  <w:num w:numId="13" w16cid:durableId="980841248">
    <w:abstractNumId w:val="14"/>
  </w:num>
  <w:num w:numId="14" w16cid:durableId="1708599096">
    <w:abstractNumId w:val="2"/>
  </w:num>
  <w:num w:numId="15" w16cid:durableId="1779569243">
    <w:abstractNumId w:val="13"/>
  </w:num>
  <w:num w:numId="16" w16cid:durableId="1452432689">
    <w:abstractNumId w:val="16"/>
  </w:num>
  <w:num w:numId="17" w16cid:durableId="12764489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50077"/>
    <w:rsid w:val="00150077"/>
    <w:rsid w:val="001A12CD"/>
    <w:rsid w:val="00511F57"/>
    <w:rsid w:val="00783941"/>
    <w:rsid w:val="007A1184"/>
    <w:rsid w:val="00B1467E"/>
    <w:rsid w:val="00E7033B"/>
    <w:rsid w:val="00F467C1"/>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D12934"/>
  <w15:docId w15:val="{58457535-F660-4AE4-9105-9342A210B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60" w:after="160" w:line="288" w:lineRule="auto"/>
      <w:jc w:val="both"/>
    </w:pPr>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2A4117"/>
    <w:pPr>
      <w:keepNext/>
      <w:spacing w:before="240" w:after="60" w:line="240" w:lineRule="auto"/>
      <w:jc w:val="left"/>
      <w:textAlignment w:val="baseline"/>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DB56B4"/>
    <w:pPr>
      <w:keepNext/>
      <w:widowControl w:val="0"/>
      <w:tabs>
        <w:tab w:val="left" w:pos="3600"/>
      </w:tab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paragraph" w:styleId="Ttulo6">
    <w:name w:val="heading 6"/>
    <w:basedOn w:val="Normal"/>
    <w:next w:val="Normal"/>
    <w:link w:val="Ttulo6Char"/>
    <w:qFormat/>
    <w:rsid w:val="002A4117"/>
    <w:pPr>
      <w:keepNext/>
      <w:spacing w:before="0" w:after="0" w:line="240" w:lineRule="auto"/>
      <w:ind w:firstLine="1985"/>
      <w:jc w:val="left"/>
      <w:outlineLvl w:val="5"/>
    </w:pPr>
    <w:rPr>
      <w:rFonts w:ascii="Times New Roman" w:eastAsia="Times New Roman" w:hAnsi="Times New Roman" w:cs="Times New Roman"/>
      <w:i/>
      <w:szCs w:val="20"/>
      <w:lang w:eastAsia="pt-BR"/>
    </w:rPr>
  </w:style>
  <w:style w:type="paragraph" w:styleId="Ttulo7">
    <w:name w:val="heading 7"/>
    <w:basedOn w:val="Normal"/>
    <w:next w:val="Normal"/>
    <w:link w:val="Ttulo7Char"/>
    <w:uiPriority w:val="99"/>
    <w:qFormat/>
    <w:rsid w:val="002A4117"/>
    <w:pPr>
      <w:keepNext/>
      <w:tabs>
        <w:tab w:val="left" w:pos="7942"/>
        <w:tab w:val="left" w:pos="8368"/>
        <w:tab w:val="left" w:pos="8510"/>
      </w:tabs>
      <w:spacing w:before="0" w:after="0" w:line="240" w:lineRule="auto"/>
      <w:ind w:right="-784" w:firstLine="57"/>
      <w:jc w:val="center"/>
      <w:outlineLvl w:val="6"/>
    </w:pPr>
    <w:rPr>
      <w:rFonts w:ascii="Tahoma" w:eastAsia="Times New Roman" w:hAnsi="Tahoma" w:cs="Times New Roman"/>
      <w:b/>
      <w:sz w:val="24"/>
      <w:szCs w:val="20"/>
      <w:lang w:eastAsia="pt-BR"/>
    </w:rPr>
  </w:style>
  <w:style w:type="paragraph" w:styleId="Ttulo8">
    <w:name w:val="heading 8"/>
    <w:basedOn w:val="Normal"/>
    <w:next w:val="Normal"/>
    <w:link w:val="Ttulo8Char"/>
    <w:uiPriority w:val="99"/>
    <w:qFormat/>
    <w:rsid w:val="002A4117"/>
    <w:pPr>
      <w:keepNext/>
      <w:spacing w:before="0" w:after="0" w:line="240" w:lineRule="auto"/>
      <w:ind w:firstLine="57"/>
      <w:jc w:val="center"/>
      <w:outlineLvl w:val="7"/>
    </w:pPr>
    <w:rPr>
      <w:rFonts w:ascii="Tahoma" w:eastAsia="Times New Roman" w:hAnsi="Tahoma" w:cs="Times New Roman"/>
      <w:i/>
      <w:color w:val="FF000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qFormat/>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qFormat/>
    <w:rsid w:val="00DB56B4"/>
    <w:rPr>
      <w:rFonts w:ascii="Courier New" w:eastAsia="Lucida Sans Unicode" w:hAnsi="Courier New" w:cs="Courier New"/>
      <w:color w:val="000000"/>
      <w:kern w:val="2"/>
      <w:sz w:val="24"/>
      <w:szCs w:val="20"/>
      <w:lang w:eastAsia="pt-BR"/>
    </w:rPr>
  </w:style>
  <w:style w:type="character" w:customStyle="1" w:styleId="CabealhoChar">
    <w:name w:val="Cabeçalho Char"/>
    <w:basedOn w:val="Fontepargpadro"/>
    <w:link w:val="Cabealho"/>
    <w:uiPriority w:val="99"/>
    <w:qFormat/>
    <w:rsid w:val="00CD0DA8"/>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character" w:styleId="nfaseSutil">
    <w:name w:val="Subtle Emphasis"/>
    <w:basedOn w:val="Fontepargpadro"/>
    <w:uiPriority w:val="19"/>
    <w:qFormat/>
    <w:rsid w:val="0030771F"/>
    <w:rPr>
      <w:i/>
      <w:iCs/>
      <w:color w:val="808080" w:themeColor="text1" w:themeTint="7F"/>
    </w:rPr>
  </w:style>
  <w:style w:type="character" w:customStyle="1" w:styleId="SemEspaamentoChar">
    <w:name w:val="Sem Espaçamento Char"/>
    <w:link w:val="SemEspaamento"/>
    <w:uiPriority w:val="1"/>
    <w:qFormat/>
    <w:locked/>
    <w:rsid w:val="006A51F9"/>
  </w:style>
  <w:style w:type="character" w:customStyle="1" w:styleId="CorpodetextoChar">
    <w:name w:val="Corpo de texto Char"/>
    <w:basedOn w:val="Fontepargpadro"/>
    <w:link w:val="Corpodetexto"/>
    <w:uiPriority w:val="1"/>
    <w:qFormat/>
    <w:rsid w:val="00FF0950"/>
    <w:rPr>
      <w:rFonts w:ascii="Calibri" w:eastAsia="Calibri" w:hAnsi="Calibri" w:cs="Times New Roman"/>
    </w:rPr>
  </w:style>
  <w:style w:type="character" w:styleId="Forte">
    <w:name w:val="Strong"/>
    <w:basedOn w:val="Fontepargpadro"/>
    <w:uiPriority w:val="22"/>
    <w:qFormat/>
    <w:rsid w:val="00FF0950"/>
    <w:rPr>
      <w:b/>
      <w:bCs/>
    </w:rPr>
  </w:style>
  <w:style w:type="character" w:customStyle="1" w:styleId="PargrafodaListaChar">
    <w:name w:val="Parágrafo da Lista Char"/>
    <w:link w:val="PargrafodaLista"/>
    <w:uiPriority w:val="34"/>
    <w:qFormat/>
    <w:locked/>
    <w:rsid w:val="006145BF"/>
    <w:rPr>
      <w:rFonts w:ascii="Arial MT" w:eastAsia="Arial MT" w:hAnsi="Arial MT" w:cs="Arial MT"/>
      <w:lang w:val="pt-PT"/>
    </w:rPr>
  </w:style>
  <w:style w:type="character" w:customStyle="1" w:styleId="Nivel2Char">
    <w:name w:val="Nivel 2 Char"/>
    <w:basedOn w:val="Fontepargpadro"/>
    <w:link w:val="Nivel2"/>
    <w:qFormat/>
    <w:locked/>
    <w:rsid w:val="00D411C1"/>
    <w:rPr>
      <w:rFonts w:ascii="Cambria" w:eastAsia="Arial" w:hAnsi="Cambria" w:cs="Arial"/>
      <w:sz w:val="24"/>
      <w:szCs w:val="24"/>
      <w:lang w:eastAsia="pt-BR"/>
    </w:rPr>
  </w:style>
  <w:style w:type="character" w:customStyle="1" w:styleId="Nvel3Char">
    <w:name w:val="Nível 3 Char"/>
    <w:basedOn w:val="Fontepargpadro"/>
    <w:link w:val="Nvel3"/>
    <w:qFormat/>
    <w:rsid w:val="00D0629A"/>
    <w:rPr>
      <w:rFonts w:ascii="Arial" w:eastAsia="Times New Roman" w:hAnsi="Arial" w:cs="Arial"/>
      <w:sz w:val="20"/>
      <w:szCs w:val="20"/>
      <w:lang w:eastAsia="pt-BR"/>
    </w:rPr>
  </w:style>
  <w:style w:type="character" w:customStyle="1" w:styleId="Nvel4Char">
    <w:name w:val="Nível 4 Char"/>
    <w:basedOn w:val="Nvel3Char"/>
    <w:link w:val="Nvel4"/>
    <w:qFormat/>
    <w:rsid w:val="00D0629A"/>
    <w:rPr>
      <w:rFonts w:ascii="Arial" w:eastAsia="Times New Roman" w:hAnsi="Arial" w:cs="Arial"/>
      <w:sz w:val="20"/>
      <w:szCs w:val="20"/>
      <w:lang w:eastAsia="pt-BR"/>
    </w:rPr>
  </w:style>
  <w:style w:type="character" w:customStyle="1" w:styleId="Nvel2-RedChar">
    <w:name w:val="Nível 2 -Red Char"/>
    <w:basedOn w:val="Nivel2Char"/>
    <w:link w:val="Nvel2-Red"/>
    <w:qFormat/>
    <w:locked/>
    <w:rsid w:val="00D0629A"/>
    <w:rPr>
      <w:rFonts w:ascii="Cambria" w:eastAsia="Arial" w:hAnsi="Cambria" w:cs="Arial"/>
      <w:i/>
      <w:iCs/>
      <w:color w:val="FF0000"/>
      <w:sz w:val="24"/>
      <w:szCs w:val="24"/>
      <w:lang w:eastAsia="pt-BR"/>
    </w:rPr>
  </w:style>
  <w:style w:type="character" w:customStyle="1" w:styleId="Nvel3-RChar">
    <w:name w:val="Nível 3-R Char"/>
    <w:basedOn w:val="Fontepargpadro"/>
    <w:link w:val="Nvel3-R"/>
    <w:qFormat/>
    <w:locked/>
    <w:rsid w:val="00D0629A"/>
    <w:rPr>
      <w:rFonts w:ascii="Cambria" w:eastAsiaTheme="minorEastAsia" w:hAnsi="Cambria" w:cs="Arial"/>
      <w:color w:val="FF0000"/>
      <w:lang w:eastAsia="pt-BR"/>
    </w:rPr>
  </w:style>
  <w:style w:type="character" w:customStyle="1" w:styleId="Nivel3Char">
    <w:name w:val="Nivel 3 Char"/>
    <w:basedOn w:val="Fontepargpadro"/>
    <w:link w:val="Nivel3"/>
    <w:qFormat/>
    <w:locked/>
    <w:rsid w:val="00507008"/>
    <w:rPr>
      <w:rFonts w:ascii="Cambria" w:eastAsiaTheme="minorEastAsia" w:hAnsi="Cambria" w:cs="Arial"/>
      <w:lang w:eastAsia="pt-BR"/>
    </w:rPr>
  </w:style>
  <w:style w:type="character" w:customStyle="1" w:styleId="TtuloChar">
    <w:name w:val="Título Char"/>
    <w:basedOn w:val="Fontepargpadro"/>
    <w:link w:val="Ttulo10"/>
    <w:uiPriority w:val="99"/>
    <w:qFormat/>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qFormat/>
    <w:locked/>
    <w:rsid w:val="00141801"/>
    <w:rPr>
      <w:rFonts w:ascii="Arial" w:eastAsiaTheme="majorEastAsia" w:hAnsi="Arial" w:cs="Arial"/>
      <w:b/>
      <w:bCs/>
      <w:sz w:val="24"/>
      <w:szCs w:val="24"/>
      <w:lang w:eastAsia="zh-CN" w:bidi="hi-IN"/>
    </w:rPr>
  </w:style>
  <w:style w:type="character" w:customStyle="1" w:styleId="normaltextrun">
    <w:name w:val="normaltextrun"/>
    <w:basedOn w:val="Fontepargpadro"/>
    <w:qFormat/>
    <w:rsid w:val="00141801"/>
  </w:style>
  <w:style w:type="character" w:customStyle="1" w:styleId="findhit">
    <w:name w:val="findhit"/>
    <w:basedOn w:val="Fontepargpadro"/>
    <w:qFormat/>
    <w:rsid w:val="00141801"/>
  </w:style>
  <w:style w:type="character" w:customStyle="1" w:styleId="Nivel01Char">
    <w:name w:val="Nivel 01 Char"/>
    <w:basedOn w:val="Fontepargpadro"/>
    <w:link w:val="Nivel01"/>
    <w:qFormat/>
    <w:rsid w:val="00925F69"/>
    <w:rPr>
      <w:rFonts w:ascii="Arial" w:eastAsiaTheme="majorEastAsia" w:hAnsi="Arial" w:cs="Arial"/>
      <w:b/>
      <w:bCs/>
      <w:sz w:val="24"/>
      <w:szCs w:val="24"/>
      <w:shd w:val="clear" w:color="auto" w:fill="D9D9D9"/>
      <w:lang w:eastAsia="pt-BR"/>
    </w:rPr>
  </w:style>
  <w:style w:type="character" w:customStyle="1" w:styleId="TextodebaloChar">
    <w:name w:val="Texto de balão Char"/>
    <w:basedOn w:val="Fontepargpadro"/>
    <w:link w:val="Textodebalo"/>
    <w:uiPriority w:val="99"/>
    <w:qFormat/>
    <w:rsid w:val="006266F7"/>
    <w:rPr>
      <w:rFonts w:ascii="Tahoma" w:hAnsi="Tahoma" w:cs="Tahoma"/>
      <w:sz w:val="16"/>
      <w:szCs w:val="16"/>
    </w:rPr>
  </w:style>
  <w:style w:type="character" w:customStyle="1" w:styleId="Nvel1-SemNumChar">
    <w:name w:val="Nível 1-Sem Num Char"/>
    <w:basedOn w:val="Nivel01Char"/>
    <w:link w:val="Nvel1-SemNum"/>
    <w:qFormat/>
    <w:rsid w:val="00DB56B4"/>
    <w:rPr>
      <w:rFonts w:ascii="Arial" w:eastAsiaTheme="majorEastAsia" w:hAnsi="Arial" w:cs="Arial"/>
      <w:b w:val="0"/>
      <w:bCs w:val="0"/>
      <w:sz w:val="24"/>
      <w:szCs w:val="24"/>
      <w:shd w:val="clear" w:color="auto" w:fill="D9D9D9"/>
      <w:lang w:eastAsia="pt-BR"/>
    </w:rPr>
  </w:style>
  <w:style w:type="character" w:customStyle="1" w:styleId="a-size-large">
    <w:name w:val="a-size-large"/>
    <w:basedOn w:val="Fontepargpadro"/>
    <w:qFormat/>
    <w:rsid w:val="00DB56B4"/>
  </w:style>
  <w:style w:type="character" w:styleId="TextodoEspaoReservado">
    <w:name w:val="Placeholder Text"/>
    <w:basedOn w:val="Fontepargpadro"/>
    <w:uiPriority w:val="99"/>
    <w:semiHidden/>
    <w:qFormat/>
    <w:rsid w:val="00DB56B4"/>
    <w:rPr>
      <w:color w:val="808080"/>
    </w:rPr>
  </w:style>
  <w:style w:type="character" w:customStyle="1" w:styleId="overflow-hidden">
    <w:name w:val="overflow-hidden"/>
    <w:basedOn w:val="Fontepargpadro"/>
    <w:qFormat/>
    <w:rsid w:val="00DB56B4"/>
  </w:style>
  <w:style w:type="character" w:customStyle="1" w:styleId="a-list-item">
    <w:name w:val="a-list-item"/>
    <w:basedOn w:val="Fontepargpadro"/>
    <w:qFormat/>
    <w:rsid w:val="00DB56B4"/>
  </w:style>
  <w:style w:type="character" w:customStyle="1" w:styleId="sc-dcjsry">
    <w:name w:val="sc-dcjsry"/>
    <w:basedOn w:val="Fontepargpadro"/>
    <w:qFormat/>
    <w:rsid w:val="00DB56B4"/>
  </w:style>
  <w:style w:type="character" w:customStyle="1" w:styleId="vtex-store-components-3-x-productbrand">
    <w:name w:val="vtex-store-components-3-x-productbrand"/>
    <w:basedOn w:val="Fontepargpadro"/>
    <w:qFormat/>
    <w:rsid w:val="00DB56B4"/>
  </w:style>
  <w:style w:type="character" w:customStyle="1" w:styleId="a-size-base">
    <w:name w:val="a-size-base"/>
    <w:basedOn w:val="Fontepargpadro"/>
    <w:qFormat/>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nhideWhenUsed/>
    <w:qFormat/>
    <w:rsid w:val="001C5084"/>
    <w:rPr>
      <w:sz w:val="16"/>
      <w:szCs w:val="16"/>
    </w:rPr>
  </w:style>
  <w:style w:type="character" w:customStyle="1" w:styleId="TextodecomentrioChar">
    <w:name w:val="Texto de comentário Char"/>
    <w:basedOn w:val="Fontepargpadro"/>
    <w:link w:val="Textodecomentrio"/>
    <w:qFormat/>
    <w:rsid w:val="001C5084"/>
    <w:rPr>
      <w:rFonts w:ascii="Times New Roman" w:eastAsia="Arial Unicode MS" w:hAnsi="Times New Roman" w:cs="Times New Roman"/>
      <w:kern w:val="2"/>
      <w:sz w:val="20"/>
      <w:szCs w:val="20"/>
      <w:lang w:eastAsia="pt-BR"/>
    </w:rPr>
  </w:style>
  <w:style w:type="character" w:customStyle="1" w:styleId="AssuntodocomentrioChar">
    <w:name w:val="Assunto do comentário Char"/>
    <w:basedOn w:val="TextodecomentrioChar"/>
    <w:link w:val="Assuntodocomentrio"/>
    <w:qFormat/>
    <w:rsid w:val="001C5084"/>
    <w:rPr>
      <w:rFonts w:ascii="Times New Roman" w:eastAsia="Arial Unicode MS" w:hAnsi="Times New Roman" w:cs="Times New Roman"/>
      <w:b/>
      <w:bCs/>
      <w:kern w:val="2"/>
      <w:sz w:val="20"/>
      <w:szCs w:val="20"/>
      <w:lang w:eastAsia="pt-BR"/>
    </w:rPr>
  </w:style>
  <w:style w:type="character" w:styleId="MenoPendente">
    <w:name w:val="Unresolved Mention"/>
    <w:basedOn w:val="Fontepargpadro"/>
    <w:uiPriority w:val="99"/>
    <w:semiHidden/>
    <w:unhideWhenUsed/>
    <w:qFormat/>
    <w:rsid w:val="001C5084"/>
    <w:rPr>
      <w:color w:val="605E5C"/>
      <w:shd w:val="clear" w:color="auto" w:fill="E1DFDD"/>
    </w:rPr>
  </w:style>
  <w:style w:type="character" w:customStyle="1" w:styleId="whitespace-normal">
    <w:name w:val="whitespace-normal"/>
    <w:basedOn w:val="Fontepargpadro"/>
    <w:qFormat/>
    <w:rsid w:val="00675FF1"/>
  </w:style>
  <w:style w:type="character" w:customStyle="1" w:styleId="Ttulo2Char">
    <w:name w:val="Título 2 Char"/>
    <w:basedOn w:val="Fontepargpadro"/>
    <w:link w:val="Ttulo2"/>
    <w:qFormat/>
    <w:rsid w:val="002A4117"/>
    <w:rPr>
      <w:rFonts w:ascii="Arial" w:eastAsia="Times New Roman" w:hAnsi="Arial" w:cs="Arial"/>
      <w:b/>
      <w:bCs/>
      <w:i/>
      <w:iCs/>
      <w:sz w:val="28"/>
      <w:szCs w:val="28"/>
      <w:lang w:eastAsia="pt-BR"/>
    </w:rPr>
  </w:style>
  <w:style w:type="character" w:customStyle="1" w:styleId="Ttulo6Char">
    <w:name w:val="Título 6 Char"/>
    <w:basedOn w:val="Fontepargpadro"/>
    <w:link w:val="Ttulo6"/>
    <w:qFormat/>
    <w:rsid w:val="002A4117"/>
    <w:rPr>
      <w:rFonts w:ascii="Times New Roman" w:eastAsia="Times New Roman" w:hAnsi="Times New Roman" w:cs="Times New Roman"/>
      <w:i/>
      <w:szCs w:val="20"/>
      <w:lang w:eastAsia="pt-BR"/>
    </w:rPr>
  </w:style>
  <w:style w:type="character" w:customStyle="1" w:styleId="Ttulo7Char">
    <w:name w:val="Título 7 Char"/>
    <w:basedOn w:val="Fontepargpadro"/>
    <w:link w:val="Ttulo7"/>
    <w:uiPriority w:val="99"/>
    <w:qFormat/>
    <w:rsid w:val="002A4117"/>
    <w:rPr>
      <w:rFonts w:ascii="Tahoma" w:eastAsia="Times New Roman" w:hAnsi="Tahoma" w:cs="Times New Roman"/>
      <w:b/>
      <w:sz w:val="24"/>
      <w:szCs w:val="20"/>
      <w:lang w:eastAsia="pt-BR"/>
    </w:rPr>
  </w:style>
  <w:style w:type="character" w:customStyle="1" w:styleId="Ttulo8Char">
    <w:name w:val="Título 8 Char"/>
    <w:basedOn w:val="Fontepargpadro"/>
    <w:link w:val="Ttulo8"/>
    <w:uiPriority w:val="99"/>
    <w:qFormat/>
    <w:rsid w:val="002A4117"/>
    <w:rPr>
      <w:rFonts w:ascii="Tahoma" w:eastAsia="Times New Roman" w:hAnsi="Tahoma" w:cs="Times New Roman"/>
      <w:i/>
      <w:color w:val="FF0000"/>
      <w:szCs w:val="20"/>
      <w:lang w:eastAsia="pt-BR"/>
    </w:rPr>
  </w:style>
  <w:style w:type="character" w:customStyle="1" w:styleId="ouChar">
    <w:name w:val="ou Char"/>
    <w:basedOn w:val="PargrafodaListaChar"/>
    <w:link w:val="ou"/>
    <w:qFormat/>
    <w:rsid w:val="002A4117"/>
    <w:rPr>
      <w:rFonts w:ascii="Arial" w:eastAsiaTheme="minorEastAsia" w:hAnsi="Arial" w:cs="Arial"/>
      <w:b/>
      <w:bCs/>
      <w:i/>
      <w:iCs/>
      <w:color w:val="FF0000"/>
      <w:sz w:val="20"/>
      <w:szCs w:val="24"/>
      <w:u w:val="single"/>
      <w:lang w:val="pt-PT" w:eastAsia="pt-BR"/>
    </w:rPr>
  </w:style>
  <w:style w:type="character" w:customStyle="1" w:styleId="Nvel4-RChar">
    <w:name w:val="Nível 4-R Char"/>
    <w:basedOn w:val="Fontepargpadro"/>
    <w:link w:val="Nvel4-R"/>
    <w:qFormat/>
    <w:rsid w:val="002A4117"/>
    <w:rPr>
      <w:rFonts w:ascii="Arial" w:eastAsiaTheme="minorEastAsia"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2A4117"/>
    <w:rPr>
      <w:rFonts w:ascii="Courier New" w:eastAsia="Times New Roman" w:hAnsi="Courier New" w:cs="Times New Roman"/>
      <w:sz w:val="24"/>
      <w:szCs w:val="20"/>
      <w:lang w:eastAsia="pt-BR"/>
    </w:rPr>
  </w:style>
  <w:style w:type="character" w:styleId="Nmerodepgina">
    <w:name w:val="page number"/>
    <w:basedOn w:val="Fontepargpadro"/>
    <w:qFormat/>
    <w:rsid w:val="002A4117"/>
  </w:style>
  <w:style w:type="character" w:customStyle="1" w:styleId="st">
    <w:name w:val="st"/>
    <w:basedOn w:val="Fontepargpadro"/>
    <w:qFormat/>
    <w:rsid w:val="002A4117"/>
  </w:style>
  <w:style w:type="character" w:customStyle="1" w:styleId="st1">
    <w:name w:val="st1"/>
    <w:basedOn w:val="Fontepargpadro"/>
    <w:qFormat/>
    <w:rsid w:val="002A4117"/>
  </w:style>
  <w:style w:type="character" w:customStyle="1" w:styleId="Corpodetexto2Char">
    <w:name w:val="Corpo de texto 2 Char"/>
    <w:basedOn w:val="Fontepargpadro"/>
    <w:link w:val="Corpodetexto2"/>
    <w:uiPriority w:val="99"/>
    <w:qFormat/>
    <w:rsid w:val="002A4117"/>
    <w:rPr>
      <w:rFonts w:ascii="Courier New" w:eastAsia="Times New Roman" w:hAnsi="Courier New" w:cs="Times New Roman"/>
      <w:sz w:val="24"/>
      <w:szCs w:val="20"/>
      <w:lang w:eastAsia="pt-BR"/>
    </w:rPr>
  </w:style>
  <w:style w:type="character" w:customStyle="1" w:styleId="Recuodecorpodetexto2Char">
    <w:name w:val="Recuo de corpo de texto 2 Char"/>
    <w:basedOn w:val="Fontepargpadro"/>
    <w:link w:val="Recuodecorpodetexto2"/>
    <w:uiPriority w:val="99"/>
    <w:qFormat/>
    <w:rsid w:val="002A4117"/>
    <w:rPr>
      <w:rFonts w:ascii="Arial" w:eastAsia="Times New Roman" w:hAnsi="Arial" w:cs="Times New Roman"/>
      <w:sz w:val="24"/>
      <w:szCs w:val="20"/>
      <w:lang w:eastAsia="pt-BR"/>
    </w:rPr>
  </w:style>
  <w:style w:type="character" w:customStyle="1" w:styleId="Corpodetexto3Char">
    <w:name w:val="Corpo de texto 3 Char"/>
    <w:basedOn w:val="Fontepargpadro"/>
    <w:link w:val="Corpodetexto3"/>
    <w:uiPriority w:val="99"/>
    <w:qFormat/>
    <w:rsid w:val="002A4117"/>
    <w:rPr>
      <w:rFonts w:ascii="Courier New" w:eastAsia="Times New Roman" w:hAnsi="Courier New" w:cs="Times New Roman"/>
      <w:sz w:val="16"/>
      <w:szCs w:val="16"/>
      <w:lang w:eastAsia="pt-BR"/>
    </w:rPr>
  </w:style>
  <w:style w:type="character" w:customStyle="1" w:styleId="texto11">
    <w:name w:val="texto11"/>
    <w:qFormat/>
    <w:rsid w:val="002A4117"/>
    <w:rPr>
      <w:rFonts w:ascii="Arial" w:hAnsi="Arial" w:cs="Arial"/>
      <w:strike w:val="0"/>
      <w:dstrike w:val="0"/>
      <w:sz w:val="15"/>
      <w:szCs w:val="15"/>
      <w:u w:val="none"/>
      <w:effect w:val="none"/>
    </w:rPr>
  </w:style>
  <w:style w:type="character" w:customStyle="1" w:styleId="Recuodecorpodetexto3Char">
    <w:name w:val="Recuo de corpo de texto 3 Char"/>
    <w:basedOn w:val="Fontepargpadro"/>
    <w:link w:val="Recuodecorpodetexto3"/>
    <w:uiPriority w:val="99"/>
    <w:qFormat/>
    <w:rsid w:val="002A4117"/>
    <w:rPr>
      <w:rFonts w:ascii="Tahoma" w:eastAsia="Times New Roman" w:hAnsi="Tahoma" w:cs="Tahoma"/>
      <w:color w:val="000000"/>
      <w:sz w:val="20"/>
      <w:szCs w:val="24"/>
      <w:lang w:eastAsia="pt-BR"/>
    </w:rPr>
  </w:style>
  <w:style w:type="character" w:customStyle="1" w:styleId="MapadoDocumentoChar">
    <w:name w:val="Mapa do Documento Char"/>
    <w:link w:val="MapadoDocumento"/>
    <w:uiPriority w:val="99"/>
    <w:qFormat/>
    <w:rsid w:val="002A4117"/>
    <w:rPr>
      <w:rFonts w:ascii="Tahoma" w:hAnsi="Tahoma" w:cs="Tahoma"/>
      <w:sz w:val="24"/>
      <w:shd w:val="clear" w:color="auto" w:fill="000080"/>
    </w:rPr>
  </w:style>
  <w:style w:type="character" w:customStyle="1" w:styleId="MapadoDocumentoChar1">
    <w:name w:val="Mapa do Documento Char1"/>
    <w:basedOn w:val="Fontepargpadro"/>
    <w:uiPriority w:val="99"/>
    <w:qFormat/>
    <w:rsid w:val="002A4117"/>
    <w:rPr>
      <w:rFonts w:ascii="Segoe UI" w:hAnsi="Segoe UI" w:cs="Segoe UI"/>
      <w:sz w:val="16"/>
      <w:szCs w:val="16"/>
    </w:rPr>
  </w:style>
  <w:style w:type="character" w:customStyle="1" w:styleId="WW-Absatz-Standardschriftart">
    <w:name w:val="WW-Absatz-Standardschriftart"/>
    <w:qFormat/>
    <w:rsid w:val="002A4117"/>
  </w:style>
  <w:style w:type="character" w:customStyle="1" w:styleId="WW-Fontepargpadro">
    <w:name w:val="WW-Fonte parág. padrão"/>
    <w:qFormat/>
    <w:rsid w:val="002A4117"/>
  </w:style>
  <w:style w:type="character" w:styleId="HiperlinkVisitado">
    <w:name w:val="FollowedHyperlink"/>
    <w:uiPriority w:val="99"/>
    <w:rsid w:val="002A4117"/>
    <w:rPr>
      <w:color w:val="800080"/>
      <w:u w:val="single"/>
    </w:rPr>
  </w:style>
  <w:style w:type="character" w:customStyle="1" w:styleId="WW8Num2z0">
    <w:name w:val="WW8Num2z0"/>
    <w:qFormat/>
    <w:rsid w:val="002A4117"/>
    <w:rPr>
      <w:rFonts w:ascii="Wingdings" w:hAnsi="Wingdings"/>
    </w:rPr>
  </w:style>
  <w:style w:type="character" w:customStyle="1" w:styleId="WW8Num2z1">
    <w:name w:val="WW8Num2z1"/>
    <w:qFormat/>
    <w:rsid w:val="002A4117"/>
    <w:rPr>
      <w:rFonts w:ascii="Courier New" w:hAnsi="Courier New"/>
    </w:rPr>
  </w:style>
  <w:style w:type="character" w:customStyle="1" w:styleId="WW8Num2z3">
    <w:name w:val="WW8Num2z3"/>
    <w:qFormat/>
    <w:rsid w:val="002A4117"/>
    <w:rPr>
      <w:rFonts w:ascii="Symbol" w:hAnsi="Symbol"/>
    </w:rPr>
  </w:style>
  <w:style w:type="character" w:customStyle="1" w:styleId="WW8Num4z0">
    <w:name w:val="WW8Num4z0"/>
    <w:qFormat/>
    <w:rsid w:val="002A4117"/>
    <w:rPr>
      <w:rFonts w:ascii="Wingdings" w:hAnsi="Wingdings"/>
    </w:rPr>
  </w:style>
  <w:style w:type="character" w:customStyle="1" w:styleId="WW8Num4z1">
    <w:name w:val="WW8Num4z1"/>
    <w:qFormat/>
    <w:rsid w:val="002A4117"/>
    <w:rPr>
      <w:rFonts w:ascii="Courier New" w:hAnsi="Courier New"/>
    </w:rPr>
  </w:style>
  <w:style w:type="character" w:customStyle="1" w:styleId="WW8Num4z3">
    <w:name w:val="WW8Num4z3"/>
    <w:qFormat/>
    <w:rsid w:val="002A4117"/>
    <w:rPr>
      <w:rFonts w:ascii="Symbol" w:hAnsi="Symbol"/>
    </w:rPr>
  </w:style>
  <w:style w:type="character" w:customStyle="1" w:styleId="WW8Num7z0">
    <w:name w:val="WW8Num7z0"/>
    <w:qFormat/>
    <w:rsid w:val="002A4117"/>
    <w:rPr>
      <w:rFonts w:ascii="Symbol" w:hAnsi="Symbol"/>
      <w:sz w:val="16"/>
    </w:rPr>
  </w:style>
  <w:style w:type="character" w:customStyle="1" w:styleId="WW8Num9z0">
    <w:name w:val="WW8Num9z0"/>
    <w:qFormat/>
    <w:rsid w:val="002A4117"/>
    <w:rPr>
      <w:rFonts w:ascii="Times New Roman" w:eastAsia="Times New Roman" w:hAnsi="Times New Roman"/>
    </w:rPr>
  </w:style>
  <w:style w:type="character" w:customStyle="1" w:styleId="WW8Num9z1">
    <w:name w:val="WW8Num9z1"/>
    <w:qFormat/>
    <w:rsid w:val="002A4117"/>
    <w:rPr>
      <w:rFonts w:ascii="Courier New" w:hAnsi="Courier New"/>
    </w:rPr>
  </w:style>
  <w:style w:type="character" w:customStyle="1" w:styleId="WW8Num9z2">
    <w:name w:val="WW8Num9z2"/>
    <w:qFormat/>
    <w:rsid w:val="002A4117"/>
    <w:rPr>
      <w:rFonts w:ascii="Wingdings" w:hAnsi="Wingdings"/>
    </w:rPr>
  </w:style>
  <w:style w:type="character" w:customStyle="1" w:styleId="WW8Num9z3">
    <w:name w:val="WW8Num9z3"/>
    <w:qFormat/>
    <w:rsid w:val="002A4117"/>
    <w:rPr>
      <w:rFonts w:ascii="Symbol" w:hAnsi="Symbol"/>
    </w:rPr>
  </w:style>
  <w:style w:type="character" w:customStyle="1" w:styleId="WW8Num3z0">
    <w:name w:val="WW8Num3z0"/>
    <w:qFormat/>
    <w:rsid w:val="002A4117"/>
    <w:rPr>
      <w:rFonts w:ascii="Wingdings" w:hAnsi="Wingdings"/>
    </w:rPr>
  </w:style>
  <w:style w:type="character" w:customStyle="1" w:styleId="WW8Num3z1">
    <w:name w:val="WW8Num3z1"/>
    <w:qFormat/>
    <w:rsid w:val="002A4117"/>
    <w:rPr>
      <w:rFonts w:ascii="Courier New" w:hAnsi="Courier New"/>
    </w:rPr>
  </w:style>
  <w:style w:type="character" w:customStyle="1" w:styleId="WW8Num3z3">
    <w:name w:val="WW8Num3z3"/>
    <w:qFormat/>
    <w:rsid w:val="002A4117"/>
    <w:rPr>
      <w:rFonts w:ascii="Symbol" w:hAnsi="Symbol"/>
    </w:rPr>
  </w:style>
  <w:style w:type="character" w:customStyle="1" w:styleId="Smbolosdenumerao">
    <w:name w:val="Símbolos de numeração"/>
    <w:qFormat/>
    <w:rsid w:val="002A4117"/>
  </w:style>
  <w:style w:type="character" w:customStyle="1" w:styleId="CabealhoChar1">
    <w:name w:val="Cabeçalho Char1"/>
    <w:semiHidden/>
    <w:qFormat/>
    <w:rsid w:val="002A4117"/>
    <w:rPr>
      <w:rFonts w:ascii="Courier New" w:hAnsi="Courier New"/>
      <w:sz w:val="24"/>
    </w:rPr>
  </w:style>
  <w:style w:type="character" w:customStyle="1" w:styleId="apple-converted-space">
    <w:name w:val="apple-converted-space"/>
    <w:basedOn w:val="Fontepargpadro"/>
    <w:qFormat/>
    <w:rsid w:val="002A4117"/>
  </w:style>
  <w:style w:type="character" w:customStyle="1" w:styleId="TextodenotaderodapChar">
    <w:name w:val="Texto de nota de rodapé Char"/>
    <w:basedOn w:val="Fontepargpadro"/>
    <w:link w:val="Textodenotaderodap"/>
    <w:qFormat/>
    <w:rsid w:val="002A4117"/>
    <w:rPr>
      <w:rFonts w:ascii="Courier New" w:eastAsia="Times New Roman" w:hAnsi="Courier New" w:cs="Times New Roman"/>
      <w:sz w:val="20"/>
      <w:szCs w:val="20"/>
      <w:lang w:eastAsia="pt-BR"/>
    </w:rPr>
  </w:style>
  <w:style w:type="character" w:customStyle="1" w:styleId="Caracteresdenotaderodap">
    <w:name w:val="Caracteres de nota de rodapé"/>
    <w:basedOn w:val="Fontepargpadro"/>
    <w:qFormat/>
    <w:rsid w:val="002A4117"/>
    <w:rPr>
      <w:vertAlign w:val="superscript"/>
    </w:rPr>
  </w:style>
  <w:style w:type="character" w:styleId="Refdenotaderodap">
    <w:name w:val="footnote reference"/>
    <w:rPr>
      <w:vertAlign w:val="superscript"/>
    </w:rPr>
  </w:style>
  <w:style w:type="character" w:customStyle="1" w:styleId="SubttuloChar">
    <w:name w:val="Subtítulo Char"/>
    <w:basedOn w:val="Fontepargpadro"/>
    <w:link w:val="Subttulo"/>
    <w:uiPriority w:val="11"/>
    <w:qFormat/>
    <w:rsid w:val="002A4117"/>
    <w:rPr>
      <w:rFonts w:ascii="Cambria" w:eastAsia="Times New Roman" w:hAnsi="Cambria" w:cs="Times New Roman"/>
      <w:i/>
      <w:iCs/>
      <w:color w:val="4F81BD"/>
      <w:spacing w:val="15"/>
      <w:sz w:val="24"/>
      <w:szCs w:val="24"/>
      <w:lang w:eastAsia="ar-SA"/>
    </w:rPr>
  </w:style>
  <w:style w:type="character" w:customStyle="1" w:styleId="texto2">
    <w:name w:val="texto2"/>
    <w:basedOn w:val="Fontepargpadro"/>
    <w:qFormat/>
    <w:rsid w:val="002A411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paragraph" w:styleId="Lista">
    <w:name w:val="List"/>
    <w:basedOn w:val="Corpodotexto"/>
    <w:rsid w:val="002A4117"/>
    <w:rPr>
      <w:rFonts w:cs="Mangal"/>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rsid w:val="002A4117"/>
    <w:pPr>
      <w:suppressLineNumbers/>
      <w:spacing w:before="0" w:after="0" w:line="240" w:lineRule="auto"/>
      <w:jc w:val="left"/>
    </w:pPr>
    <w:rPr>
      <w:rFonts w:ascii="Times New Roman" w:eastAsia="Times New Roman" w:hAnsi="Times New Roman" w:cs="Mangal"/>
      <w:sz w:val="24"/>
      <w:szCs w:val="24"/>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0DA8"/>
    <w:pPr>
      <w:tabs>
        <w:tab w:val="center" w:pos="4252"/>
        <w:tab w:val="right" w:pos="8504"/>
      </w:tabs>
      <w:spacing w:before="0" w:after="0" w:line="240" w:lineRule="auto"/>
    </w:pPr>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paragraph" w:styleId="NormalWeb">
    <w:name w:val="Normal (Web)"/>
    <w:basedOn w:val="Normal"/>
    <w:uiPriority w:val="99"/>
    <w:unhideWhenUsed/>
    <w:qFormat/>
    <w:rsid w:val="0030771F"/>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6A51F9"/>
  </w:style>
  <w:style w:type="paragraph" w:styleId="PargrafodaLista">
    <w:name w:val="List Paragraph"/>
    <w:basedOn w:val="Normal"/>
    <w:link w:val="PargrafodaListaChar"/>
    <w:uiPriority w:val="34"/>
    <w:qFormat/>
    <w:rsid w:val="00795024"/>
    <w:pPr>
      <w:widowControl w:val="0"/>
      <w:spacing w:before="0" w:after="0" w:line="240" w:lineRule="auto"/>
      <w:ind w:left="531"/>
    </w:pPr>
    <w:rPr>
      <w:rFonts w:ascii="Arial MT" w:eastAsia="Arial MT" w:hAnsi="Arial MT" w:cs="Arial MT"/>
      <w:lang w:val="pt-PT"/>
    </w:rPr>
  </w:style>
  <w:style w:type="paragraph" w:customStyle="1" w:styleId="TableParagraph">
    <w:name w:val="Table Paragraph"/>
    <w:basedOn w:val="Normal"/>
    <w:uiPriority w:val="1"/>
    <w:qFormat/>
    <w:rsid w:val="00795024"/>
    <w:pPr>
      <w:widowControl w:val="0"/>
      <w:spacing w:before="0" w:after="0" w:line="240" w:lineRule="auto"/>
      <w:jc w:val="left"/>
    </w:pPr>
    <w:rPr>
      <w:rFonts w:ascii="Arial MT" w:eastAsia="Arial MT" w:hAnsi="Arial MT" w:cs="Arial MT"/>
      <w:lang w:val="pt-PT"/>
    </w:rPr>
  </w:style>
  <w:style w:type="paragraph" w:customStyle="1" w:styleId="Default">
    <w:name w:val="Default"/>
    <w:uiPriority w:val="99"/>
    <w:qFormat/>
    <w:rsid w:val="00795024"/>
    <w:rPr>
      <w:rFonts w:ascii="Arial" w:eastAsia="Calibri" w:hAnsi="Arial" w:cs="Arial"/>
      <w:color w:val="000000"/>
      <w:sz w:val="24"/>
      <w:szCs w:val="24"/>
    </w:rPr>
  </w:style>
  <w:style w:type="paragraph" w:customStyle="1" w:styleId="Nivel2">
    <w:name w:val="Nivel 2"/>
    <w:basedOn w:val="Normal"/>
    <w:link w:val="Nivel2Char"/>
    <w:autoRedefine/>
    <w:qFormat/>
    <w:rsid w:val="00D411C1"/>
    <w:pPr>
      <w:spacing w:before="240" w:after="240" w:line="276" w:lineRule="auto"/>
    </w:pPr>
    <w:rPr>
      <w:rFonts w:ascii="Cambria" w:eastAsia="Arial" w:hAnsi="Cambria" w:cs="Arial"/>
      <w:sz w:val="24"/>
      <w:szCs w:val="24"/>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paragraph" w:customStyle="1" w:styleId="Nvel2-Red">
    <w:name w:val="Nível 2 -Red"/>
    <w:basedOn w:val="Nivel2"/>
    <w:link w:val="Nvel2-RedChar"/>
    <w:qFormat/>
    <w:rsid w:val="00D0629A"/>
    <w:rPr>
      <w:i/>
      <w:iCs/>
      <w:color w:val="FF0000"/>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paragraph" w:customStyle="1" w:styleId="Nivel3">
    <w:name w:val="Nivel 3"/>
    <w:basedOn w:val="Normal"/>
    <w:link w:val="Nivel3Char"/>
    <w:autoRedefine/>
    <w:qFormat/>
    <w:rsid w:val="00507008"/>
    <w:pPr>
      <w:spacing w:before="120" w:after="120" w:line="360" w:lineRule="auto"/>
    </w:pPr>
    <w:rPr>
      <w:rFonts w:ascii="Cambria" w:eastAsiaTheme="minorEastAsia" w:hAnsi="Cambria" w:cs="Arial"/>
      <w:lang w:eastAsia="pt-BR"/>
    </w:rPr>
  </w:style>
  <w:style w:type="paragraph" w:customStyle="1" w:styleId="Ttulo10">
    <w:name w:val="Título1"/>
    <w:basedOn w:val="Normal"/>
    <w:link w:val="TtuloChar"/>
    <w:qFormat/>
    <w:rsid w:val="002A4117"/>
    <w:pPr>
      <w:keepNext/>
      <w:spacing w:before="240" w:after="120" w:line="240" w:lineRule="auto"/>
      <w:jc w:val="left"/>
    </w:pPr>
    <w:rPr>
      <w:rFonts w:ascii="Liberation Sans" w:eastAsia="Microsoft YaHei" w:hAnsi="Liberation Sans" w:cs="Mangal"/>
      <w:sz w:val="28"/>
      <w:szCs w:val="28"/>
      <w:lang w:eastAsia="pt-BR"/>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paragraph" w:customStyle="1" w:styleId="Nivel01">
    <w:name w:val="Nivel 01"/>
    <w:basedOn w:val="Ttulo1"/>
    <w:next w:val="Normal"/>
    <w:link w:val="Nivel01Char"/>
    <w:autoRedefine/>
    <w:qFormat/>
    <w:rsid w:val="00925F69"/>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60"/>
      </w:tabs>
      <w:spacing w:after="240" w:line="276" w:lineRule="auto"/>
      <w:ind w:left="360"/>
      <w:jc w:val="both"/>
    </w:pPr>
    <w:rPr>
      <w:rFonts w:ascii="Arial" w:hAnsi="Arial" w:cs="Arial"/>
      <w:b/>
      <w:bCs/>
      <w:sz w:val="24"/>
      <w:szCs w:val="24"/>
      <w:lang w:eastAsia="pt-BR"/>
    </w:rPr>
  </w:style>
  <w:style w:type="paragraph" w:customStyle="1" w:styleId="textbody">
    <w:name w:val="textbody"/>
    <w:basedOn w:val="Normal"/>
    <w:qFormat/>
    <w:rsid w:val="00016D3A"/>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qFormat/>
    <w:rsid w:val="006266F7"/>
    <w:pPr>
      <w:spacing w:before="0" w:after="0" w:line="240" w:lineRule="auto"/>
    </w:pPr>
    <w:rPr>
      <w:rFonts w:ascii="Tahoma" w:hAnsi="Tahoma" w:cs="Tahoma"/>
      <w:sz w:val="16"/>
      <w:szCs w:val="16"/>
    </w:rPr>
  </w:style>
  <w:style w:type="paragraph" w:customStyle="1" w:styleId="Contedodetabela">
    <w:name w:val="Conteúdo de tabela"/>
    <w:basedOn w:val="Normal"/>
    <w:uiPriority w:val="99"/>
    <w:qFormat/>
    <w:rsid w:val="00DB56B4"/>
    <w:pPr>
      <w:suppressLineNumber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il"/>
        <w:left w:val="nil"/>
        <w:bottom w:val="nil"/>
        <w:right w:val="nil"/>
      </w:pBdr>
      <w:shd w:val="clear" w:color="auto" w:fill="auto"/>
      <w:ind w:left="0"/>
      <w:outlineLvl w:val="1"/>
    </w:pPr>
    <w:rPr>
      <w:b w:val="0"/>
      <w:bCs w:val="0"/>
    </w:rPr>
  </w:style>
  <w:style w:type="paragraph" w:customStyle="1" w:styleId="Normal2">
    <w:name w:val="Normal2"/>
    <w:uiPriority w:val="99"/>
    <w:qFormat/>
    <w:rsid w:val="00DB56B4"/>
    <w:rPr>
      <w:rFonts w:ascii="Courier New" w:eastAsia="Courier New" w:hAnsi="Courier New" w:cs="Courier New"/>
      <w:sz w:val="24"/>
      <w:szCs w:val="24"/>
      <w:lang w:eastAsia="pt-BR"/>
    </w:rPr>
  </w:style>
  <w:style w:type="paragraph" w:styleId="Textodecomentrio">
    <w:name w:val="annotation text"/>
    <w:basedOn w:val="Normal"/>
    <w:link w:val="TextodecomentrioChar"/>
    <w:unhideWhenUsed/>
    <w:qFormat/>
    <w:rsid w:val="001C5084"/>
    <w:pPr>
      <w:widowControl w:val="0"/>
      <w:spacing w:before="0" w:after="0" w:line="240" w:lineRule="auto"/>
      <w:jc w:val="left"/>
    </w:pPr>
    <w:rPr>
      <w:rFonts w:ascii="Times New Roman" w:eastAsia="Arial Unicode MS"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nhideWhenUsed/>
    <w:qFormat/>
    <w:rsid w:val="001C5084"/>
    <w:rPr>
      <w:b/>
      <w:bCs/>
    </w:rPr>
  </w:style>
  <w:style w:type="paragraph" w:customStyle="1" w:styleId="Nivel4">
    <w:name w:val="Nivel 4"/>
    <w:basedOn w:val="Nivel3"/>
    <w:autoRedefine/>
    <w:qFormat/>
    <w:rsid w:val="002A4117"/>
    <w:pPr>
      <w:spacing w:before="240" w:after="240" w:line="276" w:lineRule="auto"/>
      <w:ind w:left="567" w:firstLine="567"/>
    </w:pPr>
    <w:rPr>
      <w:rFonts w:ascii="Arial" w:hAnsi="Arial"/>
      <w:sz w:val="24"/>
      <w:szCs w:val="24"/>
    </w:rPr>
  </w:style>
  <w:style w:type="paragraph" w:customStyle="1" w:styleId="Nivel5">
    <w:name w:val="Nivel 5"/>
    <w:basedOn w:val="Nivel4"/>
    <w:autoRedefine/>
    <w:qFormat/>
    <w:rsid w:val="002A4117"/>
    <w:pPr>
      <w:tabs>
        <w:tab w:val="left" w:pos="360"/>
      </w:tabs>
      <w:ind w:left="851"/>
    </w:pPr>
  </w:style>
  <w:style w:type="paragraph" w:customStyle="1" w:styleId="ou">
    <w:name w:val="ou"/>
    <w:basedOn w:val="PargrafodaLista"/>
    <w:link w:val="ouChar"/>
    <w:qFormat/>
    <w:rsid w:val="002A4117"/>
    <w:pPr>
      <w:widowControl/>
      <w:spacing w:before="60" w:after="60"/>
      <w:ind w:left="0"/>
      <w:jc w:val="center"/>
    </w:pPr>
    <w:rPr>
      <w:rFonts w:ascii="Arial" w:eastAsiaTheme="minorEastAsia" w:hAnsi="Arial" w:cs="Arial"/>
      <w:b/>
      <w:bCs/>
      <w:i/>
      <w:iCs/>
      <w:color w:val="FF0000"/>
      <w:sz w:val="20"/>
      <w:szCs w:val="24"/>
      <w:u w:val="single"/>
      <w:lang w:eastAsia="pt-BR"/>
    </w:rPr>
  </w:style>
  <w:style w:type="paragraph" w:customStyle="1" w:styleId="Nvel4-R">
    <w:name w:val="Nível 4-R"/>
    <w:basedOn w:val="Nivel4"/>
    <w:link w:val="Nvel4-RChar"/>
    <w:autoRedefine/>
    <w:qFormat/>
    <w:rsid w:val="002A4117"/>
    <w:pPr>
      <w:numPr>
        <w:ilvl w:val="3"/>
        <w:numId w:val="5"/>
      </w:numPr>
      <w:ind w:left="567" w:firstLine="0"/>
    </w:pPr>
    <w:rPr>
      <w:b/>
      <w:bCs/>
      <w:color w:val="FF0000"/>
    </w:rPr>
  </w:style>
  <w:style w:type="paragraph" w:styleId="Recuodecorpodetexto">
    <w:name w:val="Body Text Indent"/>
    <w:basedOn w:val="Normal"/>
    <w:link w:val="RecuodecorpodetextoChar"/>
    <w:uiPriority w:val="99"/>
    <w:rsid w:val="002A4117"/>
    <w:pPr>
      <w:spacing w:before="0" w:after="120" w:line="240" w:lineRule="auto"/>
      <w:ind w:left="283"/>
      <w:jc w:val="left"/>
      <w:textAlignment w:val="baseline"/>
    </w:pPr>
    <w:rPr>
      <w:rFonts w:ascii="Courier New" w:eastAsia="Times New Roman" w:hAnsi="Courier New" w:cs="Times New Roman"/>
      <w:sz w:val="24"/>
      <w:szCs w:val="20"/>
      <w:lang w:eastAsia="pt-BR"/>
    </w:rPr>
  </w:style>
  <w:style w:type="paragraph" w:customStyle="1" w:styleId="P30">
    <w:name w:val="P30"/>
    <w:basedOn w:val="Normal"/>
    <w:uiPriority w:val="99"/>
    <w:qFormat/>
    <w:rsid w:val="002A4117"/>
    <w:pPr>
      <w:snapToGrid w:val="0"/>
      <w:spacing w:before="0" w:after="0" w:line="240" w:lineRule="auto"/>
    </w:pPr>
    <w:rPr>
      <w:rFonts w:ascii="Times New Roman" w:eastAsia="Times New Roman" w:hAnsi="Times New Roman" w:cs="Times New Roman"/>
      <w:b/>
      <w:sz w:val="24"/>
      <w:szCs w:val="20"/>
      <w:lang w:eastAsia="pt-BR"/>
    </w:rPr>
  </w:style>
  <w:style w:type="paragraph" w:customStyle="1" w:styleId="Item">
    <w:name w:val="Item"/>
    <w:basedOn w:val="Normal"/>
    <w:uiPriority w:val="99"/>
    <w:qFormat/>
    <w:rsid w:val="002A4117"/>
    <w:pPr>
      <w:spacing w:before="0" w:after="0" w:line="240" w:lineRule="auto"/>
    </w:pPr>
    <w:rPr>
      <w:rFonts w:ascii="Courier New" w:eastAsia="Times New Roman" w:hAnsi="Courier New" w:cs="Times New Roman"/>
      <w:sz w:val="24"/>
      <w:szCs w:val="24"/>
      <w:lang w:eastAsia="pt-BR"/>
    </w:rPr>
  </w:style>
  <w:style w:type="paragraph" w:styleId="Corpodetexto2">
    <w:name w:val="Body Text 2"/>
    <w:basedOn w:val="Normal"/>
    <w:link w:val="Corpodetexto2Char"/>
    <w:uiPriority w:val="99"/>
    <w:qFormat/>
    <w:rsid w:val="002A4117"/>
    <w:pPr>
      <w:spacing w:before="0" w:after="120" w:line="480" w:lineRule="auto"/>
      <w:jc w:val="left"/>
      <w:textAlignment w:val="baseline"/>
    </w:pPr>
    <w:rPr>
      <w:rFonts w:ascii="Courier New" w:eastAsia="Times New Roman" w:hAnsi="Courier New" w:cs="Times New Roman"/>
      <w:sz w:val="24"/>
      <w:szCs w:val="20"/>
      <w:lang w:eastAsia="pt-BR"/>
    </w:rPr>
  </w:style>
  <w:style w:type="paragraph" w:customStyle="1" w:styleId="Corpodetexto21">
    <w:name w:val="Corpo de texto 21"/>
    <w:basedOn w:val="Normal"/>
    <w:uiPriority w:val="99"/>
    <w:qFormat/>
    <w:rsid w:val="002A4117"/>
    <w:pPr>
      <w:spacing w:before="0" w:after="0" w:line="240" w:lineRule="auto"/>
      <w:ind w:left="426" w:hanging="426"/>
      <w:textAlignment w:val="baseline"/>
    </w:pPr>
    <w:rPr>
      <w:rFonts w:ascii="Arial" w:eastAsia="Times New Roman" w:hAnsi="Arial" w:cs="Times New Roman"/>
      <w:sz w:val="24"/>
      <w:szCs w:val="20"/>
      <w:lang w:eastAsia="pt-BR"/>
    </w:rPr>
  </w:style>
  <w:style w:type="paragraph" w:customStyle="1" w:styleId="Recuodecorpodetexto21">
    <w:name w:val="Recuo de corpo de texto 21"/>
    <w:basedOn w:val="Normal"/>
    <w:uiPriority w:val="99"/>
    <w:qFormat/>
    <w:rsid w:val="002A4117"/>
    <w:pPr>
      <w:spacing w:before="0" w:after="0" w:line="240" w:lineRule="auto"/>
      <w:ind w:left="1985" w:hanging="284"/>
      <w:textAlignment w:val="baseline"/>
    </w:pPr>
    <w:rPr>
      <w:rFonts w:ascii="Arial" w:eastAsia="Times New Roman" w:hAnsi="Arial" w:cs="Times New Roman"/>
      <w:sz w:val="24"/>
      <w:szCs w:val="20"/>
      <w:lang w:eastAsia="pt-BR"/>
    </w:rPr>
  </w:style>
  <w:style w:type="paragraph" w:customStyle="1" w:styleId="Textoembloco1">
    <w:name w:val="Texto em bloco1"/>
    <w:basedOn w:val="Normal"/>
    <w:uiPriority w:val="99"/>
    <w:qFormat/>
    <w:rsid w:val="002A4117"/>
    <w:pPr>
      <w:spacing w:before="0" w:after="0" w:line="360" w:lineRule="auto"/>
      <w:ind w:left="2410" w:right="91" w:hanging="1559"/>
      <w:textAlignment w:val="baseline"/>
    </w:pPr>
    <w:rPr>
      <w:rFonts w:ascii="Arial" w:eastAsia="Times New Roman" w:hAnsi="Arial" w:cs="Times New Roman"/>
      <w:b/>
      <w:sz w:val="24"/>
      <w:szCs w:val="20"/>
      <w:lang w:eastAsia="pt-BR"/>
    </w:rPr>
  </w:style>
  <w:style w:type="paragraph" w:customStyle="1" w:styleId="Corpodetexto31">
    <w:name w:val="Corpo de texto 31"/>
    <w:basedOn w:val="Normal"/>
    <w:uiPriority w:val="99"/>
    <w:qFormat/>
    <w:rsid w:val="002A4117"/>
    <w:pPr>
      <w:spacing w:before="60" w:after="60" w:line="360" w:lineRule="auto"/>
      <w:textAlignment w:val="baseline"/>
    </w:pPr>
    <w:rPr>
      <w:rFonts w:ascii="Arial" w:eastAsia="Times New Roman" w:hAnsi="Arial" w:cs="Times New Roman"/>
      <w:b/>
      <w:sz w:val="28"/>
      <w:szCs w:val="20"/>
      <w:u w:val="single"/>
      <w:lang w:eastAsia="pt-BR"/>
    </w:rPr>
  </w:style>
  <w:style w:type="paragraph" w:styleId="Recuodecorpodetexto2">
    <w:name w:val="Body Text Indent 2"/>
    <w:basedOn w:val="Normal"/>
    <w:link w:val="Recuodecorpodetexto2Char"/>
    <w:uiPriority w:val="99"/>
    <w:qFormat/>
    <w:rsid w:val="002A4117"/>
    <w:pPr>
      <w:spacing w:before="0" w:after="0" w:line="240" w:lineRule="auto"/>
      <w:ind w:left="1985" w:hanging="284"/>
    </w:pPr>
    <w:rPr>
      <w:rFonts w:ascii="Arial" w:eastAsia="Times New Roman" w:hAnsi="Arial" w:cs="Times New Roman"/>
      <w:sz w:val="24"/>
      <w:szCs w:val="20"/>
      <w:lang w:eastAsia="pt-BR"/>
    </w:rPr>
  </w:style>
  <w:style w:type="paragraph" w:styleId="Corpodetexto3">
    <w:name w:val="Body Text 3"/>
    <w:basedOn w:val="Normal"/>
    <w:link w:val="Corpodetexto3Char"/>
    <w:uiPriority w:val="99"/>
    <w:qFormat/>
    <w:rsid w:val="002A4117"/>
    <w:pPr>
      <w:spacing w:before="0" w:after="120" w:line="240" w:lineRule="auto"/>
      <w:jc w:val="left"/>
      <w:textAlignment w:val="baseline"/>
    </w:pPr>
    <w:rPr>
      <w:rFonts w:ascii="Courier New" w:eastAsia="Times New Roman" w:hAnsi="Courier New" w:cs="Times New Roman"/>
      <w:sz w:val="16"/>
      <w:szCs w:val="16"/>
      <w:lang w:eastAsia="pt-BR"/>
    </w:rPr>
  </w:style>
  <w:style w:type="paragraph" w:customStyle="1" w:styleId="texto1">
    <w:name w:val="texto1"/>
    <w:basedOn w:val="Normal"/>
    <w:qFormat/>
    <w:rsid w:val="002A4117"/>
    <w:pPr>
      <w:spacing w:beforeAutospacing="1" w:afterAutospacing="1" w:line="185" w:lineRule="atLeast"/>
    </w:pPr>
    <w:rPr>
      <w:rFonts w:ascii="Arial" w:eastAsia="Times New Roman" w:hAnsi="Arial" w:cs="Arial"/>
      <w:sz w:val="15"/>
      <w:szCs w:val="15"/>
      <w:lang w:eastAsia="pt-BR"/>
    </w:rPr>
  </w:style>
  <w:style w:type="paragraph" w:styleId="Recuodecorpodetexto3">
    <w:name w:val="Body Text Indent 3"/>
    <w:basedOn w:val="Normal"/>
    <w:link w:val="Recuodecorpodetexto3Char"/>
    <w:uiPriority w:val="99"/>
    <w:qFormat/>
    <w:rsid w:val="002A4117"/>
    <w:pPr>
      <w:spacing w:before="0" w:after="0" w:line="240" w:lineRule="auto"/>
      <w:ind w:left="851" w:hanging="425"/>
      <w:textAlignment w:val="baseline"/>
    </w:pPr>
    <w:rPr>
      <w:rFonts w:ascii="Tahoma" w:eastAsia="Times New Roman" w:hAnsi="Tahoma" w:cs="Tahoma"/>
      <w:color w:val="000000"/>
      <w:sz w:val="20"/>
      <w:szCs w:val="24"/>
      <w:lang w:eastAsia="pt-BR"/>
    </w:rPr>
  </w:style>
  <w:style w:type="paragraph" w:styleId="MapadoDocumento">
    <w:name w:val="Document Map"/>
    <w:basedOn w:val="Normal"/>
    <w:link w:val="MapadoDocumentoChar"/>
    <w:uiPriority w:val="99"/>
    <w:qFormat/>
    <w:rsid w:val="002A4117"/>
    <w:pPr>
      <w:shd w:val="clear" w:color="auto" w:fill="000080"/>
      <w:spacing w:before="0" w:after="0" w:line="240" w:lineRule="auto"/>
      <w:jc w:val="left"/>
      <w:textAlignment w:val="baseline"/>
    </w:pPr>
    <w:rPr>
      <w:rFonts w:ascii="Tahoma" w:hAnsi="Tahoma" w:cs="Tahoma"/>
      <w:sz w:val="24"/>
    </w:rPr>
  </w:style>
  <w:style w:type="paragraph" w:customStyle="1" w:styleId="WW-Recuodecorpodetexto2">
    <w:name w:val="WW-Recuo de corpo de texto 2"/>
    <w:basedOn w:val="Normal"/>
    <w:uiPriority w:val="99"/>
    <w:qFormat/>
    <w:rsid w:val="002A4117"/>
    <w:pPr>
      <w:spacing w:before="0" w:after="0" w:line="360" w:lineRule="auto"/>
      <w:ind w:firstLine="1080"/>
    </w:pPr>
    <w:rPr>
      <w:rFonts w:ascii="Tahoma" w:eastAsia="Times New Roman" w:hAnsi="Tahoma" w:cs="Times New Roman"/>
      <w:sz w:val="24"/>
      <w:szCs w:val="20"/>
      <w:lang w:eastAsia="pt-BR"/>
    </w:rPr>
  </w:style>
  <w:style w:type="paragraph" w:customStyle="1" w:styleId="WW-NormalWeb">
    <w:name w:val="WW-Normal (Web)"/>
    <w:basedOn w:val="Normal"/>
    <w:uiPriority w:val="99"/>
    <w:qFormat/>
    <w:rsid w:val="002A4117"/>
    <w:pPr>
      <w:spacing w:before="100" w:after="100" w:line="240" w:lineRule="auto"/>
      <w:jc w:val="left"/>
    </w:pPr>
    <w:rPr>
      <w:rFonts w:ascii="Arial Unicode MS" w:eastAsia="Arial Unicode MS" w:hAnsi="Arial Unicode MS" w:cs="Times New Roman"/>
      <w:sz w:val="24"/>
      <w:szCs w:val="20"/>
      <w:lang w:eastAsia="pt-BR"/>
    </w:rPr>
  </w:style>
  <w:style w:type="paragraph" w:customStyle="1" w:styleId="WW-Recuodecorpodetexto3">
    <w:name w:val="WW-Recuo de corpo de texto 3"/>
    <w:basedOn w:val="Normal"/>
    <w:uiPriority w:val="99"/>
    <w:qFormat/>
    <w:rsid w:val="002A4117"/>
    <w:pPr>
      <w:tabs>
        <w:tab w:val="left" w:pos="720"/>
      </w:tabs>
      <w:spacing w:before="0" w:after="0" w:line="240" w:lineRule="auto"/>
      <w:ind w:left="720" w:hanging="360"/>
      <w:textAlignment w:val="baseline"/>
    </w:pPr>
    <w:rPr>
      <w:rFonts w:ascii="Tahoma" w:eastAsia="Times New Roman" w:hAnsi="Tahoma" w:cs="Times New Roman"/>
      <w:sz w:val="24"/>
      <w:szCs w:val="20"/>
      <w:lang w:eastAsia="pt-BR"/>
    </w:rPr>
  </w:style>
  <w:style w:type="paragraph" w:customStyle="1" w:styleId="WW-Textoembloco">
    <w:name w:val="WW-Texto em bloco"/>
    <w:basedOn w:val="Normal"/>
    <w:uiPriority w:val="99"/>
    <w:qFormat/>
    <w:rsid w:val="002A4117"/>
    <w:pPr>
      <w:tabs>
        <w:tab w:val="left" w:pos="8662"/>
        <w:tab w:val="left" w:pos="9088"/>
        <w:tab w:val="left" w:pos="9230"/>
      </w:tabs>
      <w:spacing w:before="0" w:after="0" w:line="240" w:lineRule="auto"/>
      <w:ind w:left="720" w:right="-784" w:hanging="360"/>
      <w:textAlignment w:val="baseline"/>
    </w:pPr>
    <w:rPr>
      <w:rFonts w:ascii="Tahoma" w:eastAsia="Times New Roman" w:hAnsi="Tahoma" w:cs="Times New Roman"/>
      <w:sz w:val="24"/>
      <w:szCs w:val="20"/>
      <w:lang w:eastAsia="pt-BR"/>
    </w:rPr>
  </w:style>
  <w:style w:type="paragraph" w:customStyle="1" w:styleId="WW-Corpodetexto2">
    <w:name w:val="WW-Corpo de texto 2"/>
    <w:basedOn w:val="Normal"/>
    <w:uiPriority w:val="99"/>
    <w:qFormat/>
    <w:rsid w:val="002A4117"/>
    <w:pPr>
      <w:tabs>
        <w:tab w:val="left" w:pos="1080"/>
      </w:tabs>
      <w:spacing w:before="0" w:after="0" w:line="240" w:lineRule="auto"/>
    </w:pPr>
    <w:rPr>
      <w:rFonts w:ascii="Tahoma" w:eastAsia="Times New Roman" w:hAnsi="Tahoma" w:cs="Times New Roman"/>
      <w:sz w:val="24"/>
      <w:szCs w:val="20"/>
      <w:lang w:eastAsia="pt-BR"/>
    </w:rPr>
  </w:style>
  <w:style w:type="paragraph" w:customStyle="1" w:styleId="WW-Corpodetexto3">
    <w:name w:val="WW-Corpo de texto 3"/>
    <w:basedOn w:val="Normal"/>
    <w:uiPriority w:val="99"/>
    <w:qFormat/>
    <w:rsid w:val="002A4117"/>
    <w:pPr>
      <w:tabs>
        <w:tab w:val="left" w:pos="7942"/>
        <w:tab w:val="left" w:pos="8368"/>
        <w:tab w:val="left" w:pos="8510"/>
      </w:tabs>
      <w:spacing w:before="0" w:after="0" w:line="240" w:lineRule="auto"/>
      <w:ind w:right="49"/>
    </w:pPr>
    <w:rPr>
      <w:rFonts w:ascii="Tahoma" w:eastAsia="Times New Roman" w:hAnsi="Tahoma" w:cs="Times New Roman"/>
      <w:sz w:val="24"/>
      <w:szCs w:val="20"/>
      <w:lang w:eastAsia="pt-BR"/>
    </w:rPr>
  </w:style>
  <w:style w:type="paragraph" w:customStyle="1" w:styleId="font5">
    <w:name w:val="font5"/>
    <w:basedOn w:val="Normal"/>
    <w:qFormat/>
    <w:rsid w:val="002A4117"/>
    <w:pPr>
      <w:spacing w:beforeAutospacing="1" w:afterAutospacing="1" w:line="240" w:lineRule="auto"/>
      <w:jc w:val="left"/>
    </w:pPr>
    <w:rPr>
      <w:rFonts w:ascii="Calibri" w:eastAsia="Times New Roman" w:hAnsi="Calibri" w:cs="Calibri"/>
      <w:color w:val="000000"/>
      <w:sz w:val="18"/>
      <w:szCs w:val="18"/>
      <w:lang w:eastAsia="pt-BR"/>
    </w:rPr>
  </w:style>
  <w:style w:type="paragraph" w:customStyle="1" w:styleId="font6">
    <w:name w:val="font6"/>
    <w:basedOn w:val="Normal"/>
    <w:uiPriority w:val="99"/>
    <w:qFormat/>
    <w:rsid w:val="002A4117"/>
    <w:pPr>
      <w:spacing w:beforeAutospacing="1" w:afterAutospacing="1" w:line="240" w:lineRule="auto"/>
      <w:jc w:val="left"/>
    </w:pPr>
    <w:rPr>
      <w:rFonts w:ascii="Calibri" w:eastAsia="Times New Roman" w:hAnsi="Calibri" w:cs="Calibri"/>
      <w:color w:val="4C4C4C"/>
      <w:sz w:val="18"/>
      <w:szCs w:val="18"/>
      <w:lang w:eastAsia="pt-BR"/>
    </w:rPr>
  </w:style>
  <w:style w:type="paragraph" w:customStyle="1" w:styleId="font7">
    <w:name w:val="font7"/>
    <w:basedOn w:val="Normal"/>
    <w:uiPriority w:val="99"/>
    <w:qFormat/>
    <w:rsid w:val="002A4117"/>
    <w:pPr>
      <w:spacing w:beforeAutospacing="1" w:afterAutospacing="1" w:line="240" w:lineRule="auto"/>
      <w:jc w:val="left"/>
    </w:pPr>
    <w:rPr>
      <w:rFonts w:ascii="Calibri" w:eastAsia="Times New Roman" w:hAnsi="Calibri" w:cs="Calibri"/>
      <w:b/>
      <w:bCs/>
      <w:color w:val="4C4C4C"/>
      <w:sz w:val="18"/>
      <w:szCs w:val="18"/>
      <w:lang w:eastAsia="pt-BR"/>
    </w:rPr>
  </w:style>
  <w:style w:type="paragraph" w:customStyle="1" w:styleId="font8">
    <w:name w:val="font8"/>
    <w:basedOn w:val="Normal"/>
    <w:uiPriority w:val="99"/>
    <w:qFormat/>
    <w:rsid w:val="002A4117"/>
    <w:pPr>
      <w:spacing w:beforeAutospacing="1" w:afterAutospacing="1" w:line="240" w:lineRule="auto"/>
      <w:jc w:val="left"/>
    </w:pPr>
    <w:rPr>
      <w:rFonts w:ascii="Calibri" w:eastAsia="Times New Roman" w:hAnsi="Calibri" w:cs="Calibri"/>
      <w:color w:val="000000"/>
      <w:sz w:val="18"/>
      <w:szCs w:val="18"/>
      <w:lang w:eastAsia="pt-BR"/>
    </w:rPr>
  </w:style>
  <w:style w:type="paragraph" w:customStyle="1" w:styleId="font9">
    <w:name w:val="font9"/>
    <w:basedOn w:val="Normal"/>
    <w:uiPriority w:val="99"/>
    <w:qFormat/>
    <w:rsid w:val="002A4117"/>
    <w:pPr>
      <w:spacing w:beforeAutospacing="1" w:afterAutospacing="1" w:line="240" w:lineRule="auto"/>
      <w:jc w:val="left"/>
    </w:pPr>
    <w:rPr>
      <w:rFonts w:ascii="Calibri" w:eastAsia="Times New Roman" w:hAnsi="Calibri" w:cs="Calibri"/>
      <w:color w:val="000000"/>
      <w:sz w:val="20"/>
      <w:szCs w:val="20"/>
      <w:lang w:eastAsia="pt-BR"/>
    </w:rPr>
  </w:style>
  <w:style w:type="paragraph" w:customStyle="1" w:styleId="font10">
    <w:name w:val="font10"/>
    <w:basedOn w:val="Normal"/>
    <w:uiPriority w:val="99"/>
    <w:qFormat/>
    <w:rsid w:val="002A4117"/>
    <w:pPr>
      <w:spacing w:beforeAutospacing="1" w:afterAutospacing="1" w:line="240" w:lineRule="auto"/>
      <w:jc w:val="left"/>
    </w:pPr>
    <w:rPr>
      <w:rFonts w:ascii="Calibri" w:eastAsia="Times New Roman" w:hAnsi="Calibri" w:cs="Calibri"/>
      <w:b/>
      <w:bCs/>
      <w:color w:val="000000"/>
      <w:sz w:val="20"/>
      <w:szCs w:val="20"/>
      <w:lang w:eastAsia="pt-BR"/>
    </w:rPr>
  </w:style>
  <w:style w:type="paragraph" w:customStyle="1" w:styleId="xl65">
    <w:name w:val="xl65"/>
    <w:basedOn w:val="Normal"/>
    <w:qFormat/>
    <w:rsid w:val="002A4117"/>
    <w:pPr>
      <w:spacing w:beforeAutospacing="1"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qFormat/>
    <w:rsid w:val="002A4117"/>
    <w:pPr>
      <w:spacing w:beforeAutospacing="1" w:afterAutospacing="1" w:line="240" w:lineRule="auto"/>
      <w:jc w:val="right"/>
    </w:pPr>
    <w:rPr>
      <w:rFonts w:ascii="Times New Roman" w:eastAsia="Times New Roman" w:hAnsi="Times New Roman" w:cs="Times New Roman"/>
      <w:sz w:val="24"/>
      <w:szCs w:val="24"/>
      <w:lang w:eastAsia="pt-BR"/>
    </w:rPr>
  </w:style>
  <w:style w:type="paragraph" w:customStyle="1" w:styleId="xl67">
    <w:name w:val="xl67"/>
    <w:basedOn w:val="Normal"/>
    <w:qFormat/>
    <w:rsid w:val="002A4117"/>
    <w:pPr>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eastAsia="Times New Roman" w:hAnsi="Arial" w:cs="Arial"/>
      <w:b/>
      <w:bCs/>
      <w:sz w:val="20"/>
      <w:szCs w:val="20"/>
      <w:lang w:eastAsia="pt-BR"/>
    </w:rPr>
  </w:style>
  <w:style w:type="paragraph" w:customStyle="1" w:styleId="xl69">
    <w:name w:val="xl69"/>
    <w:basedOn w:val="Normal"/>
    <w:qFormat/>
    <w:rsid w:val="002A4117"/>
    <w:pPr>
      <w:spacing w:beforeAutospacing="1" w:afterAutospacing="1" w:line="240" w:lineRule="auto"/>
      <w:jc w:val="left"/>
    </w:pPr>
    <w:rPr>
      <w:rFonts w:ascii="Times New Roman" w:eastAsia="Times New Roman" w:hAnsi="Times New Roman" w:cs="Times New Roman"/>
      <w:sz w:val="24"/>
      <w:szCs w:val="24"/>
      <w:lang w:eastAsia="pt-BR"/>
    </w:rPr>
  </w:style>
  <w:style w:type="paragraph" w:customStyle="1" w:styleId="xl70">
    <w:name w:val="xl7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71">
    <w:name w:val="xl71"/>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72">
    <w:name w:val="xl72"/>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5">
    <w:name w:val="xl75"/>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6">
    <w:name w:val="xl76"/>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77">
    <w:name w:val="xl77"/>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8">
    <w:name w:val="xl7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9">
    <w:name w:val="xl79"/>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80">
    <w:name w:val="xl8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1">
    <w:name w:val="xl81"/>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18"/>
      <w:szCs w:val="18"/>
      <w:lang w:eastAsia="pt-BR"/>
    </w:rPr>
  </w:style>
  <w:style w:type="paragraph" w:customStyle="1" w:styleId="xl84">
    <w:name w:val="xl84"/>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85">
    <w:name w:val="xl85"/>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0A0A0A"/>
      <w:sz w:val="18"/>
      <w:szCs w:val="18"/>
      <w:lang w:eastAsia="pt-BR"/>
    </w:rPr>
  </w:style>
  <w:style w:type="paragraph" w:customStyle="1" w:styleId="xl86">
    <w:name w:val="xl86"/>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87">
    <w:name w:val="xl87"/>
    <w:basedOn w:val="Normal"/>
    <w:qFormat/>
    <w:rsid w:val="002A4117"/>
    <w:pP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8">
    <w:name w:val="xl8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8"/>
      <w:szCs w:val="18"/>
      <w:lang w:eastAsia="pt-BR"/>
    </w:rPr>
  </w:style>
  <w:style w:type="paragraph" w:customStyle="1" w:styleId="xl89">
    <w:name w:val="xl89"/>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333333"/>
      <w:sz w:val="18"/>
      <w:szCs w:val="18"/>
      <w:lang w:eastAsia="pt-BR"/>
    </w:rPr>
  </w:style>
  <w:style w:type="paragraph" w:customStyle="1" w:styleId="xl90">
    <w:name w:val="xl9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color w:val="000000"/>
      <w:sz w:val="18"/>
      <w:szCs w:val="18"/>
      <w:lang w:eastAsia="pt-BR"/>
    </w:rPr>
  </w:style>
  <w:style w:type="paragraph" w:customStyle="1" w:styleId="xl91">
    <w:name w:val="xl91"/>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color w:val="0A0A0A"/>
      <w:sz w:val="18"/>
      <w:szCs w:val="18"/>
      <w:lang w:eastAsia="pt-BR"/>
    </w:rPr>
  </w:style>
  <w:style w:type="paragraph" w:customStyle="1" w:styleId="xl92">
    <w:name w:val="xl92"/>
    <w:basedOn w:val="Normal"/>
    <w:qFormat/>
    <w:rsid w:val="002A4117"/>
    <w:pPr>
      <w:spacing w:beforeAutospacing="1"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93">
    <w:name w:val="xl9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18"/>
      <w:szCs w:val="18"/>
      <w:lang w:eastAsia="pt-BR"/>
    </w:rPr>
  </w:style>
  <w:style w:type="paragraph" w:customStyle="1" w:styleId="xl94">
    <w:name w:val="xl94"/>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5">
    <w:name w:val="xl95"/>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96">
    <w:name w:val="xl96"/>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20"/>
      <w:szCs w:val="20"/>
      <w:lang w:eastAsia="pt-BR"/>
    </w:rPr>
  </w:style>
  <w:style w:type="paragraph" w:customStyle="1" w:styleId="xl97">
    <w:name w:val="xl97"/>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222222"/>
      <w:sz w:val="18"/>
      <w:szCs w:val="18"/>
      <w:lang w:eastAsia="pt-BR"/>
    </w:rPr>
  </w:style>
  <w:style w:type="paragraph" w:customStyle="1" w:styleId="xl98">
    <w:name w:val="xl9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99">
    <w:name w:val="xl99"/>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18"/>
      <w:szCs w:val="18"/>
      <w:lang w:eastAsia="pt-BR"/>
    </w:rPr>
  </w:style>
  <w:style w:type="paragraph" w:customStyle="1" w:styleId="xl100">
    <w:name w:val="xl10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101">
    <w:name w:val="xl101"/>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8"/>
      <w:szCs w:val="18"/>
      <w:lang w:eastAsia="pt-BR"/>
    </w:rPr>
  </w:style>
  <w:style w:type="paragraph" w:customStyle="1" w:styleId="xl102">
    <w:name w:val="xl102"/>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103">
    <w:name w:val="xl103"/>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4">
    <w:name w:val="xl104"/>
    <w:basedOn w:val="Normal"/>
    <w:qFormat/>
    <w:rsid w:val="002A4117"/>
    <w:pPr>
      <w:pBdr>
        <w:top w:val="single" w:sz="4" w:space="0" w:color="000000"/>
        <w:left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color w:val="000000"/>
      <w:sz w:val="18"/>
      <w:szCs w:val="18"/>
      <w:lang w:eastAsia="pt-BR"/>
    </w:rPr>
  </w:style>
  <w:style w:type="paragraph" w:customStyle="1" w:styleId="xl105">
    <w:name w:val="xl105"/>
    <w:basedOn w:val="Normal"/>
    <w:qFormat/>
    <w:rsid w:val="002A4117"/>
    <w:pPr>
      <w:spacing w:beforeAutospacing="1"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106">
    <w:name w:val="xl106"/>
    <w:basedOn w:val="Normal"/>
    <w:qFormat/>
    <w:rsid w:val="002A4117"/>
    <w:pPr>
      <w:pBdr>
        <w:top w:val="single" w:sz="4" w:space="0" w:color="000000"/>
        <w:left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63">
    <w:name w:val="xl6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rsid w:val="002A4117"/>
    <w:pPr>
      <w:spacing w:before="0" w:after="0" w:line="240" w:lineRule="auto"/>
      <w:jc w:val="left"/>
      <w:textAlignment w:val="baseline"/>
    </w:pPr>
    <w:rPr>
      <w:rFonts w:ascii="Courier New" w:eastAsia="Times New Roman" w:hAnsi="Courier New" w:cs="Times New Roman"/>
      <w:sz w:val="20"/>
      <w:szCs w:val="20"/>
      <w:lang w:eastAsia="pt-BR"/>
    </w:rPr>
  </w:style>
  <w:style w:type="paragraph" w:customStyle="1" w:styleId="Normal1">
    <w:name w:val="Normal1"/>
    <w:qFormat/>
    <w:rsid w:val="002A4117"/>
    <w:rPr>
      <w:rFonts w:ascii="Times New Roman" w:eastAsia="Calibri" w:hAnsi="Times New Roman" w:cs="Times New Roman"/>
      <w:color w:val="000000"/>
      <w:sz w:val="24"/>
      <w:szCs w:val="24"/>
      <w:lang w:eastAsia="zh-CN"/>
    </w:rPr>
  </w:style>
  <w:style w:type="paragraph" w:customStyle="1" w:styleId="Avanocorpodotexto">
    <w:name w:val="Avanço corpo do texto"/>
    <w:basedOn w:val="Normal"/>
    <w:qFormat/>
    <w:rsid w:val="002A4117"/>
    <w:pPr>
      <w:widowControl w:val="0"/>
      <w:tabs>
        <w:tab w:val="left" w:pos="8646"/>
        <w:tab w:val="left" w:pos="8788"/>
        <w:tab w:val="left" w:pos="10632"/>
      </w:tabs>
      <w:spacing w:before="0" w:after="0" w:line="240" w:lineRule="auto"/>
    </w:pPr>
    <w:rPr>
      <w:rFonts w:ascii="Arial" w:eastAsia="Arial" w:hAnsi="Arial" w:cs="Arial"/>
      <w:sz w:val="24"/>
      <w:szCs w:val="24"/>
      <w:lang w:eastAsia="ar-SA"/>
    </w:rPr>
  </w:style>
  <w:style w:type="paragraph" w:customStyle="1" w:styleId="xl107">
    <w:name w:val="xl107"/>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108">
    <w:name w:val="xl108"/>
    <w:basedOn w:val="Normal"/>
    <w:qFormat/>
    <w:rsid w:val="002A4117"/>
    <w:pPr>
      <w:pBdr>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9">
    <w:name w:val="xl109"/>
    <w:basedOn w:val="Normal"/>
    <w:qFormat/>
    <w:rsid w:val="002A4117"/>
    <w:pPr>
      <w:pBdr>
        <w:top w:val="single" w:sz="4" w:space="0" w:color="000000"/>
        <w:left w:val="single" w:sz="4" w:space="0" w:color="000000"/>
        <w:bottom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0">
    <w:name w:val="xl110"/>
    <w:basedOn w:val="Normal"/>
    <w:qFormat/>
    <w:rsid w:val="002A4117"/>
    <w:pPr>
      <w:pBdr>
        <w:top w:val="single" w:sz="4" w:space="0" w:color="000000"/>
        <w:bottom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1">
    <w:name w:val="xl111"/>
    <w:basedOn w:val="Normal"/>
    <w:qFormat/>
    <w:rsid w:val="002A4117"/>
    <w:pPr>
      <w:pBdr>
        <w:top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2">
    <w:name w:val="xl112"/>
    <w:basedOn w:val="Normal"/>
    <w:qFormat/>
    <w:rsid w:val="002A4117"/>
    <w:pPr>
      <w:pBdr>
        <w:top w:val="single" w:sz="4" w:space="0" w:color="000000"/>
        <w:left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xl113">
    <w:name w:val="xl113"/>
    <w:basedOn w:val="Normal"/>
    <w:qFormat/>
    <w:rsid w:val="002A4117"/>
    <w:pPr>
      <w:pBdr>
        <w:top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xl114">
    <w:name w:val="xl114"/>
    <w:basedOn w:val="Normal"/>
    <w:qFormat/>
    <w:rsid w:val="002A4117"/>
    <w:pPr>
      <w:pBdr>
        <w:top w:val="single" w:sz="4" w:space="0" w:color="000000"/>
        <w:right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font0">
    <w:name w:val="font0"/>
    <w:basedOn w:val="Normal"/>
    <w:qFormat/>
    <w:rsid w:val="002A4117"/>
    <w:pPr>
      <w:spacing w:beforeAutospacing="1" w:afterAutospacing="1" w:line="240" w:lineRule="auto"/>
      <w:jc w:val="left"/>
    </w:pPr>
    <w:rPr>
      <w:rFonts w:ascii="Calibri" w:eastAsia="Times New Roman" w:hAnsi="Calibri" w:cs="Times New Roman"/>
      <w:color w:val="000000"/>
      <w:lang w:eastAsia="pt-BR"/>
    </w:rPr>
  </w:style>
  <w:style w:type="paragraph" w:styleId="Subttulo">
    <w:name w:val="Subtitle"/>
    <w:basedOn w:val="Normal"/>
    <w:next w:val="Normal"/>
    <w:link w:val="SubttuloChar"/>
    <w:uiPriority w:val="11"/>
    <w:qFormat/>
    <w:rsid w:val="002A4117"/>
    <w:pPr>
      <w:spacing w:before="0" w:after="0" w:line="240" w:lineRule="auto"/>
      <w:jc w:val="left"/>
    </w:pPr>
    <w:rPr>
      <w:rFonts w:ascii="Cambria" w:eastAsia="Times New Roman" w:hAnsi="Cambria" w:cs="Times New Roman"/>
      <w:i/>
      <w:iCs/>
      <w:color w:val="4F81BD"/>
      <w:spacing w:val="15"/>
      <w:sz w:val="24"/>
      <w:szCs w:val="24"/>
      <w:lang w:eastAsia="ar-SA"/>
    </w:rPr>
  </w:style>
  <w:style w:type="paragraph" w:customStyle="1" w:styleId="BodyText21">
    <w:name w:val="Body Text 21"/>
    <w:basedOn w:val="Normal"/>
    <w:qFormat/>
    <w:rsid w:val="002A4117"/>
    <w:pPr>
      <w:widowControl w:val="0"/>
      <w:spacing w:before="0" w:after="0" w:line="480" w:lineRule="auto"/>
    </w:pPr>
    <w:rPr>
      <w:rFonts w:ascii="Times New Roman" w:eastAsia="Times New Roman" w:hAnsi="Times New Roman" w:cs="Times New Roman"/>
      <w:sz w:val="24"/>
      <w:szCs w:val="20"/>
      <w:lang w:eastAsia="ar-SA"/>
    </w:rPr>
  </w:style>
  <w:style w:type="paragraph" w:customStyle="1" w:styleId="Corpodotexto">
    <w:name w:val="Corpo do texto"/>
    <w:basedOn w:val="Normal"/>
    <w:qFormat/>
    <w:rsid w:val="002A4117"/>
    <w:pPr>
      <w:spacing w:before="0" w:after="140"/>
      <w:jc w:val="left"/>
    </w:pPr>
    <w:rPr>
      <w:rFonts w:ascii="Times New Roman" w:eastAsia="Times New Roman" w:hAnsi="Times New Roman" w:cs="Times New Roman"/>
      <w:sz w:val="24"/>
      <w:szCs w:val="24"/>
      <w:lang w:eastAsia="pt-BR"/>
    </w:rPr>
  </w:style>
  <w:style w:type="paragraph" w:customStyle="1" w:styleId="caption1">
    <w:name w:val="caption1"/>
    <w:basedOn w:val="Normal"/>
    <w:qFormat/>
    <w:rsid w:val="002A4117"/>
    <w:pPr>
      <w:suppressLineNumbers/>
      <w:spacing w:before="120" w:after="120" w:line="240" w:lineRule="auto"/>
      <w:jc w:val="left"/>
    </w:pPr>
    <w:rPr>
      <w:rFonts w:ascii="Times New Roman" w:eastAsia="Times New Roman" w:hAnsi="Times New Roman" w:cs="Mangal"/>
      <w:i/>
      <w:iCs/>
      <w:sz w:val="24"/>
      <w:szCs w:val="24"/>
      <w:lang w:eastAsia="pt-BR"/>
    </w:rPr>
  </w:style>
  <w:style w:type="paragraph" w:customStyle="1" w:styleId="Contedodatabela">
    <w:name w:val="Conteúdo da tabela"/>
    <w:basedOn w:val="Normal"/>
    <w:qFormat/>
    <w:rsid w:val="002A4117"/>
    <w:pPr>
      <w:spacing w:before="0" w:after="0" w:line="240" w:lineRule="auto"/>
      <w:jc w:val="left"/>
    </w:pPr>
    <w:rPr>
      <w:rFonts w:ascii="Times New Roman" w:eastAsia="Times New Roman" w:hAnsi="Times New Roman" w:cs="Times New Roman"/>
      <w:sz w:val="24"/>
      <w:szCs w:val="24"/>
      <w:lang w:eastAsia="pt-BR"/>
    </w:rPr>
  </w:style>
  <w:style w:type="paragraph" w:customStyle="1" w:styleId="Ttulodetabela">
    <w:name w:val="Título de tabela"/>
    <w:basedOn w:val="Contedodatabela"/>
    <w:qFormat/>
    <w:rsid w:val="002A4117"/>
  </w:style>
  <w:style w:type="paragraph" w:customStyle="1" w:styleId="Standard">
    <w:name w:val="Standard"/>
    <w:qFormat/>
    <w:rsid w:val="002A4117"/>
    <w:pPr>
      <w:textAlignment w:val="baseline"/>
    </w:pPr>
    <w:rPr>
      <w:rFonts w:ascii="Liberation Serif" w:eastAsia="SimSun" w:hAnsi="Liberation Serif" w:cs="Mangal"/>
      <w:kern w:val="2"/>
      <w:sz w:val="24"/>
      <w:szCs w:val="24"/>
      <w:lang w:eastAsia="zh-CN" w:bidi="hi-IN"/>
    </w:rPr>
  </w:style>
  <w:style w:type="paragraph" w:customStyle="1" w:styleId="western">
    <w:name w:val="western"/>
    <w:basedOn w:val="Normal"/>
    <w:qFormat/>
    <w:rsid w:val="002A4117"/>
    <w:pPr>
      <w:spacing w:beforeAutospacing="1" w:after="0" w:line="240" w:lineRule="auto"/>
    </w:pPr>
    <w:rPr>
      <w:rFonts w:ascii="Times New Roman" w:eastAsia="Times New Roman" w:hAnsi="Times New Roman" w:cs="Times New Roman"/>
      <w:color w:val="00000A"/>
      <w:sz w:val="24"/>
      <w:szCs w:val="24"/>
      <w:lang w:eastAsia="pt-BR"/>
    </w:rPr>
  </w:style>
  <w:style w:type="paragraph" w:customStyle="1" w:styleId="msonormal0">
    <w:name w:val="msonormal"/>
    <w:basedOn w:val="Normal"/>
    <w:uiPriority w:val="99"/>
    <w:qFormat/>
    <w:rsid w:val="002A4117"/>
    <w:pPr>
      <w:spacing w:beforeAutospacing="1" w:afterAutospacing="1" w:line="240" w:lineRule="auto"/>
      <w:jc w:val="left"/>
    </w:pPr>
    <w:rPr>
      <w:rFonts w:ascii="Times New Roman" w:eastAsia="Times New Roman" w:hAnsi="Times New Roman" w:cs="Times New Roman"/>
      <w:sz w:val="24"/>
      <w:szCs w:val="24"/>
      <w:lang w:eastAsia="pt-BR"/>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2A4117"/>
  </w:style>
  <w:style w:type="numbering" w:customStyle="1" w:styleId="Semlista11">
    <w:name w:val="Sem lista11"/>
    <w:uiPriority w:val="99"/>
    <w:semiHidden/>
    <w:unhideWhenUsed/>
    <w:qFormat/>
    <w:rsid w:val="002A4117"/>
  </w:style>
  <w:style w:type="numbering" w:customStyle="1" w:styleId="Semlista2">
    <w:name w:val="Sem lista2"/>
    <w:uiPriority w:val="99"/>
    <w:semiHidden/>
    <w:unhideWhenUsed/>
    <w:qFormat/>
    <w:rsid w:val="002A4117"/>
  </w:style>
  <w:style w:type="numbering" w:customStyle="1" w:styleId="Semlista3">
    <w:name w:val="Sem lista3"/>
    <w:uiPriority w:val="99"/>
    <w:semiHidden/>
    <w:unhideWhenUsed/>
    <w:qFormat/>
    <w:rsid w:val="002A4117"/>
  </w:style>
  <w:style w:type="numbering" w:customStyle="1" w:styleId="Semlista4">
    <w:name w:val="Sem lista4"/>
    <w:uiPriority w:val="99"/>
    <w:semiHidden/>
    <w:unhideWhenUsed/>
    <w:qFormat/>
    <w:rsid w:val="002A4117"/>
  </w:style>
  <w:style w:type="numbering" w:customStyle="1" w:styleId="Semlista5">
    <w:name w:val="Sem lista5"/>
    <w:uiPriority w:val="99"/>
    <w:semiHidden/>
    <w:unhideWhenUsed/>
    <w:qFormat/>
    <w:rsid w:val="002A4117"/>
  </w:style>
  <w:style w:type="numbering" w:customStyle="1" w:styleId="Semlista6">
    <w:name w:val="Sem lista6"/>
    <w:uiPriority w:val="99"/>
    <w:semiHidden/>
    <w:unhideWhenUsed/>
    <w:qFormat/>
    <w:rsid w:val="002A4117"/>
  </w:style>
  <w:style w:type="numbering" w:customStyle="1" w:styleId="Semlista7">
    <w:name w:val="Sem lista7"/>
    <w:uiPriority w:val="99"/>
    <w:semiHidden/>
    <w:unhideWhenUsed/>
    <w:qFormat/>
    <w:rsid w:val="002A4117"/>
  </w:style>
  <w:style w:type="table" w:styleId="Tabelacomgrade">
    <w:name w:val="Table Grid"/>
    <w:basedOn w:val="Tabelanormal"/>
    <w:uiPriority w:val="39"/>
    <w:rsid w:val="00FF0950"/>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795024"/>
    <w:rPr>
      <w:lang w:val="en-US"/>
    </w:rPr>
    <w:tblPr>
      <w:tblCellMar>
        <w:top w:w="0" w:type="dxa"/>
        <w:left w:w="0" w:type="dxa"/>
        <w:bottom w:w="0" w:type="dxa"/>
        <w:right w:w="0" w:type="dxa"/>
      </w:tblCellMar>
    </w:tblPr>
  </w:style>
  <w:style w:type="table" w:customStyle="1" w:styleId="TableNormal">
    <w:name w:val="Table Normal"/>
    <w:uiPriority w:val="2"/>
    <w:semiHidden/>
    <w:unhideWhenUsed/>
    <w:qFormat/>
    <w:rsid w:val="00D06864"/>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2A41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39"/>
    <w:rsid w:val="002A4117"/>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2A411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uiPriority w:val="59"/>
    <w:rsid w:val="002A4117"/>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59"/>
    <w:rsid w:val="002A4117"/>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2.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nc.org.br/" TargetMode="External"/><Relationship Id="rId11" Type="http://schemas.openxmlformats.org/officeDocument/2006/relationships/hyperlink" Target="http://www.piracanjuba.go.gov.br/" TargetMode="External"/><Relationship Id="rId32" Type="http://schemas.openxmlformats.org/officeDocument/2006/relationships/image" Target="media/image3.png"/><Relationship Id="rId37" Type="http://schemas.openxmlformats.org/officeDocument/2006/relationships/hyperlink" Target="https://www.gov.br/empresas-e-negocios/pt-br/empreendedor" TargetMode="External"/><Relationship Id="rId53" Type="http://schemas.openxmlformats.org/officeDocument/2006/relationships/header" Target="header5.xml"/><Relationship Id="rId58"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7.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eader" Target="header1.xml"/><Relationship Id="rId59"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s://www.planalto.gov.br/ccivil_03/leis/l5764.htm" TargetMode="External"/><Relationship Id="rId54" Type="http://schemas.openxmlformats.org/officeDocument/2006/relationships/footer" Target="footer4.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footer" Target="footer2.xml"/><Relationship Id="rId57" Type="http://schemas.openxmlformats.org/officeDocument/2006/relationships/footer" Target="footer6.xml"/><Relationship Id="rId10" Type="http://schemas.openxmlformats.org/officeDocument/2006/relationships/hyperlink" Target="http://www.bnc.org.br/" TargetMode="External"/><Relationship Id="rId31" Type="http://schemas.openxmlformats.org/officeDocument/2006/relationships/image" Target="media/image2.png"/><Relationship Id="rId44" Type="http://schemas.openxmlformats.org/officeDocument/2006/relationships/hyperlink" Target="http://www.planalto.gov.br/ccivil_03/_Ato2019-2022/2021/Lei/L14133.htm" TargetMode="External"/><Relationship Id="rId52" Type="http://schemas.openxmlformats.org/officeDocument/2006/relationships/header" Target="header4.xm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99" Type="http://schemas.openxmlformats.org/officeDocument/2006/relationships/header" Target="header9.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mailto:licitacaopiracanjuba@hotmail.com" TargetMode="External"/><Relationship Id="rId18" Type="http://schemas.openxmlformats.org/officeDocument/2006/relationships/hyperlink" Target="http://www.bnc.org.br/"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footer" Target="footer5.xm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http://www.bnc.org.br/" TargetMode="External"/><Relationship Id="rId30" Type="http://schemas.openxmlformats.org/officeDocument/2006/relationships/image" Target="media/image1.png"/><Relationship Id="rId35" Type="http://schemas.openxmlformats.org/officeDocument/2006/relationships/hyperlink" Target="http://www.planalto.gov.br/ccivil_03/_ato2019-2022/2021/lei/L14133.htm" TargetMode="External"/><Relationship Id="rId56" Type="http://schemas.openxmlformats.org/officeDocument/2006/relationships/header" Target="header6.xml"/><Relationship Id="rId77" Type="http://schemas.openxmlformats.org/officeDocument/2006/relationships/hyperlink" Target="https://www.planalto.gov.br/ccivil_03/_ato2011-2014/2013/lei/l12846.htm" TargetMode="External"/><Relationship Id="rId100" Type="http://schemas.openxmlformats.org/officeDocument/2006/relationships/footer" Target="footer9.xml"/><Relationship Id="rId8" Type="http://schemas.openxmlformats.org/officeDocument/2006/relationships/hyperlink" Target="http://www.bnc.org.br/" TargetMode="External"/><Relationship Id="rId51" Type="http://schemas.openxmlformats.org/officeDocument/2006/relationships/footer" Target="footer3.xm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footer" Target="footer8.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1" Type="http://schemas.openxmlformats.org/officeDocument/2006/relationships/image" Target="media/image5.png"/></Relationships>
</file>

<file path=word/_rels/header9.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115</Pages>
  <Words>31610</Words>
  <Characters>170695</Characters>
  <Application>Microsoft Office Word</Application>
  <DocSecurity>0</DocSecurity>
  <Lines>1422</Lines>
  <Paragraphs>403</Paragraphs>
  <ScaleCrop>false</ScaleCrop>
  <Company/>
  <LinksUpToDate>false</LinksUpToDate>
  <CharactersWithSpaces>201902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dc:description/>
  <cp:lastModifiedBy>Licitação Piracanjuba-GO</cp:lastModifiedBy>
  <cp:revision>20</cp:revision>
  <cp:lastPrinted>2026-08-04T18:22:00Z</cp:lastPrinted>
  <dcterms:created xsi:type="dcterms:W3CDTF">2026-03-16T12:37:00Z</dcterms:created>
  <dcterms:modified xsi:type="dcterms:W3CDTF">2026-09-16T11:52:00Z</dcterms:modified>
  <dc:language>pt-BR</dc:language>
</cp:coreProperties>
</file>