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CBE" w:rsidRPr="00DA7CBE" w:rsidRDefault="00DA7CBE" w:rsidP="00F0205E">
      <w:pPr>
        <w:spacing w:after="0" w:line="240" w:lineRule="auto"/>
        <w:jc w:val="both"/>
        <w:rPr>
          <w:rFonts w:eastAsia="Times New Roman" w:cs="Calibri"/>
          <w:color w:val="000000"/>
          <w:sz w:val="27"/>
          <w:szCs w:val="27"/>
          <w:lang w:eastAsia="pt-BR"/>
        </w:rPr>
      </w:pPr>
      <w:r w:rsidRPr="00F0205E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-623570</wp:posOffset>
            </wp:positionV>
            <wp:extent cx="742950" cy="742950"/>
            <wp:effectExtent l="0" t="0" r="0" b="0"/>
            <wp:wrapNone/>
            <wp:docPr id="1" name="Imagem 1" descr="C:\Users\pedro.matias\AppData\Local\Microsoft\Windows\INetCache\Content.MSO\5CE4F1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dro.matias\AppData\Local\Microsoft\Windows\INetCache\Content.MSO\5CE4F17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7CBE" w:rsidRPr="00DA7CBE" w:rsidRDefault="00DA7CBE" w:rsidP="00F0205E">
      <w:pPr>
        <w:spacing w:after="0" w:line="240" w:lineRule="auto"/>
        <w:jc w:val="center"/>
        <w:rPr>
          <w:rFonts w:eastAsia="Times New Roman" w:cs="Calibri"/>
          <w:color w:val="000000"/>
          <w:sz w:val="24"/>
          <w:szCs w:val="27"/>
          <w:lang w:eastAsia="pt-BR"/>
        </w:rPr>
      </w:pPr>
      <w:r w:rsidRPr="00DA7CBE">
        <w:rPr>
          <w:rFonts w:eastAsia="Times New Roman" w:cs="Calibri"/>
          <w:color w:val="000000"/>
          <w:sz w:val="24"/>
          <w:szCs w:val="27"/>
          <w:lang w:eastAsia="pt-BR"/>
        </w:rPr>
        <w:t>MINISTÉRIO DA CIÊNCIA, TECNOLOGIA E INOVAÇÃO</w:t>
      </w:r>
    </w:p>
    <w:p w:rsidR="00DA7CBE" w:rsidRPr="00DA7CBE" w:rsidRDefault="00DA7CBE" w:rsidP="00F0205E">
      <w:pPr>
        <w:spacing w:after="0" w:line="240" w:lineRule="auto"/>
        <w:jc w:val="center"/>
        <w:rPr>
          <w:rFonts w:eastAsia="Times New Roman" w:cs="Calibri"/>
          <w:color w:val="000000"/>
          <w:sz w:val="24"/>
          <w:szCs w:val="27"/>
          <w:lang w:eastAsia="pt-BR"/>
        </w:rPr>
      </w:pPr>
      <w:r w:rsidRPr="00DA7CBE">
        <w:rPr>
          <w:rFonts w:eastAsia="Times New Roman" w:cs="Calibri"/>
          <w:color w:val="000000"/>
          <w:sz w:val="24"/>
          <w:szCs w:val="27"/>
          <w:lang w:eastAsia="pt-BR"/>
        </w:rPr>
        <w:t xml:space="preserve">Esplanada dos Ministérios, Bloco </w:t>
      </w:r>
      <w:proofErr w:type="gramStart"/>
      <w:r w:rsidRPr="00DA7CBE">
        <w:rPr>
          <w:rFonts w:eastAsia="Times New Roman" w:cs="Calibri"/>
          <w:color w:val="000000"/>
          <w:sz w:val="24"/>
          <w:szCs w:val="27"/>
          <w:lang w:eastAsia="pt-BR"/>
        </w:rPr>
        <w:t>E  -</w:t>
      </w:r>
      <w:proofErr w:type="gramEnd"/>
      <w:r w:rsidRPr="00DA7CBE">
        <w:rPr>
          <w:rFonts w:eastAsia="Times New Roman" w:cs="Calibri"/>
          <w:color w:val="000000"/>
          <w:sz w:val="24"/>
          <w:szCs w:val="27"/>
          <w:lang w:eastAsia="pt-BR"/>
        </w:rPr>
        <w:t xml:space="preserve"> Bairro Zona Cívico-Administrativa,</w:t>
      </w:r>
    </w:p>
    <w:p w:rsidR="00DA7CBE" w:rsidRPr="00DA7CBE" w:rsidRDefault="00DA7CBE" w:rsidP="00F0205E">
      <w:pPr>
        <w:spacing w:after="0" w:line="240" w:lineRule="auto"/>
        <w:jc w:val="center"/>
        <w:rPr>
          <w:rFonts w:eastAsia="Times New Roman" w:cs="Calibri"/>
          <w:color w:val="000000"/>
          <w:sz w:val="24"/>
          <w:szCs w:val="27"/>
          <w:lang w:eastAsia="pt-BR"/>
        </w:rPr>
      </w:pPr>
      <w:r w:rsidRPr="00DA7CBE">
        <w:rPr>
          <w:rFonts w:eastAsia="Times New Roman" w:cs="Calibri"/>
          <w:color w:val="000000"/>
          <w:sz w:val="24"/>
          <w:szCs w:val="27"/>
          <w:lang w:eastAsia="pt-BR"/>
        </w:rPr>
        <w:t>CEP 70067-900, Brasília - DF - http://www.gov.br/mcti</w:t>
      </w:r>
      <w:bookmarkStart w:id="0" w:name="_GoBack"/>
      <w:bookmarkEnd w:id="0"/>
    </w:p>
    <w:p w:rsidR="00DA7CBE" w:rsidRPr="00DA7CBE" w:rsidRDefault="00DA7CBE" w:rsidP="00F0205E">
      <w:pPr>
        <w:spacing w:after="0" w:line="240" w:lineRule="auto"/>
        <w:jc w:val="both"/>
        <w:rPr>
          <w:rFonts w:eastAsia="Times New Roman" w:cs="Calibri"/>
          <w:color w:val="000000"/>
          <w:sz w:val="24"/>
          <w:szCs w:val="27"/>
          <w:lang w:eastAsia="pt-BR"/>
        </w:rPr>
      </w:pPr>
    </w:p>
    <w:p w:rsidR="00DA7CBE" w:rsidRPr="00DA7CBE" w:rsidRDefault="00DA7CBE" w:rsidP="00F0205E">
      <w:pPr>
        <w:spacing w:after="0" w:line="240" w:lineRule="auto"/>
        <w:jc w:val="center"/>
        <w:rPr>
          <w:rFonts w:eastAsia="Times New Roman" w:cs="Calibri"/>
          <w:color w:val="000000"/>
          <w:sz w:val="24"/>
          <w:szCs w:val="27"/>
          <w:lang w:eastAsia="pt-BR"/>
        </w:rPr>
      </w:pPr>
      <w:r w:rsidRPr="00F0205E">
        <w:rPr>
          <w:rFonts w:eastAsia="Times New Roman" w:cs="Calibri"/>
          <w:b/>
          <w:bCs/>
          <w:color w:val="000000"/>
          <w:sz w:val="24"/>
          <w:szCs w:val="27"/>
          <w:lang w:eastAsia="pt-BR"/>
        </w:rPr>
        <w:t>ANEXO - I</w:t>
      </w:r>
      <w:r w:rsidR="009971DF" w:rsidRPr="00F0205E">
        <w:rPr>
          <w:rFonts w:eastAsia="Times New Roman" w:cs="Calibri"/>
          <w:b/>
          <w:bCs/>
          <w:color w:val="000000"/>
          <w:sz w:val="24"/>
          <w:szCs w:val="27"/>
          <w:lang w:eastAsia="pt-BR"/>
        </w:rPr>
        <w:t>I</w:t>
      </w:r>
      <w:r w:rsidR="00F0205E" w:rsidRPr="00F0205E">
        <w:rPr>
          <w:rFonts w:eastAsia="Times New Roman" w:cs="Calibri"/>
          <w:b/>
          <w:bCs/>
          <w:color w:val="000000"/>
          <w:sz w:val="24"/>
          <w:szCs w:val="27"/>
          <w:lang w:eastAsia="pt-BR"/>
        </w:rPr>
        <w:t>I</w:t>
      </w:r>
    </w:p>
    <w:p w:rsidR="00F0205E" w:rsidRPr="00F0205E" w:rsidRDefault="00F0205E" w:rsidP="00F0205E">
      <w:pPr>
        <w:jc w:val="center"/>
        <w:rPr>
          <w:rFonts w:eastAsia="Times New Roman" w:cs="Calibri"/>
          <w:b/>
          <w:bCs/>
          <w:color w:val="000000"/>
          <w:sz w:val="24"/>
          <w:szCs w:val="27"/>
          <w:lang w:eastAsia="pt-BR"/>
        </w:rPr>
      </w:pPr>
      <w:r w:rsidRPr="00F0205E">
        <w:rPr>
          <w:rFonts w:eastAsia="Times New Roman" w:cs="Calibri"/>
          <w:b/>
          <w:bCs/>
          <w:color w:val="000000"/>
          <w:sz w:val="24"/>
          <w:szCs w:val="27"/>
          <w:lang w:eastAsia="pt-BR"/>
        </w:rPr>
        <w:t>INSTRUMENTO DE MEDIÇÃO DE RESULTADOS – IMR</w:t>
      </w:r>
    </w:p>
    <w:p w:rsid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/>
          <w:sz w:val="22"/>
        </w:rPr>
        <w:t>Este documento estabelece os critérios de avaliação da qualidade da prestação dos serviços de lavanderia — compreendendo lavagem, higienização, desinfecção e secagem —, definindo indicadores, metas e glosas proporcionais ao desempenho.</w:t>
      </w:r>
    </w:p>
    <w:p w:rsidR="00F0205E" w:rsidRP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/>
          <w:sz w:val="22"/>
        </w:rPr>
        <w:t>Durante a vigência do contrato a contratante adotará o Instrumento de Medição de Resultado – IMR em conformidade com a IN SLTI/MPDG nº 5/2017.</w:t>
      </w:r>
    </w:p>
    <w:p w:rsidR="00F0205E" w:rsidRP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 w:cs="Calibri"/>
          <w:b/>
          <w:bCs/>
          <w:color w:val="000000"/>
          <w:sz w:val="22"/>
          <w:szCs w:val="27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421005</wp:posOffset>
            </wp:positionV>
            <wp:extent cx="6940550" cy="36671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05E">
        <w:rPr>
          <w:rFonts w:asciiTheme="minorHAnsi" w:hAnsiTheme="minorHAnsi"/>
          <w:sz w:val="22"/>
        </w:rPr>
        <w:t>O Instrumento de Medição de Resultado contemplará os indicadores e as respectivas metas a cumprir, que serão acompanhados pela fiscalização do contrato:</w:t>
      </w:r>
    </w:p>
    <w:p w:rsidR="00F0205E" w:rsidRPr="00F0205E" w:rsidRDefault="00F0205E" w:rsidP="00F0205E">
      <w:pPr>
        <w:jc w:val="both"/>
        <w:rPr>
          <w:rFonts w:eastAsia="Times New Roman" w:cs="Calibri"/>
          <w:b/>
          <w:bCs/>
          <w:color w:val="000000"/>
          <w:szCs w:val="27"/>
          <w:lang w:eastAsia="pt-BR"/>
        </w:rPr>
      </w:pPr>
    </w:p>
    <w:p w:rsidR="009971DF" w:rsidRPr="00F0205E" w:rsidRDefault="009971DF" w:rsidP="00F0205E">
      <w:pPr>
        <w:spacing w:after="0" w:line="240" w:lineRule="auto"/>
        <w:jc w:val="both"/>
        <w:rPr>
          <w:rFonts w:eastAsia="Times New Roman" w:cs="Calibri"/>
          <w:color w:val="000000"/>
          <w:szCs w:val="27"/>
          <w:lang w:eastAsia="pt-BR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Pr="00F0205E" w:rsidRDefault="00F0205E" w:rsidP="00F0205E">
      <w:pPr>
        <w:jc w:val="both"/>
        <w:rPr>
          <w:sz w:val="18"/>
        </w:rPr>
      </w:pPr>
    </w:p>
    <w:p w:rsid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b/>
          <w:bCs/>
          <w:sz w:val="22"/>
        </w:rPr>
      </w:pPr>
    </w:p>
    <w:p w:rsid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b/>
          <w:bCs/>
          <w:sz w:val="22"/>
        </w:rPr>
      </w:pPr>
    </w:p>
    <w:p w:rsid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b/>
          <w:bCs/>
          <w:sz w:val="22"/>
        </w:rPr>
      </w:pPr>
    </w:p>
    <w:p w:rsid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/>
          <w:b/>
          <w:bCs/>
          <w:sz w:val="22"/>
        </w:rPr>
        <w:t>Observações Importantes:</w:t>
      </w:r>
    </w:p>
    <w:p w:rsidR="00F0205E" w:rsidRP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/>
          <w:sz w:val="22"/>
        </w:rPr>
        <w:t>O IMR é um ajuste no pagamento por serviço não entregue com a qualidade esperada (glosa por descumprimento de nível de serviço). Ele não impede a aplicação de multas administrativas previstas nas cláusulas sancionatórias do contrato.</w:t>
      </w:r>
    </w:p>
    <w:p w:rsidR="00F0205E" w:rsidRP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/>
          <w:sz w:val="22"/>
        </w:rPr>
        <w:t>Em caso de perda ou inutilização total da peça por culpa da contratada, esta deverá repor o item por um novo de igual marca/qualidade ou indenizar o valor de mercado, independentemente da pontuação no IMR.</w:t>
      </w:r>
    </w:p>
    <w:p w:rsidR="00F0205E" w:rsidRPr="00F0205E" w:rsidRDefault="00F0205E" w:rsidP="00F0205E">
      <w:pPr>
        <w:pStyle w:val="textoalinhadoesquerda"/>
        <w:ind w:left="-1134" w:right="-1135"/>
        <w:jc w:val="both"/>
        <w:rPr>
          <w:rFonts w:asciiTheme="minorHAnsi" w:hAnsiTheme="minorHAnsi"/>
          <w:sz w:val="22"/>
        </w:rPr>
      </w:pPr>
      <w:r w:rsidRPr="00F0205E">
        <w:rPr>
          <w:rFonts w:asciiTheme="minorHAnsi" w:hAnsiTheme="minorHAnsi"/>
          <w:sz w:val="22"/>
        </w:rPr>
        <w:t>Antes do fechamento da fatura com glosa, a contratada deve ser notificada para apresentar justificativa em até 2 (dois) dias úteis.</w:t>
      </w:r>
    </w:p>
    <w:sectPr w:rsidR="00F0205E" w:rsidRPr="00F020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BE"/>
    <w:rsid w:val="009971DF"/>
    <w:rsid w:val="00C01EF4"/>
    <w:rsid w:val="00DA7CBE"/>
    <w:rsid w:val="00F0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A562A"/>
  <w15:chartTrackingRefBased/>
  <w15:docId w15:val="{A4F6A011-71D3-4BCF-869E-91FD21E3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A7CBE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997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F0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Araujo Matias Rocha</dc:creator>
  <cp:keywords/>
  <dc:description/>
  <cp:lastModifiedBy>Pedro Araujo Matias Rocha</cp:lastModifiedBy>
  <cp:revision>2</cp:revision>
  <dcterms:created xsi:type="dcterms:W3CDTF">2026-01-19T13:30:00Z</dcterms:created>
  <dcterms:modified xsi:type="dcterms:W3CDTF">2026-01-19T13:30:00Z</dcterms:modified>
</cp:coreProperties>
</file>