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1B292" w14:textId="77777777" w:rsidR="00AC1C56" w:rsidRPr="00AC1C56" w:rsidRDefault="00AC1C56" w:rsidP="00AC1C56">
      <w:pPr>
        <w:spacing w:before="120" w:after="120" w:line="240" w:lineRule="auto"/>
        <w:ind w:right="-425"/>
        <w:jc w:val="center"/>
        <w:rPr>
          <w:rFonts w:ascii="Bookman Old Style" w:eastAsia="MS Mincho" w:hAnsi="Bookman Old Style" w:cstheme="minorHAnsi"/>
          <w:b/>
          <w:bCs/>
          <w:color w:val="000000" w:themeColor="text1"/>
          <w:sz w:val="24"/>
          <w:szCs w:val="24"/>
        </w:rPr>
      </w:pPr>
      <w:bookmarkStart w:id="0" w:name="_GoBack"/>
      <w:bookmarkEnd w:id="0"/>
      <w:r w:rsidRPr="00AC1C56">
        <w:rPr>
          <w:rFonts w:ascii="Bookman Old Style" w:eastAsia="MS Mincho" w:hAnsi="Bookman Old Style" w:cstheme="minorHAnsi"/>
          <w:b/>
          <w:bCs/>
          <w:color w:val="000000" w:themeColor="text1"/>
          <w:sz w:val="24"/>
          <w:szCs w:val="24"/>
        </w:rPr>
        <w:t>AVISO/EDITAL DE DISPENSA</w:t>
      </w:r>
    </w:p>
    <w:p w14:paraId="784C4FE5" w14:textId="77777777" w:rsidR="00AC1C56" w:rsidRPr="00AC1C56" w:rsidRDefault="00AC1C56" w:rsidP="00AC1C56">
      <w:pPr>
        <w:spacing w:before="120" w:after="120" w:line="240" w:lineRule="auto"/>
        <w:ind w:right="-425"/>
        <w:jc w:val="center"/>
        <w:rPr>
          <w:rFonts w:ascii="Bookman Old Style" w:eastAsia="MS Mincho" w:hAnsi="Bookman Old Style" w:cstheme="minorHAnsi"/>
          <w:b/>
          <w:bCs/>
          <w:color w:val="000000" w:themeColor="text1"/>
          <w:sz w:val="24"/>
          <w:szCs w:val="24"/>
        </w:rPr>
      </w:pPr>
    </w:p>
    <w:p w14:paraId="22A201A0" w14:textId="77777777" w:rsidR="00AC1C56" w:rsidRPr="00AC1C56" w:rsidRDefault="00AC1C56" w:rsidP="00AC1C56">
      <w:pPr>
        <w:spacing w:before="120" w:after="120" w:line="240" w:lineRule="auto"/>
        <w:ind w:right="-425"/>
        <w:rPr>
          <w:rFonts w:ascii="Bookman Old Style" w:eastAsia="MS Mincho" w:hAnsi="Bookman Old Style" w:cstheme="minorHAnsi"/>
          <w:b/>
          <w:bCs/>
          <w:color w:val="000000" w:themeColor="text1"/>
          <w:sz w:val="24"/>
          <w:szCs w:val="24"/>
        </w:rPr>
      </w:pPr>
      <w:r w:rsidRPr="00AC1C56">
        <w:rPr>
          <w:rFonts w:ascii="Bookman Old Style" w:eastAsia="MS Mincho" w:hAnsi="Bookman Old Style" w:cstheme="minorHAnsi"/>
          <w:b/>
          <w:bCs/>
          <w:color w:val="000000" w:themeColor="text1"/>
          <w:sz w:val="24"/>
          <w:szCs w:val="24"/>
        </w:rPr>
        <w:t>Processo Administrativo: nº 013/2026</w:t>
      </w:r>
    </w:p>
    <w:p w14:paraId="3C250D4C" w14:textId="77777777" w:rsidR="00AC1C56" w:rsidRPr="00AC1C56" w:rsidRDefault="00AC1C56" w:rsidP="00AC1C56">
      <w:pPr>
        <w:spacing w:before="120" w:after="120" w:line="240" w:lineRule="auto"/>
        <w:ind w:right="-425"/>
        <w:rPr>
          <w:rFonts w:ascii="Bookman Old Style" w:eastAsia="MS Mincho" w:hAnsi="Bookman Old Style" w:cstheme="minorHAnsi"/>
          <w:b/>
          <w:bCs/>
          <w:color w:val="000000" w:themeColor="text1"/>
          <w:sz w:val="24"/>
          <w:szCs w:val="24"/>
        </w:rPr>
      </w:pPr>
      <w:proofErr w:type="gramStart"/>
      <w:r w:rsidRPr="00AC1C56">
        <w:rPr>
          <w:rFonts w:ascii="Bookman Old Style" w:eastAsia="MS Mincho" w:hAnsi="Bookman Old Style" w:cstheme="minorHAnsi"/>
          <w:b/>
          <w:bCs/>
          <w:color w:val="000000" w:themeColor="text1"/>
          <w:sz w:val="24"/>
          <w:szCs w:val="24"/>
        </w:rPr>
        <w:t>Dispensa Presencial</w:t>
      </w:r>
      <w:proofErr w:type="gramEnd"/>
      <w:r w:rsidRPr="00AC1C56">
        <w:rPr>
          <w:rFonts w:ascii="Bookman Old Style" w:eastAsia="MS Mincho" w:hAnsi="Bookman Old Style" w:cstheme="minorHAnsi"/>
          <w:b/>
          <w:bCs/>
          <w:color w:val="000000" w:themeColor="text1"/>
          <w:sz w:val="24"/>
          <w:szCs w:val="24"/>
        </w:rPr>
        <w:t>: nº 007/2026</w:t>
      </w:r>
    </w:p>
    <w:p w14:paraId="747C02F5" w14:textId="77777777" w:rsidR="00AC1C56" w:rsidRPr="00AC1C56" w:rsidRDefault="00AC1C56" w:rsidP="00AC1C56">
      <w:pPr>
        <w:spacing w:before="120" w:after="120" w:line="240" w:lineRule="auto"/>
        <w:ind w:right="-425"/>
        <w:rPr>
          <w:rFonts w:ascii="Bookman Old Style" w:eastAsia="MS Mincho" w:hAnsi="Bookman Old Style" w:cstheme="minorHAnsi"/>
          <w:sz w:val="24"/>
          <w:szCs w:val="24"/>
        </w:rPr>
      </w:pPr>
    </w:p>
    <w:p w14:paraId="548A75DA" w14:textId="77777777" w:rsidR="00AC1C56" w:rsidRPr="00AC1C56" w:rsidRDefault="00AC1C56" w:rsidP="00AC1C56">
      <w:pPr>
        <w:snapToGrid w:val="0"/>
        <w:spacing w:before="120" w:after="120"/>
        <w:ind w:right="-425" w:firstLine="540"/>
        <w:jc w:val="both"/>
        <w:rPr>
          <w:rFonts w:ascii="Bookman Old Style" w:eastAsia="MS Mincho" w:hAnsi="Bookman Old Style" w:cstheme="minorHAnsi"/>
          <w:bCs/>
          <w:sz w:val="24"/>
          <w:szCs w:val="24"/>
        </w:rPr>
      </w:pPr>
      <w:r w:rsidRPr="00AC1C56">
        <w:rPr>
          <w:rFonts w:ascii="Bookman Old Style" w:eastAsia="MS Mincho" w:hAnsi="Bookman Old Style" w:cstheme="minorHAnsi"/>
          <w:sz w:val="24"/>
          <w:szCs w:val="24"/>
        </w:rPr>
        <w:t xml:space="preserve">Torna-se público que a </w:t>
      </w:r>
      <w:r w:rsidRPr="00AC1C56">
        <w:rPr>
          <w:rFonts w:ascii="Bookman Old Style" w:eastAsia="MS Mincho" w:hAnsi="Bookman Old Style" w:cstheme="minorHAnsi"/>
          <w:b/>
          <w:bCs/>
          <w:sz w:val="24"/>
          <w:szCs w:val="24"/>
        </w:rPr>
        <w:t>CÂMARA MUNICIPAL DE TERRA RICA/PR</w:t>
      </w:r>
      <w:r w:rsidRPr="00AC1C56">
        <w:rPr>
          <w:rFonts w:ascii="Bookman Old Style" w:eastAsia="MS Mincho" w:hAnsi="Bookman Old Style" w:cstheme="minorHAnsi"/>
          <w:sz w:val="24"/>
          <w:szCs w:val="24"/>
        </w:rPr>
        <w:t>, por meio do</w:t>
      </w:r>
      <w:r w:rsidRPr="00AC1C56">
        <w:rPr>
          <w:rFonts w:ascii="Bookman Old Style" w:eastAsia="Arial" w:hAnsi="Bookman Old Style" w:cstheme="minorHAnsi"/>
          <w:sz w:val="24"/>
          <w:szCs w:val="24"/>
        </w:rPr>
        <w:t xml:space="preserve"> Setor de Licitações e Contratos</w:t>
      </w:r>
      <w:r w:rsidRPr="00AC1C56">
        <w:rPr>
          <w:rFonts w:ascii="Bookman Old Style" w:eastAsia="MS Mincho" w:hAnsi="Bookman Old Style" w:cstheme="minorHAnsi"/>
          <w:sz w:val="24"/>
          <w:szCs w:val="24"/>
        </w:rPr>
        <w:t xml:space="preserve">, realizará dispensa na forma Física, </w:t>
      </w:r>
      <w:r w:rsidRPr="00AC1C56">
        <w:rPr>
          <w:rFonts w:ascii="Bookman Old Style" w:eastAsia="MS Mincho" w:hAnsi="Bookman Old Style" w:cstheme="minorHAnsi"/>
          <w:bCs/>
          <w:sz w:val="24"/>
          <w:szCs w:val="24"/>
        </w:rPr>
        <w:t>com critério de julgamento</w:t>
      </w:r>
      <w:r w:rsidRPr="00AC1C56">
        <w:rPr>
          <w:rFonts w:ascii="Bookman Old Style" w:eastAsia="MS Mincho" w:hAnsi="Bookman Old Style" w:cstheme="minorHAnsi"/>
          <w:b/>
          <w:bCs/>
          <w:sz w:val="24"/>
          <w:szCs w:val="24"/>
        </w:rPr>
        <w:t xml:space="preserve"> MENOR PREÇO </w:t>
      </w:r>
      <w:r w:rsidRPr="00AC1C56">
        <w:rPr>
          <w:rFonts w:ascii="Bookman Old Style" w:eastAsia="MS Mincho" w:hAnsi="Bookman Old Style" w:cstheme="minorHAnsi"/>
          <w:b/>
          <w:sz w:val="24"/>
          <w:szCs w:val="24"/>
        </w:rPr>
        <w:t>POR LOTE</w:t>
      </w:r>
      <w:r w:rsidRPr="00AC1C56">
        <w:rPr>
          <w:rFonts w:ascii="Bookman Old Style" w:eastAsia="MS Mincho" w:hAnsi="Bookman Old Style" w:cstheme="minorHAnsi"/>
          <w:i/>
          <w:sz w:val="24"/>
          <w:szCs w:val="24"/>
        </w:rPr>
        <w:t xml:space="preserve">, </w:t>
      </w:r>
      <w:r w:rsidRPr="00AC1C56">
        <w:rPr>
          <w:rFonts w:ascii="Bookman Old Style" w:eastAsia="MS Mincho" w:hAnsi="Bookman Old Style" w:cstheme="minorHAnsi"/>
          <w:sz w:val="24"/>
          <w:szCs w:val="24"/>
        </w:rPr>
        <w:t>na hipótese do art. 75</w:t>
      </w:r>
      <w:r w:rsidRPr="00AC1C56">
        <w:rPr>
          <w:rFonts w:ascii="Bookman Old Style" w:eastAsia="MS Mincho" w:hAnsi="Bookman Old Style" w:cstheme="minorHAnsi"/>
          <w:i/>
          <w:iCs/>
          <w:sz w:val="24"/>
          <w:szCs w:val="24"/>
        </w:rPr>
        <w:t>, inciso</w:t>
      </w:r>
      <w:r w:rsidRPr="00AC1C56">
        <w:rPr>
          <w:rFonts w:ascii="Bookman Old Style" w:eastAsia="MS Mincho" w:hAnsi="Bookman Old Style" w:cstheme="minorHAnsi"/>
          <w:b/>
          <w:i/>
          <w:iCs/>
          <w:sz w:val="24"/>
          <w:szCs w:val="24"/>
        </w:rPr>
        <w:t xml:space="preserve"> II</w:t>
      </w:r>
      <w:r w:rsidRPr="00AC1C56">
        <w:rPr>
          <w:rFonts w:ascii="Bookman Old Style" w:eastAsia="MS Mincho" w:hAnsi="Bookman Old Style" w:cstheme="minorHAnsi"/>
          <w:i/>
          <w:iCs/>
          <w:sz w:val="24"/>
          <w:szCs w:val="24"/>
        </w:rPr>
        <w:t>,</w:t>
      </w:r>
      <w:r w:rsidRPr="00AC1C56">
        <w:rPr>
          <w:rFonts w:ascii="Bookman Old Style" w:eastAsia="MS Mincho" w:hAnsi="Bookman Old Style" w:cstheme="minorHAnsi"/>
          <w:sz w:val="24"/>
          <w:szCs w:val="24"/>
        </w:rPr>
        <w:t xml:space="preserve"> </w:t>
      </w:r>
      <w:r w:rsidRPr="00AC1C56">
        <w:rPr>
          <w:rFonts w:ascii="Bookman Old Style" w:eastAsia="MS Mincho" w:hAnsi="Bookman Old Style" w:cstheme="minorHAnsi"/>
          <w:bCs/>
          <w:sz w:val="24"/>
          <w:szCs w:val="24"/>
        </w:rPr>
        <w:t xml:space="preserve">nos termos da Lei nº 14.133, de 1º de abril de 2021, da </w:t>
      </w:r>
      <w:r w:rsidRPr="00AC1C56">
        <w:rPr>
          <w:rFonts w:ascii="Bookman Old Style" w:eastAsia="MS Mincho" w:hAnsi="Bookman Old Style" w:cstheme="minorHAnsi"/>
          <w:bCs/>
          <w:i/>
          <w:iCs/>
          <w:sz w:val="24"/>
          <w:szCs w:val="24"/>
        </w:rPr>
        <w:t xml:space="preserve">Resolução, </w:t>
      </w:r>
      <w:r w:rsidRPr="00AC1C56">
        <w:rPr>
          <w:rFonts w:ascii="Bookman Old Style" w:eastAsia="MS Mincho" w:hAnsi="Bookman Old Style" w:cstheme="minorHAnsi"/>
          <w:bCs/>
          <w:sz w:val="24"/>
          <w:szCs w:val="24"/>
        </w:rPr>
        <w:t>nº 11/2023 e demais legislações aplicáveis e exigências estabelecidas neste Aviso.</w:t>
      </w:r>
    </w:p>
    <w:p w14:paraId="5ED807FB" w14:textId="77777777" w:rsidR="00AC1C56" w:rsidRPr="00AC1C56" w:rsidRDefault="00AC1C56" w:rsidP="00AC1C56">
      <w:pPr>
        <w:snapToGrid w:val="0"/>
        <w:spacing w:before="120" w:after="120"/>
        <w:ind w:right="-425" w:firstLine="540"/>
        <w:jc w:val="both"/>
        <w:rPr>
          <w:rFonts w:ascii="Bookman Old Style" w:eastAsia="MS Mincho" w:hAnsi="Bookman Old Style" w:cstheme="minorHAnsi"/>
          <w:sz w:val="24"/>
          <w:szCs w:val="24"/>
        </w:rPr>
      </w:pPr>
    </w:p>
    <w:p w14:paraId="20B71595" w14:textId="14F3658F"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
          <w:iCs/>
          <w:sz w:val="24"/>
          <w:szCs w:val="24"/>
        </w:rPr>
      </w:pPr>
      <w:r w:rsidRPr="00AC1C56">
        <w:rPr>
          <w:rFonts w:ascii="Bookman Old Style" w:eastAsia="MS Mincho" w:hAnsi="Bookman Old Style" w:cstheme="minorHAnsi"/>
          <w:b/>
          <w:bCs/>
          <w:sz w:val="24"/>
          <w:szCs w:val="24"/>
        </w:rPr>
        <w:t>Data da Publicação no Diário Oficial</w:t>
      </w:r>
      <w:r w:rsidRPr="00AC1C56">
        <w:rPr>
          <w:rFonts w:ascii="Bookman Old Style" w:eastAsia="MS Mincho" w:hAnsi="Bookman Old Style" w:cstheme="minorHAnsi"/>
          <w:sz w:val="24"/>
          <w:szCs w:val="24"/>
        </w:rPr>
        <w:t xml:space="preserve">: </w:t>
      </w:r>
      <w:r>
        <w:rPr>
          <w:rFonts w:ascii="Bookman Old Style" w:eastAsia="MS Mincho" w:hAnsi="Bookman Old Style" w:cstheme="minorHAnsi"/>
          <w:b/>
          <w:bCs/>
          <w:i/>
          <w:iCs/>
          <w:sz w:val="24"/>
          <w:szCs w:val="24"/>
        </w:rPr>
        <w:t>08</w:t>
      </w:r>
      <w:r w:rsidRPr="00AC1C56">
        <w:rPr>
          <w:rFonts w:ascii="Bookman Old Style" w:eastAsia="MS Mincho" w:hAnsi="Bookman Old Style" w:cstheme="minorHAnsi"/>
          <w:b/>
          <w:bCs/>
          <w:i/>
          <w:iCs/>
          <w:sz w:val="24"/>
          <w:szCs w:val="24"/>
        </w:rPr>
        <w:t>/10/2026</w:t>
      </w:r>
    </w:p>
    <w:p w14:paraId="2AC3B019" w14:textId="265CADF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DATA DO INÍCIO DO RECEBIMENTO DAS PROPOSTAS</w:t>
      </w:r>
      <w:r w:rsidRPr="00AC1C56">
        <w:rPr>
          <w:rFonts w:ascii="Bookman Old Style" w:eastAsia="MS Mincho" w:hAnsi="Bookman Old Style" w:cstheme="minorHAnsi"/>
          <w:sz w:val="24"/>
          <w:szCs w:val="24"/>
        </w:rPr>
        <w:t xml:space="preserve">: </w:t>
      </w:r>
      <w:r>
        <w:rPr>
          <w:rFonts w:ascii="Bookman Old Style" w:eastAsia="MS Mincho" w:hAnsi="Bookman Old Style" w:cstheme="minorHAnsi"/>
          <w:sz w:val="24"/>
          <w:szCs w:val="24"/>
        </w:rPr>
        <w:t>08</w:t>
      </w:r>
      <w:r w:rsidRPr="00AC1C56">
        <w:rPr>
          <w:rFonts w:ascii="Bookman Old Style" w:eastAsia="MS Mincho" w:hAnsi="Bookman Old Style" w:cstheme="minorHAnsi"/>
          <w:sz w:val="24"/>
          <w:szCs w:val="24"/>
        </w:rPr>
        <w:t>/10/2026 às 08h00min</w:t>
      </w:r>
    </w:p>
    <w:p w14:paraId="3047870D" w14:textId="4765DBC8"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DATA DO FIM PARA RECEBIMENTO DAS PROPOSTAS</w:t>
      </w:r>
      <w:r w:rsidRPr="00AC1C56">
        <w:rPr>
          <w:rFonts w:ascii="Bookman Old Style" w:eastAsia="MS Mincho" w:hAnsi="Bookman Old Style" w:cstheme="minorHAnsi"/>
          <w:sz w:val="24"/>
          <w:szCs w:val="24"/>
        </w:rPr>
        <w:t xml:space="preserve">: </w:t>
      </w:r>
      <w:r>
        <w:rPr>
          <w:rFonts w:ascii="Bookman Old Style" w:eastAsia="MS Mincho" w:hAnsi="Bookman Old Style" w:cstheme="minorHAnsi"/>
          <w:sz w:val="24"/>
          <w:szCs w:val="24"/>
        </w:rPr>
        <w:t>13</w:t>
      </w:r>
      <w:r w:rsidRPr="00AC1C56">
        <w:rPr>
          <w:rFonts w:ascii="Bookman Old Style" w:eastAsia="MS Mincho" w:hAnsi="Bookman Old Style" w:cstheme="minorHAnsi"/>
          <w:sz w:val="24"/>
          <w:szCs w:val="24"/>
        </w:rPr>
        <w:t>/10/2026 às 17h00min</w:t>
      </w:r>
    </w:p>
    <w:p w14:paraId="4314BAA4" w14:textId="66AE96D4"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sz w:val="24"/>
          <w:szCs w:val="24"/>
        </w:rPr>
        <w:t>LANCES:</w:t>
      </w:r>
      <w:r w:rsidRPr="00AC1C56">
        <w:rPr>
          <w:rFonts w:ascii="Bookman Old Style" w:eastAsia="MS Mincho" w:hAnsi="Bookman Old Style" w:cstheme="minorHAnsi"/>
          <w:sz w:val="24"/>
          <w:szCs w:val="24"/>
        </w:rPr>
        <w:t xml:space="preserve"> </w:t>
      </w:r>
      <w:r>
        <w:rPr>
          <w:rFonts w:ascii="Bookman Old Style" w:eastAsia="MS Mincho" w:hAnsi="Bookman Old Style" w:cstheme="minorHAnsi"/>
          <w:sz w:val="24"/>
          <w:szCs w:val="24"/>
        </w:rPr>
        <w:t>14</w:t>
      </w:r>
      <w:r w:rsidRPr="00AC1C56">
        <w:rPr>
          <w:rFonts w:ascii="Bookman Old Style" w:eastAsia="MS Mincho" w:hAnsi="Bookman Old Style" w:cstheme="minorHAnsi"/>
          <w:sz w:val="24"/>
          <w:szCs w:val="24"/>
        </w:rPr>
        <w:t xml:space="preserve">/10/2026, com início às </w:t>
      </w:r>
      <w:r w:rsidRPr="00AC1C56">
        <w:rPr>
          <w:rFonts w:ascii="Bookman Old Style" w:eastAsia="MS Mincho" w:hAnsi="Bookman Old Style" w:cstheme="minorHAnsi"/>
          <w:b/>
          <w:sz w:val="24"/>
          <w:szCs w:val="24"/>
        </w:rPr>
        <w:t>09h30min</w:t>
      </w:r>
      <w:r w:rsidRPr="00AC1C56">
        <w:rPr>
          <w:rFonts w:ascii="Bookman Old Style" w:eastAsia="MS Mincho" w:hAnsi="Bookman Old Style" w:cstheme="minorHAnsi"/>
          <w:sz w:val="24"/>
          <w:szCs w:val="24"/>
        </w:rPr>
        <w:t xml:space="preserve">, por meio de videoconferência pela plataforma Google </w:t>
      </w:r>
      <w:proofErr w:type="spellStart"/>
      <w:r w:rsidRPr="00AC1C56">
        <w:rPr>
          <w:rFonts w:ascii="Bookman Old Style" w:eastAsia="MS Mincho" w:hAnsi="Bookman Old Style" w:cstheme="minorHAnsi"/>
          <w:sz w:val="24"/>
          <w:szCs w:val="24"/>
        </w:rPr>
        <w:t>Meet</w:t>
      </w:r>
      <w:proofErr w:type="spellEnd"/>
      <w:r w:rsidRPr="00AC1C56">
        <w:rPr>
          <w:rFonts w:ascii="Bookman Old Style" w:eastAsia="MS Mincho" w:hAnsi="Bookman Old Style" w:cstheme="minorHAnsi"/>
          <w:sz w:val="24"/>
          <w:szCs w:val="24"/>
        </w:rPr>
        <w:t>, estendendo-se até o encerramento da etapa competitiva.</w:t>
      </w:r>
    </w:p>
    <w:p w14:paraId="0D48F2E8"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INTERVALO MÍNIMO</w:t>
      </w:r>
      <w:r w:rsidRPr="00AC1C56">
        <w:rPr>
          <w:rFonts w:ascii="Bookman Old Style" w:eastAsia="MS Mincho" w:hAnsi="Bookman Old Style" w:cstheme="minorHAnsi"/>
          <w:sz w:val="24"/>
          <w:szCs w:val="24"/>
        </w:rPr>
        <w:t>: 3 (três) dias</w:t>
      </w:r>
    </w:p>
    <w:p w14:paraId="429B7324"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sz w:val="24"/>
          <w:szCs w:val="24"/>
        </w:rPr>
        <w:t>VALOR MÁXIMO:</w:t>
      </w:r>
      <w:r w:rsidRPr="00AC1C56">
        <w:rPr>
          <w:rFonts w:ascii="Bookman Old Style" w:eastAsia="MS Mincho" w:hAnsi="Bookman Old Style" w:cstheme="minorHAnsi"/>
          <w:sz w:val="24"/>
          <w:szCs w:val="24"/>
        </w:rPr>
        <w:t xml:space="preserve"> R$ 62.565,11 (Sessenta e dois mil, quinhentos e sessenta e cinco reais e onze centavos).</w:t>
      </w:r>
    </w:p>
    <w:p w14:paraId="609D0325" w14:textId="58322BEC"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SESSÃO DE JULGAMENTO</w:t>
      </w:r>
      <w:r w:rsidRPr="00AC1C56">
        <w:rPr>
          <w:rFonts w:ascii="Bookman Old Style" w:eastAsia="MS Mincho" w:hAnsi="Bookman Old Style" w:cstheme="minorHAnsi"/>
          <w:sz w:val="24"/>
          <w:szCs w:val="24"/>
        </w:rPr>
        <w:t xml:space="preserve">: </w:t>
      </w:r>
      <w:r>
        <w:rPr>
          <w:rFonts w:ascii="Bookman Old Style" w:eastAsia="MS Mincho" w:hAnsi="Bookman Old Style" w:cstheme="minorHAnsi"/>
          <w:sz w:val="24"/>
          <w:szCs w:val="24"/>
        </w:rPr>
        <w:t>14</w:t>
      </w:r>
      <w:r w:rsidRPr="00AC1C56">
        <w:rPr>
          <w:rFonts w:ascii="Bookman Old Style" w:eastAsia="MS Mincho" w:hAnsi="Bookman Old Style" w:cstheme="minorHAnsi"/>
          <w:sz w:val="24"/>
          <w:szCs w:val="24"/>
        </w:rPr>
        <w:t>/10/2026 às 14h30min</w:t>
      </w:r>
    </w:p>
    <w:p w14:paraId="028E7ED5"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rPr>
          <w:rFonts w:ascii="Bookman Old Style" w:eastAsia="MS Mincho" w:hAnsi="Bookman Old Style" w:cstheme="minorHAnsi"/>
          <w:iCs/>
          <w:sz w:val="24"/>
          <w:szCs w:val="24"/>
        </w:rPr>
      </w:pPr>
      <w:r w:rsidRPr="00AC1C56">
        <w:rPr>
          <w:rFonts w:ascii="Bookman Old Style" w:eastAsia="MS Mincho" w:hAnsi="Bookman Old Style" w:cstheme="minorHAnsi"/>
          <w:b/>
          <w:bCs/>
          <w:iCs/>
          <w:sz w:val="24"/>
          <w:szCs w:val="24"/>
        </w:rPr>
        <w:t>ENDEREC</w:t>
      </w:r>
      <w:r w:rsidRPr="00AC1C56">
        <w:rPr>
          <w:rFonts w:ascii="Times New Roman" w:eastAsia="MS Mincho" w:hAnsi="Times New Roman" w:cs="Times New Roman"/>
          <w:b/>
          <w:bCs/>
          <w:iCs/>
          <w:sz w:val="24"/>
          <w:szCs w:val="24"/>
        </w:rPr>
        <w:t>̧</w:t>
      </w:r>
      <w:r w:rsidRPr="00AC1C56">
        <w:rPr>
          <w:rFonts w:ascii="Bookman Old Style" w:eastAsia="MS Mincho" w:hAnsi="Bookman Old Style" w:cstheme="minorHAnsi"/>
          <w:b/>
          <w:bCs/>
          <w:iCs/>
          <w:sz w:val="24"/>
          <w:szCs w:val="24"/>
        </w:rPr>
        <w:t>O ELETRO</w:t>
      </w:r>
      <w:r w:rsidRPr="00AC1C56">
        <w:rPr>
          <w:rFonts w:ascii="Times New Roman" w:eastAsia="MS Mincho" w:hAnsi="Times New Roman" w:cs="Times New Roman"/>
          <w:b/>
          <w:bCs/>
          <w:iCs/>
          <w:sz w:val="24"/>
          <w:szCs w:val="24"/>
        </w:rPr>
        <w:t>̂</w:t>
      </w:r>
      <w:r w:rsidRPr="00AC1C56">
        <w:rPr>
          <w:rFonts w:ascii="Bookman Old Style" w:eastAsia="MS Mincho" w:hAnsi="Bookman Old Style" w:cstheme="minorHAnsi"/>
          <w:b/>
          <w:bCs/>
          <w:iCs/>
          <w:sz w:val="24"/>
          <w:szCs w:val="24"/>
        </w:rPr>
        <w:t>NICO PARA ENVIO DAS PROPOSTAS E DOCUMENTAC</w:t>
      </w:r>
      <w:r w:rsidRPr="00AC1C56">
        <w:rPr>
          <w:rFonts w:ascii="Times New Roman" w:eastAsia="MS Mincho" w:hAnsi="Times New Roman" w:cs="Times New Roman"/>
          <w:b/>
          <w:bCs/>
          <w:iCs/>
          <w:sz w:val="24"/>
          <w:szCs w:val="24"/>
        </w:rPr>
        <w:t>̧</w:t>
      </w:r>
      <w:r w:rsidRPr="00AC1C56">
        <w:rPr>
          <w:rFonts w:ascii="Bookman Old Style" w:eastAsia="MS Mincho" w:hAnsi="Bookman Old Style" w:cstheme="minorHAnsi"/>
          <w:b/>
          <w:bCs/>
          <w:iCs/>
          <w:sz w:val="24"/>
          <w:szCs w:val="24"/>
        </w:rPr>
        <w:t>ÃO</w:t>
      </w:r>
      <w:r w:rsidRPr="00AC1C56">
        <w:rPr>
          <w:rFonts w:ascii="Bookman Old Style" w:eastAsia="MS Mincho" w:hAnsi="Bookman Old Style" w:cstheme="minorHAnsi"/>
          <w:iCs/>
          <w:sz w:val="24"/>
          <w:szCs w:val="24"/>
        </w:rPr>
        <w:t>:</w:t>
      </w:r>
    </w:p>
    <w:p w14:paraId="2FA4636F"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rPr>
          <w:rFonts w:ascii="Bookman Old Style" w:eastAsia="MS Mincho" w:hAnsi="Bookman Old Style" w:cstheme="minorHAnsi"/>
          <w:i/>
          <w:sz w:val="24"/>
          <w:szCs w:val="24"/>
        </w:rPr>
      </w:pPr>
      <w:r w:rsidRPr="00AC1C56">
        <w:rPr>
          <w:rFonts w:ascii="Bookman Old Style" w:eastAsia="MS Mincho" w:hAnsi="Bookman Old Style"/>
          <w:i/>
          <w:color w:val="0000FF"/>
          <w:sz w:val="24"/>
          <w:szCs w:val="24"/>
          <w:u w:val="single"/>
        </w:rPr>
        <w:t>licitacao@camaraterrarica.pr.gov.br</w:t>
      </w:r>
    </w:p>
    <w:p w14:paraId="508759B0"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C1C56">
        <w:rPr>
          <w:rFonts w:ascii="Bookman Old Style" w:eastAsia="MS Mincho" w:hAnsi="Bookman Old Style" w:cstheme="minorHAnsi"/>
          <w:b/>
          <w:bCs/>
          <w:iCs/>
          <w:sz w:val="24"/>
          <w:szCs w:val="24"/>
        </w:rPr>
        <w:t>LINK DO EDITAL</w:t>
      </w:r>
      <w:r w:rsidRPr="00AC1C56">
        <w:rPr>
          <w:rFonts w:ascii="Bookman Old Style" w:eastAsia="MS Mincho" w:hAnsi="Bookman Old Style" w:cstheme="minorHAnsi"/>
          <w:iCs/>
          <w:sz w:val="24"/>
          <w:szCs w:val="24"/>
        </w:rPr>
        <w:t xml:space="preserve">: Portal Transparência: </w:t>
      </w:r>
      <w:r w:rsidRPr="00AC1C56">
        <w:rPr>
          <w:rFonts w:ascii="Bookman Old Style" w:eastAsia="MS Mincho" w:hAnsi="Bookman Old Style"/>
          <w:i/>
          <w:color w:val="0000FF"/>
          <w:sz w:val="24"/>
          <w:szCs w:val="24"/>
          <w:u w:val="single"/>
        </w:rPr>
        <w:t>https://camaraterrarica.pr.gov.br/?pag=T0RZPU9EYz1PR009T1RrPU9EWT1PVEE9T1dFPQ==&amp;view=LIST-LICIT&amp;modalidade=&amp;sit=&amp;tipo_licita=&amp;situacao=&amp;ano=2026&amp;notid=&amp;notIn=&amp;tc=&amp;tcNot=&amp;sit=</w:t>
      </w:r>
    </w:p>
    <w:p w14:paraId="7388A6E7"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C1C56">
        <w:rPr>
          <w:rFonts w:ascii="Bookman Old Style" w:eastAsia="MS Mincho" w:hAnsi="Bookman Old Style" w:cstheme="minorHAnsi"/>
          <w:b/>
          <w:bCs/>
          <w:iCs/>
          <w:sz w:val="24"/>
          <w:szCs w:val="24"/>
        </w:rPr>
        <w:t>Exclusividade ME/EPP/EQUIPARADAS</w:t>
      </w:r>
      <w:r w:rsidRPr="00AC1C56">
        <w:rPr>
          <w:rFonts w:ascii="Bookman Old Style" w:eastAsia="MS Mincho" w:hAnsi="Bookman Old Style" w:cstheme="minorHAnsi"/>
          <w:iCs/>
          <w:sz w:val="24"/>
          <w:szCs w:val="24"/>
        </w:rPr>
        <w:t xml:space="preserve">: </w:t>
      </w:r>
      <w:sdt>
        <w:sdtPr>
          <w:rPr>
            <w:rFonts w:ascii="Bookman Old Style" w:eastAsia="SimSun" w:hAnsi="Bookman Old Style" w:cs="Arial"/>
            <w:color w:val="000000" w:themeColor="text1"/>
            <w:kern w:val="3"/>
            <w:sz w:val="24"/>
            <w:szCs w:val="24"/>
            <w:lang w:eastAsia="hi-IN" w:bidi="hi-IN"/>
          </w:rPr>
          <w:id w:val="-849106374"/>
          <w14:checkbox>
            <w14:checked w14:val="0"/>
            <w14:checkedState w14:val="2612" w14:font="MS Gothic"/>
            <w14:uncheckedState w14:val="2610" w14:font="MS Gothic"/>
          </w14:checkbox>
        </w:sdtPr>
        <w:sdtContent>
          <w:r w:rsidRPr="00AC1C56">
            <w:rPr>
              <w:rFonts w:ascii="Segoe UI Symbol" w:eastAsia="SimSun" w:hAnsi="Segoe UI Symbol" w:cs="Segoe UI Symbol"/>
              <w:color w:val="000000" w:themeColor="text1"/>
              <w:kern w:val="3"/>
              <w:sz w:val="24"/>
              <w:szCs w:val="24"/>
              <w:lang w:eastAsia="hi-IN" w:bidi="hi-IN"/>
            </w:rPr>
            <w:t>☐</w:t>
          </w:r>
        </w:sdtContent>
      </w:sdt>
      <w:r w:rsidRPr="00AC1C56">
        <w:rPr>
          <w:rFonts w:ascii="Bookman Old Style" w:eastAsia="MS Mincho" w:hAnsi="Bookman Old Style" w:cstheme="minorHAnsi"/>
          <w:iCs/>
          <w:sz w:val="24"/>
          <w:szCs w:val="24"/>
        </w:rPr>
        <w:t xml:space="preserve"> </w:t>
      </w:r>
      <w:proofErr w:type="gramStart"/>
      <w:r w:rsidRPr="00AC1C56">
        <w:rPr>
          <w:rFonts w:ascii="Bookman Old Style" w:eastAsia="MS Mincho" w:hAnsi="Bookman Old Style" w:cstheme="minorHAnsi"/>
          <w:iCs/>
          <w:sz w:val="24"/>
          <w:szCs w:val="24"/>
        </w:rPr>
        <w:t xml:space="preserve">Sim  </w:t>
      </w:r>
      <w:sdt>
        <w:sdtPr>
          <w:rPr>
            <w:rFonts w:ascii="Bookman Old Style" w:eastAsia="SimSun" w:hAnsi="Bookman Old Style" w:cs="Arial"/>
            <w:color w:val="000000" w:themeColor="text1"/>
            <w:kern w:val="3"/>
            <w:sz w:val="24"/>
            <w:szCs w:val="24"/>
            <w:lang w:eastAsia="hi-IN" w:bidi="hi-IN"/>
          </w:rPr>
          <w:id w:val="483819831"/>
          <w14:checkbox>
            <w14:checked w14:val="1"/>
            <w14:checkedState w14:val="2612" w14:font="MS Gothic"/>
            <w14:uncheckedState w14:val="2610" w14:font="MS Gothic"/>
          </w14:checkbox>
        </w:sdtPr>
        <w:sdtContent>
          <w:r w:rsidRPr="00AC1C56">
            <w:rPr>
              <w:rFonts w:ascii="Segoe UI Symbol" w:eastAsia="SimSun" w:hAnsi="Segoe UI Symbol" w:cs="Segoe UI Symbol"/>
              <w:color w:val="000000" w:themeColor="text1"/>
              <w:kern w:val="3"/>
              <w:sz w:val="24"/>
              <w:szCs w:val="24"/>
              <w:lang w:eastAsia="hi-IN" w:bidi="hi-IN"/>
            </w:rPr>
            <w:t>☒</w:t>
          </w:r>
          <w:proofErr w:type="gramEnd"/>
        </w:sdtContent>
      </w:sdt>
      <w:r w:rsidRPr="00AC1C56">
        <w:rPr>
          <w:rFonts w:ascii="Bookman Old Style" w:eastAsia="MS Mincho" w:hAnsi="Bookman Old Style" w:cstheme="minorHAnsi"/>
          <w:iCs/>
          <w:sz w:val="24"/>
          <w:szCs w:val="24"/>
        </w:rPr>
        <w:t xml:space="preserve"> Não</w:t>
      </w:r>
    </w:p>
    <w:p w14:paraId="5C77D052"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C1C56">
        <w:rPr>
          <w:rFonts w:ascii="Bookman Old Style" w:eastAsia="MS Mincho" w:hAnsi="Bookman Old Style" w:cstheme="minorHAnsi"/>
          <w:b/>
          <w:bCs/>
          <w:iCs/>
          <w:sz w:val="24"/>
          <w:szCs w:val="24"/>
        </w:rPr>
        <w:t>Margem de Preferência Local/Regional</w:t>
      </w:r>
      <w:r w:rsidRPr="00AC1C56">
        <w:rPr>
          <w:rFonts w:ascii="Bookman Old Style" w:eastAsia="MS Mincho" w:hAnsi="Bookman Old Style" w:cstheme="minorHAnsi"/>
          <w:iCs/>
          <w:sz w:val="24"/>
          <w:szCs w:val="24"/>
        </w:rPr>
        <w:t xml:space="preserve">: </w:t>
      </w:r>
      <w:sdt>
        <w:sdtPr>
          <w:rPr>
            <w:rFonts w:ascii="Bookman Old Style" w:eastAsia="SimSun" w:hAnsi="Bookman Old Style" w:cs="Arial"/>
            <w:color w:val="000000" w:themeColor="text1"/>
            <w:kern w:val="3"/>
            <w:sz w:val="24"/>
            <w:szCs w:val="24"/>
            <w:lang w:eastAsia="hi-IN" w:bidi="hi-IN"/>
          </w:rPr>
          <w:id w:val="1496833937"/>
          <w14:checkbox>
            <w14:checked w14:val="0"/>
            <w14:checkedState w14:val="2612" w14:font="MS Gothic"/>
            <w14:uncheckedState w14:val="2610" w14:font="MS Gothic"/>
          </w14:checkbox>
        </w:sdtPr>
        <w:sdtContent>
          <w:r w:rsidRPr="00AC1C56">
            <w:rPr>
              <w:rFonts w:ascii="Segoe UI Symbol" w:eastAsia="SimSun" w:hAnsi="Segoe UI Symbol" w:cs="Segoe UI Symbol"/>
              <w:color w:val="000000" w:themeColor="text1"/>
              <w:kern w:val="3"/>
              <w:sz w:val="24"/>
              <w:szCs w:val="24"/>
              <w:lang w:eastAsia="hi-IN" w:bidi="hi-IN"/>
            </w:rPr>
            <w:t>☐</w:t>
          </w:r>
        </w:sdtContent>
      </w:sdt>
      <w:r w:rsidRPr="00AC1C56">
        <w:rPr>
          <w:rFonts w:ascii="Bookman Old Style" w:eastAsia="MS Mincho" w:hAnsi="Bookman Old Style" w:cstheme="minorHAnsi"/>
          <w:iCs/>
          <w:sz w:val="24"/>
          <w:szCs w:val="24"/>
        </w:rPr>
        <w:t xml:space="preserve"> </w:t>
      </w:r>
      <w:proofErr w:type="gramStart"/>
      <w:r w:rsidRPr="00AC1C56">
        <w:rPr>
          <w:rFonts w:ascii="Bookman Old Style" w:eastAsia="MS Mincho" w:hAnsi="Bookman Old Style" w:cstheme="minorHAnsi"/>
          <w:iCs/>
          <w:sz w:val="24"/>
          <w:szCs w:val="24"/>
        </w:rPr>
        <w:t xml:space="preserve">Sim  </w:t>
      </w:r>
      <w:sdt>
        <w:sdtPr>
          <w:rPr>
            <w:rFonts w:ascii="Bookman Old Style" w:eastAsia="SimSun" w:hAnsi="Bookman Old Style" w:cs="Arial"/>
            <w:color w:val="000000" w:themeColor="text1"/>
            <w:kern w:val="3"/>
            <w:sz w:val="24"/>
            <w:szCs w:val="24"/>
            <w:lang w:eastAsia="hi-IN" w:bidi="hi-IN"/>
          </w:rPr>
          <w:id w:val="693201408"/>
          <w14:checkbox>
            <w14:checked w14:val="1"/>
            <w14:checkedState w14:val="2612" w14:font="MS Gothic"/>
            <w14:uncheckedState w14:val="2610" w14:font="MS Gothic"/>
          </w14:checkbox>
        </w:sdtPr>
        <w:sdtContent>
          <w:r w:rsidRPr="00AC1C56">
            <w:rPr>
              <w:rFonts w:ascii="Segoe UI Symbol" w:eastAsia="SimSun" w:hAnsi="Segoe UI Symbol" w:cs="Segoe UI Symbol"/>
              <w:color w:val="000000" w:themeColor="text1"/>
              <w:kern w:val="3"/>
              <w:sz w:val="24"/>
              <w:szCs w:val="24"/>
              <w:lang w:eastAsia="hi-IN" w:bidi="hi-IN"/>
            </w:rPr>
            <w:t>☒</w:t>
          </w:r>
          <w:proofErr w:type="gramEnd"/>
        </w:sdtContent>
      </w:sdt>
      <w:r w:rsidRPr="00AC1C56">
        <w:rPr>
          <w:rFonts w:ascii="Bookman Old Style" w:eastAsia="MS Mincho" w:hAnsi="Bookman Old Style" w:cstheme="minorHAnsi"/>
          <w:iCs/>
          <w:sz w:val="24"/>
          <w:szCs w:val="24"/>
        </w:rPr>
        <w:t xml:space="preserve"> Não</w:t>
      </w:r>
    </w:p>
    <w:p w14:paraId="7B7FC2E9" w14:textId="77777777" w:rsidR="00AC1C56" w:rsidRPr="00AC1C56" w:rsidRDefault="00AC1C56" w:rsidP="00AC1C56">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C1C56">
        <w:rPr>
          <w:rFonts w:ascii="Bookman Old Style" w:eastAsia="MS Mincho" w:hAnsi="Bookman Old Style" w:cstheme="minorHAnsi"/>
          <w:b/>
          <w:bCs/>
          <w:iCs/>
          <w:sz w:val="24"/>
          <w:szCs w:val="24"/>
        </w:rPr>
        <w:t>Horário de Referência</w:t>
      </w:r>
      <w:r w:rsidRPr="00AC1C56">
        <w:rPr>
          <w:rFonts w:ascii="Bookman Old Style" w:eastAsia="MS Mincho" w:hAnsi="Bookman Old Style" w:cstheme="minorHAnsi"/>
          <w:iCs/>
          <w:sz w:val="24"/>
          <w:szCs w:val="24"/>
        </w:rPr>
        <w:t>: Brasília-DF</w:t>
      </w:r>
    </w:p>
    <w:p w14:paraId="6F655EC6" w14:textId="77777777" w:rsidR="00AC1C56" w:rsidRPr="00AC1C56" w:rsidRDefault="00AC1C56" w:rsidP="00AC1C56">
      <w:pPr>
        <w:spacing w:before="120" w:after="120" w:line="240" w:lineRule="auto"/>
        <w:ind w:right="-425"/>
        <w:jc w:val="both"/>
        <w:textAlignment w:val="baseline"/>
        <w:rPr>
          <w:rFonts w:ascii="Bookman Old Style" w:eastAsia="WenQuanYi Micro Hei" w:hAnsi="Bookman Old Style" w:cstheme="minorHAnsi"/>
          <w:b/>
          <w:sz w:val="24"/>
          <w:szCs w:val="24"/>
          <w:lang w:eastAsia="zh-CN" w:bidi="hi-IN"/>
        </w:rPr>
      </w:pPr>
    </w:p>
    <w:p w14:paraId="1EF1D522" w14:textId="77777777" w:rsidR="00AC1C56" w:rsidRPr="00AC1C56" w:rsidRDefault="00AC1C56" w:rsidP="00AC1C56">
      <w:pPr>
        <w:numPr>
          <w:ilvl w:val="0"/>
          <w:numId w:val="1"/>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OBJETO DA CONTRATAÇÃO DIRETA</w:t>
      </w:r>
    </w:p>
    <w:p w14:paraId="3E8A2EED" w14:textId="77777777" w:rsidR="00AC1C56" w:rsidRPr="00AC1C56" w:rsidRDefault="00AC1C56" w:rsidP="00AC1C56">
      <w:pPr>
        <w:jc w:val="both"/>
        <w:rPr>
          <w:rFonts w:ascii="Bookman Old Style" w:eastAsia="MS Mincho" w:hAnsi="Bookman Old Style" w:cstheme="minorHAnsi"/>
          <w:sz w:val="24"/>
        </w:rPr>
      </w:pPr>
      <w:r w:rsidRPr="00AC1C56">
        <w:rPr>
          <w:rFonts w:ascii="Bookman Old Style" w:eastAsia="MS Mincho" w:hAnsi="Bookman Old Style" w:cstheme="minorHAnsi"/>
          <w:color w:val="000000" w:themeColor="text1"/>
          <w:sz w:val="24"/>
        </w:rPr>
        <w:t xml:space="preserve">1.1 O objeto da presente dispensa é a escolha da proposta mais vantajosa para a </w:t>
      </w:r>
      <w:r w:rsidRPr="00AC1C56">
        <w:rPr>
          <w:rFonts w:ascii="Bookman Old Style" w:eastAsia="MS Mincho" w:hAnsi="Bookman Old Style" w:cstheme="minorHAnsi"/>
          <w:sz w:val="24"/>
        </w:rPr>
        <w:t>contratação</w:t>
      </w:r>
      <w:r w:rsidRPr="00AC1C56">
        <w:rPr>
          <w:rFonts w:ascii="Bookman Old Style" w:eastAsia="MS Mincho" w:hAnsi="Bookman Old Style" w:cstheme="minorHAnsi"/>
          <w:color w:val="000000" w:themeColor="text1"/>
          <w:sz w:val="24"/>
        </w:rPr>
        <w:t xml:space="preserve"> por dispensa de licitação para</w:t>
      </w:r>
      <w:r w:rsidRPr="00AC1C56">
        <w:rPr>
          <w:rFonts w:ascii="Bookman Old Style" w:eastAsia="MS Mincho" w:hAnsi="Bookman Old Style" w:cstheme="minorHAnsi"/>
          <w:sz w:val="24"/>
        </w:rPr>
        <w:t xml:space="preserve"> </w:t>
      </w:r>
      <w:r w:rsidRPr="00AC1C56">
        <w:rPr>
          <w:rFonts w:ascii="Bookman Old Style" w:eastAsia="MS Mincho" w:hAnsi="Bookman Old Style"/>
          <w:b/>
          <w:sz w:val="24"/>
          <w:szCs w:val="24"/>
        </w:rPr>
        <w:t xml:space="preserve">Aquisição de equipamentos de informática, compreendendo notebooks, impressoras multifuncionais a laser </w:t>
      </w:r>
      <w:r w:rsidRPr="00AC1C56">
        <w:rPr>
          <w:rFonts w:ascii="Bookman Old Style" w:eastAsia="MS Mincho" w:hAnsi="Bookman Old Style"/>
          <w:b/>
          <w:sz w:val="24"/>
          <w:szCs w:val="24"/>
        </w:rPr>
        <w:lastRenderedPageBreak/>
        <w:t>monocromática, monitores, microcomputadores completos, suportes articulados de mesa para monitores e scanners de documentos com alimentador automático, bem como contratação de serviços de formatação e instalação de computadores, destinados ao atendimento das necessidades administrativas e institucionais da Câmara Municipal de Terra Rica, Estado do Paraná, incluindo, quando aplicável, fornecimento de acessórios, cabos, montagem, instalação, configuração, testes e demais procedimentos necessários à completa operacionalização dos equipamentos, conforme quantidades, condições e especificações técnicas mínimas constantes no Termo de Referência</w:t>
      </w:r>
      <w:r w:rsidRPr="00AC1C56">
        <w:rPr>
          <w:rFonts w:ascii="Bookman Old Style" w:eastAsia="MS Mincho" w:hAnsi="Bookman Old Style" w:cs="Calibri"/>
          <w:color w:val="000000"/>
          <w:sz w:val="24"/>
          <w:shd w:val="clear" w:color="auto" w:fill="FFFFFF"/>
        </w:rPr>
        <w:t xml:space="preserve">, </w:t>
      </w:r>
      <w:r w:rsidRPr="00AC1C56">
        <w:rPr>
          <w:rFonts w:ascii="Bookman Old Style" w:eastAsia="MS Mincho" w:hAnsi="Bookman Old Style" w:cstheme="minorHAnsi"/>
          <w:color w:val="000000" w:themeColor="text1"/>
          <w:sz w:val="24"/>
        </w:rPr>
        <w:t>conforme condições, quantidades e exigências estabelecidas neste Aviso de Contratação Direta e seus anexos.</w:t>
      </w:r>
    </w:p>
    <w:p w14:paraId="56370F11" w14:textId="77777777" w:rsidR="00AC1C56" w:rsidRPr="00AC1C56" w:rsidRDefault="00AC1C56" w:rsidP="00E15208">
      <w:pPr>
        <w:numPr>
          <w:ilvl w:val="1"/>
          <w:numId w:val="10"/>
        </w:numPr>
        <w:spacing w:before="120" w:after="120" w:line="240" w:lineRule="auto"/>
        <w:ind w:left="426" w:right="-425"/>
        <w:rPr>
          <w:rFonts w:ascii="Bookman Old Style" w:eastAsia="MS Mincho" w:hAnsi="Bookman Old Style" w:cstheme="minorHAnsi"/>
          <w:sz w:val="24"/>
        </w:rPr>
      </w:pPr>
      <w:r w:rsidRPr="00AC1C56">
        <w:rPr>
          <w:rFonts w:ascii="Bookman Old Style" w:eastAsia="MS Mincho" w:hAnsi="Bookman Old Style" w:cstheme="minorHAnsi"/>
          <w:i/>
          <w:iCs/>
          <w:sz w:val="24"/>
        </w:rPr>
        <w:t>A contratação será dividida em itens</w:t>
      </w:r>
      <w:r w:rsidRPr="00AC1C56">
        <w:rPr>
          <w:rFonts w:ascii="Bookman Old Style" w:eastAsia="MS Mincho" w:hAnsi="Bookman Old Style" w:cstheme="minorHAnsi"/>
          <w:bCs/>
          <w:i/>
          <w:iCs/>
          <w:sz w:val="24"/>
        </w:rPr>
        <w:t>,</w:t>
      </w:r>
      <w:r w:rsidRPr="00AC1C56">
        <w:rPr>
          <w:rFonts w:ascii="Bookman Old Style" w:eastAsia="MS Mincho" w:hAnsi="Bookman Old Style" w:cstheme="minorHAnsi"/>
          <w:i/>
          <w:iCs/>
          <w:sz w:val="24"/>
        </w:rPr>
        <w:t xml:space="preserve"> conforme tabela constante no Termo de Referência.</w:t>
      </w:r>
    </w:p>
    <w:p w14:paraId="1949D845" w14:textId="77777777" w:rsidR="00AC1C56" w:rsidRPr="00AC1C56" w:rsidRDefault="00AC1C56" w:rsidP="00AC1C56">
      <w:pPr>
        <w:numPr>
          <w:ilvl w:val="2"/>
          <w:numId w:val="1"/>
        </w:numPr>
        <w:spacing w:before="120" w:after="120" w:line="240" w:lineRule="auto"/>
        <w:ind w:left="1134" w:right="-425" w:firstLine="0"/>
        <w:jc w:val="both"/>
        <w:textAlignment w:val="baseline"/>
        <w:rPr>
          <w:rFonts w:ascii="Bookman Old Style" w:eastAsia="WenQuanYi Micro Hei" w:hAnsi="Bookman Old Style" w:cstheme="minorHAnsi"/>
          <w:sz w:val="24"/>
          <w:szCs w:val="24"/>
          <w:lang w:eastAsia="zh-CN" w:bidi="hi-IN"/>
        </w:rPr>
      </w:pPr>
      <w:r w:rsidRPr="00AC1C56">
        <w:rPr>
          <w:rFonts w:ascii="Bookman Old Style" w:eastAsia="WenQuanYi Micro Hei" w:hAnsi="Bookman Old Style" w:cstheme="minorHAnsi"/>
          <w:sz w:val="24"/>
          <w:szCs w:val="24"/>
          <w:lang w:eastAsia="zh-CN" w:bidi="hi-IN"/>
        </w:rPr>
        <w:t>Havendo mais de um item ou lote faculta-se ao fornecedor a participação em quantos forem de seu interesse. Entretanto, optando-se por participar de um lote, deve o fornecedor enviar proposta para todos os itens que o compõem.</w:t>
      </w:r>
    </w:p>
    <w:p w14:paraId="40FA816B" w14:textId="77777777" w:rsidR="00AC1C56" w:rsidRPr="00AC1C56" w:rsidRDefault="00AC1C56" w:rsidP="00AC1C56">
      <w:pPr>
        <w:numPr>
          <w:ilvl w:val="1"/>
          <w:numId w:val="1"/>
        </w:numPr>
        <w:spacing w:before="120" w:after="120" w:line="240" w:lineRule="auto"/>
        <w:ind w:left="0" w:right="-425" w:firstLine="0"/>
        <w:jc w:val="both"/>
        <w:textAlignment w:val="baseline"/>
        <w:rPr>
          <w:rFonts w:ascii="Bookman Old Style" w:eastAsia="WenQuanYi Micro Hei" w:hAnsi="Bookman Old Style" w:cstheme="minorHAnsi"/>
          <w:color w:val="000000" w:themeColor="text1"/>
          <w:sz w:val="24"/>
          <w:szCs w:val="24"/>
          <w:lang w:eastAsia="zh-CN" w:bidi="hi-IN"/>
        </w:rPr>
      </w:pPr>
      <w:r w:rsidRPr="00AC1C56">
        <w:rPr>
          <w:rFonts w:ascii="Bookman Old Style" w:eastAsia="WenQuanYi Micro Hei" w:hAnsi="Bookman Old Style" w:cstheme="minorHAnsi"/>
          <w:sz w:val="24"/>
          <w:szCs w:val="24"/>
          <w:lang w:eastAsia="zh-CN" w:bidi="hi-IN"/>
        </w:rPr>
        <w:t>O critério de julgamento adotado será o</w:t>
      </w:r>
      <w:r w:rsidRPr="00AC1C56">
        <w:rPr>
          <w:rFonts w:ascii="Bookman Old Style" w:eastAsia="WenQuanYi Micro Hei" w:hAnsi="Bookman Old Style" w:cstheme="minorHAnsi"/>
          <w:i/>
          <w:iCs/>
          <w:sz w:val="24"/>
          <w:szCs w:val="24"/>
          <w:lang w:eastAsia="zh-CN" w:bidi="hi-IN"/>
        </w:rPr>
        <w:t xml:space="preserve"> </w:t>
      </w:r>
      <w:r w:rsidRPr="00AC1C56">
        <w:rPr>
          <w:rFonts w:ascii="Bookman Old Style" w:eastAsia="WenQuanYi Micro Hei" w:hAnsi="Bookman Old Style" w:cstheme="minorHAnsi"/>
          <w:b/>
          <w:bCs/>
          <w:i/>
          <w:iCs/>
          <w:sz w:val="24"/>
          <w:szCs w:val="24"/>
          <w:lang w:eastAsia="zh-CN" w:bidi="hi-IN"/>
        </w:rPr>
        <w:t>menor preço por lote</w:t>
      </w:r>
      <w:r w:rsidRPr="00AC1C56">
        <w:rPr>
          <w:rFonts w:ascii="Bookman Old Style" w:eastAsia="WenQuanYi Micro Hei" w:hAnsi="Bookman Old Style" w:cstheme="minorHAnsi"/>
          <w:i/>
          <w:iCs/>
          <w:sz w:val="24"/>
          <w:szCs w:val="24"/>
          <w:lang w:eastAsia="zh-CN" w:bidi="hi-IN"/>
        </w:rPr>
        <w:t>,</w:t>
      </w:r>
      <w:r w:rsidRPr="00AC1C56">
        <w:rPr>
          <w:rFonts w:ascii="Bookman Old Style" w:eastAsia="WenQuanYi Micro Hei" w:hAnsi="Bookman Old Style" w:cstheme="minorHAnsi"/>
          <w:sz w:val="24"/>
          <w:szCs w:val="24"/>
          <w:lang w:eastAsia="zh-CN" w:bidi="hi-IN"/>
        </w:rPr>
        <w:t xml:space="preserve"> observadas as exigências contidas neste Aviso de Contratação Direta e seus Anexos quanto às especificações do objeto.</w:t>
      </w:r>
    </w:p>
    <w:p w14:paraId="6543C21B" w14:textId="77777777" w:rsidR="00AC1C56" w:rsidRPr="00AC1C56" w:rsidRDefault="00AC1C56" w:rsidP="00AC1C56">
      <w:pPr>
        <w:spacing w:before="120" w:after="120" w:line="240" w:lineRule="auto"/>
        <w:ind w:right="-425"/>
        <w:jc w:val="both"/>
        <w:textAlignment w:val="baseline"/>
        <w:rPr>
          <w:rFonts w:ascii="Bookman Old Style" w:eastAsia="WenQuanYi Micro Hei" w:hAnsi="Bookman Old Style" w:cstheme="minorHAnsi"/>
          <w:color w:val="000000" w:themeColor="text1"/>
          <w:sz w:val="24"/>
          <w:szCs w:val="24"/>
          <w:lang w:eastAsia="zh-CN" w:bidi="hi-IN"/>
        </w:rPr>
      </w:pPr>
    </w:p>
    <w:p w14:paraId="737A76A6" w14:textId="77777777" w:rsidR="00AC1C56" w:rsidRPr="00AC1C56" w:rsidRDefault="00AC1C56" w:rsidP="00AC1C56">
      <w:pPr>
        <w:numPr>
          <w:ilvl w:val="0"/>
          <w:numId w:val="1"/>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PARTICIPAÇÃO NA DISPENSA FÍSICA</w:t>
      </w:r>
    </w:p>
    <w:p w14:paraId="3C26AD46" w14:textId="77777777" w:rsidR="00AC1C56" w:rsidRPr="00AC1C56" w:rsidRDefault="00AC1C56" w:rsidP="00AC1C56">
      <w:pPr>
        <w:numPr>
          <w:ilvl w:val="1"/>
          <w:numId w:val="1"/>
        </w:numPr>
        <w:spacing w:before="120" w:after="120" w:line="240" w:lineRule="auto"/>
        <w:ind w:left="0" w:right="-425" w:firstLine="0"/>
        <w:jc w:val="both"/>
        <w:rPr>
          <w:rFonts w:ascii="Bookman Old Style" w:eastAsiaTheme="minorEastAsia" w:hAnsi="Bookman Old Style" w:cstheme="minorHAnsi"/>
          <w:color w:val="FF0000"/>
          <w:sz w:val="24"/>
          <w:szCs w:val="24"/>
          <w:lang w:eastAsia="pt-BR"/>
        </w:rPr>
      </w:pPr>
      <w:r w:rsidRPr="00AC1C56">
        <w:rPr>
          <w:rFonts w:ascii="Bookman Old Style" w:eastAsiaTheme="minorEastAsia" w:hAnsi="Bookman Old Style" w:cstheme="minorHAnsi"/>
          <w:bCs/>
          <w:color w:val="000000"/>
          <w:sz w:val="24"/>
          <w:szCs w:val="24"/>
          <w:lang w:eastAsia="pt-BR"/>
        </w:rPr>
        <w:t>Poderão participar desta Dispensa de Licitação interessados cujo ramo de atividade seja compatível com o objeto</w:t>
      </w:r>
      <w:r w:rsidRPr="00AC1C56">
        <w:rPr>
          <w:rFonts w:ascii="Bookman Old Style" w:eastAsiaTheme="minorEastAsia" w:hAnsi="Bookman Old Style" w:cstheme="minorHAnsi"/>
          <w:sz w:val="24"/>
          <w:szCs w:val="24"/>
          <w:lang w:eastAsia="pt-BR"/>
        </w:rPr>
        <w:t>, que atenderem a todas as exigências, inclusive quanto à documentação, constantes deste Aviso de Contratação Direta e seus Anexos.</w:t>
      </w:r>
    </w:p>
    <w:p w14:paraId="32D230B8" w14:textId="77777777" w:rsidR="00AC1C56" w:rsidRPr="00AC1C56" w:rsidRDefault="00AC1C56" w:rsidP="00AC1C56">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Como requisito para participação na dispensa, o fornecedor deverá manifestar o pleno conhecimento e atendimento às exigências de habilitação previstas neste Aviso.</w:t>
      </w:r>
    </w:p>
    <w:p w14:paraId="44A3D7F6" w14:textId="77777777" w:rsidR="00AC1C56" w:rsidRPr="00AC1C56" w:rsidRDefault="00AC1C56" w:rsidP="00AC1C56">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 xml:space="preserve">Eventuais dúvidas poderão ser esclarecidas através da Resolução n. 11/2023 que define o procedimento de Dispensa de Licitação no âmbito do Órgão Legislativo. </w:t>
      </w:r>
    </w:p>
    <w:p w14:paraId="5CA0DF64" w14:textId="77777777" w:rsidR="00AC1C56" w:rsidRPr="00AC1C56" w:rsidRDefault="00AC1C56" w:rsidP="00AC1C56">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Será concedido tratamento diferenciado e simplificado para as microempresas e empresas de pequeno porte, observadas as disposições constantes do art. 4º, caput, da Lei nº 14.133/21, de acordo com o objeto da contratação da presente Dispensa.</w:t>
      </w:r>
    </w:p>
    <w:p w14:paraId="22A6F62B" w14:textId="77777777" w:rsidR="00AC1C56" w:rsidRPr="00AC1C56" w:rsidRDefault="00AC1C56" w:rsidP="00AC1C56">
      <w:pPr>
        <w:numPr>
          <w:ilvl w:val="1"/>
          <w:numId w:val="1"/>
        </w:numPr>
        <w:spacing w:before="120" w:after="120" w:line="240" w:lineRule="auto"/>
        <w:ind w:left="0" w:right="-425" w:firstLine="0"/>
        <w:jc w:val="both"/>
        <w:rPr>
          <w:rFonts w:ascii="Bookman Old Style" w:eastAsia="MS Mincho" w:hAnsi="Bookman Old Style" w:cstheme="minorHAnsi"/>
          <w:color w:val="000000" w:themeColor="text1"/>
          <w:sz w:val="24"/>
          <w:szCs w:val="24"/>
        </w:rPr>
      </w:pPr>
      <w:r w:rsidRPr="00AC1C56">
        <w:rPr>
          <w:rFonts w:ascii="Bookman Old Style" w:eastAsia="MS Mincho" w:hAnsi="Bookman Old Style" w:cstheme="minorHAnsi"/>
          <w:color w:val="000000" w:themeColor="text1"/>
          <w:sz w:val="24"/>
          <w:szCs w:val="24"/>
        </w:rPr>
        <w:t>Não poderão participar desta dispensa os fornecedores:</w:t>
      </w:r>
    </w:p>
    <w:p w14:paraId="7A3E863E"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que</w:t>
      </w:r>
      <w:proofErr w:type="gramEnd"/>
      <w:r w:rsidRPr="00AC1C56">
        <w:rPr>
          <w:rFonts w:ascii="Bookman Old Style" w:eastAsia="MS Mincho" w:hAnsi="Bookman Old Style" w:cstheme="minorHAnsi"/>
          <w:color w:val="000000" w:themeColor="text1"/>
          <w:sz w:val="24"/>
          <w:szCs w:val="24"/>
        </w:rPr>
        <w:t xml:space="preserve"> não atendam às condições deste Aviso de Contratação Direta e seu(s) anexo(s);</w:t>
      </w:r>
    </w:p>
    <w:p w14:paraId="4BB0E252"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estrangeiros</w:t>
      </w:r>
      <w:proofErr w:type="gramEnd"/>
      <w:r w:rsidRPr="00AC1C56">
        <w:rPr>
          <w:rFonts w:ascii="Bookman Old Style" w:eastAsia="MS Mincho" w:hAnsi="Bookman Old Style" w:cstheme="minorHAnsi"/>
          <w:color w:val="000000" w:themeColor="text1"/>
          <w:sz w:val="24"/>
          <w:szCs w:val="24"/>
        </w:rPr>
        <w:t xml:space="preserve"> que não tenham representação legal no Brasil com poderes expressos para receber citação e responder administrativa ou judicialmente;</w:t>
      </w:r>
    </w:p>
    <w:p w14:paraId="5BE74FE9"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que</w:t>
      </w:r>
      <w:proofErr w:type="gramEnd"/>
      <w:r w:rsidRPr="00AC1C56">
        <w:rPr>
          <w:rFonts w:ascii="Bookman Old Style" w:eastAsia="MS Mincho" w:hAnsi="Bookman Old Style" w:cstheme="minorHAnsi"/>
          <w:color w:val="000000" w:themeColor="text1"/>
          <w:sz w:val="24"/>
          <w:szCs w:val="24"/>
        </w:rPr>
        <w:t xml:space="preserve"> se enquadrem nas seguintes vedações:</w:t>
      </w:r>
    </w:p>
    <w:p w14:paraId="53F17B9B"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lastRenderedPageBreak/>
        <w:t>autor</w:t>
      </w:r>
      <w:proofErr w:type="gramEnd"/>
      <w:r w:rsidRPr="00AC1C56">
        <w:rPr>
          <w:rFonts w:ascii="Bookman Old Style" w:eastAsia="MS Mincho" w:hAnsi="Bookman Old Style" w:cstheme="minorHAnsi"/>
          <w:color w:val="000000"/>
          <w:sz w:val="24"/>
          <w:szCs w:val="24"/>
        </w:rPr>
        <w:t xml:space="preserve"> do anteprojeto, do projeto básico ou do projeto executivo, pessoa física ou jurídica, quando a contratação versar sobre obra, serviços ou fornecimento de bens a ele relacionados;</w:t>
      </w:r>
    </w:p>
    <w:p w14:paraId="721FBA9A"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empresa</w:t>
      </w:r>
      <w:proofErr w:type="gramEnd"/>
      <w:r w:rsidRPr="00AC1C56">
        <w:rPr>
          <w:rFonts w:ascii="Bookman Old Style" w:eastAsia="MS Mincho" w:hAnsi="Bookman Old Style" w:cstheme="minorHAnsi"/>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646A938"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pessoa</w:t>
      </w:r>
      <w:proofErr w:type="gramEnd"/>
      <w:r w:rsidRPr="00AC1C56">
        <w:rPr>
          <w:rFonts w:ascii="Bookman Old Style" w:eastAsia="MS Mincho" w:hAnsi="Bookman Old Style" w:cstheme="minorHAnsi"/>
          <w:color w:val="000000"/>
          <w:sz w:val="24"/>
          <w:szCs w:val="24"/>
        </w:rPr>
        <w:t xml:space="preserve"> física ou jurídica que se encontre, ao tempo da contratação, impossibilitada de contratar em decorrência de sanção que lhe foi imposta;</w:t>
      </w:r>
    </w:p>
    <w:p w14:paraId="1FD6AC2D"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aquele</w:t>
      </w:r>
      <w:proofErr w:type="gramEnd"/>
      <w:r w:rsidRPr="00AC1C56">
        <w:rPr>
          <w:rFonts w:ascii="Bookman Old Style" w:eastAsia="MS Mincho" w:hAnsi="Bookman Old Style" w:cstheme="minorHAnsi"/>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98043B"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empresas</w:t>
      </w:r>
      <w:proofErr w:type="gramEnd"/>
      <w:r w:rsidRPr="00AC1C56">
        <w:rPr>
          <w:rFonts w:ascii="Bookman Old Style" w:eastAsia="MS Mincho" w:hAnsi="Bookman Old Style" w:cstheme="minorHAnsi"/>
          <w:color w:val="000000"/>
          <w:sz w:val="24"/>
          <w:szCs w:val="24"/>
        </w:rPr>
        <w:t xml:space="preserve"> controladoras, controladas ou coligadas, nos termos da </w:t>
      </w:r>
      <w:hyperlink r:id="rId7" w:history="1">
        <w:r w:rsidRPr="00AC1C56">
          <w:rPr>
            <w:rFonts w:ascii="Bookman Old Style" w:eastAsia="Calibri" w:hAnsi="Bookman Old Style" w:cstheme="minorHAnsi"/>
            <w:color w:val="0000FF"/>
            <w:sz w:val="24"/>
            <w:szCs w:val="24"/>
            <w:u w:val="single"/>
          </w:rPr>
          <w:t>Lei nº 6.404, de 15 de dezembro de 1976</w:t>
        </w:r>
      </w:hyperlink>
      <w:r w:rsidRPr="00AC1C56">
        <w:rPr>
          <w:rFonts w:ascii="Bookman Old Style" w:eastAsia="MS Mincho" w:hAnsi="Bookman Old Style" w:cstheme="minorHAnsi"/>
          <w:color w:val="000000"/>
          <w:sz w:val="24"/>
          <w:szCs w:val="24"/>
        </w:rPr>
        <w:t>, concorrendo entre si;</w:t>
      </w:r>
    </w:p>
    <w:p w14:paraId="27E702A8" w14:textId="77777777" w:rsidR="00AC1C56" w:rsidRPr="00AC1C56" w:rsidRDefault="00AC1C56" w:rsidP="00AC1C56">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pessoa</w:t>
      </w:r>
      <w:proofErr w:type="gramEnd"/>
      <w:r w:rsidRPr="00AC1C56">
        <w:rPr>
          <w:rFonts w:ascii="Bookman Old Style" w:eastAsia="MS Mincho" w:hAnsi="Bookman Old Style" w:cstheme="minorHAnsi"/>
          <w:color w:val="000000"/>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45DBBD9" w14:textId="77777777" w:rsidR="00AC1C56" w:rsidRPr="00AC1C56" w:rsidRDefault="00AC1C56" w:rsidP="00AC1C56">
      <w:pPr>
        <w:numPr>
          <w:ilvl w:val="3"/>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sz w:val="24"/>
          <w:szCs w:val="24"/>
        </w:rPr>
        <w:t>aplica</w:t>
      </w:r>
      <w:proofErr w:type="gramEnd"/>
      <w:r w:rsidRPr="00AC1C56">
        <w:rPr>
          <w:rFonts w:ascii="Bookman Old Style" w:eastAsia="MS Mincho" w:hAnsi="Bookman Old Style" w:cstheme="minorHAnsi"/>
          <w:color w:val="000000"/>
          <w:sz w:val="24"/>
          <w:szCs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AFC6558"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bookmarkStart w:id="1" w:name="_Hlk125638637"/>
      <w:proofErr w:type="gramStart"/>
      <w:r w:rsidRPr="00AC1C56">
        <w:rPr>
          <w:rFonts w:ascii="Bookman Old Style" w:eastAsia="MS Mincho" w:hAnsi="Bookman Old Style" w:cstheme="minorHAnsi"/>
          <w:color w:val="000000"/>
          <w:sz w:val="24"/>
          <w:szCs w:val="24"/>
        </w:rPr>
        <w:t>organizações</w:t>
      </w:r>
      <w:proofErr w:type="gramEnd"/>
      <w:r w:rsidRPr="00AC1C56">
        <w:rPr>
          <w:rFonts w:ascii="Bookman Old Style" w:eastAsia="MS Mincho" w:hAnsi="Bookman Old Style" w:cstheme="minorHAnsi"/>
          <w:color w:val="000000"/>
          <w:sz w:val="24"/>
          <w:szCs w:val="24"/>
        </w:rPr>
        <w:t xml:space="preserve"> da Sociedade Civil de Interesse Público - OSCIP, atuando nessa condição (Acórdão nº 746/2014-TCU-Plenário);</w:t>
      </w:r>
    </w:p>
    <w:p w14:paraId="3FC8E84A"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empresa</w:t>
      </w:r>
      <w:proofErr w:type="gramEnd"/>
      <w:r w:rsidRPr="00AC1C56">
        <w:rPr>
          <w:rFonts w:ascii="Bookman Old Style" w:eastAsia="MS Mincho" w:hAnsi="Bookman Old Style" w:cstheme="minorHAnsi"/>
          <w:color w:val="000000" w:themeColor="text1"/>
          <w:sz w:val="24"/>
          <w:szCs w:val="24"/>
        </w:rPr>
        <w:t xml:space="preserve"> declarada inidônea por qualquer Órgão da Administração Pública direta ou indireta, Federal, Estadual, Municipal ou do Distrito Federal;</w:t>
      </w:r>
    </w:p>
    <w:p w14:paraId="19843A86"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empresa</w:t>
      </w:r>
      <w:proofErr w:type="gramEnd"/>
      <w:r w:rsidRPr="00AC1C56">
        <w:rPr>
          <w:rFonts w:ascii="Bookman Old Style" w:eastAsia="MS Mincho" w:hAnsi="Bookman Old Style" w:cstheme="minorHAnsi"/>
          <w:color w:val="000000" w:themeColor="text1"/>
          <w:sz w:val="24"/>
          <w:szCs w:val="24"/>
        </w:rPr>
        <w:t xml:space="preserve"> suspensa ou impedida de licitar ou contratar com a Administração Pública no âmbito do Estado do Paraná;</w:t>
      </w:r>
    </w:p>
    <w:p w14:paraId="00C5DFC7" w14:textId="77777777" w:rsidR="00AC1C56" w:rsidRPr="00AC1C56" w:rsidRDefault="00AC1C56" w:rsidP="00AC1C56">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C1C56">
        <w:rPr>
          <w:rFonts w:ascii="Bookman Old Style" w:eastAsia="MS Mincho" w:hAnsi="Bookman Old Style" w:cstheme="minorHAnsi"/>
          <w:color w:val="000000" w:themeColor="text1"/>
          <w:sz w:val="24"/>
          <w:szCs w:val="24"/>
        </w:rPr>
        <w:t>empresas</w:t>
      </w:r>
      <w:proofErr w:type="gramEnd"/>
      <w:r w:rsidRPr="00AC1C56">
        <w:rPr>
          <w:rFonts w:ascii="Bookman Old Style" w:eastAsia="MS Mincho" w:hAnsi="Bookman Old Style" w:cstheme="minorHAnsi"/>
          <w:color w:val="000000" w:themeColor="text1"/>
          <w:sz w:val="24"/>
          <w:szCs w:val="24"/>
        </w:rPr>
        <w:t xml:space="preserve"> impedidas de licitar ou contratar com o Município de Terra Rica/PR.</w:t>
      </w:r>
    </w:p>
    <w:p w14:paraId="42269881" w14:textId="77777777" w:rsidR="00AC1C56" w:rsidRPr="00AC1C56" w:rsidRDefault="00AC1C56" w:rsidP="00AC1C56">
      <w:pPr>
        <w:spacing w:before="120" w:after="120" w:line="240" w:lineRule="auto"/>
        <w:ind w:right="-425"/>
        <w:jc w:val="both"/>
        <w:rPr>
          <w:rFonts w:ascii="Bookman Old Style" w:eastAsia="MS Mincho" w:hAnsi="Bookman Old Style" w:cstheme="minorHAnsi"/>
          <w:color w:val="000000" w:themeColor="text1"/>
          <w:sz w:val="24"/>
          <w:szCs w:val="24"/>
        </w:rPr>
      </w:pPr>
      <w:r w:rsidRPr="00AC1C56">
        <w:rPr>
          <w:rFonts w:ascii="Bookman Old Style" w:eastAsia="MS Mincho" w:hAnsi="Bookman Old Style" w:cstheme="minorHAnsi"/>
          <w:color w:val="000000" w:themeColor="text1"/>
          <w:sz w:val="24"/>
          <w:szCs w:val="24"/>
        </w:rPr>
        <w:t>2.6.</w:t>
      </w:r>
      <w:r w:rsidRPr="00AC1C56">
        <w:rPr>
          <w:rFonts w:ascii="Bookman Old Style" w:eastAsia="MS Mincho" w:hAnsi="Bookman Old Style" w:cstheme="minorHAnsi"/>
          <w:color w:val="000000" w:themeColor="text1"/>
          <w:sz w:val="24"/>
          <w:szCs w:val="24"/>
        </w:rPr>
        <w:tab/>
        <w:t xml:space="preserve">Em conformidade com o Art. 9º da Lei nº 14.133/2021 e o entendimento consolidado pelo Tribunal de Contas do Estado do Paraná (TCE-PR), ficam impedidas de participar desta licitação empresas cujos dirigentes, administradores, sócios ou representantes legais possuam vínculo de parentesco até o terceiro grau com agentes públicos que exerçam cargo de direção, chefia ou assessoramento, nas esferas municipal, </w:t>
      </w:r>
      <w:r w:rsidRPr="00AC1C56">
        <w:rPr>
          <w:rFonts w:ascii="Bookman Old Style" w:eastAsia="MS Mincho" w:hAnsi="Bookman Old Style" w:cstheme="minorHAnsi"/>
          <w:color w:val="000000" w:themeColor="text1"/>
          <w:sz w:val="24"/>
          <w:szCs w:val="24"/>
        </w:rPr>
        <w:lastRenderedPageBreak/>
        <w:t>autárquica ou fundacional, incluindo Prefeitura, Câmara, autarquias, fundações e empresas públicas municipais.</w:t>
      </w:r>
    </w:p>
    <w:p w14:paraId="5DB56414" w14:textId="77777777" w:rsidR="00AC1C56" w:rsidRPr="00AC1C56" w:rsidRDefault="00AC1C56" w:rsidP="00AC1C56">
      <w:pPr>
        <w:spacing w:before="120" w:after="120" w:line="240" w:lineRule="auto"/>
        <w:ind w:left="1134" w:right="-425"/>
        <w:jc w:val="both"/>
        <w:rPr>
          <w:rFonts w:ascii="Bookman Old Style" w:eastAsia="MS Mincho" w:hAnsi="Bookman Old Style" w:cstheme="minorHAnsi"/>
          <w:color w:val="000000" w:themeColor="text1"/>
          <w:sz w:val="24"/>
          <w:szCs w:val="24"/>
        </w:rPr>
      </w:pPr>
      <w:r w:rsidRPr="00AC1C56">
        <w:rPr>
          <w:rFonts w:ascii="Bookman Old Style" w:eastAsia="MS Mincho" w:hAnsi="Bookman Old Style" w:cstheme="minorHAnsi"/>
          <w:color w:val="000000" w:themeColor="text1"/>
          <w:sz w:val="24"/>
          <w:szCs w:val="24"/>
        </w:rPr>
        <w:t>2.6.1.</w:t>
      </w:r>
      <w:r w:rsidRPr="00AC1C56">
        <w:rPr>
          <w:rFonts w:ascii="Bookman Old Style" w:eastAsia="MS Mincho" w:hAnsi="Bookman Old Style" w:cstheme="minorHAnsi"/>
          <w:color w:val="000000" w:themeColor="text1"/>
          <w:sz w:val="24"/>
          <w:szCs w:val="24"/>
        </w:rPr>
        <w:tab/>
        <w:t xml:space="preserve">Para fins desta cláusula, considera-se dirigente: Prefeito, Vice Prefeito, Presidente de Câmara, Diretor, membro da Mesa Diretora, </w:t>
      </w:r>
      <w:proofErr w:type="gramStart"/>
      <w:r w:rsidRPr="00AC1C56">
        <w:rPr>
          <w:rFonts w:ascii="Bookman Old Style" w:eastAsia="MS Mincho" w:hAnsi="Bookman Old Style" w:cstheme="minorHAnsi"/>
          <w:color w:val="000000" w:themeColor="text1"/>
          <w:sz w:val="24"/>
          <w:szCs w:val="24"/>
        </w:rPr>
        <w:t>Secretário(</w:t>
      </w:r>
      <w:proofErr w:type="gramEnd"/>
      <w:r w:rsidRPr="00AC1C56">
        <w:rPr>
          <w:rFonts w:ascii="Bookman Old Style" w:eastAsia="MS Mincho" w:hAnsi="Bookman Old Style" w:cstheme="minorHAnsi"/>
          <w:color w:val="000000" w:themeColor="text1"/>
          <w:sz w:val="24"/>
          <w:szCs w:val="24"/>
        </w:rPr>
        <w:t>a) Municipal, Gerente, Chefe de Setor, responsável por unidade administrativa ou qualquer função que implique poder de decisão sobre a licitação ou contrato.</w:t>
      </w:r>
    </w:p>
    <w:tbl>
      <w:tblPr>
        <w:tblStyle w:val="Tabelacomgrade1"/>
        <w:tblW w:w="0" w:type="auto"/>
        <w:jc w:val="center"/>
        <w:tblLook w:val="04A0" w:firstRow="1" w:lastRow="0" w:firstColumn="1" w:lastColumn="0" w:noHBand="0" w:noVBand="1"/>
      </w:tblPr>
      <w:tblGrid>
        <w:gridCol w:w="3063"/>
        <w:gridCol w:w="2831"/>
        <w:gridCol w:w="2832"/>
      </w:tblGrid>
      <w:tr w:rsidR="00AC1C56" w:rsidRPr="00AC1C56" w14:paraId="6878663D" w14:textId="77777777" w:rsidTr="00384905">
        <w:trPr>
          <w:jc w:val="center"/>
        </w:trPr>
        <w:tc>
          <w:tcPr>
            <w:tcW w:w="8494" w:type="dxa"/>
            <w:gridSpan w:val="3"/>
          </w:tcPr>
          <w:p w14:paraId="12CD490E" w14:textId="77777777" w:rsidR="00AC1C56" w:rsidRPr="00AC1C56" w:rsidRDefault="00AC1C56" w:rsidP="00AC1C56">
            <w:pPr>
              <w:spacing w:after="0" w:line="240" w:lineRule="auto"/>
              <w:jc w:val="center"/>
              <w:rPr>
                <w:rFonts w:ascii="Bookman Old Style" w:hAnsi="Bookman Old Style" w:cstheme="minorHAnsi"/>
                <w:b/>
                <w:color w:val="000000" w:themeColor="text1"/>
                <w:sz w:val="24"/>
                <w:szCs w:val="24"/>
              </w:rPr>
            </w:pPr>
            <w:r w:rsidRPr="00AC1C56">
              <w:rPr>
                <w:rFonts w:ascii="Bookman Old Style" w:hAnsi="Bookman Old Style" w:cstheme="minorHAnsi"/>
                <w:b/>
                <w:color w:val="000000" w:themeColor="text1"/>
                <w:sz w:val="24"/>
                <w:szCs w:val="24"/>
              </w:rPr>
              <w:t>TABELA DE DIRIGENTES E VÍNCULOS</w:t>
            </w:r>
          </w:p>
        </w:tc>
      </w:tr>
      <w:tr w:rsidR="00AC1C56" w:rsidRPr="00AC1C56" w14:paraId="72CAE6F9" w14:textId="77777777" w:rsidTr="00384905">
        <w:trPr>
          <w:jc w:val="center"/>
        </w:trPr>
        <w:tc>
          <w:tcPr>
            <w:tcW w:w="2831" w:type="dxa"/>
          </w:tcPr>
          <w:p w14:paraId="6DF72F4A" w14:textId="77777777" w:rsidR="00AC1C56" w:rsidRPr="00AC1C56" w:rsidRDefault="00AC1C56" w:rsidP="00AC1C56">
            <w:pPr>
              <w:spacing w:after="0" w:line="240" w:lineRule="auto"/>
              <w:jc w:val="center"/>
              <w:rPr>
                <w:rFonts w:ascii="Bookman Old Style" w:hAnsi="Bookman Old Style" w:cstheme="minorHAnsi"/>
                <w:b/>
                <w:color w:val="000000" w:themeColor="text1"/>
                <w:sz w:val="24"/>
                <w:szCs w:val="24"/>
              </w:rPr>
            </w:pPr>
            <w:r w:rsidRPr="00AC1C56">
              <w:rPr>
                <w:rFonts w:ascii="Bookman Old Style" w:hAnsi="Bookman Old Style" w:cstheme="minorHAnsi"/>
                <w:b/>
                <w:color w:val="000000" w:themeColor="text1"/>
                <w:sz w:val="24"/>
                <w:szCs w:val="24"/>
              </w:rPr>
              <w:t>CARGO / FUNÇÃO NO ÓRGÃO</w:t>
            </w:r>
          </w:p>
        </w:tc>
        <w:tc>
          <w:tcPr>
            <w:tcW w:w="2831" w:type="dxa"/>
          </w:tcPr>
          <w:p w14:paraId="3EDE10C2" w14:textId="77777777" w:rsidR="00AC1C56" w:rsidRPr="00AC1C56" w:rsidRDefault="00AC1C56" w:rsidP="00AC1C56">
            <w:pPr>
              <w:spacing w:after="0" w:line="240" w:lineRule="auto"/>
              <w:jc w:val="center"/>
              <w:rPr>
                <w:rFonts w:ascii="Bookman Old Style" w:hAnsi="Bookman Old Style" w:cstheme="minorHAnsi"/>
                <w:b/>
                <w:color w:val="000000" w:themeColor="text1"/>
                <w:sz w:val="24"/>
                <w:szCs w:val="24"/>
              </w:rPr>
            </w:pPr>
            <w:r w:rsidRPr="00AC1C56">
              <w:rPr>
                <w:rFonts w:ascii="Bookman Old Style" w:hAnsi="Bookman Old Style" w:cstheme="minorHAnsi"/>
                <w:b/>
                <w:color w:val="000000" w:themeColor="text1"/>
                <w:sz w:val="24"/>
                <w:szCs w:val="24"/>
              </w:rPr>
              <w:t>ABRANGÊNCIA DE PARENTESCO</w:t>
            </w:r>
          </w:p>
        </w:tc>
        <w:tc>
          <w:tcPr>
            <w:tcW w:w="2832" w:type="dxa"/>
          </w:tcPr>
          <w:p w14:paraId="6835CB73" w14:textId="77777777" w:rsidR="00AC1C56" w:rsidRPr="00AC1C56" w:rsidRDefault="00AC1C56" w:rsidP="00AC1C56">
            <w:pPr>
              <w:spacing w:after="0" w:line="240" w:lineRule="auto"/>
              <w:jc w:val="center"/>
              <w:rPr>
                <w:rFonts w:ascii="Bookman Old Style" w:hAnsi="Bookman Old Style" w:cstheme="minorHAnsi"/>
                <w:b/>
                <w:color w:val="000000" w:themeColor="text1"/>
                <w:sz w:val="24"/>
                <w:szCs w:val="24"/>
              </w:rPr>
            </w:pPr>
            <w:r w:rsidRPr="00AC1C56">
              <w:rPr>
                <w:rFonts w:ascii="Bookman Old Style" w:hAnsi="Bookman Old Style" w:cstheme="minorHAnsi"/>
                <w:b/>
                <w:color w:val="000000" w:themeColor="text1"/>
                <w:sz w:val="24"/>
                <w:szCs w:val="24"/>
              </w:rPr>
              <w:t>IMPLICAÇÃO PARA LICITANTE</w:t>
            </w:r>
          </w:p>
        </w:tc>
      </w:tr>
      <w:tr w:rsidR="00AC1C56" w:rsidRPr="00AC1C56" w14:paraId="6C6EDCEE" w14:textId="77777777" w:rsidTr="00384905">
        <w:trPr>
          <w:jc w:val="center"/>
        </w:trPr>
        <w:tc>
          <w:tcPr>
            <w:tcW w:w="2831" w:type="dxa"/>
            <w:vAlign w:val="center"/>
          </w:tcPr>
          <w:p w14:paraId="6D0BC362"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proofErr w:type="gramStart"/>
            <w:r w:rsidRPr="00AC1C56">
              <w:rPr>
                <w:rFonts w:ascii="Bookman Old Style" w:hAnsi="Bookman Old Style" w:cstheme="minorHAnsi"/>
                <w:color w:val="000000" w:themeColor="text1"/>
                <w:sz w:val="24"/>
                <w:szCs w:val="24"/>
              </w:rPr>
              <w:t>PREFEITO, PRESIDENTE DE CÂMARA,</w:t>
            </w:r>
            <w:proofErr w:type="gramEnd"/>
            <w:r w:rsidRPr="00AC1C56">
              <w:rPr>
                <w:rFonts w:ascii="Bookman Old Style" w:hAnsi="Bookman Old Style" w:cstheme="minorHAnsi"/>
                <w:color w:val="000000" w:themeColor="text1"/>
                <w:sz w:val="24"/>
                <w:szCs w:val="24"/>
              </w:rPr>
              <w:t xml:space="preserve"> DIRETOR, MESA DIRETORA</w:t>
            </w:r>
          </w:p>
        </w:tc>
        <w:tc>
          <w:tcPr>
            <w:tcW w:w="2831" w:type="dxa"/>
            <w:vAlign w:val="center"/>
          </w:tcPr>
          <w:p w14:paraId="77537A36"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 xml:space="preserve">CÔNJUGE, </w:t>
            </w:r>
            <w:proofErr w:type="gramStart"/>
            <w:r w:rsidRPr="00AC1C56">
              <w:rPr>
                <w:rFonts w:ascii="Bookman Old Style" w:hAnsi="Bookman Old Style" w:cstheme="minorHAnsi"/>
                <w:color w:val="000000" w:themeColor="text1"/>
                <w:sz w:val="24"/>
                <w:szCs w:val="24"/>
              </w:rPr>
              <w:t>COMPANHEIRO(</w:t>
            </w:r>
            <w:proofErr w:type="gramEnd"/>
            <w:r w:rsidRPr="00AC1C56">
              <w:rPr>
                <w:rFonts w:ascii="Bookman Old Style" w:hAnsi="Bookman Old Style" w:cstheme="minorHAnsi"/>
                <w:color w:val="000000" w:themeColor="text1"/>
                <w:sz w:val="24"/>
                <w:szCs w:val="24"/>
              </w:rPr>
              <w:t>A), PAIS, FILHOS, IRMÃOS, AVÓS, NETOS, TIOS, SOBRINHOS</w:t>
            </w:r>
          </w:p>
        </w:tc>
        <w:tc>
          <w:tcPr>
            <w:tcW w:w="2832" w:type="dxa"/>
            <w:vAlign w:val="center"/>
          </w:tcPr>
          <w:p w14:paraId="5884744F"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IMPEDE PARTICIPAÇÃO DIRETA OU INDIRETA</w:t>
            </w:r>
          </w:p>
        </w:tc>
      </w:tr>
      <w:tr w:rsidR="00AC1C56" w:rsidRPr="00AC1C56" w14:paraId="47814657" w14:textId="77777777" w:rsidTr="00384905">
        <w:trPr>
          <w:jc w:val="center"/>
        </w:trPr>
        <w:tc>
          <w:tcPr>
            <w:tcW w:w="2831" w:type="dxa"/>
            <w:vAlign w:val="center"/>
          </w:tcPr>
          <w:p w14:paraId="741E7551"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 xml:space="preserve">VICE-PREFEITO, </w:t>
            </w:r>
            <w:proofErr w:type="gramStart"/>
            <w:r w:rsidRPr="00AC1C56">
              <w:rPr>
                <w:rFonts w:ascii="Bookman Old Style" w:hAnsi="Bookman Old Style" w:cstheme="minorHAnsi"/>
                <w:color w:val="000000" w:themeColor="text1"/>
                <w:sz w:val="24"/>
                <w:szCs w:val="24"/>
              </w:rPr>
              <w:t>SECRETÁRIO(</w:t>
            </w:r>
            <w:proofErr w:type="gramEnd"/>
            <w:r w:rsidRPr="00AC1C56">
              <w:rPr>
                <w:rFonts w:ascii="Bookman Old Style" w:hAnsi="Bookman Old Style" w:cstheme="minorHAnsi"/>
                <w:color w:val="000000" w:themeColor="text1"/>
                <w:sz w:val="24"/>
                <w:szCs w:val="24"/>
              </w:rPr>
              <w:t>A) MUNICIPAL, CHEFES DE SETOR OU DE UNIDADE ADMINISTRATIVA</w:t>
            </w:r>
          </w:p>
        </w:tc>
        <w:tc>
          <w:tcPr>
            <w:tcW w:w="2831" w:type="dxa"/>
            <w:vAlign w:val="center"/>
          </w:tcPr>
          <w:p w14:paraId="4F87A321"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ATÉ 2º GRAU (PAIS, FILHOS, IRMÃOS, AVÓS, NETOS)</w:t>
            </w:r>
          </w:p>
        </w:tc>
        <w:tc>
          <w:tcPr>
            <w:tcW w:w="2832" w:type="dxa"/>
            <w:vAlign w:val="center"/>
          </w:tcPr>
          <w:p w14:paraId="218A08D3"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IMPEDE PARTICIPAÇÃO DIRETA OU INDIRETA</w:t>
            </w:r>
          </w:p>
        </w:tc>
      </w:tr>
      <w:tr w:rsidR="00AC1C56" w:rsidRPr="00AC1C56" w14:paraId="24412BCA" w14:textId="77777777" w:rsidTr="00384905">
        <w:trPr>
          <w:jc w:val="center"/>
        </w:trPr>
        <w:tc>
          <w:tcPr>
            <w:tcW w:w="2831" w:type="dxa"/>
            <w:vAlign w:val="center"/>
          </w:tcPr>
          <w:p w14:paraId="45746094"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ASSESSORES DIRETOS OU COM PODER DECISÓRIO SOBRE LICITAÇÃO/CONTRATO</w:t>
            </w:r>
          </w:p>
        </w:tc>
        <w:tc>
          <w:tcPr>
            <w:tcW w:w="2831" w:type="dxa"/>
            <w:vAlign w:val="center"/>
          </w:tcPr>
          <w:p w14:paraId="1CA9F9F7"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ATÉ 1º GRAU (PAIS, FILHOS, CÔNJUGE)</w:t>
            </w:r>
          </w:p>
        </w:tc>
        <w:tc>
          <w:tcPr>
            <w:tcW w:w="2832" w:type="dxa"/>
            <w:vAlign w:val="center"/>
          </w:tcPr>
          <w:p w14:paraId="3FE7374C" w14:textId="77777777" w:rsidR="00AC1C56" w:rsidRPr="00AC1C56" w:rsidRDefault="00AC1C56" w:rsidP="00AC1C56">
            <w:pPr>
              <w:spacing w:after="0" w:line="240" w:lineRule="auto"/>
              <w:jc w:val="center"/>
              <w:rPr>
                <w:rFonts w:ascii="Bookman Old Style" w:hAnsi="Bookman Old Style" w:cstheme="minorHAnsi"/>
                <w:color w:val="000000" w:themeColor="text1"/>
                <w:sz w:val="24"/>
                <w:szCs w:val="24"/>
              </w:rPr>
            </w:pPr>
            <w:r w:rsidRPr="00AC1C56">
              <w:rPr>
                <w:rFonts w:ascii="Bookman Old Style" w:hAnsi="Bookman Old Style" w:cstheme="minorHAnsi"/>
                <w:color w:val="000000" w:themeColor="text1"/>
                <w:sz w:val="24"/>
                <w:szCs w:val="24"/>
              </w:rPr>
              <w:t>IMPEDE PARTICIPAÇÃO DIRETA</w:t>
            </w:r>
          </w:p>
        </w:tc>
      </w:tr>
    </w:tbl>
    <w:p w14:paraId="73399B4D" w14:textId="77777777" w:rsidR="00AC1C56" w:rsidRPr="00AC1C56" w:rsidRDefault="00AC1C56" w:rsidP="00AC1C56">
      <w:pPr>
        <w:spacing w:before="120" w:after="120" w:line="240" w:lineRule="auto"/>
        <w:ind w:left="1134" w:right="-425"/>
        <w:jc w:val="both"/>
        <w:rPr>
          <w:rFonts w:ascii="Bookman Old Style" w:eastAsia="MS Mincho" w:hAnsi="Bookman Old Style" w:cstheme="minorHAnsi"/>
          <w:color w:val="000000" w:themeColor="text1"/>
          <w:sz w:val="24"/>
          <w:szCs w:val="24"/>
        </w:rPr>
      </w:pPr>
      <w:r w:rsidRPr="00AC1C56">
        <w:rPr>
          <w:rFonts w:ascii="Bookman Old Style" w:eastAsia="MS Mincho" w:hAnsi="Bookman Old Style" w:cstheme="minorHAnsi"/>
          <w:color w:val="000000" w:themeColor="text1"/>
          <w:sz w:val="24"/>
          <w:szCs w:val="24"/>
        </w:rPr>
        <w:t>2.6.2.</w:t>
      </w:r>
      <w:r w:rsidRPr="00AC1C56">
        <w:rPr>
          <w:rFonts w:ascii="Bookman Old Style" w:eastAsia="MS Mincho" w:hAnsi="Bookman Old Style" w:cstheme="minorHAnsi"/>
          <w:color w:val="000000" w:themeColor="text1"/>
          <w:sz w:val="24"/>
          <w:szCs w:val="24"/>
        </w:rPr>
        <w:tab/>
        <w:t>O descumprimento desta cláusula sujeita o licitante à desclassificação e à responsabilização civil, administrativa e penal.</w:t>
      </w:r>
    </w:p>
    <w:p w14:paraId="0407DEA6" w14:textId="77777777" w:rsidR="00AC1C56" w:rsidRPr="00AC1C56" w:rsidRDefault="00AC1C56" w:rsidP="00AC1C56">
      <w:pPr>
        <w:spacing w:before="120" w:after="120" w:line="240" w:lineRule="auto"/>
        <w:ind w:left="1134" w:right="-425"/>
        <w:jc w:val="both"/>
        <w:rPr>
          <w:rFonts w:ascii="Bookman Old Style" w:eastAsia="MS Mincho" w:hAnsi="Bookman Old Style" w:cstheme="minorHAnsi"/>
          <w:color w:val="000000" w:themeColor="text1"/>
          <w:sz w:val="24"/>
          <w:szCs w:val="24"/>
        </w:rPr>
      </w:pPr>
    </w:p>
    <w:bookmarkEnd w:id="1"/>
    <w:p w14:paraId="3CF53B94" w14:textId="77777777" w:rsidR="00AC1C56" w:rsidRPr="00AC1C56" w:rsidRDefault="00AC1C56" w:rsidP="00AC1C56">
      <w:pPr>
        <w:keepNext/>
        <w:keepLines/>
        <w:numPr>
          <w:ilvl w:val="0"/>
          <w:numId w:val="1"/>
        </w:numPr>
        <w:pBdr>
          <w:bottom w:val="single" w:sz="4" w:space="1" w:color="auto"/>
        </w:pBdr>
        <w:tabs>
          <w:tab w:val="left" w:pos="567"/>
        </w:tabs>
        <w:spacing w:before="120" w:after="120" w:line="240" w:lineRule="auto"/>
        <w:ind w:right="-425"/>
        <w:jc w:val="both"/>
        <w:outlineLvl w:val="0"/>
        <w:rPr>
          <w:rFonts w:ascii="Bookman Old Style" w:eastAsiaTheme="majorEastAsia" w:hAnsi="Bookman Old Style" w:cstheme="minorHAnsi"/>
          <w:b/>
          <w:bCs/>
          <w:sz w:val="24"/>
          <w:szCs w:val="24"/>
          <w:lang w:eastAsia="pt-BR"/>
        </w:rPr>
      </w:pPr>
      <w:r w:rsidRPr="00AC1C56">
        <w:rPr>
          <w:rFonts w:ascii="Bookman Old Style" w:eastAsiaTheme="majorEastAsia" w:hAnsi="Bookman Old Style" w:cstheme="minorHAnsi"/>
          <w:b/>
          <w:bCs/>
          <w:sz w:val="24"/>
          <w:szCs w:val="24"/>
          <w:lang w:eastAsia="pt-BR"/>
        </w:rPr>
        <w:t>DO INGRESSO NA DISPUTA E DO CADASTRAMENTO DA PROPOSTA INICIAL</w:t>
      </w:r>
    </w:p>
    <w:p w14:paraId="26FB7C3A"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3.1. O ingresso do fornecedor na disputa da dispensa física se dará com o cadastramento de sua proposta inicial, na forma deste item.</w:t>
      </w:r>
    </w:p>
    <w:p w14:paraId="18D98049"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3.2. Após a divulgação do aviso de contratação direta, durante período de recebimento das propostas, o fornecedor interessado deverá encaminhar proposta de preços através do endereço eletrônico </w:t>
      </w:r>
      <w:r w:rsidRPr="00AC1C56">
        <w:rPr>
          <w:rFonts w:ascii="Bookman Old Style" w:eastAsia="MS Mincho" w:hAnsi="Bookman Old Style" w:cstheme="minorHAnsi"/>
          <w:color w:val="0000FF"/>
          <w:sz w:val="24"/>
          <w:szCs w:val="24"/>
          <w:u w:val="single"/>
        </w:rPr>
        <w:t>licitacao@camaraterrarica.pr.gov.br</w:t>
      </w:r>
      <w:hyperlink r:id="rId8" w:history="1"/>
      <w:r w:rsidRPr="00AC1C56">
        <w:rPr>
          <w:rFonts w:ascii="Bookman Old Style" w:eastAsia="MS Mincho" w:hAnsi="Bookman Old Style" w:cstheme="minorHAnsi"/>
          <w:sz w:val="24"/>
          <w:szCs w:val="24"/>
        </w:rPr>
        <w:t xml:space="preserve">, em papel timbrado da empresa, conforme </w:t>
      </w:r>
      <w:r w:rsidRPr="00AC1C56">
        <w:rPr>
          <w:rFonts w:ascii="Bookman Old Style" w:eastAsia="MS Mincho" w:hAnsi="Bookman Old Style" w:cstheme="minorHAnsi"/>
          <w:b/>
          <w:bCs/>
          <w:sz w:val="24"/>
          <w:szCs w:val="24"/>
        </w:rPr>
        <w:t>Anexo III</w:t>
      </w:r>
      <w:r w:rsidRPr="00AC1C56">
        <w:rPr>
          <w:rFonts w:ascii="Bookman Old Style" w:eastAsia="MS Mincho" w:hAnsi="Bookman Old Style" w:cstheme="minorHAnsi"/>
          <w:sz w:val="24"/>
          <w:szCs w:val="24"/>
        </w:rPr>
        <w:t>,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6B1B215F"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3.2.1. As propostas poderão ser protocoladas junto ao setor de licitações do órgão e serão disponibilizadas imediatamente no portal da transparência.</w:t>
      </w:r>
    </w:p>
    <w:p w14:paraId="0ADC23D7"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proofErr w:type="gramStart"/>
      <w:r w:rsidRPr="00AC1C56">
        <w:rPr>
          <w:rFonts w:ascii="Bookman Old Style" w:eastAsia="MS Mincho" w:hAnsi="Bookman Old Style" w:cstheme="minorHAnsi"/>
          <w:sz w:val="24"/>
          <w:szCs w:val="24"/>
        </w:rPr>
        <w:t>3.2.1.1 Se</w:t>
      </w:r>
      <w:proofErr w:type="gramEnd"/>
      <w:r w:rsidRPr="00AC1C56">
        <w:rPr>
          <w:rFonts w:ascii="Bookman Old Style" w:eastAsia="MS Mincho" w:hAnsi="Bookman Old Style" w:cstheme="minorHAnsi"/>
          <w:sz w:val="24"/>
          <w:szCs w:val="24"/>
        </w:rPr>
        <w:t xml:space="preserve"> a proposta estiver assinada por procurador, deverá ser encaminhada cópia da procuração que conceda tais poderes, e, ainda cópia de documentos de identificação do </w:t>
      </w:r>
      <w:r w:rsidRPr="00AC1C56">
        <w:rPr>
          <w:rFonts w:ascii="Bookman Old Style" w:eastAsia="MS Mincho" w:hAnsi="Bookman Old Style" w:cstheme="minorHAnsi"/>
          <w:sz w:val="24"/>
          <w:szCs w:val="24"/>
        </w:rPr>
        <w:lastRenderedPageBreak/>
        <w:t>outorgado.</w:t>
      </w:r>
    </w:p>
    <w:p w14:paraId="3A5798FE"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3.2.2. O preço unitário e total dos itens deverá estar expresso em numeral e em moeda corrente nacional (R$), com no máximo 02 (duas) casas decimais.</w:t>
      </w:r>
    </w:p>
    <w:p w14:paraId="4D95105B"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3.2.3. Em caso de divergência de valores entre o preço unitário e o valor total, prevalecerá o valor unitário.</w:t>
      </w:r>
    </w:p>
    <w:p w14:paraId="6AA142DB"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3.2.4. O fornecedor declara que o seu preço compreende a integralidade dos custos para atendimento dos direitos trabalhistas assegurados na Constituição Federal, nas leis trabalhistas, nas normas </w:t>
      </w:r>
      <w:proofErr w:type="spellStart"/>
      <w:r w:rsidRPr="00AC1C56">
        <w:rPr>
          <w:rFonts w:ascii="Bookman Old Style" w:eastAsia="MS Mincho" w:hAnsi="Bookman Old Style" w:cstheme="minorHAnsi"/>
          <w:sz w:val="24"/>
          <w:szCs w:val="24"/>
        </w:rPr>
        <w:t>infralegais</w:t>
      </w:r>
      <w:proofErr w:type="spellEnd"/>
      <w:r w:rsidRPr="00AC1C56">
        <w:rPr>
          <w:rFonts w:ascii="Bookman Old Style" w:eastAsia="MS Mincho" w:hAnsi="Bookman Old Style" w:cstheme="minorHAnsi"/>
          <w:sz w:val="24"/>
          <w:szCs w:val="24"/>
        </w:rPr>
        <w:t>, nas convenções coletivas de trabalho e nos termos de ajustamento de conduta vigentes.</w:t>
      </w:r>
    </w:p>
    <w:p w14:paraId="478EB68E"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3.3. Todas as especificações do objeto contidas na proposta, em especial o preço, vinculam o proponente.</w:t>
      </w:r>
    </w:p>
    <w:p w14:paraId="48FE4E1C"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5F0770EC"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3B83E507"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3.5. Independentemente do percentual de tributo inserido na planilha, no pagamento serão retidos na fonte os percentuais estabelecidos na legislação vigente.</w:t>
      </w:r>
    </w:p>
    <w:p w14:paraId="4DF60879"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3.6. Uma vez enviada a proposta, os fornecedores </w:t>
      </w:r>
      <w:r w:rsidRPr="00AC1C56">
        <w:rPr>
          <w:rFonts w:ascii="Bookman Old Style" w:eastAsia="MS Mincho" w:hAnsi="Bookman Old Style" w:cstheme="minorHAnsi"/>
          <w:sz w:val="24"/>
          <w:szCs w:val="24"/>
          <w:u w:val="single"/>
        </w:rPr>
        <w:t>NÃO</w:t>
      </w:r>
      <w:r w:rsidRPr="00AC1C56">
        <w:rPr>
          <w:rFonts w:ascii="Bookman Old Style" w:eastAsia="MS Mincho" w:hAnsi="Bookman Old Style" w:cstheme="minorHAnsi"/>
          <w:sz w:val="24"/>
          <w:szCs w:val="24"/>
        </w:rPr>
        <w:t xml:space="preserve"> poderão removê-la, substituí-la ou modificá-la.</w:t>
      </w:r>
    </w:p>
    <w:p w14:paraId="72AFD602" w14:textId="77777777" w:rsidR="00AC1C56" w:rsidRPr="00AC1C56" w:rsidRDefault="00AC1C56" w:rsidP="00AC1C56">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3.7. No cadastramento da proposta inicial, o proponente deverá apresentar Declaração Unificada, </w:t>
      </w:r>
      <w:proofErr w:type="gramStart"/>
      <w:r w:rsidRPr="00AC1C56">
        <w:rPr>
          <w:rFonts w:ascii="Bookman Old Style" w:eastAsia="MS Mincho" w:hAnsi="Bookman Old Style" w:cstheme="minorHAnsi"/>
          <w:sz w:val="24"/>
          <w:szCs w:val="24"/>
        </w:rPr>
        <w:t xml:space="preserve">conforme </w:t>
      </w:r>
      <w:r w:rsidRPr="00AC1C56">
        <w:rPr>
          <w:rFonts w:ascii="Bookman Old Style" w:eastAsia="MS Mincho" w:hAnsi="Bookman Old Style" w:cstheme="minorHAnsi"/>
          <w:b/>
          <w:bCs/>
          <w:sz w:val="24"/>
          <w:szCs w:val="24"/>
        </w:rPr>
        <w:t>Anexo</w:t>
      </w:r>
      <w:proofErr w:type="gramEnd"/>
      <w:r w:rsidRPr="00AC1C56">
        <w:rPr>
          <w:rFonts w:ascii="Bookman Old Style" w:eastAsia="MS Mincho" w:hAnsi="Bookman Old Style" w:cstheme="minorHAnsi"/>
          <w:b/>
          <w:bCs/>
          <w:sz w:val="24"/>
          <w:szCs w:val="24"/>
        </w:rPr>
        <w:t xml:space="preserve"> V</w:t>
      </w:r>
      <w:r w:rsidRPr="00AC1C56">
        <w:rPr>
          <w:rFonts w:ascii="Bookman Old Style" w:eastAsia="MS Mincho" w:hAnsi="Bookman Old Style" w:cstheme="minorHAnsi"/>
          <w:sz w:val="24"/>
          <w:szCs w:val="24"/>
        </w:rPr>
        <w:t>.</w:t>
      </w:r>
    </w:p>
    <w:p w14:paraId="5EB1F293" w14:textId="77777777" w:rsidR="00AC1C56" w:rsidRPr="00AC1C56" w:rsidRDefault="00AC1C56" w:rsidP="00AC1C56">
      <w:pPr>
        <w:numPr>
          <w:ilvl w:val="0"/>
          <w:numId w:val="3"/>
        </w:numPr>
        <w:pBdr>
          <w:bottom w:val="single" w:sz="4" w:space="1" w:color="auto"/>
        </w:pBdr>
        <w:spacing w:beforeLines="120" w:before="288" w:afterLines="120" w:after="288"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FASE DE LANCES</w:t>
      </w:r>
    </w:p>
    <w:p w14:paraId="6BB3E850"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w:t>
      </w:r>
      <w:r w:rsidRPr="00AC1C56">
        <w:rPr>
          <w:rFonts w:ascii="Bookman Old Style" w:eastAsiaTheme="minorEastAsia" w:hAnsi="Bookman Old Style" w:cstheme="minorHAnsi"/>
          <w:color w:val="000000" w:themeColor="text1"/>
          <w:sz w:val="24"/>
          <w:szCs w:val="24"/>
          <w:lang w:eastAsia="pt-BR"/>
        </w:rPr>
        <w:tab/>
        <w:t xml:space="preserve">A sessão pública destinada à fase de lances será realizada na data estabelecida neste Aviso de Contratação Direta, com início às </w:t>
      </w:r>
      <w:r w:rsidRPr="00AC1C56">
        <w:rPr>
          <w:rFonts w:ascii="Bookman Old Style" w:eastAsiaTheme="minorEastAsia" w:hAnsi="Bookman Old Style" w:cstheme="minorHAnsi"/>
          <w:b/>
          <w:color w:val="000000" w:themeColor="text1"/>
          <w:sz w:val="24"/>
          <w:szCs w:val="24"/>
          <w:lang w:eastAsia="pt-BR"/>
        </w:rPr>
        <w:t>09h30min, horário de Brasília/DF</w:t>
      </w:r>
      <w:r w:rsidRPr="00AC1C56">
        <w:rPr>
          <w:rFonts w:ascii="Bookman Old Style" w:eastAsiaTheme="minorEastAsia" w:hAnsi="Bookman Old Style" w:cstheme="minorHAnsi"/>
          <w:color w:val="000000" w:themeColor="text1"/>
          <w:sz w:val="24"/>
          <w:szCs w:val="24"/>
          <w:lang w:eastAsia="pt-BR"/>
        </w:rPr>
        <w:t xml:space="preserve">, exclusivamente por videoconferência, por meio da plataforma </w:t>
      </w:r>
      <w:r w:rsidRPr="00AC1C56">
        <w:rPr>
          <w:rFonts w:ascii="Bookman Old Style" w:eastAsiaTheme="minorEastAsia" w:hAnsi="Bookman Old Style" w:cstheme="minorHAnsi"/>
          <w:b/>
          <w:color w:val="000000" w:themeColor="text1"/>
          <w:sz w:val="24"/>
          <w:szCs w:val="24"/>
          <w:lang w:eastAsia="pt-BR"/>
        </w:rPr>
        <w:t xml:space="preserve">Google </w:t>
      </w:r>
      <w:proofErr w:type="spellStart"/>
      <w:r w:rsidRPr="00AC1C56">
        <w:rPr>
          <w:rFonts w:ascii="Bookman Old Style" w:eastAsiaTheme="minorEastAsia" w:hAnsi="Bookman Old Style" w:cstheme="minorHAnsi"/>
          <w:b/>
          <w:color w:val="000000" w:themeColor="text1"/>
          <w:sz w:val="24"/>
          <w:szCs w:val="24"/>
          <w:lang w:eastAsia="pt-BR"/>
        </w:rPr>
        <w:t>Meet</w:t>
      </w:r>
      <w:proofErr w:type="spellEnd"/>
      <w:r w:rsidRPr="00AC1C56">
        <w:rPr>
          <w:rFonts w:ascii="Bookman Old Style" w:eastAsiaTheme="minorEastAsia" w:hAnsi="Bookman Old Style" w:cstheme="minorHAnsi"/>
          <w:color w:val="000000" w:themeColor="text1"/>
          <w:sz w:val="24"/>
          <w:szCs w:val="24"/>
          <w:lang w:eastAsia="pt-BR"/>
        </w:rPr>
        <w:t>, sendo conduzida pelo Agente de Contratação.</w:t>
      </w:r>
    </w:p>
    <w:p w14:paraId="6FE42904"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4.1.1.</w:t>
      </w:r>
      <w:r w:rsidRPr="00AC1C56">
        <w:rPr>
          <w:rFonts w:ascii="Bookman Old Style" w:eastAsiaTheme="minorEastAsia" w:hAnsi="Bookman Old Style" w:cstheme="minorHAnsi"/>
          <w:color w:val="000000" w:themeColor="text1"/>
          <w:sz w:val="24"/>
          <w:szCs w:val="24"/>
          <w:lang w:eastAsia="pt-BR"/>
        </w:rPr>
        <w:tab/>
        <w:t xml:space="preserve">Poderão participar da sessão pública os fornecedores que tenham apresentado, dentro do prazo estabelecido neste Aviso, proposta válida e os documentos exigidos para participação. </w:t>
      </w:r>
      <w:r w:rsidRPr="00AC1C56">
        <w:rPr>
          <w:rFonts w:ascii="Bookman Old Style" w:eastAsiaTheme="minorEastAsia" w:hAnsi="Bookman Old Style" w:cstheme="minorHAnsi"/>
          <w:b/>
          <w:color w:val="FF0000"/>
          <w:sz w:val="24"/>
          <w:szCs w:val="24"/>
          <w:highlight w:val="yellow"/>
          <w:lang w:eastAsia="pt-BR"/>
        </w:rPr>
        <w:t>Cada proponente deverá indicar, quando do envio da proposta, a pessoa credenciada a representá-lo durante a sessão.</w:t>
      </w:r>
    </w:p>
    <w:p w14:paraId="1F066448"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4.1.2.</w:t>
      </w:r>
      <w:r w:rsidRPr="00AC1C56">
        <w:rPr>
          <w:rFonts w:ascii="Bookman Old Style" w:eastAsiaTheme="minorEastAsia" w:hAnsi="Bookman Old Style" w:cstheme="minorHAnsi"/>
          <w:color w:val="000000" w:themeColor="text1"/>
          <w:sz w:val="24"/>
          <w:szCs w:val="24"/>
          <w:lang w:eastAsia="pt-BR"/>
        </w:rPr>
        <w:tab/>
        <w:t xml:space="preserve">O link de acesso à sessão será encaminhado aos participantes, por meio do endereço eletrônico utilizado ou informado para o envio da proposta, com antecedência mínima de </w:t>
      </w:r>
      <w:r w:rsidRPr="00AC1C56">
        <w:rPr>
          <w:rFonts w:ascii="Bookman Old Style" w:eastAsiaTheme="minorEastAsia" w:hAnsi="Bookman Old Style" w:cstheme="minorHAnsi"/>
          <w:b/>
          <w:color w:val="000000" w:themeColor="text1"/>
          <w:sz w:val="24"/>
          <w:szCs w:val="24"/>
          <w:lang w:eastAsia="pt-BR"/>
        </w:rPr>
        <w:t>10 (dez) minutos do horário previsto para o início da sessão.</w:t>
      </w:r>
    </w:p>
    <w:p w14:paraId="5341F24D"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4.1.3.</w:t>
      </w:r>
      <w:r w:rsidRPr="00AC1C56">
        <w:rPr>
          <w:rFonts w:ascii="Bookman Old Style" w:eastAsiaTheme="minorEastAsia" w:hAnsi="Bookman Old Style" w:cstheme="minorHAnsi"/>
          <w:color w:val="000000" w:themeColor="text1"/>
          <w:sz w:val="24"/>
          <w:szCs w:val="24"/>
          <w:lang w:eastAsia="pt-BR"/>
        </w:rPr>
        <w:tab/>
        <w:t>É de responsabilidade do fornecedor acompanhar o endereço eletrônico informado, inclusive caixa de entrada, spam ou lixo eletrônico, bem como providenciar os equipamentos, acesso à internet e demais recursos tecnológicos necessários à participação na sessão.</w:t>
      </w:r>
    </w:p>
    <w:p w14:paraId="23F94D24"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4.1.4.</w:t>
      </w:r>
      <w:r w:rsidRPr="00AC1C56">
        <w:rPr>
          <w:rFonts w:ascii="Bookman Old Style" w:eastAsiaTheme="minorEastAsia" w:hAnsi="Bookman Old Style" w:cstheme="minorHAnsi"/>
          <w:color w:val="000000" w:themeColor="text1"/>
          <w:sz w:val="24"/>
          <w:szCs w:val="24"/>
          <w:lang w:eastAsia="pt-BR"/>
        </w:rPr>
        <w:tab/>
        <w:t xml:space="preserve">Para participar da </w:t>
      </w:r>
      <w:r w:rsidRPr="00AC1C56">
        <w:rPr>
          <w:rFonts w:ascii="Bookman Old Style" w:eastAsiaTheme="minorEastAsia" w:hAnsi="Bookman Old Style" w:cstheme="minorHAnsi"/>
          <w:b/>
          <w:color w:val="000000" w:themeColor="text1"/>
          <w:sz w:val="24"/>
          <w:szCs w:val="24"/>
          <w:lang w:eastAsia="pt-BR"/>
        </w:rPr>
        <w:t>fase de lances</w:t>
      </w:r>
      <w:r w:rsidRPr="00AC1C56">
        <w:rPr>
          <w:rFonts w:ascii="Bookman Old Style" w:eastAsiaTheme="minorEastAsia" w:hAnsi="Bookman Old Style" w:cstheme="minorHAnsi"/>
          <w:color w:val="000000" w:themeColor="text1"/>
          <w:sz w:val="24"/>
          <w:szCs w:val="24"/>
          <w:lang w:eastAsia="pt-BR"/>
        </w:rPr>
        <w:t xml:space="preserve">, o representante credenciado do fornecedor deverá estar devidamente conectado e identificado na sala virtual do Google </w:t>
      </w:r>
      <w:proofErr w:type="spellStart"/>
      <w:r w:rsidRPr="00AC1C56">
        <w:rPr>
          <w:rFonts w:ascii="Bookman Old Style" w:eastAsiaTheme="minorEastAsia" w:hAnsi="Bookman Old Style" w:cstheme="minorHAnsi"/>
          <w:color w:val="000000" w:themeColor="text1"/>
          <w:sz w:val="24"/>
          <w:szCs w:val="24"/>
          <w:lang w:eastAsia="pt-BR"/>
        </w:rPr>
        <w:t>Meet</w:t>
      </w:r>
      <w:proofErr w:type="spellEnd"/>
      <w:r w:rsidRPr="00AC1C56">
        <w:rPr>
          <w:rFonts w:ascii="Bookman Old Style" w:eastAsiaTheme="minorEastAsia" w:hAnsi="Bookman Old Style" w:cstheme="minorHAnsi"/>
          <w:color w:val="000000" w:themeColor="text1"/>
          <w:sz w:val="24"/>
          <w:szCs w:val="24"/>
          <w:lang w:eastAsia="pt-BR"/>
        </w:rPr>
        <w:t xml:space="preserve"> </w:t>
      </w:r>
      <w:r w:rsidRPr="00AC1C56">
        <w:rPr>
          <w:rFonts w:ascii="Bookman Old Style" w:eastAsiaTheme="minorEastAsia" w:hAnsi="Bookman Old Style" w:cstheme="minorHAnsi"/>
          <w:b/>
          <w:color w:val="000000" w:themeColor="text1"/>
          <w:sz w:val="24"/>
          <w:szCs w:val="24"/>
          <w:lang w:eastAsia="pt-BR"/>
        </w:rPr>
        <w:t xml:space="preserve">no </w:t>
      </w:r>
      <w:r w:rsidRPr="00AC1C56">
        <w:rPr>
          <w:rFonts w:ascii="Bookman Old Style" w:eastAsiaTheme="minorEastAsia" w:hAnsi="Bookman Old Style" w:cstheme="minorHAnsi"/>
          <w:b/>
          <w:color w:val="000000" w:themeColor="text1"/>
          <w:sz w:val="24"/>
          <w:szCs w:val="24"/>
          <w:lang w:eastAsia="pt-BR"/>
        </w:rPr>
        <w:lastRenderedPageBreak/>
        <w:t>momento da chamada realizada pelo Agente de Contratação, imediatamente antes da abertura da fase competitiva.</w:t>
      </w:r>
    </w:p>
    <w:p w14:paraId="2E111766"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4.1.5.</w:t>
      </w:r>
      <w:r w:rsidRPr="00AC1C56">
        <w:rPr>
          <w:rFonts w:ascii="Bookman Old Style" w:eastAsiaTheme="minorEastAsia" w:hAnsi="Bookman Old Style" w:cstheme="minorHAnsi"/>
          <w:color w:val="000000" w:themeColor="text1"/>
          <w:sz w:val="24"/>
          <w:szCs w:val="24"/>
          <w:lang w:eastAsia="pt-BR"/>
        </w:rPr>
        <w:tab/>
        <w:t xml:space="preserve">Às </w:t>
      </w:r>
      <w:r w:rsidRPr="00AC1C56">
        <w:rPr>
          <w:rFonts w:ascii="Bookman Old Style" w:eastAsiaTheme="minorEastAsia" w:hAnsi="Bookman Old Style" w:cstheme="minorHAnsi"/>
          <w:b/>
          <w:color w:val="000000" w:themeColor="text1"/>
          <w:sz w:val="24"/>
          <w:szCs w:val="24"/>
          <w:lang w:eastAsia="pt-BR"/>
        </w:rPr>
        <w:t>09h30min</w:t>
      </w:r>
      <w:r w:rsidRPr="00AC1C56">
        <w:rPr>
          <w:rFonts w:ascii="Bookman Old Style" w:eastAsiaTheme="minorEastAsia" w:hAnsi="Bookman Old Style" w:cstheme="minorHAnsi"/>
          <w:color w:val="000000" w:themeColor="text1"/>
          <w:sz w:val="24"/>
          <w:szCs w:val="24"/>
          <w:lang w:eastAsia="pt-BR"/>
        </w:rPr>
        <w:t>, o Agente de Contratação realizará a chamada e identificação dos fornecedores presentes na sala virtual, registrando-se em ata os participantes presentes e ausentes.</w:t>
      </w:r>
    </w:p>
    <w:p w14:paraId="60BB7C2B"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4.1.6.</w:t>
      </w:r>
      <w:r w:rsidRPr="00AC1C56">
        <w:rPr>
          <w:rFonts w:ascii="Bookman Old Style" w:eastAsiaTheme="minorEastAsia" w:hAnsi="Bookman Old Style" w:cstheme="minorHAnsi"/>
          <w:color w:val="000000" w:themeColor="text1"/>
          <w:sz w:val="24"/>
          <w:szCs w:val="24"/>
          <w:lang w:eastAsia="pt-BR"/>
        </w:rPr>
        <w:tab/>
        <w:t xml:space="preserve">Concluída a chamada, o Agente de Contratação declarará expressamente </w:t>
      </w:r>
      <w:r w:rsidRPr="00AC1C56">
        <w:rPr>
          <w:rFonts w:ascii="Bookman Old Style" w:eastAsiaTheme="minorEastAsia" w:hAnsi="Bookman Old Style" w:cstheme="minorHAnsi"/>
          <w:b/>
          <w:color w:val="000000" w:themeColor="text1"/>
          <w:sz w:val="24"/>
          <w:szCs w:val="24"/>
          <w:lang w:eastAsia="pt-BR"/>
        </w:rPr>
        <w:t>aberta a fase competitiva</w:t>
      </w:r>
      <w:r w:rsidRPr="00AC1C56">
        <w:rPr>
          <w:rFonts w:ascii="Bookman Old Style" w:eastAsiaTheme="minorEastAsia" w:hAnsi="Bookman Old Style" w:cstheme="minorHAnsi"/>
          <w:color w:val="000000" w:themeColor="text1"/>
          <w:sz w:val="24"/>
          <w:szCs w:val="24"/>
          <w:lang w:eastAsia="pt-BR"/>
        </w:rPr>
        <w:t>, sendo admitida a apresentação de lances exclusivamente pelos fornecedores devidamente identificados como presentes naquele momento.</w:t>
      </w:r>
    </w:p>
    <w:p w14:paraId="13976ED7"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4.1.7.</w:t>
      </w:r>
      <w:r w:rsidRPr="00AC1C56">
        <w:rPr>
          <w:rFonts w:ascii="Bookman Old Style" w:eastAsiaTheme="minorEastAsia" w:hAnsi="Bookman Old Style" w:cstheme="minorHAnsi"/>
          <w:color w:val="000000" w:themeColor="text1"/>
          <w:sz w:val="24"/>
          <w:szCs w:val="24"/>
          <w:lang w:eastAsia="pt-BR"/>
        </w:rPr>
        <w:tab/>
        <w:t xml:space="preserve">O fornecedor que tenha apresentado proposta válida, mas cujo representante não esteja presente na sala virtual no momento da chamada e da abertura da fase competitiva, </w:t>
      </w:r>
      <w:r w:rsidRPr="00AC1C56">
        <w:rPr>
          <w:rFonts w:ascii="Bookman Old Style" w:eastAsiaTheme="minorEastAsia" w:hAnsi="Bookman Old Style" w:cstheme="minorHAnsi"/>
          <w:b/>
          <w:color w:val="000000" w:themeColor="text1"/>
          <w:sz w:val="24"/>
          <w:szCs w:val="24"/>
          <w:lang w:eastAsia="pt-BR"/>
        </w:rPr>
        <w:t>não poderá ingressar posteriormente na disputa para apresentação de lances</w:t>
      </w:r>
      <w:r w:rsidRPr="00AC1C56">
        <w:rPr>
          <w:rFonts w:ascii="Bookman Old Style" w:eastAsiaTheme="minorEastAsia" w:hAnsi="Bookman Old Style" w:cstheme="minorHAnsi"/>
          <w:color w:val="000000" w:themeColor="text1"/>
          <w:sz w:val="24"/>
          <w:szCs w:val="24"/>
          <w:lang w:eastAsia="pt-BR"/>
        </w:rPr>
        <w:t>, permanecendo, contudo, válida sua proposta inicialmente apresentada para fins de classificação e julgamento.</w:t>
      </w:r>
    </w:p>
    <w:p w14:paraId="3383F331"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4.1.8.</w:t>
      </w:r>
      <w:r w:rsidRPr="00AC1C56">
        <w:rPr>
          <w:rFonts w:ascii="Bookman Old Style" w:eastAsiaTheme="minorEastAsia" w:hAnsi="Bookman Old Style" w:cstheme="minorHAnsi"/>
          <w:color w:val="000000" w:themeColor="text1"/>
          <w:sz w:val="24"/>
          <w:szCs w:val="24"/>
          <w:lang w:eastAsia="pt-BR"/>
        </w:rPr>
        <w:tab/>
        <w:t xml:space="preserve">Após a declaração de abertura da fase competitiva, não será admitido ingresso tardio de fornecedor para participação na disputa de lances, ressalvada a hipótese de </w:t>
      </w:r>
      <w:r w:rsidRPr="00AC1C56">
        <w:rPr>
          <w:rFonts w:ascii="Bookman Old Style" w:eastAsiaTheme="minorEastAsia" w:hAnsi="Bookman Old Style" w:cstheme="minorHAnsi"/>
          <w:b/>
          <w:color w:val="000000" w:themeColor="text1"/>
          <w:sz w:val="24"/>
          <w:szCs w:val="24"/>
          <w:lang w:eastAsia="pt-BR"/>
        </w:rPr>
        <w:t>retorno de participante que tenha sido identificado como presente na abertura da sessão e que posteriormente venha a sofrer interrupção de conexão</w:t>
      </w:r>
      <w:r w:rsidRPr="00AC1C56">
        <w:rPr>
          <w:rFonts w:ascii="Bookman Old Style" w:eastAsiaTheme="minorEastAsia" w:hAnsi="Bookman Old Style" w:cstheme="minorHAnsi"/>
          <w:color w:val="000000" w:themeColor="text1"/>
          <w:sz w:val="24"/>
          <w:szCs w:val="24"/>
          <w:lang w:eastAsia="pt-BR"/>
        </w:rPr>
        <w:t>, observadas as regras deste Aviso.</w:t>
      </w:r>
    </w:p>
    <w:p w14:paraId="68156468"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4.1.9.</w:t>
      </w:r>
      <w:r w:rsidRPr="00AC1C56">
        <w:rPr>
          <w:rFonts w:ascii="Bookman Old Style" w:eastAsiaTheme="minorEastAsia" w:hAnsi="Bookman Old Style" w:cstheme="minorHAnsi"/>
          <w:color w:val="000000" w:themeColor="text1"/>
          <w:sz w:val="24"/>
          <w:szCs w:val="24"/>
          <w:lang w:eastAsia="pt-BR"/>
        </w:rPr>
        <w:tab/>
        <w:t xml:space="preserve">Recomenda-se aos participantes que ingressem na sala virtual com antecedência mínima de </w:t>
      </w:r>
      <w:r w:rsidRPr="00AC1C56">
        <w:rPr>
          <w:rFonts w:ascii="Bookman Old Style" w:eastAsiaTheme="minorEastAsia" w:hAnsi="Bookman Old Style" w:cstheme="minorHAnsi"/>
          <w:b/>
          <w:color w:val="000000" w:themeColor="text1"/>
          <w:sz w:val="24"/>
          <w:szCs w:val="24"/>
          <w:lang w:eastAsia="pt-BR"/>
        </w:rPr>
        <w:t>10 (dez) minutos</w:t>
      </w:r>
      <w:r w:rsidRPr="00AC1C56">
        <w:rPr>
          <w:rFonts w:ascii="Bookman Old Style" w:eastAsiaTheme="minorEastAsia" w:hAnsi="Bookman Old Style" w:cstheme="minorHAnsi"/>
          <w:color w:val="000000" w:themeColor="text1"/>
          <w:sz w:val="24"/>
          <w:szCs w:val="24"/>
          <w:lang w:eastAsia="pt-BR"/>
        </w:rPr>
        <w:t>, de forma a possibilitar sua identificação e a solução de eventuais dificuldades de acesso antes da abertura da fase competitiva.</w:t>
      </w:r>
    </w:p>
    <w:p w14:paraId="17B9E02C"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4.2.</w:t>
      </w:r>
      <w:r w:rsidRPr="00AC1C56">
        <w:rPr>
          <w:rFonts w:ascii="Bookman Old Style" w:eastAsiaTheme="minorEastAsia" w:hAnsi="Bookman Old Style" w:cstheme="minorHAnsi"/>
          <w:b/>
          <w:color w:val="000000" w:themeColor="text1"/>
          <w:sz w:val="24"/>
          <w:szCs w:val="24"/>
          <w:lang w:eastAsia="pt-BR"/>
        </w:rPr>
        <w:tab/>
        <w:t>DA REALIZAÇÃO E DO REGISTRO DOS LANCES</w:t>
      </w:r>
    </w:p>
    <w:p w14:paraId="50D9AB29"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w:t>
      </w:r>
      <w:r w:rsidRPr="00AC1C56">
        <w:rPr>
          <w:rFonts w:ascii="Bookman Old Style" w:eastAsiaTheme="minorEastAsia" w:hAnsi="Bookman Old Style" w:cstheme="minorHAnsi"/>
          <w:color w:val="000000" w:themeColor="text1"/>
          <w:sz w:val="24"/>
          <w:szCs w:val="24"/>
          <w:lang w:eastAsia="pt-BR"/>
        </w:rPr>
        <w:tab/>
        <w:t xml:space="preserve">A disputa e os lances serão registrados por meio de </w:t>
      </w:r>
      <w:r w:rsidRPr="00AC1C56">
        <w:rPr>
          <w:rFonts w:ascii="Bookman Old Style" w:eastAsiaTheme="minorEastAsia" w:hAnsi="Bookman Old Style" w:cstheme="minorHAnsi"/>
          <w:b/>
          <w:color w:val="000000" w:themeColor="text1"/>
          <w:sz w:val="24"/>
          <w:szCs w:val="24"/>
          <w:lang w:eastAsia="pt-BR"/>
        </w:rPr>
        <w:t>planilha eletrônica em Microsoft Excel</w:t>
      </w:r>
      <w:r w:rsidRPr="00AC1C56">
        <w:rPr>
          <w:rFonts w:ascii="Bookman Old Style" w:eastAsiaTheme="minorEastAsia" w:hAnsi="Bookman Old Style" w:cstheme="minorHAnsi"/>
          <w:color w:val="000000" w:themeColor="text1"/>
          <w:sz w:val="24"/>
          <w:szCs w:val="24"/>
          <w:lang w:eastAsia="pt-BR"/>
        </w:rPr>
        <w:t>, cuja tela será compartilhada em tempo real com os participantes durante a sessão pública.</w:t>
      </w:r>
    </w:p>
    <w:p w14:paraId="4988200E"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4.2.2.</w:t>
      </w:r>
      <w:r w:rsidRPr="00AC1C56">
        <w:rPr>
          <w:rFonts w:ascii="Bookman Old Style" w:eastAsiaTheme="minorEastAsia" w:hAnsi="Bookman Old Style" w:cstheme="minorHAnsi"/>
          <w:color w:val="000000" w:themeColor="text1"/>
          <w:sz w:val="24"/>
          <w:szCs w:val="24"/>
          <w:lang w:eastAsia="pt-BR"/>
        </w:rPr>
        <w:tab/>
        <w:t xml:space="preserve">Os lances deverão ser ofertados </w:t>
      </w:r>
      <w:r w:rsidRPr="00AC1C56">
        <w:rPr>
          <w:rFonts w:ascii="Bookman Old Style" w:eastAsiaTheme="minorEastAsia" w:hAnsi="Bookman Old Style" w:cstheme="minorHAnsi"/>
          <w:b/>
          <w:color w:val="000000" w:themeColor="text1"/>
          <w:sz w:val="24"/>
          <w:szCs w:val="24"/>
          <w:lang w:eastAsia="pt-BR"/>
        </w:rPr>
        <w:t xml:space="preserve">individualmente, por meio do chat da sessão realizada via Google </w:t>
      </w:r>
      <w:proofErr w:type="spellStart"/>
      <w:r w:rsidRPr="00AC1C56">
        <w:rPr>
          <w:rFonts w:ascii="Bookman Old Style" w:eastAsiaTheme="minorEastAsia" w:hAnsi="Bookman Old Style" w:cstheme="minorHAnsi"/>
          <w:b/>
          <w:color w:val="000000" w:themeColor="text1"/>
          <w:sz w:val="24"/>
          <w:szCs w:val="24"/>
          <w:lang w:eastAsia="pt-BR"/>
        </w:rPr>
        <w:t>Meet</w:t>
      </w:r>
      <w:proofErr w:type="spellEnd"/>
      <w:r w:rsidRPr="00AC1C56">
        <w:rPr>
          <w:rFonts w:ascii="Bookman Old Style" w:eastAsiaTheme="minorEastAsia" w:hAnsi="Bookman Old Style" w:cstheme="minorHAnsi"/>
          <w:color w:val="000000" w:themeColor="text1"/>
          <w:sz w:val="24"/>
          <w:szCs w:val="24"/>
          <w:lang w:eastAsia="pt-BR"/>
        </w:rPr>
        <w:t xml:space="preserve">, em sistema de rodadas, observando-se, para definição da sequência dos participantes, a </w:t>
      </w:r>
      <w:r w:rsidRPr="00AC1C56">
        <w:rPr>
          <w:rFonts w:ascii="Bookman Old Style" w:eastAsiaTheme="minorEastAsia" w:hAnsi="Bookman Old Style" w:cstheme="minorHAnsi"/>
          <w:b/>
          <w:color w:val="000000" w:themeColor="text1"/>
          <w:sz w:val="24"/>
          <w:szCs w:val="24"/>
          <w:lang w:eastAsia="pt-BR"/>
        </w:rPr>
        <w:t>ordem cronológica de recebimento das propostas pela Câmara Municipal.</w:t>
      </w:r>
    </w:p>
    <w:p w14:paraId="0642A2F7"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4.2.3.</w:t>
      </w:r>
      <w:r w:rsidRPr="00AC1C56">
        <w:rPr>
          <w:rFonts w:ascii="Bookman Old Style" w:eastAsiaTheme="minorEastAsia" w:hAnsi="Bookman Old Style" w:cstheme="minorHAnsi"/>
          <w:color w:val="000000" w:themeColor="text1"/>
          <w:sz w:val="24"/>
          <w:szCs w:val="24"/>
          <w:lang w:eastAsia="pt-BR"/>
        </w:rPr>
        <w:tab/>
        <w:t xml:space="preserve">Para fins de definição da ordem de participação na fase de lances, será considerada a </w:t>
      </w:r>
      <w:r w:rsidRPr="00AC1C56">
        <w:rPr>
          <w:rFonts w:ascii="Bookman Old Style" w:eastAsiaTheme="minorEastAsia" w:hAnsi="Bookman Old Style" w:cstheme="minorHAnsi"/>
          <w:b/>
          <w:color w:val="000000" w:themeColor="text1"/>
          <w:sz w:val="24"/>
          <w:szCs w:val="24"/>
          <w:lang w:eastAsia="pt-BR"/>
        </w:rPr>
        <w:t>data e o horário de recebimento de cada proposta no endereço eletrônico indicado neste Aviso</w:t>
      </w:r>
      <w:r w:rsidRPr="00AC1C56">
        <w:rPr>
          <w:rFonts w:ascii="Bookman Old Style" w:eastAsiaTheme="minorEastAsia" w:hAnsi="Bookman Old Style" w:cstheme="minorHAnsi"/>
          <w:color w:val="000000" w:themeColor="text1"/>
          <w:sz w:val="24"/>
          <w:szCs w:val="24"/>
          <w:lang w:eastAsia="pt-BR"/>
        </w:rPr>
        <w:t>, iniciando-se a rodada pelo fornecedor cuja proposta tenha sido recebida primeiro e seguindo-se, sucessivamente, a ordem cronológica de recebimento das demais propostas.</w:t>
      </w:r>
    </w:p>
    <w:p w14:paraId="45728418"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4.2.4.</w:t>
      </w:r>
      <w:r w:rsidRPr="00AC1C56">
        <w:rPr>
          <w:rFonts w:ascii="Bookman Old Style" w:eastAsiaTheme="minorEastAsia" w:hAnsi="Bookman Old Style" w:cstheme="minorHAnsi"/>
          <w:color w:val="000000" w:themeColor="text1"/>
          <w:sz w:val="24"/>
          <w:szCs w:val="24"/>
          <w:lang w:eastAsia="pt-BR"/>
        </w:rPr>
        <w:tab/>
        <w:t xml:space="preserve">Quando admitida neste Aviso a entrega da proposta diretamente junto ao Setor de Licitações, será considerada, para fins de ordenação, a </w:t>
      </w:r>
      <w:r w:rsidRPr="00AC1C56">
        <w:rPr>
          <w:rFonts w:ascii="Bookman Old Style" w:eastAsiaTheme="minorEastAsia" w:hAnsi="Bookman Old Style" w:cstheme="minorHAnsi"/>
          <w:b/>
          <w:color w:val="000000" w:themeColor="text1"/>
          <w:sz w:val="24"/>
          <w:szCs w:val="24"/>
          <w:lang w:eastAsia="pt-BR"/>
        </w:rPr>
        <w:t>data e o horário constantes do respectivo protocolo de recebimento</w:t>
      </w:r>
      <w:r w:rsidRPr="00AC1C56">
        <w:rPr>
          <w:rFonts w:ascii="Bookman Old Style" w:eastAsiaTheme="minorEastAsia" w:hAnsi="Bookman Old Style" w:cstheme="minorHAnsi"/>
          <w:color w:val="000000" w:themeColor="text1"/>
          <w:sz w:val="24"/>
          <w:szCs w:val="24"/>
          <w:lang w:eastAsia="pt-BR"/>
        </w:rPr>
        <w:t>, inserindo-se a proposta na ordem cronológica juntamente com aquelas recebidas por meio eletrônico.</w:t>
      </w:r>
    </w:p>
    <w:p w14:paraId="5542668F"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4.2.5.</w:t>
      </w:r>
      <w:r w:rsidRPr="00AC1C56">
        <w:rPr>
          <w:rFonts w:ascii="Bookman Old Style" w:eastAsiaTheme="minorEastAsia" w:hAnsi="Bookman Old Style" w:cstheme="minorHAnsi"/>
          <w:color w:val="000000" w:themeColor="text1"/>
          <w:sz w:val="24"/>
          <w:szCs w:val="24"/>
          <w:lang w:eastAsia="pt-BR"/>
        </w:rPr>
        <w:tab/>
        <w:t xml:space="preserve">Antes do início da fase competitiva, o Agente de Contratação informará aos participantes a </w:t>
      </w:r>
      <w:r w:rsidRPr="00AC1C56">
        <w:rPr>
          <w:rFonts w:ascii="Bookman Old Style" w:eastAsiaTheme="minorEastAsia" w:hAnsi="Bookman Old Style" w:cstheme="minorHAnsi"/>
          <w:b/>
          <w:color w:val="000000" w:themeColor="text1"/>
          <w:sz w:val="24"/>
          <w:szCs w:val="24"/>
          <w:lang w:eastAsia="pt-BR"/>
        </w:rPr>
        <w:t>ordem definida para apresentação dos lances</w:t>
      </w:r>
      <w:r w:rsidRPr="00AC1C56">
        <w:rPr>
          <w:rFonts w:ascii="Bookman Old Style" w:eastAsiaTheme="minorEastAsia" w:hAnsi="Bookman Old Style" w:cstheme="minorHAnsi"/>
          <w:color w:val="000000" w:themeColor="text1"/>
          <w:sz w:val="24"/>
          <w:szCs w:val="24"/>
          <w:lang w:eastAsia="pt-BR"/>
        </w:rPr>
        <w:t>, a qual será mantida durante as rodadas subsequentes, ressalvadas as hipóteses previstas neste Aviso.</w:t>
      </w:r>
    </w:p>
    <w:p w14:paraId="6F654D9E"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4.2.6.</w:t>
      </w:r>
      <w:r w:rsidRPr="00AC1C56">
        <w:rPr>
          <w:rFonts w:ascii="Bookman Old Style" w:eastAsiaTheme="minorEastAsia" w:hAnsi="Bookman Old Style" w:cstheme="minorHAnsi"/>
          <w:color w:val="000000" w:themeColor="text1"/>
          <w:sz w:val="24"/>
          <w:szCs w:val="24"/>
          <w:lang w:eastAsia="pt-BR"/>
        </w:rPr>
        <w:tab/>
        <w:t xml:space="preserve">Iniciada cada rodada, o Agente de Contratação convocará individualmente os fornecedores, observando a ordem previamente estabelecida, para que manifestem, por meio do chat da sessão, seu </w:t>
      </w:r>
      <w:r w:rsidRPr="00AC1C56">
        <w:rPr>
          <w:rFonts w:ascii="Bookman Old Style" w:eastAsiaTheme="minorEastAsia" w:hAnsi="Bookman Old Style" w:cstheme="minorHAnsi"/>
          <w:b/>
          <w:color w:val="000000" w:themeColor="text1"/>
          <w:sz w:val="24"/>
          <w:szCs w:val="24"/>
          <w:lang w:eastAsia="pt-BR"/>
        </w:rPr>
        <w:t>lance ou a opção de não reduzir o valor naquele momento.</w:t>
      </w:r>
    </w:p>
    <w:p w14:paraId="1C5FA627"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lastRenderedPageBreak/>
        <w:t>4.2.7.</w:t>
      </w:r>
      <w:r w:rsidRPr="00AC1C56">
        <w:rPr>
          <w:rFonts w:ascii="Bookman Old Style" w:eastAsiaTheme="minorEastAsia" w:hAnsi="Bookman Old Style" w:cstheme="minorHAnsi"/>
          <w:color w:val="000000" w:themeColor="text1"/>
          <w:sz w:val="24"/>
          <w:szCs w:val="24"/>
          <w:lang w:eastAsia="pt-BR"/>
        </w:rPr>
        <w:tab/>
        <w:t xml:space="preserve">Cada fornecedor deverá aguardar sua convocação pelo Agente de Contratação para apresentação do lance, </w:t>
      </w:r>
      <w:r w:rsidRPr="00AC1C56">
        <w:rPr>
          <w:rFonts w:ascii="Bookman Old Style" w:eastAsiaTheme="minorEastAsia" w:hAnsi="Bookman Old Style" w:cstheme="minorHAnsi"/>
          <w:b/>
          <w:color w:val="000000" w:themeColor="text1"/>
          <w:sz w:val="24"/>
          <w:szCs w:val="24"/>
          <w:lang w:eastAsia="pt-BR"/>
        </w:rPr>
        <w:t>não sendo considerados, para fins daquela rodada</w:t>
      </w:r>
      <w:r w:rsidRPr="00AC1C56">
        <w:rPr>
          <w:rFonts w:ascii="Bookman Old Style" w:eastAsiaTheme="minorEastAsia" w:hAnsi="Bookman Old Style" w:cstheme="minorHAnsi"/>
          <w:color w:val="000000" w:themeColor="text1"/>
          <w:sz w:val="24"/>
          <w:szCs w:val="24"/>
          <w:lang w:eastAsia="pt-BR"/>
        </w:rPr>
        <w:t>,</w:t>
      </w:r>
      <w:r w:rsidRPr="00AC1C56">
        <w:rPr>
          <w:rFonts w:ascii="Bookman Old Style" w:eastAsiaTheme="minorEastAsia" w:hAnsi="Bookman Old Style" w:cstheme="minorHAnsi"/>
          <w:b/>
          <w:color w:val="000000" w:themeColor="text1"/>
          <w:sz w:val="24"/>
          <w:szCs w:val="24"/>
          <w:lang w:eastAsia="pt-BR"/>
        </w:rPr>
        <w:t xml:space="preserve"> lances apresentados fora da respectiva ordem de convocação</w:t>
      </w:r>
      <w:r w:rsidRPr="00AC1C56">
        <w:rPr>
          <w:rFonts w:ascii="Bookman Old Style" w:eastAsiaTheme="minorEastAsia" w:hAnsi="Bookman Old Style" w:cstheme="minorHAnsi"/>
          <w:color w:val="000000" w:themeColor="text1"/>
          <w:sz w:val="24"/>
          <w:szCs w:val="24"/>
          <w:lang w:eastAsia="pt-BR"/>
        </w:rPr>
        <w:t>, devendo o fornecedor aguardar nova autorização para manifestação.</w:t>
      </w:r>
    </w:p>
    <w:p w14:paraId="1C75F478"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4.2.8.</w:t>
      </w:r>
      <w:r w:rsidRPr="00AC1C56">
        <w:rPr>
          <w:rFonts w:ascii="Bookman Old Style" w:eastAsiaTheme="minorEastAsia" w:hAnsi="Bookman Old Style" w:cstheme="minorHAnsi"/>
          <w:color w:val="000000" w:themeColor="text1"/>
          <w:sz w:val="24"/>
          <w:szCs w:val="24"/>
          <w:lang w:eastAsia="pt-BR"/>
        </w:rPr>
        <w:tab/>
        <w:t xml:space="preserve">Cada lance regularmente apresentado será registrado em tempo real pelo Agente de Contratação na planilha eletrônica utilizada para controle da disputa, devendo o fornecedor aguardar a </w:t>
      </w:r>
      <w:r w:rsidRPr="00AC1C56">
        <w:rPr>
          <w:rFonts w:ascii="Bookman Old Style" w:eastAsiaTheme="minorEastAsia" w:hAnsi="Bookman Old Style" w:cstheme="minorHAnsi"/>
          <w:b/>
          <w:color w:val="000000" w:themeColor="text1"/>
          <w:sz w:val="24"/>
          <w:szCs w:val="24"/>
          <w:lang w:eastAsia="pt-BR"/>
        </w:rPr>
        <w:t>confirmação do registro</w:t>
      </w:r>
      <w:r w:rsidRPr="00AC1C56">
        <w:rPr>
          <w:rFonts w:ascii="Bookman Old Style" w:eastAsiaTheme="minorEastAsia" w:hAnsi="Bookman Old Style" w:cstheme="minorHAnsi"/>
          <w:color w:val="000000" w:themeColor="text1"/>
          <w:sz w:val="24"/>
          <w:szCs w:val="24"/>
          <w:lang w:eastAsia="pt-BR"/>
        </w:rPr>
        <w:t xml:space="preserve"> antes de eventual nova manifestação.</w:t>
      </w:r>
    </w:p>
    <w:p w14:paraId="74307250"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4.2.9.</w:t>
      </w:r>
      <w:r w:rsidRPr="00AC1C56">
        <w:rPr>
          <w:rFonts w:ascii="Bookman Old Style" w:eastAsiaTheme="minorEastAsia" w:hAnsi="Bookman Old Style" w:cstheme="minorHAnsi"/>
          <w:color w:val="000000" w:themeColor="text1"/>
          <w:sz w:val="24"/>
          <w:szCs w:val="24"/>
          <w:lang w:eastAsia="pt-BR"/>
        </w:rPr>
        <w:tab/>
        <w:t xml:space="preserve">Encerrada a manifestação do último fornecedor da ordem estabelecida, será iniciada </w:t>
      </w:r>
      <w:r w:rsidRPr="00AC1C56">
        <w:rPr>
          <w:rFonts w:ascii="Bookman Old Style" w:eastAsiaTheme="minorEastAsia" w:hAnsi="Bookman Old Style" w:cstheme="minorHAnsi"/>
          <w:b/>
          <w:color w:val="000000" w:themeColor="text1"/>
          <w:sz w:val="24"/>
          <w:szCs w:val="24"/>
          <w:lang w:eastAsia="pt-BR"/>
        </w:rPr>
        <w:t>nova rodada de lances</w:t>
      </w:r>
      <w:r w:rsidRPr="00AC1C56">
        <w:rPr>
          <w:rFonts w:ascii="Bookman Old Style" w:eastAsiaTheme="minorEastAsia" w:hAnsi="Bookman Old Style" w:cstheme="minorHAnsi"/>
          <w:color w:val="000000" w:themeColor="text1"/>
          <w:sz w:val="24"/>
          <w:szCs w:val="24"/>
          <w:lang w:eastAsia="pt-BR"/>
        </w:rPr>
        <w:t>, observando-se novamente a mesma sequência de participantes, enquanto houver interesse na apresentação de novas ofertas.</w:t>
      </w:r>
    </w:p>
    <w:p w14:paraId="019E5549" w14:textId="77777777" w:rsidR="00AC1C56" w:rsidRPr="00AC1C56" w:rsidRDefault="00AC1C56" w:rsidP="00AC1C56">
      <w:pPr>
        <w:tabs>
          <w:tab w:val="left" w:pos="851"/>
        </w:tabs>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4.2.10.</w:t>
      </w:r>
      <w:r w:rsidRPr="00AC1C56">
        <w:rPr>
          <w:rFonts w:ascii="Bookman Old Style" w:eastAsiaTheme="minorEastAsia" w:hAnsi="Bookman Old Style" w:cstheme="minorHAnsi"/>
          <w:color w:val="000000" w:themeColor="text1"/>
          <w:sz w:val="24"/>
          <w:szCs w:val="24"/>
          <w:lang w:eastAsia="pt-BR"/>
        </w:rPr>
        <w:tab/>
        <w:t xml:space="preserve">O fornecedor que optar por </w:t>
      </w:r>
      <w:r w:rsidRPr="00AC1C56">
        <w:rPr>
          <w:rFonts w:ascii="Bookman Old Style" w:eastAsiaTheme="minorEastAsia" w:hAnsi="Bookman Old Style" w:cstheme="minorHAnsi"/>
          <w:b/>
          <w:color w:val="000000" w:themeColor="text1"/>
          <w:sz w:val="24"/>
          <w:szCs w:val="24"/>
          <w:lang w:eastAsia="pt-BR"/>
        </w:rPr>
        <w:t>não apresentar lance em determinada rodada</w:t>
      </w:r>
      <w:r w:rsidRPr="00AC1C56">
        <w:rPr>
          <w:rFonts w:ascii="Bookman Old Style" w:eastAsiaTheme="minorEastAsia" w:hAnsi="Bookman Old Style" w:cstheme="minorHAnsi"/>
          <w:color w:val="000000" w:themeColor="text1"/>
          <w:sz w:val="24"/>
          <w:szCs w:val="24"/>
          <w:lang w:eastAsia="pt-BR"/>
        </w:rPr>
        <w:t xml:space="preserve"> permanecerá na disputa com o menor valor por ele anteriormente ofertado, podendo voltar a apresentar lance em rodada subsequente, desde que a fase competitiva ainda não tenha sido encerrada.</w:t>
      </w:r>
    </w:p>
    <w:p w14:paraId="323A8C7D" w14:textId="77777777" w:rsidR="00AC1C56" w:rsidRPr="00AC1C56" w:rsidRDefault="00AC1C56" w:rsidP="00AC1C56">
      <w:pPr>
        <w:tabs>
          <w:tab w:val="left" w:pos="851"/>
        </w:tabs>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4.2.11.</w:t>
      </w:r>
      <w:r w:rsidRPr="00AC1C56">
        <w:rPr>
          <w:rFonts w:ascii="Bookman Old Style" w:eastAsiaTheme="minorEastAsia" w:hAnsi="Bookman Old Style" w:cstheme="minorHAnsi"/>
          <w:color w:val="000000" w:themeColor="text1"/>
          <w:sz w:val="24"/>
          <w:szCs w:val="24"/>
          <w:lang w:eastAsia="pt-BR"/>
        </w:rPr>
        <w:tab/>
        <w:t xml:space="preserve">A ausência de apresentação de lance não implicará desistência da proposta, permanecendo válido, para fins de classificação, o </w:t>
      </w:r>
      <w:r w:rsidRPr="00AC1C56">
        <w:rPr>
          <w:rFonts w:ascii="Bookman Old Style" w:eastAsiaTheme="minorEastAsia" w:hAnsi="Bookman Old Style" w:cstheme="minorHAnsi"/>
          <w:b/>
          <w:color w:val="000000" w:themeColor="text1"/>
          <w:sz w:val="24"/>
          <w:szCs w:val="24"/>
          <w:lang w:eastAsia="pt-BR"/>
        </w:rPr>
        <w:t>menor valor regularmente ofertado pelo fornecedor</w:t>
      </w:r>
      <w:r w:rsidRPr="00AC1C56">
        <w:rPr>
          <w:rFonts w:ascii="Bookman Old Style" w:eastAsiaTheme="minorEastAsia" w:hAnsi="Bookman Old Style" w:cstheme="minorHAnsi"/>
          <w:color w:val="000000" w:themeColor="text1"/>
          <w:sz w:val="24"/>
          <w:szCs w:val="24"/>
          <w:lang w:eastAsia="pt-BR"/>
        </w:rPr>
        <w:t>, inclusive sua proposta inicial, caso não tenha apresentado qualquer lance.</w:t>
      </w:r>
    </w:p>
    <w:p w14:paraId="0B2C6F61" w14:textId="77777777" w:rsidR="00AC1C56" w:rsidRPr="00AC1C56" w:rsidRDefault="00AC1C56" w:rsidP="00AC1C56">
      <w:pPr>
        <w:tabs>
          <w:tab w:val="left" w:pos="851"/>
        </w:tabs>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4.2.12.</w:t>
      </w:r>
      <w:r w:rsidRPr="00AC1C56">
        <w:rPr>
          <w:rFonts w:ascii="Bookman Old Style" w:eastAsiaTheme="minorEastAsia" w:hAnsi="Bookman Old Style" w:cstheme="minorHAnsi"/>
          <w:color w:val="000000" w:themeColor="text1"/>
          <w:sz w:val="24"/>
          <w:szCs w:val="24"/>
          <w:lang w:eastAsia="pt-BR"/>
        </w:rPr>
        <w:tab/>
        <w:t xml:space="preserve">Para fins de comprovação da manifestação do fornecedor, será considerado o registro realizado no </w:t>
      </w:r>
      <w:r w:rsidRPr="00AC1C56">
        <w:rPr>
          <w:rFonts w:ascii="Bookman Old Style" w:eastAsiaTheme="minorEastAsia" w:hAnsi="Bookman Old Style" w:cstheme="minorHAnsi"/>
          <w:b/>
          <w:color w:val="000000" w:themeColor="text1"/>
          <w:sz w:val="24"/>
          <w:szCs w:val="24"/>
          <w:lang w:eastAsia="pt-BR"/>
        </w:rPr>
        <w:t xml:space="preserve">chat da sessão do Google </w:t>
      </w:r>
      <w:proofErr w:type="spellStart"/>
      <w:r w:rsidRPr="00AC1C56">
        <w:rPr>
          <w:rFonts w:ascii="Bookman Old Style" w:eastAsiaTheme="minorEastAsia" w:hAnsi="Bookman Old Style" w:cstheme="minorHAnsi"/>
          <w:b/>
          <w:color w:val="000000" w:themeColor="text1"/>
          <w:sz w:val="24"/>
          <w:szCs w:val="24"/>
          <w:lang w:eastAsia="pt-BR"/>
        </w:rPr>
        <w:t>Meet</w:t>
      </w:r>
      <w:proofErr w:type="spellEnd"/>
      <w:r w:rsidRPr="00AC1C56">
        <w:rPr>
          <w:rFonts w:ascii="Bookman Old Style" w:eastAsiaTheme="minorEastAsia" w:hAnsi="Bookman Old Style" w:cstheme="minorHAnsi"/>
          <w:color w:val="000000" w:themeColor="text1"/>
          <w:sz w:val="24"/>
          <w:szCs w:val="24"/>
          <w:lang w:eastAsia="pt-BR"/>
        </w:rPr>
        <w:t>, sem prejuízo de sua transcrição para a planilha eletrônica utilizada pelo Agente de Contratação.</w:t>
      </w:r>
    </w:p>
    <w:p w14:paraId="42B9A4A8" w14:textId="77777777" w:rsidR="00AC1C56" w:rsidRPr="00AC1C56" w:rsidRDefault="00AC1C56" w:rsidP="00AC1C56">
      <w:pPr>
        <w:tabs>
          <w:tab w:val="left" w:pos="851"/>
        </w:tabs>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4.2.13.</w:t>
      </w:r>
      <w:r w:rsidRPr="00AC1C56">
        <w:rPr>
          <w:rFonts w:ascii="Bookman Old Style" w:eastAsiaTheme="minorEastAsia" w:hAnsi="Bookman Old Style" w:cstheme="minorHAnsi"/>
          <w:color w:val="000000" w:themeColor="text1"/>
          <w:sz w:val="24"/>
          <w:szCs w:val="24"/>
          <w:lang w:eastAsia="pt-BR"/>
        </w:rPr>
        <w:tab/>
        <w:t>Durante a fase de lances, os participantes acompanharão em tempo real as ofertas registradas, mediante compartilhamento da tela da planilha eletrônica em Microsoft Excel.</w:t>
      </w:r>
    </w:p>
    <w:p w14:paraId="66EE9D01" w14:textId="77777777" w:rsidR="00AC1C56" w:rsidRPr="00AC1C56" w:rsidRDefault="00AC1C56" w:rsidP="00AC1C56">
      <w:pPr>
        <w:tabs>
          <w:tab w:val="left" w:pos="851"/>
        </w:tabs>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4.2.14.</w:t>
      </w:r>
      <w:r w:rsidRPr="00AC1C56">
        <w:rPr>
          <w:rFonts w:ascii="Bookman Old Style" w:eastAsiaTheme="minorEastAsia" w:hAnsi="Bookman Old Style" w:cstheme="minorHAnsi"/>
          <w:color w:val="000000" w:themeColor="text1"/>
          <w:sz w:val="24"/>
          <w:szCs w:val="24"/>
          <w:lang w:eastAsia="pt-BR"/>
        </w:rPr>
        <w:tab/>
        <w:t xml:space="preserve">Os lances deverão ser ofertados pelo </w:t>
      </w:r>
      <w:r w:rsidRPr="00AC1C56">
        <w:rPr>
          <w:rFonts w:ascii="Bookman Old Style" w:eastAsiaTheme="minorEastAsia" w:hAnsi="Bookman Old Style" w:cstheme="minorHAnsi"/>
          <w:b/>
          <w:color w:val="000000" w:themeColor="text1"/>
          <w:sz w:val="24"/>
          <w:szCs w:val="24"/>
          <w:lang w:eastAsia="pt-BR"/>
        </w:rPr>
        <w:t>valor unitário do respectivo item</w:t>
      </w:r>
      <w:r w:rsidRPr="00AC1C56">
        <w:rPr>
          <w:rFonts w:ascii="Bookman Old Style" w:eastAsiaTheme="minorEastAsia" w:hAnsi="Bookman Old Style" w:cstheme="minorHAnsi"/>
          <w:color w:val="000000" w:themeColor="text1"/>
          <w:sz w:val="24"/>
          <w:szCs w:val="24"/>
          <w:lang w:eastAsia="pt-BR"/>
        </w:rPr>
        <w:t>, observando-se o critério de julgamento estabelecido neste Aviso.</w:t>
      </w:r>
    </w:p>
    <w:p w14:paraId="6B0A1AF5"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4.3.</w:t>
      </w:r>
      <w:r w:rsidRPr="00AC1C56">
        <w:rPr>
          <w:rFonts w:ascii="Bookman Old Style" w:eastAsiaTheme="minorEastAsia" w:hAnsi="Bookman Old Style" w:cstheme="minorHAnsi"/>
          <w:b/>
          <w:color w:val="000000" w:themeColor="text1"/>
          <w:sz w:val="24"/>
          <w:szCs w:val="24"/>
          <w:lang w:eastAsia="pt-BR"/>
        </w:rPr>
        <w:tab/>
        <w:t>DAS REGRAS PARA APRESENTAÇÃO DOS LANCES</w:t>
      </w:r>
    </w:p>
    <w:p w14:paraId="7DB922E9"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4.3.1.</w:t>
      </w:r>
      <w:r w:rsidRPr="00AC1C56">
        <w:rPr>
          <w:rFonts w:ascii="Bookman Old Style" w:eastAsiaTheme="minorEastAsia" w:hAnsi="Bookman Old Style" w:cstheme="minorHAnsi"/>
          <w:color w:val="000000" w:themeColor="text1"/>
          <w:sz w:val="24"/>
          <w:szCs w:val="24"/>
          <w:lang w:eastAsia="pt-BR"/>
        </w:rPr>
        <w:tab/>
        <w:t xml:space="preserve">O fornecedor somente poderá oferecer lance de valor </w:t>
      </w:r>
      <w:r w:rsidRPr="00AC1C56">
        <w:rPr>
          <w:rFonts w:ascii="Bookman Old Style" w:eastAsiaTheme="minorEastAsia" w:hAnsi="Bookman Old Style" w:cstheme="minorHAnsi"/>
          <w:b/>
          <w:color w:val="000000" w:themeColor="text1"/>
          <w:sz w:val="24"/>
          <w:szCs w:val="24"/>
          <w:lang w:eastAsia="pt-BR"/>
        </w:rPr>
        <w:t>inferior ao último lance por ele próprio ofertado.</w:t>
      </w:r>
    </w:p>
    <w:p w14:paraId="427D32DD"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4.3.2.</w:t>
      </w:r>
      <w:r w:rsidRPr="00AC1C56">
        <w:rPr>
          <w:rFonts w:ascii="Bookman Old Style" w:eastAsiaTheme="minorEastAsia" w:hAnsi="Bookman Old Style" w:cstheme="minorHAnsi"/>
          <w:color w:val="000000" w:themeColor="text1"/>
          <w:sz w:val="24"/>
          <w:szCs w:val="24"/>
          <w:lang w:eastAsia="pt-BR"/>
        </w:rPr>
        <w:tab/>
        <w:t xml:space="preserve">O fornecedor poderá apresentar lance de valor superior ao menor lance vigente na disputa, desde que seja inferior ao último valor por ele próprio ofertado, hipótese em que será considerado </w:t>
      </w:r>
      <w:r w:rsidRPr="00AC1C56">
        <w:rPr>
          <w:rFonts w:ascii="Bookman Old Style" w:eastAsiaTheme="minorEastAsia" w:hAnsi="Bookman Old Style" w:cstheme="minorHAnsi"/>
          <w:b/>
          <w:color w:val="000000" w:themeColor="text1"/>
          <w:sz w:val="24"/>
          <w:szCs w:val="24"/>
          <w:lang w:eastAsia="pt-BR"/>
        </w:rPr>
        <w:t>lance intermediário.</w:t>
      </w:r>
    </w:p>
    <w:p w14:paraId="5815299E"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4.3.3.</w:t>
      </w:r>
      <w:r w:rsidRPr="00AC1C56">
        <w:rPr>
          <w:rFonts w:ascii="Bookman Old Style" w:eastAsiaTheme="minorEastAsia" w:hAnsi="Bookman Old Style" w:cstheme="minorHAnsi"/>
          <w:color w:val="000000" w:themeColor="text1"/>
          <w:sz w:val="24"/>
          <w:szCs w:val="24"/>
          <w:lang w:eastAsia="pt-BR"/>
        </w:rPr>
        <w:tab/>
        <w:t xml:space="preserve">O intervalo mínimo de diferença entre os lances será de </w:t>
      </w:r>
      <w:r w:rsidRPr="00AC1C56">
        <w:rPr>
          <w:rFonts w:ascii="Bookman Old Style" w:eastAsiaTheme="minorEastAsia" w:hAnsi="Bookman Old Style" w:cstheme="minorHAnsi"/>
          <w:b/>
          <w:i/>
          <w:color w:val="000000" w:themeColor="text1"/>
          <w:sz w:val="24"/>
          <w:szCs w:val="24"/>
          <w:lang w:eastAsia="pt-BR"/>
        </w:rPr>
        <w:t>R$ 0,01 (um centavo)</w:t>
      </w:r>
      <w:r w:rsidRPr="00AC1C56">
        <w:rPr>
          <w:rFonts w:ascii="Bookman Old Style" w:eastAsiaTheme="minorEastAsia" w:hAnsi="Bookman Old Style" w:cstheme="minorHAnsi"/>
          <w:color w:val="000000" w:themeColor="text1"/>
          <w:sz w:val="24"/>
          <w:szCs w:val="24"/>
          <w:lang w:eastAsia="pt-BR"/>
        </w:rPr>
        <w:t>, aplicável tanto aos lances intermediários quanto aos destinados a superar a melhor oferta.</w:t>
      </w:r>
    </w:p>
    <w:p w14:paraId="3EEA6A5D"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4.3.4.</w:t>
      </w:r>
      <w:r w:rsidRPr="00AC1C56">
        <w:rPr>
          <w:rFonts w:ascii="Bookman Old Style" w:eastAsiaTheme="minorEastAsia" w:hAnsi="Bookman Old Style" w:cstheme="minorHAnsi"/>
          <w:color w:val="000000" w:themeColor="text1"/>
          <w:sz w:val="24"/>
          <w:szCs w:val="24"/>
          <w:lang w:eastAsia="pt-BR"/>
        </w:rPr>
        <w:tab/>
        <w:t xml:space="preserve">Na hipótese de apresentação de lances de mesmo valor, prevalecerá aquele que tiver sido </w:t>
      </w:r>
      <w:r w:rsidRPr="00AC1C56">
        <w:rPr>
          <w:rFonts w:ascii="Bookman Old Style" w:eastAsiaTheme="minorEastAsia" w:hAnsi="Bookman Old Style" w:cstheme="minorHAnsi"/>
          <w:b/>
          <w:color w:val="000000" w:themeColor="text1"/>
          <w:sz w:val="24"/>
          <w:szCs w:val="24"/>
          <w:lang w:eastAsia="pt-BR"/>
        </w:rPr>
        <w:t>registrado</w:t>
      </w:r>
      <w:r w:rsidRPr="00AC1C56">
        <w:rPr>
          <w:rFonts w:ascii="Bookman Old Style" w:eastAsiaTheme="minorEastAsia" w:hAnsi="Bookman Old Style" w:cstheme="minorHAnsi"/>
          <w:color w:val="000000" w:themeColor="text1"/>
          <w:sz w:val="24"/>
          <w:szCs w:val="24"/>
          <w:lang w:eastAsia="pt-BR"/>
        </w:rPr>
        <w:t xml:space="preserve"> </w:t>
      </w:r>
      <w:r w:rsidRPr="00AC1C56">
        <w:rPr>
          <w:rFonts w:ascii="Bookman Old Style" w:eastAsiaTheme="minorEastAsia" w:hAnsi="Bookman Old Style" w:cstheme="minorHAnsi"/>
          <w:b/>
          <w:color w:val="000000" w:themeColor="text1"/>
          <w:sz w:val="24"/>
          <w:szCs w:val="24"/>
          <w:lang w:eastAsia="pt-BR"/>
        </w:rPr>
        <w:t>primeiro no chat da sessão</w:t>
      </w:r>
      <w:r w:rsidRPr="00AC1C56">
        <w:rPr>
          <w:rFonts w:ascii="Bookman Old Style" w:eastAsiaTheme="minorEastAsia" w:hAnsi="Bookman Old Style" w:cstheme="minorHAnsi"/>
          <w:color w:val="000000" w:themeColor="text1"/>
          <w:sz w:val="24"/>
          <w:szCs w:val="24"/>
          <w:lang w:eastAsia="pt-BR"/>
        </w:rPr>
        <w:t>, sem prejuízo da aplicação dos critérios legais de desempate, quando cabíveis.</w:t>
      </w:r>
    </w:p>
    <w:p w14:paraId="41FF5511"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4.3.5.</w:t>
      </w:r>
      <w:r w:rsidRPr="00AC1C56">
        <w:rPr>
          <w:rFonts w:ascii="Bookman Old Style" w:eastAsiaTheme="minorEastAsia" w:hAnsi="Bookman Old Style" w:cstheme="minorHAnsi"/>
          <w:color w:val="000000" w:themeColor="text1"/>
          <w:sz w:val="24"/>
          <w:szCs w:val="24"/>
          <w:lang w:eastAsia="pt-BR"/>
        </w:rPr>
        <w:tab/>
        <w:t>O fornecedor não será obrigado a apresentar novos lances, permanecendo válida, para fins de classificação, sua proposta inicial ou o último lance regularmente apresentado.</w:t>
      </w:r>
    </w:p>
    <w:p w14:paraId="7B6F3A80"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4.4.</w:t>
      </w:r>
      <w:r w:rsidRPr="00AC1C56">
        <w:rPr>
          <w:rFonts w:ascii="Bookman Old Style" w:eastAsiaTheme="minorEastAsia" w:hAnsi="Bookman Old Style" w:cstheme="minorHAnsi"/>
          <w:b/>
          <w:color w:val="000000" w:themeColor="text1"/>
          <w:sz w:val="24"/>
          <w:szCs w:val="24"/>
          <w:lang w:eastAsia="pt-BR"/>
        </w:rPr>
        <w:tab/>
        <w:t>DA DURAÇÃO E DO ENCERRAMENTO DA FASE DE LANCES</w:t>
      </w:r>
    </w:p>
    <w:p w14:paraId="75242BB8"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4.4.1.</w:t>
      </w:r>
      <w:r w:rsidRPr="00AC1C56">
        <w:rPr>
          <w:rFonts w:ascii="Bookman Old Style" w:eastAsiaTheme="minorEastAsia" w:hAnsi="Bookman Old Style" w:cstheme="minorHAnsi"/>
          <w:color w:val="000000" w:themeColor="text1"/>
          <w:sz w:val="24"/>
          <w:szCs w:val="24"/>
          <w:lang w:eastAsia="pt-BR"/>
        </w:rPr>
        <w:tab/>
        <w:t xml:space="preserve">O horário de </w:t>
      </w:r>
      <w:r w:rsidRPr="00AC1C56">
        <w:rPr>
          <w:rFonts w:ascii="Bookman Old Style" w:eastAsiaTheme="minorEastAsia" w:hAnsi="Bookman Old Style" w:cstheme="minorHAnsi"/>
          <w:b/>
          <w:color w:val="000000" w:themeColor="text1"/>
          <w:sz w:val="24"/>
          <w:szCs w:val="24"/>
          <w:lang w:eastAsia="pt-BR"/>
        </w:rPr>
        <w:t>09h30min corresponde ao início da sessão pública</w:t>
      </w:r>
      <w:r w:rsidRPr="00AC1C56">
        <w:rPr>
          <w:rFonts w:ascii="Bookman Old Style" w:eastAsiaTheme="minorEastAsia" w:hAnsi="Bookman Old Style" w:cstheme="minorHAnsi"/>
          <w:color w:val="000000" w:themeColor="text1"/>
          <w:sz w:val="24"/>
          <w:szCs w:val="24"/>
          <w:lang w:eastAsia="pt-BR"/>
        </w:rPr>
        <w:t>, não havendo horário previamente fixado para seu encerramento.</w:t>
      </w:r>
    </w:p>
    <w:p w14:paraId="07AE2F5A"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lastRenderedPageBreak/>
        <w:t>4.4.2.</w:t>
      </w:r>
      <w:r w:rsidRPr="00AC1C56">
        <w:rPr>
          <w:rFonts w:ascii="Bookman Old Style" w:eastAsiaTheme="minorEastAsia" w:hAnsi="Bookman Old Style" w:cstheme="minorHAnsi"/>
          <w:color w:val="000000" w:themeColor="text1"/>
          <w:sz w:val="24"/>
          <w:szCs w:val="24"/>
          <w:lang w:eastAsia="pt-BR"/>
        </w:rPr>
        <w:tab/>
        <w:t>A fase competitiva permanecerá aberta pelo período necessário à realização da disputa, sendo encerrada pelo Agente de Contratação após a conclusão das rodadas de lances e dos procedimentos estabelecidos neste Aviso.</w:t>
      </w:r>
    </w:p>
    <w:p w14:paraId="405B4CC3"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4.4.3.</w:t>
      </w:r>
      <w:r w:rsidRPr="00AC1C56">
        <w:rPr>
          <w:rFonts w:ascii="Bookman Old Style" w:eastAsiaTheme="minorEastAsia" w:hAnsi="Bookman Old Style" w:cstheme="minorHAnsi"/>
          <w:color w:val="000000" w:themeColor="text1"/>
          <w:sz w:val="24"/>
          <w:szCs w:val="24"/>
          <w:lang w:eastAsia="pt-BR"/>
        </w:rPr>
        <w:tab/>
        <w:t xml:space="preserve">Antes de declarar encerrada a disputa de cada item, o Agente de Contratação informará aos participantes que será </w:t>
      </w:r>
      <w:r w:rsidRPr="00AC1C56">
        <w:rPr>
          <w:rFonts w:ascii="Bookman Old Style" w:eastAsiaTheme="minorEastAsia" w:hAnsi="Bookman Old Style" w:cstheme="minorHAnsi"/>
          <w:b/>
          <w:color w:val="000000" w:themeColor="text1"/>
          <w:sz w:val="24"/>
          <w:szCs w:val="24"/>
          <w:lang w:eastAsia="pt-BR"/>
        </w:rPr>
        <w:t>concedida a última oportunidade para apresentação de lance</w:t>
      </w:r>
      <w:r w:rsidRPr="00AC1C56">
        <w:rPr>
          <w:rFonts w:ascii="Bookman Old Style" w:eastAsiaTheme="minorEastAsia" w:hAnsi="Bookman Old Style" w:cstheme="minorHAnsi"/>
          <w:color w:val="000000" w:themeColor="text1"/>
          <w:sz w:val="24"/>
          <w:szCs w:val="24"/>
          <w:lang w:eastAsia="pt-BR"/>
        </w:rPr>
        <w:t>, assegurando aos fornecedores presentes igual oportunidade de manifestação.</w:t>
      </w:r>
    </w:p>
    <w:p w14:paraId="099CB01B"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4.4.4.</w:t>
      </w:r>
      <w:r w:rsidRPr="00AC1C56">
        <w:rPr>
          <w:rFonts w:ascii="Bookman Old Style" w:eastAsiaTheme="minorEastAsia" w:hAnsi="Bookman Old Style" w:cstheme="minorHAnsi"/>
          <w:color w:val="000000" w:themeColor="text1"/>
          <w:sz w:val="24"/>
          <w:szCs w:val="24"/>
          <w:lang w:eastAsia="pt-BR"/>
        </w:rPr>
        <w:tab/>
        <w:t xml:space="preserve">Não havendo apresentação de novo lance após a oportunidade prevista no item anterior, o Agente de Contratação declarará expressamente </w:t>
      </w:r>
      <w:r w:rsidRPr="00AC1C56">
        <w:rPr>
          <w:rFonts w:ascii="Bookman Old Style" w:eastAsiaTheme="minorEastAsia" w:hAnsi="Bookman Old Style" w:cstheme="minorHAnsi"/>
          <w:b/>
          <w:color w:val="000000" w:themeColor="text1"/>
          <w:sz w:val="24"/>
          <w:szCs w:val="24"/>
          <w:lang w:eastAsia="pt-BR"/>
        </w:rPr>
        <w:t>encerrada a fase de lances do respectivo item</w:t>
      </w:r>
      <w:r w:rsidRPr="00AC1C56">
        <w:rPr>
          <w:rFonts w:ascii="Bookman Old Style" w:eastAsiaTheme="minorEastAsia" w:hAnsi="Bookman Old Style" w:cstheme="minorHAnsi"/>
          <w:color w:val="000000" w:themeColor="text1"/>
          <w:sz w:val="24"/>
          <w:szCs w:val="24"/>
          <w:lang w:eastAsia="pt-BR"/>
        </w:rPr>
        <w:t>, não sendo admitida a apresentação de novos lances após essa declaração.</w:t>
      </w:r>
    </w:p>
    <w:p w14:paraId="5B1CB86D"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4.4.5.</w:t>
      </w:r>
      <w:r w:rsidRPr="00AC1C56">
        <w:rPr>
          <w:rFonts w:ascii="Bookman Old Style" w:eastAsiaTheme="minorEastAsia" w:hAnsi="Bookman Old Style" w:cstheme="minorHAnsi"/>
          <w:color w:val="000000" w:themeColor="text1"/>
          <w:sz w:val="24"/>
          <w:szCs w:val="24"/>
          <w:lang w:eastAsia="pt-BR"/>
        </w:rPr>
        <w:tab/>
        <w:t xml:space="preserve">Encerrada a fase de lances do respectivo item, será divulgada aos participantes a classificação das propostas em </w:t>
      </w:r>
      <w:r w:rsidRPr="00AC1C56">
        <w:rPr>
          <w:rFonts w:ascii="Bookman Old Style" w:eastAsiaTheme="minorEastAsia" w:hAnsi="Bookman Old Style" w:cstheme="minorHAnsi"/>
          <w:b/>
          <w:color w:val="000000" w:themeColor="text1"/>
          <w:sz w:val="24"/>
          <w:szCs w:val="24"/>
          <w:lang w:eastAsia="pt-BR"/>
        </w:rPr>
        <w:t>ordem crescente de valores</w:t>
      </w:r>
      <w:r w:rsidRPr="00AC1C56">
        <w:rPr>
          <w:rFonts w:ascii="Bookman Old Style" w:eastAsiaTheme="minorEastAsia" w:hAnsi="Bookman Old Style" w:cstheme="minorHAnsi"/>
          <w:color w:val="000000" w:themeColor="text1"/>
          <w:sz w:val="24"/>
          <w:szCs w:val="24"/>
          <w:lang w:eastAsia="pt-BR"/>
        </w:rPr>
        <w:t>, prosseguindo-se com as demais etapas previstas neste Aviso.</w:t>
      </w:r>
    </w:p>
    <w:p w14:paraId="77DC0569"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4.5.</w:t>
      </w:r>
      <w:r w:rsidRPr="00AC1C56">
        <w:rPr>
          <w:rFonts w:ascii="Bookman Old Style" w:eastAsiaTheme="minorEastAsia" w:hAnsi="Bookman Old Style" w:cstheme="minorHAnsi"/>
          <w:b/>
          <w:color w:val="000000" w:themeColor="text1"/>
          <w:sz w:val="24"/>
          <w:szCs w:val="24"/>
          <w:lang w:eastAsia="pt-BR"/>
        </w:rPr>
        <w:tab/>
        <w:t>DAS INTERRUPÇÕES E PROBLEMAS DE CONEXÃO</w:t>
      </w:r>
    </w:p>
    <w:p w14:paraId="4EC888DA"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4.5.1.</w:t>
      </w:r>
      <w:r w:rsidRPr="00AC1C56">
        <w:rPr>
          <w:rFonts w:ascii="Bookman Old Style" w:eastAsiaTheme="minorEastAsia" w:hAnsi="Bookman Old Style" w:cstheme="minorHAnsi"/>
          <w:color w:val="000000" w:themeColor="text1"/>
          <w:sz w:val="24"/>
          <w:szCs w:val="24"/>
          <w:lang w:eastAsia="pt-BR"/>
        </w:rPr>
        <w:tab/>
        <w:t xml:space="preserve">Caso ocorra interrupção da conexão de determinado participante durante a sessão pública, será concedido prazo de até </w:t>
      </w:r>
      <w:r w:rsidRPr="00AC1C56">
        <w:rPr>
          <w:rFonts w:ascii="Bookman Old Style" w:eastAsiaTheme="minorEastAsia" w:hAnsi="Bookman Old Style" w:cstheme="minorHAnsi"/>
          <w:b/>
          <w:color w:val="000000" w:themeColor="text1"/>
          <w:sz w:val="24"/>
          <w:szCs w:val="24"/>
          <w:lang w:eastAsia="pt-BR"/>
        </w:rPr>
        <w:t>05 (cinco) minutos</w:t>
      </w:r>
      <w:r w:rsidRPr="00AC1C56">
        <w:rPr>
          <w:rFonts w:ascii="Bookman Old Style" w:eastAsiaTheme="minorEastAsia" w:hAnsi="Bookman Old Style" w:cstheme="minorHAnsi"/>
          <w:color w:val="000000" w:themeColor="text1"/>
          <w:sz w:val="24"/>
          <w:szCs w:val="24"/>
          <w:lang w:eastAsia="pt-BR"/>
        </w:rPr>
        <w:t xml:space="preserve"> para o restabelecimento da conexão.</w:t>
      </w:r>
    </w:p>
    <w:p w14:paraId="7E36E8D6"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4.5.2.</w:t>
      </w:r>
      <w:r w:rsidRPr="00AC1C56">
        <w:rPr>
          <w:rFonts w:ascii="Bookman Old Style" w:eastAsiaTheme="minorEastAsia" w:hAnsi="Bookman Old Style" w:cstheme="minorHAnsi"/>
          <w:color w:val="000000" w:themeColor="text1"/>
          <w:sz w:val="24"/>
          <w:szCs w:val="24"/>
          <w:lang w:eastAsia="pt-BR"/>
        </w:rPr>
        <w:tab/>
        <w:t>Não sendo restabelecida a conexão no prazo previsto, a sessão poderá prosseguir com os demais participantes, permanecendo válido o último lance regularmente apresentado pelo fornecedor desconectado, sem prejuízo de seu retorno enquanto a fase competitiva ainda estiver em andamento.</w:t>
      </w:r>
    </w:p>
    <w:p w14:paraId="1B8F4B30"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4.5.3.</w:t>
      </w:r>
      <w:r w:rsidRPr="00AC1C56">
        <w:rPr>
          <w:rFonts w:ascii="Bookman Old Style" w:eastAsiaTheme="minorEastAsia" w:hAnsi="Bookman Old Style" w:cstheme="minorHAnsi"/>
          <w:color w:val="000000" w:themeColor="text1"/>
          <w:sz w:val="24"/>
          <w:szCs w:val="24"/>
          <w:lang w:eastAsia="pt-BR"/>
        </w:rPr>
        <w:tab/>
        <w:t>A desconexão individual de participante não implicará, por si só, suspensão ou reinício da fase de lances, desde que seja possível o regular prosseguimento da sessão.</w:t>
      </w:r>
    </w:p>
    <w:p w14:paraId="63442436"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4.5.4.</w:t>
      </w:r>
      <w:r w:rsidRPr="00AC1C56">
        <w:rPr>
          <w:rFonts w:ascii="Bookman Old Style" w:eastAsiaTheme="minorEastAsia" w:hAnsi="Bookman Old Style" w:cstheme="minorHAnsi"/>
          <w:color w:val="000000" w:themeColor="text1"/>
          <w:sz w:val="24"/>
          <w:szCs w:val="24"/>
          <w:lang w:eastAsia="pt-BR"/>
        </w:rPr>
        <w:tab/>
        <w:t xml:space="preserve">Caso ocorra falha generalizada, indisponibilidade da plataforma, interrupção da conexão do Agente de Contratação ou qualquer outra circunstância que comprometa o regular andamento, a transparência ou a isonomia da disputa, o Agente de Contratação poderá </w:t>
      </w:r>
      <w:r w:rsidRPr="00AC1C56">
        <w:rPr>
          <w:rFonts w:ascii="Bookman Old Style" w:eastAsiaTheme="minorEastAsia" w:hAnsi="Bookman Old Style" w:cstheme="minorHAnsi"/>
          <w:b/>
          <w:color w:val="000000" w:themeColor="text1"/>
          <w:sz w:val="24"/>
          <w:szCs w:val="24"/>
          <w:lang w:eastAsia="pt-BR"/>
        </w:rPr>
        <w:t>suspender a sessão</w:t>
      </w:r>
      <w:r w:rsidRPr="00AC1C56">
        <w:rPr>
          <w:rFonts w:ascii="Bookman Old Style" w:eastAsiaTheme="minorEastAsia" w:hAnsi="Bookman Old Style" w:cstheme="minorHAnsi"/>
          <w:color w:val="000000" w:themeColor="text1"/>
          <w:sz w:val="24"/>
          <w:szCs w:val="24"/>
          <w:lang w:eastAsia="pt-BR"/>
        </w:rPr>
        <w:t>, registrando a ocorrência em ata.</w:t>
      </w:r>
    </w:p>
    <w:p w14:paraId="482E192A"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4.6.</w:t>
      </w:r>
      <w:r w:rsidRPr="00AC1C56">
        <w:rPr>
          <w:rFonts w:ascii="Bookman Old Style" w:eastAsiaTheme="minorEastAsia" w:hAnsi="Bookman Old Style" w:cstheme="minorHAnsi"/>
          <w:b/>
          <w:color w:val="000000" w:themeColor="text1"/>
          <w:sz w:val="24"/>
          <w:szCs w:val="24"/>
          <w:lang w:eastAsia="pt-BR"/>
        </w:rPr>
        <w:tab/>
        <w:t>DA CONTINUIDADE DA SESSÃO EM NOVO LINK</w:t>
      </w:r>
    </w:p>
    <w:p w14:paraId="2B88292A"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4.6.1.</w:t>
      </w:r>
      <w:r w:rsidRPr="00AC1C56">
        <w:rPr>
          <w:rFonts w:ascii="Bookman Old Style" w:eastAsiaTheme="minorEastAsia" w:hAnsi="Bookman Old Style" w:cstheme="minorHAnsi"/>
          <w:color w:val="000000" w:themeColor="text1"/>
          <w:sz w:val="24"/>
          <w:szCs w:val="24"/>
          <w:lang w:eastAsia="pt-BR"/>
        </w:rPr>
        <w:tab/>
        <w:t xml:space="preserve">Caso a reunião seja encerrada ou interrompida em razão de </w:t>
      </w:r>
      <w:r w:rsidRPr="00AC1C56">
        <w:rPr>
          <w:rFonts w:ascii="Bookman Old Style" w:eastAsiaTheme="minorEastAsia" w:hAnsi="Bookman Old Style" w:cstheme="minorHAnsi"/>
          <w:b/>
          <w:color w:val="000000" w:themeColor="text1"/>
          <w:sz w:val="24"/>
          <w:szCs w:val="24"/>
          <w:lang w:eastAsia="pt-BR"/>
        </w:rPr>
        <w:t xml:space="preserve">limitação técnica ou temporal da plataforma Google </w:t>
      </w:r>
      <w:proofErr w:type="spellStart"/>
      <w:r w:rsidRPr="00AC1C56">
        <w:rPr>
          <w:rFonts w:ascii="Bookman Old Style" w:eastAsiaTheme="minorEastAsia" w:hAnsi="Bookman Old Style" w:cstheme="minorHAnsi"/>
          <w:b/>
          <w:color w:val="000000" w:themeColor="text1"/>
          <w:sz w:val="24"/>
          <w:szCs w:val="24"/>
          <w:lang w:eastAsia="pt-BR"/>
        </w:rPr>
        <w:t>Meet</w:t>
      </w:r>
      <w:proofErr w:type="spellEnd"/>
      <w:r w:rsidRPr="00AC1C56">
        <w:rPr>
          <w:rFonts w:ascii="Bookman Old Style" w:eastAsiaTheme="minorEastAsia" w:hAnsi="Bookman Old Style" w:cstheme="minorHAnsi"/>
          <w:color w:val="000000" w:themeColor="text1"/>
          <w:sz w:val="24"/>
          <w:szCs w:val="24"/>
          <w:lang w:eastAsia="pt-BR"/>
        </w:rPr>
        <w:t xml:space="preserve">, ou por outra circunstância que exija a abertura de nova sala virtual, será disponibilizado </w:t>
      </w:r>
      <w:r w:rsidRPr="00AC1C56">
        <w:rPr>
          <w:rFonts w:ascii="Bookman Old Style" w:eastAsiaTheme="minorEastAsia" w:hAnsi="Bookman Old Style" w:cstheme="minorHAnsi"/>
          <w:b/>
          <w:color w:val="000000" w:themeColor="text1"/>
          <w:sz w:val="24"/>
          <w:szCs w:val="24"/>
          <w:lang w:eastAsia="pt-BR"/>
        </w:rPr>
        <w:t>novo link de acesso exclusivamente aos participantes regularmente identificados na abertura da fase competitiva.</w:t>
      </w:r>
    </w:p>
    <w:p w14:paraId="219FFFFC"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4.6.2.</w:t>
      </w:r>
      <w:r w:rsidRPr="00AC1C56">
        <w:rPr>
          <w:rFonts w:ascii="Bookman Old Style" w:eastAsiaTheme="minorEastAsia" w:hAnsi="Bookman Old Style" w:cstheme="minorHAnsi"/>
          <w:color w:val="000000" w:themeColor="text1"/>
          <w:sz w:val="24"/>
          <w:szCs w:val="24"/>
          <w:lang w:eastAsia="pt-BR"/>
        </w:rPr>
        <w:tab/>
        <w:t xml:space="preserve">Na hipótese prevista no item anterior, será concedido prazo de até </w:t>
      </w:r>
      <w:r w:rsidRPr="00AC1C56">
        <w:rPr>
          <w:rFonts w:ascii="Bookman Old Style" w:eastAsiaTheme="minorEastAsia" w:hAnsi="Bookman Old Style" w:cstheme="minorHAnsi"/>
          <w:b/>
          <w:color w:val="000000" w:themeColor="text1"/>
          <w:sz w:val="24"/>
          <w:szCs w:val="24"/>
          <w:lang w:eastAsia="pt-BR"/>
        </w:rPr>
        <w:t>10 (dez) minutos</w:t>
      </w:r>
      <w:r w:rsidRPr="00AC1C56">
        <w:rPr>
          <w:rFonts w:ascii="Bookman Old Style" w:eastAsiaTheme="minorEastAsia" w:hAnsi="Bookman Old Style" w:cstheme="minorHAnsi"/>
          <w:color w:val="000000" w:themeColor="text1"/>
          <w:sz w:val="24"/>
          <w:szCs w:val="24"/>
          <w:lang w:eastAsia="pt-BR"/>
        </w:rPr>
        <w:t xml:space="preserve"> para que os participantes realizem a nova conexão, sendo a sessão retomada após esse período.</w:t>
      </w:r>
    </w:p>
    <w:p w14:paraId="122C2437"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4.6.3.</w:t>
      </w:r>
      <w:r w:rsidRPr="00AC1C56">
        <w:rPr>
          <w:rFonts w:ascii="Bookman Old Style" w:eastAsiaTheme="minorEastAsia" w:hAnsi="Bookman Old Style" w:cstheme="minorHAnsi"/>
          <w:color w:val="000000" w:themeColor="text1"/>
          <w:sz w:val="24"/>
          <w:szCs w:val="24"/>
          <w:lang w:eastAsia="pt-BR"/>
        </w:rPr>
        <w:tab/>
        <w:t xml:space="preserve">A disponibilização de novo link não caracterizará abertura de nova sessão ou reabertura da fase competitiva, constituindo </w:t>
      </w:r>
      <w:r w:rsidRPr="00AC1C56">
        <w:rPr>
          <w:rFonts w:ascii="Bookman Old Style" w:eastAsiaTheme="minorEastAsia" w:hAnsi="Bookman Old Style" w:cstheme="minorHAnsi"/>
          <w:b/>
          <w:color w:val="000000" w:themeColor="text1"/>
          <w:sz w:val="24"/>
          <w:szCs w:val="24"/>
          <w:lang w:eastAsia="pt-BR"/>
        </w:rPr>
        <w:t>mera continuidade da sessão anteriormente iniciada</w:t>
      </w:r>
      <w:r w:rsidRPr="00AC1C56">
        <w:rPr>
          <w:rFonts w:ascii="Bookman Old Style" w:eastAsiaTheme="minorEastAsia" w:hAnsi="Bookman Old Style" w:cstheme="minorHAnsi"/>
          <w:color w:val="000000" w:themeColor="text1"/>
          <w:sz w:val="24"/>
          <w:szCs w:val="24"/>
          <w:lang w:eastAsia="pt-BR"/>
        </w:rPr>
        <w:t>, permanecendo válidos todos os atos e lances regularmente registrados.</w:t>
      </w:r>
    </w:p>
    <w:p w14:paraId="42761843"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4.6.4.</w:t>
      </w:r>
      <w:r w:rsidRPr="00AC1C56">
        <w:rPr>
          <w:rFonts w:ascii="Bookman Old Style" w:eastAsiaTheme="minorEastAsia" w:hAnsi="Bookman Old Style" w:cstheme="minorHAnsi"/>
          <w:color w:val="000000" w:themeColor="text1"/>
          <w:sz w:val="24"/>
          <w:szCs w:val="24"/>
          <w:lang w:eastAsia="pt-BR"/>
        </w:rPr>
        <w:tab/>
        <w:t xml:space="preserve">O novo link não poderá ser utilizado para ingresso de fornecedor que </w:t>
      </w:r>
      <w:r w:rsidRPr="00AC1C56">
        <w:rPr>
          <w:rFonts w:ascii="Bookman Old Style" w:eastAsiaTheme="minorEastAsia" w:hAnsi="Bookman Old Style" w:cstheme="minorHAnsi"/>
          <w:b/>
          <w:color w:val="000000" w:themeColor="text1"/>
          <w:sz w:val="24"/>
          <w:szCs w:val="24"/>
          <w:lang w:eastAsia="pt-BR"/>
        </w:rPr>
        <w:t>não tenha sido identificado como presente no momento da abertura da fase competitiva</w:t>
      </w:r>
      <w:r w:rsidRPr="00AC1C56">
        <w:rPr>
          <w:rFonts w:ascii="Bookman Old Style" w:eastAsiaTheme="minorEastAsia" w:hAnsi="Bookman Old Style" w:cstheme="minorHAnsi"/>
          <w:color w:val="000000" w:themeColor="text1"/>
          <w:sz w:val="24"/>
          <w:szCs w:val="24"/>
          <w:lang w:eastAsia="pt-BR"/>
        </w:rPr>
        <w:t>, ressalvado o retorno dos participantes já credenciados e presentes na sessão original.</w:t>
      </w:r>
    </w:p>
    <w:p w14:paraId="478DAAB7"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b/>
          <w:color w:val="000000" w:themeColor="text1"/>
          <w:sz w:val="24"/>
          <w:szCs w:val="24"/>
          <w:lang w:eastAsia="pt-BR"/>
        </w:rPr>
      </w:pPr>
      <w:r w:rsidRPr="00AC1C56">
        <w:rPr>
          <w:rFonts w:ascii="Bookman Old Style" w:eastAsiaTheme="minorEastAsia" w:hAnsi="Bookman Old Style" w:cstheme="minorHAnsi"/>
          <w:b/>
          <w:color w:val="000000" w:themeColor="text1"/>
          <w:sz w:val="24"/>
          <w:szCs w:val="24"/>
          <w:lang w:eastAsia="pt-BR"/>
        </w:rPr>
        <w:t>4.7.</w:t>
      </w:r>
      <w:r w:rsidRPr="00AC1C56">
        <w:rPr>
          <w:rFonts w:ascii="Bookman Old Style" w:eastAsiaTheme="minorEastAsia" w:hAnsi="Bookman Old Style" w:cstheme="minorHAnsi"/>
          <w:b/>
          <w:color w:val="000000" w:themeColor="text1"/>
          <w:sz w:val="24"/>
          <w:szCs w:val="24"/>
          <w:lang w:eastAsia="pt-BR"/>
        </w:rPr>
        <w:tab/>
        <w:t>DO REGISTRO DA SESSÃO</w:t>
      </w:r>
    </w:p>
    <w:p w14:paraId="20DB094C" w14:textId="77777777" w:rsidR="00AC1C56" w:rsidRPr="00AC1C56" w:rsidRDefault="00AC1C56" w:rsidP="00AC1C56">
      <w:pPr>
        <w:spacing w:beforeLines="120" w:before="288" w:afterLines="120" w:after="288"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4.7.1.</w:t>
      </w:r>
      <w:r w:rsidRPr="00AC1C56">
        <w:rPr>
          <w:rFonts w:ascii="Bookman Old Style" w:eastAsiaTheme="minorEastAsia" w:hAnsi="Bookman Old Style" w:cstheme="minorHAnsi"/>
          <w:color w:val="000000" w:themeColor="text1"/>
          <w:sz w:val="24"/>
          <w:szCs w:val="24"/>
          <w:lang w:eastAsia="pt-BR"/>
        </w:rPr>
        <w:tab/>
        <w:t xml:space="preserve">Os atos relevantes ocorridos durante a sessão pública, incluindo a identificação dos participantes, abertura da fase competitiva, lances apresentados, eventuais </w:t>
      </w:r>
      <w:r w:rsidRPr="00AC1C56">
        <w:rPr>
          <w:rFonts w:ascii="Bookman Old Style" w:eastAsiaTheme="minorEastAsia" w:hAnsi="Bookman Old Style" w:cstheme="minorHAnsi"/>
          <w:color w:val="000000" w:themeColor="text1"/>
          <w:sz w:val="24"/>
          <w:szCs w:val="24"/>
          <w:lang w:eastAsia="pt-BR"/>
        </w:rPr>
        <w:lastRenderedPageBreak/>
        <w:t xml:space="preserve">interrupções, suspensões, ocorrências técnicas e encerramento da disputa, serão registrados na respectiva </w:t>
      </w:r>
      <w:r w:rsidRPr="00AC1C56">
        <w:rPr>
          <w:rFonts w:ascii="Bookman Old Style" w:eastAsiaTheme="minorEastAsia" w:hAnsi="Bookman Old Style" w:cstheme="minorHAnsi"/>
          <w:b/>
          <w:color w:val="000000" w:themeColor="text1"/>
          <w:sz w:val="24"/>
          <w:szCs w:val="24"/>
          <w:lang w:eastAsia="pt-BR"/>
        </w:rPr>
        <w:t>ata da sessão e nos demais documentos integrantes do processo administrativo.</w:t>
      </w:r>
    </w:p>
    <w:p w14:paraId="0E0061C8"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JULGAMENTO DAS PROPOSTAS DE PREÇOS</w:t>
      </w:r>
    </w:p>
    <w:p w14:paraId="3FB3FFD6" w14:textId="77777777" w:rsidR="00AC1C56" w:rsidRPr="00AC1C56" w:rsidRDefault="00AC1C56" w:rsidP="00AC1C56">
      <w:pPr>
        <w:numPr>
          <w:ilvl w:val="1"/>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highlight w:val="white"/>
          <w:lang w:val="pt-PT" w:eastAsia="pt-BR"/>
        </w:rPr>
        <w:t>Encerrado o prazo para envio da proposta e documentação, o órgão ou entidade realizará a verificação de cada uma das propostas recebidas, quanto à adequação ao objeto e preço, declarando a ordem de classificação</w:t>
      </w:r>
      <w:r w:rsidRPr="00AC1C56">
        <w:rPr>
          <w:rFonts w:ascii="Bookman Old Style" w:eastAsiaTheme="minorEastAsia" w:hAnsi="Bookman Old Style" w:cstheme="minorHAnsi"/>
          <w:sz w:val="24"/>
          <w:szCs w:val="24"/>
          <w:lang w:eastAsia="pt-BR"/>
        </w:rPr>
        <w:t>.</w:t>
      </w:r>
    </w:p>
    <w:p w14:paraId="776A87D6" w14:textId="77777777" w:rsidR="00AC1C56" w:rsidRPr="00AC1C56" w:rsidRDefault="00AC1C56" w:rsidP="00AC1C56">
      <w:pPr>
        <w:numPr>
          <w:ilvl w:val="1"/>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No caso de o preço da proposta vencedora estar acima do estimado pela Administração, o agente condutor negociará com o interessado para tentativa de obtenção de condições mais vantajosas.</w:t>
      </w:r>
    </w:p>
    <w:p w14:paraId="4CEA0771" w14:textId="77777777" w:rsidR="00AC1C56" w:rsidRPr="00AC1C56" w:rsidRDefault="00AC1C56" w:rsidP="00AC1C56">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Será encaminhada contraproposta ao fornecedor que tenha apresentado o melhor preço, para que seja obtida melhor proposta com preço compatível ao estimado pela Administração.</w:t>
      </w:r>
    </w:p>
    <w:p w14:paraId="492C46B4" w14:textId="77777777" w:rsidR="00AC1C56" w:rsidRPr="00AC1C56" w:rsidRDefault="00AC1C56" w:rsidP="00AC1C56">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2A13A43" w14:textId="77777777" w:rsidR="00AC1C56" w:rsidRPr="00AC1C56" w:rsidRDefault="00AC1C56" w:rsidP="00AC1C56">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sz w:val="24"/>
          <w:szCs w:val="24"/>
          <w:lang w:eastAsia="pt-BR"/>
        </w:rPr>
        <w:t>Em qualquer caso, concluída a negociação, o resultado será registrado na ata do procedimento da dispensa física.</w:t>
      </w:r>
    </w:p>
    <w:p w14:paraId="3E44F222" w14:textId="77777777" w:rsidR="00AC1C56" w:rsidRPr="00AC1C56" w:rsidRDefault="00AC1C56" w:rsidP="00AC1C56">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Será desclassificada a proposta vencedora que: </w:t>
      </w:r>
    </w:p>
    <w:p w14:paraId="7609DB5D"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5.3.1.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contiver</w:t>
      </w:r>
      <w:proofErr w:type="gramEnd"/>
      <w:r w:rsidRPr="00AC1C56">
        <w:rPr>
          <w:rFonts w:ascii="Bookman Old Style" w:eastAsiaTheme="minorEastAsia" w:hAnsi="Bookman Old Style" w:cstheme="minorHAnsi"/>
          <w:color w:val="000000" w:themeColor="text1"/>
          <w:sz w:val="24"/>
          <w:szCs w:val="24"/>
          <w:lang w:eastAsia="pt-BR"/>
        </w:rPr>
        <w:t xml:space="preserve"> vícios insanáveis;</w:t>
      </w:r>
    </w:p>
    <w:p w14:paraId="733176E4"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5.3.2.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não</w:t>
      </w:r>
      <w:proofErr w:type="gramEnd"/>
      <w:r w:rsidRPr="00AC1C56">
        <w:rPr>
          <w:rFonts w:ascii="Bookman Old Style" w:eastAsiaTheme="minorEastAsia" w:hAnsi="Bookman Old Style" w:cstheme="minorHAnsi"/>
          <w:color w:val="000000" w:themeColor="text1"/>
          <w:sz w:val="24"/>
          <w:szCs w:val="24"/>
          <w:lang w:eastAsia="pt-BR"/>
        </w:rPr>
        <w:t xml:space="preserve"> obedecer às especificações técnicas pormenorizadas neste aviso ou em seus anexos;</w:t>
      </w:r>
    </w:p>
    <w:p w14:paraId="4BAB0FA0"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5.3.3.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apresentar</w:t>
      </w:r>
      <w:proofErr w:type="gramEnd"/>
      <w:r w:rsidRPr="00AC1C56">
        <w:rPr>
          <w:rFonts w:ascii="Bookman Old Style" w:eastAsiaTheme="minorEastAsia" w:hAnsi="Bookman Old Style" w:cstheme="minorHAnsi"/>
          <w:color w:val="000000" w:themeColor="text1"/>
          <w:sz w:val="24"/>
          <w:szCs w:val="24"/>
          <w:lang w:eastAsia="pt-BR"/>
        </w:rPr>
        <w:t xml:space="preserve"> preços inexequíveis ou permanecerem acima do preço máximo definido para a contratação;</w:t>
      </w:r>
    </w:p>
    <w:p w14:paraId="7C833E45"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5.3.4.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não</w:t>
      </w:r>
      <w:proofErr w:type="gramEnd"/>
      <w:r w:rsidRPr="00AC1C56">
        <w:rPr>
          <w:rFonts w:ascii="Bookman Old Style" w:eastAsiaTheme="minorEastAsia" w:hAnsi="Bookman Old Style" w:cstheme="minorHAnsi"/>
          <w:color w:val="000000" w:themeColor="text1"/>
          <w:sz w:val="24"/>
          <w:szCs w:val="24"/>
          <w:lang w:eastAsia="pt-BR"/>
        </w:rPr>
        <w:t xml:space="preserve"> tiverem sua exequibilidade demonstrada, quando exigido pela Administração.</w:t>
      </w:r>
    </w:p>
    <w:p w14:paraId="51F8D267"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5.3.5.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apresentar</w:t>
      </w:r>
      <w:proofErr w:type="gramEnd"/>
      <w:r w:rsidRPr="00AC1C56">
        <w:rPr>
          <w:rFonts w:ascii="Bookman Old Style" w:eastAsiaTheme="minorEastAsia" w:hAnsi="Bookman Old Style" w:cstheme="minorHAnsi"/>
          <w:color w:val="000000" w:themeColor="text1"/>
          <w:sz w:val="24"/>
          <w:szCs w:val="24"/>
          <w:lang w:eastAsia="pt-BR"/>
        </w:rPr>
        <w:t xml:space="preserve"> preços global ou unitários simbólicos, irrisórios ou de valor zero, incompatíveis com os preços dos insumos e de mercado;</w:t>
      </w:r>
    </w:p>
    <w:p w14:paraId="51ACA4A4"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5.3.6. </w:t>
      </w:r>
      <w:r w:rsidRPr="00AC1C56">
        <w:rPr>
          <w:rFonts w:ascii="Bookman Old Style" w:eastAsiaTheme="minorEastAsia" w:hAnsi="Bookman Old Style" w:cstheme="minorHAnsi"/>
          <w:color w:val="000000" w:themeColor="text1"/>
          <w:sz w:val="24"/>
          <w:szCs w:val="24"/>
          <w:lang w:eastAsia="pt-BR"/>
        </w:rPr>
        <w:tab/>
      </w:r>
      <w:proofErr w:type="gramStart"/>
      <w:r w:rsidRPr="00AC1C56">
        <w:rPr>
          <w:rFonts w:ascii="Bookman Old Style" w:eastAsiaTheme="minorEastAsia" w:hAnsi="Bookman Old Style" w:cstheme="minorHAnsi"/>
          <w:color w:val="000000" w:themeColor="text1"/>
          <w:sz w:val="24"/>
          <w:szCs w:val="24"/>
          <w:lang w:eastAsia="pt-BR"/>
        </w:rPr>
        <w:t>apresentar</w:t>
      </w:r>
      <w:proofErr w:type="gramEnd"/>
      <w:r w:rsidRPr="00AC1C56">
        <w:rPr>
          <w:rFonts w:ascii="Bookman Old Style" w:eastAsiaTheme="minorEastAsia" w:hAnsi="Bookman Old Style" w:cstheme="minorHAnsi"/>
          <w:color w:val="000000" w:themeColor="text1"/>
          <w:sz w:val="24"/>
          <w:szCs w:val="24"/>
          <w:lang w:eastAsia="pt-BR"/>
        </w:rPr>
        <w:t xml:space="preserve"> desconformidade com quaisquer outras exigências deste aviso ou seus anexos, desde que insanável.</w:t>
      </w:r>
    </w:p>
    <w:p w14:paraId="6734FEA5"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5.4. </w:t>
      </w:r>
      <w:r w:rsidRPr="00AC1C56">
        <w:rPr>
          <w:rFonts w:ascii="Bookman Old Style" w:eastAsiaTheme="minorEastAsia" w:hAnsi="Bookman Old Style" w:cstheme="minorHAnsi"/>
          <w:color w:val="000000" w:themeColor="text1"/>
          <w:sz w:val="24"/>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7719DC53"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5.5. </w:t>
      </w:r>
      <w:r w:rsidRPr="00AC1C56">
        <w:rPr>
          <w:rFonts w:ascii="Bookman Old Style" w:eastAsiaTheme="minorEastAsia" w:hAnsi="Bookman Old Style" w:cstheme="minorHAnsi"/>
          <w:color w:val="000000" w:themeColor="text1"/>
          <w:sz w:val="24"/>
          <w:szCs w:val="24"/>
          <w:lang w:eastAsia="pt-BR"/>
        </w:rPr>
        <w:tab/>
        <w:t>Para fins de análise da proposta quanto ao cumprimento das especificações do objeto, poderá ser colhida a manifestação escrita do setor requisitante do serviço ou da área especializada no objeto.</w:t>
      </w:r>
    </w:p>
    <w:p w14:paraId="36265AEF"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5.6. </w:t>
      </w:r>
      <w:r w:rsidRPr="00AC1C56">
        <w:rPr>
          <w:rFonts w:ascii="Bookman Old Style" w:eastAsiaTheme="minorEastAsia" w:hAnsi="Bookman Old Style" w:cstheme="minorHAnsi"/>
          <w:color w:val="000000" w:themeColor="text1"/>
          <w:sz w:val="24"/>
          <w:szCs w:val="24"/>
          <w:lang w:eastAsia="pt-BR"/>
        </w:rPr>
        <w:tab/>
        <w:t>Se a proposta vencedora for desclassificada, será examinada a proposta subsequente, e, assim sucessivamente, respeitada a ordem de classificação.</w:t>
      </w:r>
    </w:p>
    <w:p w14:paraId="787B432F"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5.7. </w:t>
      </w:r>
      <w:r w:rsidRPr="00AC1C56">
        <w:rPr>
          <w:rFonts w:ascii="Bookman Old Style" w:eastAsiaTheme="minorEastAsia" w:hAnsi="Bookman Old Style" w:cstheme="minorHAnsi"/>
          <w:color w:val="000000" w:themeColor="text1"/>
          <w:sz w:val="24"/>
          <w:szCs w:val="24"/>
          <w:lang w:eastAsia="pt-BR"/>
        </w:rPr>
        <w:tab/>
        <w:t>Havendo necessidade, a sessão será suspensa, informando nova data e horário para a sua continuidade.</w:t>
      </w:r>
    </w:p>
    <w:p w14:paraId="2BCD6367"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5.8. </w:t>
      </w:r>
      <w:r w:rsidRPr="00AC1C56">
        <w:rPr>
          <w:rFonts w:ascii="Bookman Old Style" w:eastAsiaTheme="minorEastAsia" w:hAnsi="Bookman Old Style" w:cstheme="minorHAnsi"/>
          <w:color w:val="000000" w:themeColor="text1"/>
          <w:sz w:val="24"/>
          <w:szCs w:val="24"/>
          <w:lang w:eastAsia="pt-BR"/>
        </w:rPr>
        <w:tab/>
        <w:t>Encerrada a análise quanto à aceitação da proposta, se iniciará a fase de habilitação, observado o disposto neste Aviso de Contratação Direta e seus Anexos.</w:t>
      </w:r>
    </w:p>
    <w:p w14:paraId="016B2DAE"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i/>
          <w:color w:val="000000" w:themeColor="text1"/>
          <w:sz w:val="24"/>
          <w:szCs w:val="24"/>
          <w:lang w:eastAsia="pt-BR"/>
        </w:rPr>
      </w:pPr>
    </w:p>
    <w:p w14:paraId="07C415BA"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HABILITAÇÃO</w:t>
      </w:r>
    </w:p>
    <w:p w14:paraId="088225D1" w14:textId="77777777" w:rsidR="00AC1C56" w:rsidRPr="00AC1C56" w:rsidRDefault="00AC1C56" w:rsidP="00AC1C56">
      <w:pPr>
        <w:spacing w:before="120" w:after="120" w:line="240" w:lineRule="auto"/>
        <w:ind w:right="-425"/>
        <w:contextualSpacing/>
        <w:jc w:val="both"/>
        <w:rPr>
          <w:rFonts w:ascii="Bookman Old Style" w:eastAsiaTheme="minorEastAsia" w:hAnsi="Bookman Old Style" w:cstheme="minorHAnsi"/>
          <w:iCs/>
          <w:sz w:val="24"/>
          <w:szCs w:val="24"/>
          <w:lang w:eastAsia="ar-SA"/>
        </w:rPr>
      </w:pPr>
      <w:r w:rsidRPr="00AC1C56">
        <w:rPr>
          <w:rFonts w:ascii="Bookman Old Style" w:eastAsiaTheme="minorEastAsia" w:hAnsi="Bookman Old Style" w:cstheme="minorHAnsi"/>
          <w:iCs/>
          <w:sz w:val="24"/>
          <w:szCs w:val="24"/>
          <w:lang w:eastAsia="ar-SA"/>
        </w:rPr>
        <w:lastRenderedPageBreak/>
        <w:t>6.1.</w:t>
      </w:r>
      <w:r w:rsidRPr="00AC1C56">
        <w:rPr>
          <w:rFonts w:ascii="Bookman Old Style" w:eastAsiaTheme="minorEastAsia" w:hAnsi="Bookman Old Style" w:cstheme="minorHAnsi"/>
          <w:iCs/>
          <w:sz w:val="24"/>
          <w:szCs w:val="24"/>
          <w:lang w:eastAsia="ar-SA"/>
        </w:rPr>
        <w:tab/>
        <w:t xml:space="preserve">Os </w:t>
      </w:r>
      <w:r w:rsidRPr="00AC1C56">
        <w:rPr>
          <w:rFonts w:ascii="Bookman Old Style" w:eastAsiaTheme="minorEastAsia" w:hAnsi="Bookman Old Style" w:cstheme="minorHAnsi"/>
          <w:iCs/>
          <w:sz w:val="24"/>
          <w:szCs w:val="24"/>
          <w:lang w:eastAsia="pt-BR"/>
        </w:rPr>
        <w:t>documentos</w:t>
      </w:r>
      <w:r w:rsidRPr="00AC1C56">
        <w:rPr>
          <w:rFonts w:ascii="Bookman Old Style" w:eastAsiaTheme="minorEastAsia" w:hAnsi="Bookman Old Style" w:cstheme="minorHAnsi"/>
          <w:iCs/>
          <w:sz w:val="24"/>
          <w:szCs w:val="24"/>
          <w:lang w:eastAsia="ar-SA"/>
        </w:rPr>
        <w:t xml:space="preserve"> a serem apresentados para fins de habilitação que constam do ANEXO I deste Aviso, serão exigidos juntamente com as propostas, em arquivo único de “PDF”.</w:t>
      </w:r>
    </w:p>
    <w:p w14:paraId="03F1661C" w14:textId="77777777" w:rsidR="00AC1C56" w:rsidRPr="00AC1C56" w:rsidRDefault="00AC1C56" w:rsidP="00AC1C56">
      <w:pPr>
        <w:spacing w:before="120" w:after="120" w:line="240" w:lineRule="auto"/>
        <w:ind w:left="3540" w:right="-425"/>
        <w:contextualSpacing/>
        <w:rPr>
          <w:rFonts w:ascii="Bookman Old Style" w:eastAsiaTheme="minorEastAsia" w:hAnsi="Bookman Old Style" w:cstheme="minorHAnsi"/>
          <w:b/>
          <w:bCs/>
          <w:i/>
          <w:iCs/>
          <w:color w:val="FF0000"/>
          <w:sz w:val="24"/>
          <w:szCs w:val="24"/>
          <w:lang w:eastAsia="ar-SA"/>
        </w:rPr>
      </w:pPr>
    </w:p>
    <w:p w14:paraId="5EE6EB37" w14:textId="77777777" w:rsidR="00AC1C56" w:rsidRPr="00AC1C56" w:rsidRDefault="00AC1C56" w:rsidP="00AC1C56">
      <w:pPr>
        <w:numPr>
          <w:ilvl w:val="2"/>
          <w:numId w:val="3"/>
        </w:numPr>
        <w:spacing w:before="120" w:after="120" w:line="240" w:lineRule="auto"/>
        <w:ind w:left="0" w:right="-425" w:firstLine="0"/>
        <w:contextualSpacing/>
        <w:jc w:val="both"/>
        <w:rPr>
          <w:rFonts w:ascii="Bookman Old Style" w:eastAsiaTheme="minorEastAsia" w:hAnsi="Bookman Old Style" w:cstheme="minorHAnsi"/>
          <w:b/>
          <w:sz w:val="24"/>
          <w:szCs w:val="24"/>
          <w:lang w:eastAsia="pt-BR"/>
        </w:rPr>
      </w:pPr>
      <w:r w:rsidRPr="00AC1C56">
        <w:rPr>
          <w:rFonts w:ascii="Bookman Old Style" w:eastAsiaTheme="minorEastAsia" w:hAnsi="Bookman Old Style" w:cstheme="minorHAnsi"/>
          <w:sz w:val="24"/>
          <w:szCs w:val="24"/>
          <w:lang w:eastAsia="ar-SA"/>
        </w:rPr>
        <w:t xml:space="preserve">Como </w:t>
      </w:r>
      <w:r w:rsidRPr="00AC1C56">
        <w:rPr>
          <w:rFonts w:ascii="Bookman Old Style" w:eastAsiaTheme="minorEastAsia" w:hAnsi="Bookman Old Style" w:cstheme="minorHAnsi"/>
          <w:color w:val="000000"/>
          <w:sz w:val="24"/>
          <w:szCs w:val="24"/>
          <w:lang w:eastAsia="pt-BR"/>
        </w:rPr>
        <w:t>condições</w:t>
      </w:r>
      <w:r w:rsidRPr="00AC1C56">
        <w:rPr>
          <w:rFonts w:ascii="Bookman Old Style" w:eastAsiaTheme="minorEastAsia" w:hAnsi="Bookman Old Style" w:cstheme="minorHAnsi"/>
          <w:sz w:val="24"/>
          <w:szCs w:val="24"/>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5BDA9786"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C1C56">
        <w:rPr>
          <w:rFonts w:ascii="Bookman Old Style" w:eastAsiaTheme="minorEastAsia" w:hAnsi="Bookman Old Style" w:cstheme="minorHAnsi"/>
          <w:sz w:val="24"/>
          <w:szCs w:val="24"/>
          <w:lang w:eastAsia="ar-SA"/>
        </w:rPr>
        <w:t xml:space="preserve">6.1.1.1. </w:t>
      </w:r>
      <w:r w:rsidRPr="00AC1C56">
        <w:rPr>
          <w:rFonts w:ascii="Bookman Old Style" w:eastAsiaTheme="minorEastAsia" w:hAnsi="Bookman Old Style" w:cstheme="minorHAnsi"/>
          <w:sz w:val="24"/>
          <w:szCs w:val="24"/>
          <w:lang w:eastAsia="ar-SA"/>
        </w:rPr>
        <w:tab/>
      </w:r>
      <w:proofErr w:type="gramStart"/>
      <w:r w:rsidRPr="00AC1C56">
        <w:rPr>
          <w:rFonts w:ascii="Bookman Old Style" w:eastAsiaTheme="minorEastAsia" w:hAnsi="Bookman Old Style" w:cstheme="minorHAnsi"/>
          <w:sz w:val="24"/>
          <w:szCs w:val="24"/>
          <w:lang w:eastAsia="ar-SA"/>
        </w:rPr>
        <w:t>lista</w:t>
      </w:r>
      <w:proofErr w:type="gramEnd"/>
      <w:r w:rsidRPr="00AC1C56">
        <w:rPr>
          <w:rFonts w:ascii="Bookman Old Style" w:eastAsiaTheme="minorEastAsia" w:hAnsi="Bookman Old Style" w:cstheme="minorHAnsi"/>
          <w:sz w:val="24"/>
          <w:szCs w:val="24"/>
          <w:lang w:eastAsia="ar-SA"/>
        </w:rPr>
        <w:t xml:space="preserve"> de inidôneos mantida pelo Tribunal de Contas da União – TCU (</w:t>
      </w:r>
      <w:r w:rsidRPr="00AC1C56">
        <w:rPr>
          <w:rFonts w:ascii="Bookman Old Style" w:eastAsiaTheme="minorEastAsia" w:hAnsi="Bookman Old Style" w:cstheme="minorHAnsi"/>
          <w:color w:val="0070C0"/>
          <w:sz w:val="24"/>
          <w:szCs w:val="24"/>
          <w:u w:val="single"/>
          <w:lang w:eastAsia="ar-SA"/>
        </w:rPr>
        <w:t>https://certidoes.apps.tcu.gov.br/emitir-certidao-inidoneos</w:t>
      </w:r>
      <w:r w:rsidRPr="00AC1C56">
        <w:rPr>
          <w:rFonts w:ascii="Bookman Old Style" w:eastAsiaTheme="minorEastAsia" w:hAnsi="Bookman Old Style" w:cstheme="minorHAnsi"/>
          <w:sz w:val="24"/>
          <w:szCs w:val="24"/>
          <w:lang w:eastAsia="ar-SA"/>
        </w:rPr>
        <w:t>).</w:t>
      </w:r>
    </w:p>
    <w:p w14:paraId="6BF3DF78"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C1C56">
        <w:rPr>
          <w:rFonts w:ascii="Bookman Old Style" w:eastAsiaTheme="minorEastAsia" w:hAnsi="Bookman Old Style" w:cstheme="minorHAnsi"/>
          <w:sz w:val="24"/>
          <w:szCs w:val="24"/>
          <w:lang w:eastAsia="ar-SA"/>
        </w:rPr>
        <w:t xml:space="preserve">6.1.1.2. </w:t>
      </w:r>
      <w:proofErr w:type="gramStart"/>
      <w:r w:rsidRPr="00AC1C56">
        <w:rPr>
          <w:rFonts w:ascii="Bookman Old Style" w:eastAsiaTheme="minorEastAsia" w:hAnsi="Bookman Old Style" w:cstheme="minorHAnsi"/>
          <w:sz w:val="24"/>
          <w:szCs w:val="24"/>
          <w:lang w:eastAsia="ar-SA"/>
        </w:rPr>
        <w:t>fornecedores</w:t>
      </w:r>
      <w:proofErr w:type="gramEnd"/>
      <w:r w:rsidRPr="00AC1C56">
        <w:rPr>
          <w:rFonts w:ascii="Bookman Old Style" w:eastAsiaTheme="minorEastAsia" w:hAnsi="Bookman Old Style" w:cstheme="minorHAnsi"/>
          <w:sz w:val="24"/>
          <w:szCs w:val="24"/>
          <w:lang w:eastAsia="ar-SA"/>
        </w:rPr>
        <w:t xml:space="preserve"> sancionados e suspensos pelo Governo do Estado do Paraná (</w:t>
      </w:r>
      <w:r w:rsidRPr="00AC1C56">
        <w:rPr>
          <w:rFonts w:ascii="Bookman Old Style" w:eastAsiaTheme="minorEastAsia" w:hAnsi="Bookman Old Style" w:cstheme="minorHAnsi"/>
          <w:color w:val="0070C0"/>
          <w:sz w:val="24"/>
          <w:szCs w:val="24"/>
          <w:u w:val="single"/>
          <w:lang w:eastAsia="ar-SA"/>
        </w:rPr>
        <w:t>http://www.transparencia.pr.gov.br/pte/compras/situacao_fornecedores?windowId=8e8</w:t>
      </w:r>
      <w:r w:rsidRPr="00AC1C56">
        <w:rPr>
          <w:rFonts w:ascii="Bookman Old Style" w:eastAsiaTheme="minorEastAsia" w:hAnsi="Bookman Old Style" w:cstheme="minorHAnsi"/>
          <w:sz w:val="24"/>
          <w:szCs w:val="24"/>
          <w:lang w:eastAsia="ar-SA"/>
        </w:rPr>
        <w:t>).</w:t>
      </w:r>
    </w:p>
    <w:p w14:paraId="05D0FF1A"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C1C56">
        <w:rPr>
          <w:rFonts w:ascii="Bookman Old Style" w:eastAsiaTheme="minorEastAsia" w:hAnsi="Bookman Old Style" w:cstheme="minorHAnsi"/>
          <w:sz w:val="24"/>
          <w:szCs w:val="24"/>
          <w:lang w:eastAsia="ar-SA"/>
        </w:rPr>
        <w:t xml:space="preserve">6.1.1.3. </w:t>
      </w:r>
      <w:proofErr w:type="gramStart"/>
      <w:r w:rsidRPr="00AC1C56">
        <w:rPr>
          <w:rFonts w:ascii="Bookman Old Style" w:eastAsiaTheme="minorEastAsia" w:hAnsi="Bookman Old Style" w:cstheme="minorHAnsi"/>
          <w:sz w:val="24"/>
          <w:szCs w:val="24"/>
          <w:lang w:eastAsia="ar-SA"/>
        </w:rPr>
        <w:t>consulta</w:t>
      </w:r>
      <w:proofErr w:type="gramEnd"/>
      <w:r w:rsidRPr="00AC1C56">
        <w:rPr>
          <w:rFonts w:ascii="Bookman Old Style" w:eastAsiaTheme="minorEastAsia" w:hAnsi="Bookman Old Style" w:cstheme="minorHAnsi"/>
          <w:sz w:val="24"/>
          <w:szCs w:val="24"/>
          <w:lang w:eastAsia="ar-SA"/>
        </w:rPr>
        <w:t xml:space="preserve"> do banco de dados de penalidades do município </w:t>
      </w:r>
      <w:r w:rsidRPr="00AC1C56">
        <w:rPr>
          <w:rFonts w:ascii="Bookman Old Style" w:eastAsiaTheme="minorEastAsia" w:hAnsi="Bookman Old Style" w:cstheme="minorHAnsi"/>
          <w:iCs/>
          <w:sz w:val="24"/>
          <w:szCs w:val="24"/>
          <w:lang w:eastAsia="ar-SA"/>
        </w:rPr>
        <w:t>de Terra Rica/PR</w:t>
      </w:r>
      <w:r w:rsidRPr="00AC1C56">
        <w:rPr>
          <w:rFonts w:ascii="Bookman Old Style" w:eastAsiaTheme="minorEastAsia" w:hAnsi="Bookman Old Style" w:cstheme="minorHAnsi"/>
          <w:sz w:val="24"/>
          <w:szCs w:val="24"/>
          <w:lang w:eastAsia="ar-SA"/>
        </w:rPr>
        <w:t>.</w:t>
      </w:r>
    </w:p>
    <w:p w14:paraId="3DD72957"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C1C56">
        <w:rPr>
          <w:rFonts w:ascii="Bookman Old Style" w:eastAsiaTheme="minorEastAsia" w:hAnsi="Bookman Old Style" w:cstheme="minorHAnsi"/>
          <w:sz w:val="24"/>
          <w:szCs w:val="24"/>
          <w:lang w:eastAsia="ar-SA"/>
        </w:rPr>
        <w:t xml:space="preserve">6.1.1.4. </w:t>
      </w:r>
      <w:r w:rsidRPr="00AC1C56">
        <w:rPr>
          <w:rFonts w:ascii="Bookman Old Style" w:eastAsiaTheme="minorEastAsia" w:hAnsi="Bookman Old Style" w:cstheme="minorHAnsi"/>
          <w:sz w:val="24"/>
          <w:szCs w:val="24"/>
          <w:lang w:eastAsia="ar-SA"/>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259BE7C"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C1C56">
        <w:rPr>
          <w:rFonts w:ascii="Bookman Old Style" w:eastAsiaTheme="minorEastAsia" w:hAnsi="Bookman Old Style" w:cstheme="minorHAnsi"/>
          <w:sz w:val="24"/>
          <w:szCs w:val="24"/>
          <w:lang w:eastAsia="ar-SA"/>
        </w:rPr>
        <w:t xml:space="preserve">6.1.1.4.1. </w:t>
      </w:r>
      <w:bookmarkStart w:id="2" w:name="_Hlk125712900"/>
      <w:r w:rsidRPr="00AC1C56">
        <w:rPr>
          <w:rFonts w:ascii="Bookman Old Style" w:eastAsiaTheme="minorEastAsia" w:hAnsi="Bookman Old Style" w:cstheme="minorHAnsi"/>
          <w:sz w:val="24"/>
          <w:szCs w:val="24"/>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2"/>
    </w:p>
    <w:p w14:paraId="47ED4049" w14:textId="77777777" w:rsidR="00AC1C56" w:rsidRPr="00AC1C56" w:rsidRDefault="00AC1C56" w:rsidP="00AC1C56">
      <w:pPr>
        <w:spacing w:before="120" w:after="120" w:line="240" w:lineRule="auto"/>
        <w:ind w:left="708" w:right="-425"/>
        <w:contextualSpacing/>
        <w:jc w:val="both"/>
        <w:rPr>
          <w:rFonts w:ascii="Bookman Old Style" w:eastAsiaTheme="minorEastAsia" w:hAnsi="Bookman Old Style" w:cstheme="minorHAnsi"/>
          <w:sz w:val="24"/>
          <w:szCs w:val="24"/>
          <w:lang w:eastAsia="ar-SA"/>
        </w:rPr>
      </w:pPr>
      <w:bookmarkStart w:id="3" w:name="_Hlk125712931"/>
      <w:r w:rsidRPr="00AC1C56">
        <w:rPr>
          <w:rFonts w:ascii="Bookman Old Style" w:eastAsiaTheme="minorEastAsia" w:hAnsi="Bookman Old Style" w:cstheme="minorHAnsi"/>
          <w:sz w:val="24"/>
          <w:szCs w:val="24"/>
          <w:lang w:eastAsia="ar-SA"/>
        </w:rPr>
        <w:t>6.1.1.4.1.1. A tentativa de burla será verificada por meio dos vínculos societários, linhas de fornecimento similares, dentre outros.</w:t>
      </w:r>
    </w:p>
    <w:bookmarkEnd w:id="3"/>
    <w:p w14:paraId="73C814EC" w14:textId="77777777" w:rsidR="00AC1C56" w:rsidRPr="00AC1C56" w:rsidRDefault="00AC1C56" w:rsidP="00AC1C56">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C1C56">
        <w:rPr>
          <w:rFonts w:ascii="Bookman Old Style" w:eastAsiaTheme="minorEastAsia" w:hAnsi="Bookman Old Style" w:cstheme="minorHAnsi"/>
          <w:color w:val="000000" w:themeColor="text1"/>
          <w:sz w:val="24"/>
          <w:szCs w:val="24"/>
          <w:lang w:eastAsia="pt-BR"/>
        </w:rPr>
        <w:t xml:space="preserve">Constatada a existência de sanção </w:t>
      </w:r>
      <w:bookmarkStart w:id="4" w:name="_Hlk125712945"/>
      <w:r w:rsidRPr="00AC1C56">
        <w:rPr>
          <w:rFonts w:ascii="Bookman Old Style" w:eastAsiaTheme="minorEastAsia" w:hAnsi="Bookman Old Style" w:cstheme="minorHAnsi"/>
          <w:color w:val="000000" w:themeColor="text1"/>
          <w:sz w:val="24"/>
          <w:szCs w:val="24"/>
          <w:lang w:eastAsia="pt-BR"/>
        </w:rPr>
        <w:t>e/ou eventual descumprimento das condições de participação</w:t>
      </w:r>
      <w:bookmarkEnd w:id="4"/>
      <w:r w:rsidRPr="00AC1C56">
        <w:rPr>
          <w:rFonts w:ascii="Bookman Old Style" w:eastAsiaTheme="minorEastAsia" w:hAnsi="Bookman Old Style" w:cstheme="minorHAnsi"/>
          <w:color w:val="000000" w:themeColor="text1"/>
          <w:sz w:val="24"/>
          <w:szCs w:val="24"/>
          <w:lang w:eastAsia="pt-BR"/>
        </w:rPr>
        <w:t>, o fornecedor será reputado inabilitado, por falta de condição de participação.</w:t>
      </w:r>
    </w:p>
    <w:p w14:paraId="5DD7A1DC" w14:textId="77777777" w:rsidR="00AC1C56" w:rsidRPr="00AC1C56" w:rsidRDefault="00AC1C56" w:rsidP="00AC1C56">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heme="minorEastAsia" w:hAnsi="Bookman Old Style" w:cstheme="minorHAnsi"/>
          <w:color w:val="000000"/>
          <w:sz w:val="24"/>
          <w:szCs w:val="24"/>
          <w:lang w:eastAsia="pt-BR"/>
        </w:rPr>
        <w:t xml:space="preserve">Será inabilitado o fornecedor que não comprovar sua habilitação, seja por não apresentar </w:t>
      </w:r>
      <w:r w:rsidRPr="00AC1C56">
        <w:rPr>
          <w:rFonts w:ascii="Bookman Old Style" w:eastAsiaTheme="minorEastAsia" w:hAnsi="Bookman Old Style" w:cstheme="minorHAnsi"/>
          <w:iCs/>
          <w:sz w:val="24"/>
          <w:szCs w:val="24"/>
          <w:lang w:eastAsia="pt-BR"/>
        </w:rPr>
        <w:t>quaisquer</w:t>
      </w:r>
      <w:r w:rsidRPr="00AC1C56">
        <w:rPr>
          <w:rFonts w:ascii="Bookman Old Style" w:eastAsiaTheme="minorEastAsia" w:hAnsi="Bookman Old Style" w:cstheme="minorHAnsi"/>
          <w:color w:val="000000"/>
          <w:sz w:val="24"/>
          <w:szCs w:val="24"/>
          <w:lang w:eastAsia="pt-BR"/>
        </w:rPr>
        <w:t xml:space="preserve"> dos </w:t>
      </w:r>
      <w:r w:rsidRPr="00AC1C56">
        <w:rPr>
          <w:rFonts w:ascii="Bookman Old Style" w:eastAsiaTheme="minorEastAsia" w:hAnsi="Bookman Old Style" w:cstheme="minorHAnsi"/>
          <w:bCs/>
          <w:sz w:val="24"/>
          <w:szCs w:val="24"/>
          <w:lang w:eastAsia="pt-BR"/>
        </w:rPr>
        <w:t>documentos</w:t>
      </w:r>
      <w:r w:rsidRPr="00AC1C56">
        <w:rPr>
          <w:rFonts w:ascii="Bookman Old Style" w:eastAsiaTheme="minorEastAsia" w:hAnsi="Bookman Old Style" w:cstheme="minorHAnsi"/>
          <w:color w:val="000000"/>
          <w:sz w:val="24"/>
          <w:szCs w:val="24"/>
          <w:lang w:eastAsia="pt-BR"/>
        </w:rPr>
        <w:t xml:space="preserve"> exigidos, ou apresentá-los em desacordo com o estabelecido neste Aviso de Contratação Direta.</w:t>
      </w:r>
    </w:p>
    <w:p w14:paraId="34696624"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heme="minorEastAsia" w:hAnsi="Bookman Old Style" w:cstheme="minorHAnsi"/>
          <w:color w:val="000000"/>
          <w:sz w:val="24"/>
          <w:szCs w:val="24"/>
          <w:lang w:eastAsia="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803829"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imes New Roman" w:hAnsi="Bookman Old Style" w:cs="Times New Roman"/>
          <w:sz w:val="24"/>
          <w:szCs w:val="24"/>
          <w:lang w:eastAsia="pt-BR"/>
        </w:rPr>
        <w:t>A licitante deverá encaminhar toda a documentação de habilitação exigida no edital até o horário fixado para a abertura da sessão pública, observando os prazos e procedimentos estabelecidos no instrumento convocatório.</w:t>
      </w:r>
    </w:p>
    <w:p w14:paraId="33F768DE"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imes New Roman" w:hAnsi="Bookman Old Style" w:cs="Times New Roman"/>
          <w:sz w:val="24"/>
          <w:szCs w:val="24"/>
          <w:lang w:eastAsia="pt-BR"/>
        </w:rPr>
        <w:t xml:space="preserve">A ausência de apresentação de qualquer documento de habilitação exigido no edital até o encerramento do prazo para envio dos documentos caracterizará o descumprimento das condições de habilitação, hipótese em que a licitante será declarada </w:t>
      </w:r>
      <w:r w:rsidRPr="00AC1C56">
        <w:rPr>
          <w:rFonts w:ascii="Bookman Old Style" w:eastAsia="Times New Roman" w:hAnsi="Bookman Old Style" w:cs="Times New Roman"/>
          <w:bCs/>
          <w:sz w:val="24"/>
          <w:szCs w:val="24"/>
          <w:lang w:eastAsia="pt-BR"/>
        </w:rPr>
        <w:t>inabilitada</w:t>
      </w:r>
      <w:r w:rsidRPr="00AC1C56">
        <w:rPr>
          <w:rFonts w:ascii="Bookman Old Style" w:eastAsia="Times New Roman" w:hAnsi="Bookman Old Style" w:cs="Times New Roman"/>
          <w:sz w:val="24"/>
          <w:szCs w:val="24"/>
          <w:lang w:eastAsia="pt-BR"/>
        </w:rPr>
        <w:t>.</w:t>
      </w:r>
    </w:p>
    <w:p w14:paraId="357EDCAC"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imes New Roman" w:hAnsi="Bookman Old Style" w:cs="Times New Roman"/>
          <w:sz w:val="24"/>
          <w:szCs w:val="24"/>
          <w:lang w:eastAsia="pt-BR"/>
        </w:rPr>
        <w:t xml:space="preserve">Nos termos do art. 64 da Lei nº 14.133/2021, a Administração poderá promover diligências destinadas a esclarecer ou complementar a instrução do processo, bem como solicitar o saneamento de falhas, erros ou omissões formais existentes na documentação apresentada, desde que tais providências não impliquem a apresentação de documento </w:t>
      </w:r>
      <w:r w:rsidRPr="00AC1C56">
        <w:rPr>
          <w:rFonts w:ascii="Bookman Old Style" w:eastAsia="Times New Roman" w:hAnsi="Bookman Old Style" w:cs="Times New Roman"/>
          <w:sz w:val="24"/>
          <w:szCs w:val="24"/>
          <w:lang w:eastAsia="pt-BR"/>
        </w:rPr>
        <w:lastRenderedPageBreak/>
        <w:t>novo que deveria ter sido apresentado originalmente, nem resultem na criação de condição inexistente na data de abertura da sessão pública.</w:t>
      </w:r>
    </w:p>
    <w:p w14:paraId="5EE48C06"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imes New Roman" w:hAnsi="Bookman Old Style" w:cs="Times New Roman"/>
          <w:sz w:val="24"/>
          <w:szCs w:val="24"/>
          <w:lang w:eastAsia="pt-BR"/>
        </w:rPr>
        <w:t xml:space="preserve">Em observância aos princípios do formalismo moderado, da razoabilidade, da competitividade e da busca da proposta mais vantajosa, bem como à jurisprudência consolidada do Tribunal de Contas da União, poderão ser admitidos esclarecimentos, complementações ou regularizações de documentos já apresentados, desde que destinados exclusivamente à comprovação de situação fática ou jurídica preexistente à data de abertura da sessão pública, vedada a inclusão posterior de documentos cuja ausência configure efetivo descumprimento das exigências </w:t>
      </w:r>
      <w:proofErr w:type="spellStart"/>
      <w:r w:rsidRPr="00AC1C56">
        <w:rPr>
          <w:rFonts w:ascii="Bookman Old Style" w:eastAsia="Times New Roman" w:hAnsi="Bookman Old Style" w:cs="Times New Roman"/>
          <w:sz w:val="24"/>
          <w:szCs w:val="24"/>
          <w:lang w:eastAsia="pt-BR"/>
        </w:rPr>
        <w:t>editalícias</w:t>
      </w:r>
      <w:proofErr w:type="spellEnd"/>
      <w:r w:rsidRPr="00AC1C56">
        <w:rPr>
          <w:rFonts w:ascii="Bookman Old Style" w:eastAsia="Times New Roman" w:hAnsi="Bookman Old Style" w:cs="Times New Roman"/>
          <w:sz w:val="24"/>
          <w:szCs w:val="24"/>
          <w:lang w:eastAsia="pt-BR"/>
        </w:rPr>
        <w:t>.</w:t>
      </w:r>
    </w:p>
    <w:p w14:paraId="00DC9E58" w14:textId="77777777" w:rsidR="00AC1C56" w:rsidRPr="00AC1C56" w:rsidRDefault="00AC1C56" w:rsidP="00AC1C56">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imes New Roman" w:hAnsi="Bookman Old Style" w:cs="Times New Roman"/>
          <w:sz w:val="24"/>
          <w:szCs w:val="24"/>
          <w:lang w:eastAsia="pt-BR"/>
        </w:rPr>
        <w:t>Dessa forma, a diligência prevista no art. 64 da Lei nº 14.133/2021 não se destina a suprir a falta de envio da documentação de habilitação, mas exclusivamente a esclarecer, complementar ou sanar falhas meramente formais de documentos tempestivamente apresentados, preservando-se a igualdade entre os licitantes e a observância das regras estabelecidas no edital.</w:t>
      </w:r>
    </w:p>
    <w:p w14:paraId="2AB3597B" w14:textId="77777777" w:rsidR="00AC1C56" w:rsidRPr="00AC1C56" w:rsidRDefault="00AC1C56" w:rsidP="00AC1C56">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heme="minorEastAsia" w:hAnsi="Bookman Old Style" w:cstheme="minorHAnsi"/>
          <w:color w:val="000000"/>
          <w:sz w:val="24"/>
          <w:szCs w:val="24"/>
          <w:lang w:eastAsia="pt-BR"/>
        </w:rPr>
        <w:t xml:space="preserve">Havendo a necessidade de envio de documentos de habilitação complementares à confirmação daqueles exigidos neste Aviso de Contratação Direta e já apresentados, a pedido do agente de contratação, o fornecedor será convocado a encaminhá-los, em formato digital, no prazo </w:t>
      </w:r>
      <w:r w:rsidRPr="00AC1C56">
        <w:rPr>
          <w:rFonts w:ascii="Bookman Old Style" w:eastAsiaTheme="minorEastAsia" w:hAnsi="Bookman Old Style" w:cstheme="minorHAnsi"/>
          <w:sz w:val="24"/>
          <w:szCs w:val="24"/>
          <w:lang w:eastAsia="pt-BR"/>
        </w:rPr>
        <w:t xml:space="preserve">de até 02 (duas) horas </w:t>
      </w:r>
      <w:r w:rsidRPr="00AC1C56">
        <w:rPr>
          <w:rFonts w:ascii="Bookman Old Style" w:eastAsiaTheme="minorEastAsia" w:hAnsi="Bookman Old Style" w:cstheme="minorHAnsi"/>
          <w:color w:val="000000"/>
          <w:sz w:val="24"/>
          <w:szCs w:val="24"/>
          <w:lang w:eastAsia="pt-BR"/>
        </w:rPr>
        <w:t>após solicitação da Administração, sob pena de inabilitação.</w:t>
      </w:r>
    </w:p>
    <w:p w14:paraId="3D7C9069" w14:textId="77777777" w:rsidR="00AC1C56" w:rsidRPr="00AC1C56" w:rsidRDefault="00AC1C56" w:rsidP="00AC1C56">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bookmarkStart w:id="5" w:name="_Hlk125712997"/>
      <w:r w:rsidRPr="00AC1C56">
        <w:rPr>
          <w:rFonts w:ascii="Bookman Old Style" w:eastAsiaTheme="minorEastAsia" w:hAnsi="Bookman Old Style" w:cstheme="minorHAnsi"/>
          <w:color w:val="000000"/>
          <w:sz w:val="24"/>
          <w:szCs w:val="24"/>
          <w:lang w:eastAsia="pt-BR"/>
        </w:rPr>
        <w:t>Quando houver dúvida em relação à integridade do documento digitalizado, o agente condutor poderá requerer a comprovação do preenchimento de requisitos mediante apresentação dos documentos originais.</w:t>
      </w:r>
    </w:p>
    <w:bookmarkEnd w:id="5"/>
    <w:p w14:paraId="6EBCF17C" w14:textId="77777777" w:rsidR="00AC1C56" w:rsidRPr="00AC1C56" w:rsidRDefault="00AC1C56" w:rsidP="00AC1C56">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C1C56">
        <w:rPr>
          <w:rFonts w:ascii="Bookman Old Style" w:eastAsiaTheme="minorEastAsia" w:hAnsi="Bookman Old Style" w:cstheme="minorHAnsi"/>
          <w:color w:val="000000"/>
          <w:sz w:val="24"/>
          <w:szCs w:val="24"/>
          <w:lang w:eastAsia="pt-BR"/>
        </w:rPr>
        <w:t xml:space="preserve">Em se tratando </w:t>
      </w:r>
      <w:bookmarkStart w:id="6" w:name="_Hlk125713026"/>
      <w:r w:rsidRPr="00AC1C56">
        <w:rPr>
          <w:rFonts w:ascii="Bookman Old Style" w:eastAsiaTheme="minorEastAsia" w:hAnsi="Bookman Old Style" w:cstheme="minorHAnsi"/>
          <w:color w:val="000000"/>
          <w:sz w:val="24"/>
          <w:szCs w:val="24"/>
          <w:lang w:eastAsia="pt-BR"/>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6"/>
    <w:p w14:paraId="61890267" w14:textId="77777777" w:rsidR="00AC1C56" w:rsidRPr="00AC1C56" w:rsidRDefault="00AC1C56" w:rsidP="00AC1C56">
      <w:pPr>
        <w:spacing w:before="120" w:after="0" w:line="240" w:lineRule="auto"/>
        <w:ind w:right="-425"/>
        <w:contextualSpacing/>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 xml:space="preserve">6.5.1. </w:t>
      </w:r>
      <w:r w:rsidRPr="00AC1C56">
        <w:rPr>
          <w:rFonts w:ascii="Bookman Old Style" w:eastAsia="MS Mincho" w:hAnsi="Bookman Old Style" w:cstheme="minorHAnsi"/>
          <w:color w:val="000000"/>
          <w:sz w:val="24"/>
          <w:szCs w:val="24"/>
        </w:rPr>
        <w:tab/>
      </w:r>
      <w:bookmarkStart w:id="7" w:name="_Hlk125713045"/>
      <w:proofErr w:type="gramStart"/>
      <w:r w:rsidRPr="00AC1C56">
        <w:rPr>
          <w:rFonts w:ascii="Bookman Old Style" w:eastAsia="MS Mincho" w:hAnsi="Bookman Old Style" w:cstheme="minorHAnsi"/>
          <w:color w:val="000000"/>
          <w:sz w:val="24"/>
          <w:szCs w:val="24"/>
        </w:rPr>
        <w:t>a</w:t>
      </w:r>
      <w:proofErr w:type="gramEnd"/>
      <w:r w:rsidRPr="00AC1C56">
        <w:rPr>
          <w:rFonts w:ascii="Bookman Old Style" w:eastAsia="MS Mincho" w:hAnsi="Bookman Old Style" w:cstheme="minorHAnsi"/>
          <w:color w:val="000000"/>
          <w:sz w:val="24"/>
          <w:szCs w:val="24"/>
        </w:rPr>
        <w:t xml:space="preserve"> prorrogação do prazo previsto poderá ser concedida, a critério da administração pública, quando requerida pelo fornecedor, mediante apresentação de justificativa;</w:t>
      </w:r>
    </w:p>
    <w:bookmarkEnd w:id="7"/>
    <w:p w14:paraId="602E1A09" w14:textId="77777777" w:rsidR="00AC1C56" w:rsidRPr="00AC1C56" w:rsidRDefault="00AC1C56" w:rsidP="00AC1C56">
      <w:pPr>
        <w:spacing w:before="120" w:after="0" w:line="240" w:lineRule="auto"/>
        <w:ind w:right="-425"/>
        <w:contextualSpacing/>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 xml:space="preserve">6.5.2. </w:t>
      </w:r>
      <w:r w:rsidRPr="00AC1C56">
        <w:rPr>
          <w:rFonts w:ascii="Bookman Old Style" w:eastAsia="MS Mincho" w:hAnsi="Bookman Old Style" w:cstheme="minorHAnsi"/>
          <w:color w:val="000000"/>
          <w:sz w:val="24"/>
          <w:szCs w:val="24"/>
        </w:rPr>
        <w:tab/>
      </w:r>
      <w:bookmarkStart w:id="8" w:name="_Hlk125713055"/>
      <w:proofErr w:type="gramStart"/>
      <w:r w:rsidRPr="00AC1C56">
        <w:rPr>
          <w:rFonts w:ascii="Bookman Old Style" w:eastAsia="MS Mincho" w:hAnsi="Bookman Old Style" w:cstheme="minorHAnsi"/>
          <w:color w:val="000000"/>
          <w:sz w:val="24"/>
          <w:szCs w:val="24"/>
        </w:rPr>
        <w:t>a</w:t>
      </w:r>
      <w:proofErr w:type="gramEnd"/>
      <w:r w:rsidRPr="00AC1C56">
        <w:rPr>
          <w:rFonts w:ascii="Bookman Old Style" w:eastAsia="MS Mincho" w:hAnsi="Bookman Old Style" w:cstheme="minorHAnsi"/>
          <w:color w:val="000000"/>
          <w:sz w:val="24"/>
          <w:szCs w:val="24"/>
        </w:rPr>
        <w:t xml:space="preserve">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8"/>
    <w:p w14:paraId="63A9A555" w14:textId="77777777" w:rsidR="00AC1C56" w:rsidRPr="00AC1C56" w:rsidRDefault="00AC1C56" w:rsidP="00AC1C56">
      <w:pPr>
        <w:numPr>
          <w:ilvl w:val="1"/>
          <w:numId w:val="3"/>
        </w:numPr>
        <w:spacing w:before="120" w:after="0" w:line="240" w:lineRule="auto"/>
        <w:ind w:left="0" w:right="-425" w:firstLine="0"/>
        <w:contextualSpacing/>
        <w:jc w:val="both"/>
        <w:rPr>
          <w:rFonts w:ascii="Bookman Old Style" w:eastAsiaTheme="minorEastAsia" w:hAnsi="Bookman Old Style" w:cstheme="minorHAnsi"/>
          <w:iCs/>
          <w:sz w:val="24"/>
          <w:szCs w:val="24"/>
          <w:lang w:eastAsia="pt-BR"/>
        </w:rPr>
      </w:pPr>
      <w:r w:rsidRPr="00AC1C56">
        <w:rPr>
          <w:rFonts w:ascii="Bookman Old Style" w:eastAsiaTheme="minorEastAsia" w:hAnsi="Bookman Old Style" w:cstheme="minorHAnsi"/>
          <w:iCs/>
          <w:sz w:val="24"/>
          <w:szCs w:val="24"/>
          <w:lang w:eastAsia="pt-BR"/>
        </w:rPr>
        <w:t>Constatado o atendimento às exigências de habilitação, o fornecedor será habilitado</w:t>
      </w:r>
    </w:p>
    <w:p w14:paraId="7E389474" w14:textId="77777777" w:rsidR="00AC1C56" w:rsidRPr="00AC1C56" w:rsidRDefault="00AC1C56" w:rsidP="00AC1C56">
      <w:pPr>
        <w:spacing w:before="120" w:after="0" w:line="240" w:lineRule="auto"/>
        <w:ind w:right="-425"/>
        <w:contextualSpacing/>
        <w:jc w:val="both"/>
        <w:rPr>
          <w:rFonts w:ascii="Bookman Old Style" w:eastAsiaTheme="minorEastAsia" w:hAnsi="Bookman Old Style" w:cstheme="minorHAnsi"/>
          <w:iCs/>
          <w:sz w:val="24"/>
          <w:szCs w:val="24"/>
          <w:lang w:eastAsia="pt-BR"/>
        </w:rPr>
      </w:pPr>
    </w:p>
    <w:p w14:paraId="5BA41987"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CONTRATAÇÃO</w:t>
      </w:r>
    </w:p>
    <w:p w14:paraId="417445C1"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color w:val="000000"/>
          <w:sz w:val="24"/>
          <w:szCs w:val="24"/>
        </w:rPr>
        <w:t>Após a homologação e adjudicação, caso se conclua pela contratação, será firmado Termo de Contrato, Ata de Registro de Preços ou emitido instrumento equivalente.</w:t>
      </w:r>
    </w:p>
    <w:p w14:paraId="24A4E4AB"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sz w:val="24"/>
          <w:szCs w:val="24"/>
        </w:rPr>
        <w:t xml:space="preserve">O adjudicatário terá o prazo de 05 (cinco) dias úteis, contados a partir da data de sua convocação, para assinar o Termo de Contrato, ou aceitar instrumento equivalente, conforme o caso (Nota de Empenho/Carta Contrato/Autorização), </w:t>
      </w:r>
      <w:r w:rsidRPr="00AC1C56">
        <w:rPr>
          <w:rFonts w:ascii="Bookman Old Style" w:eastAsia="Arial" w:hAnsi="Bookman Old Style" w:cstheme="minorHAnsi"/>
          <w:color w:val="000000"/>
          <w:sz w:val="24"/>
          <w:szCs w:val="24"/>
        </w:rPr>
        <w:t xml:space="preserve">sob pena de decair do direito à contratação, sem prejuízo das sanções previstas neste Aviso de Contratação Direta. </w:t>
      </w:r>
    </w:p>
    <w:p w14:paraId="64E528A5" w14:textId="77777777" w:rsidR="00AC1C56" w:rsidRPr="00AC1C56" w:rsidRDefault="00AC1C56" w:rsidP="00AC1C56">
      <w:pPr>
        <w:numPr>
          <w:ilvl w:val="2"/>
          <w:numId w:val="3"/>
        </w:numPr>
        <w:spacing w:before="120" w:after="120" w:line="240" w:lineRule="auto"/>
        <w:ind w:left="0" w:right="-425" w:firstLine="0"/>
        <w:jc w:val="both"/>
        <w:rPr>
          <w:rFonts w:ascii="Bookman Old Style" w:eastAsia="Arial" w:hAnsi="Bookman Old Style" w:cstheme="minorHAnsi"/>
          <w:iCs/>
          <w:sz w:val="24"/>
          <w:szCs w:val="24"/>
        </w:rPr>
      </w:pPr>
      <w:r w:rsidRPr="00AC1C56">
        <w:rPr>
          <w:rFonts w:ascii="Bookman Old Style" w:eastAsia="Arial" w:hAnsi="Bookman Old Style" w:cstheme="minorHAnsi"/>
          <w:iCs/>
          <w:sz w:val="24"/>
          <w:szCs w:val="24"/>
        </w:rPr>
        <w:lastRenderedPageBreak/>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sidRPr="00AC1C56">
        <w:rPr>
          <w:rFonts w:ascii="Bookman Old Style" w:eastAsia="Arial" w:hAnsi="Bookman Old Style" w:cstheme="minorHAnsi"/>
          <w:iCs/>
          <w:color w:val="FF0000"/>
          <w:sz w:val="24"/>
          <w:szCs w:val="24"/>
        </w:rPr>
        <w:t xml:space="preserve"> </w:t>
      </w:r>
      <w:r w:rsidRPr="00AC1C56">
        <w:rPr>
          <w:rFonts w:ascii="Bookman Old Style" w:eastAsia="Arial" w:hAnsi="Bookman Old Style" w:cstheme="minorHAnsi"/>
          <w:iCs/>
          <w:sz w:val="24"/>
          <w:szCs w:val="24"/>
        </w:rPr>
        <w:t xml:space="preserve">a contar da data de seu recebimento. </w:t>
      </w:r>
    </w:p>
    <w:p w14:paraId="46552871" w14:textId="77777777" w:rsidR="00AC1C56" w:rsidRPr="00AC1C56" w:rsidRDefault="00AC1C56" w:rsidP="00AC1C56">
      <w:pPr>
        <w:numPr>
          <w:ilvl w:val="2"/>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color w:val="000000"/>
          <w:sz w:val="24"/>
          <w:szCs w:val="24"/>
        </w:rPr>
        <w:t xml:space="preserve">O prazo previsto para assinatura do contrato ou aceitação da nota de empenho ou instrumento equivalente poderá ser prorrogado </w:t>
      </w:r>
      <w:r w:rsidRPr="00AC1C56">
        <w:rPr>
          <w:rFonts w:ascii="Bookman Old Style" w:eastAsia="MS Mincho" w:hAnsi="Bookman Old Style" w:cstheme="minorHAnsi"/>
          <w:bCs/>
          <w:sz w:val="24"/>
          <w:szCs w:val="24"/>
        </w:rPr>
        <w:t>1 (uma) vez</w:t>
      </w:r>
      <w:r w:rsidRPr="00AC1C56">
        <w:rPr>
          <w:rFonts w:ascii="Bookman Old Style" w:eastAsia="Arial" w:hAnsi="Bookman Old Style" w:cstheme="minorHAnsi"/>
          <w:sz w:val="24"/>
          <w:szCs w:val="24"/>
        </w:rPr>
        <w:t xml:space="preserve">, </w:t>
      </w:r>
      <w:r w:rsidRPr="00AC1C56">
        <w:rPr>
          <w:rFonts w:ascii="Bookman Old Style" w:eastAsia="Arial" w:hAnsi="Bookman Old Style" w:cstheme="minorHAnsi"/>
          <w:color w:val="000000"/>
          <w:sz w:val="24"/>
          <w:szCs w:val="24"/>
        </w:rPr>
        <w:t>por igual período, por solicitação justificada do adjudicatário e aceita pela Administração.</w:t>
      </w:r>
    </w:p>
    <w:p w14:paraId="4BFD6379"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color w:val="000000"/>
          <w:sz w:val="24"/>
          <w:szCs w:val="24"/>
        </w:rPr>
        <w:t>A assinatura do contrato ou instrumento equivalente vinculará a contratada à sua proposta e as previsões contidas no Aviso de Contratação Direta e seus Anexos.</w:t>
      </w:r>
    </w:p>
    <w:p w14:paraId="52DDEC6D"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color w:val="000000"/>
          <w:sz w:val="24"/>
          <w:szCs w:val="24"/>
        </w:rPr>
        <w:t>A Contratada reconhecerá que as hipóteses de rescisão são aquelas previstas nos artigos 137 e 138 da Lei nº 14.133/21 e reconhece os direitos da Administração previstos nos artigos 137 a 139 da mesma Lei.</w:t>
      </w:r>
    </w:p>
    <w:p w14:paraId="26C3F8C7"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Arial" w:hAnsi="Bookman Old Style" w:cstheme="minorHAnsi"/>
          <w:color w:val="000000"/>
          <w:sz w:val="24"/>
          <w:szCs w:val="24"/>
        </w:rPr>
        <w:t xml:space="preserve">O prazo de vigência da contratação é de </w:t>
      </w:r>
      <w:r w:rsidRPr="00AC1C56">
        <w:rPr>
          <w:rFonts w:ascii="Bookman Old Style" w:eastAsia="Arial" w:hAnsi="Bookman Old Style" w:cstheme="minorHAnsi"/>
          <w:sz w:val="24"/>
          <w:szCs w:val="24"/>
        </w:rPr>
        <w:t xml:space="preserve">12 (doze) meses </w:t>
      </w:r>
      <w:r w:rsidRPr="00AC1C56">
        <w:rPr>
          <w:rFonts w:ascii="Bookman Old Style" w:eastAsia="Arial" w:hAnsi="Bookman Old Style" w:cstheme="minorHAnsi"/>
          <w:color w:val="000000"/>
          <w:sz w:val="24"/>
          <w:szCs w:val="24"/>
        </w:rPr>
        <w:t xml:space="preserve">prorrogável conforme previsão nos anexos a este Aviso de Contratação Direta. </w:t>
      </w:r>
    </w:p>
    <w:p w14:paraId="472BA257" w14:textId="77777777" w:rsidR="00AC1C56" w:rsidRPr="00AC1C56" w:rsidRDefault="00AC1C56" w:rsidP="00AC1C56">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C1C56">
        <w:rPr>
          <w:rFonts w:ascii="Bookman Old Style" w:eastAsia="MS Mincho" w:hAnsi="Bookman Old Style" w:cstheme="minorHAnsi"/>
          <w:color w:val="000000"/>
          <w:sz w:val="24"/>
          <w:szCs w:val="24"/>
        </w:rPr>
        <w:t>Na assinatura do contrato ou do instrumento equivalente poderá ser exigida a comprovação das condições de habilitação e contratação consignadas neste aviso, que deverão ser mantidas pelo fornecedor durante a vigência do contrato.</w:t>
      </w:r>
    </w:p>
    <w:p w14:paraId="6FFFB859" w14:textId="77777777" w:rsidR="00AC1C56" w:rsidRPr="00AC1C56" w:rsidRDefault="00AC1C56" w:rsidP="00AC1C56">
      <w:pPr>
        <w:spacing w:before="120" w:after="120" w:line="240" w:lineRule="auto"/>
        <w:ind w:right="-425"/>
        <w:jc w:val="both"/>
        <w:rPr>
          <w:rFonts w:ascii="Bookman Old Style" w:eastAsia="Arial" w:hAnsi="Bookman Old Style" w:cstheme="minorHAnsi"/>
          <w:color w:val="000000"/>
          <w:sz w:val="24"/>
          <w:szCs w:val="24"/>
        </w:rPr>
      </w:pPr>
    </w:p>
    <w:p w14:paraId="405018E1"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SANÇÕES</w:t>
      </w:r>
    </w:p>
    <w:p w14:paraId="5BD754F7" w14:textId="77777777" w:rsidR="00AC1C56" w:rsidRPr="00AC1C56" w:rsidRDefault="00AC1C56" w:rsidP="00AC1C56">
      <w:pPr>
        <w:spacing w:after="0"/>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sz w:val="24"/>
          <w:szCs w:val="24"/>
        </w:rPr>
        <w:t>8.1</w:t>
      </w:r>
      <w:r w:rsidRPr="00AC1C56">
        <w:rPr>
          <w:rFonts w:ascii="Bookman Old Style" w:eastAsia="MS Mincho" w:hAnsi="Bookman Old Style" w:cs="Calibri"/>
          <w:sz w:val="24"/>
          <w:szCs w:val="24"/>
        </w:rPr>
        <w:tab/>
        <w:t>Comete</w:t>
      </w:r>
      <w:proofErr w:type="gramEnd"/>
      <w:r w:rsidRPr="00AC1C56">
        <w:rPr>
          <w:rFonts w:ascii="Bookman Old Style" w:eastAsia="MS Mincho" w:hAnsi="Bookman Old Style" w:cs="Calibri"/>
          <w:sz w:val="24"/>
          <w:szCs w:val="24"/>
        </w:rPr>
        <w:t xml:space="preserve"> infração administrativa, nos termos da Lei nº 14.133, de 2021, o licitante/adjudicatário que: </w:t>
      </w:r>
    </w:p>
    <w:p w14:paraId="6EE370C7"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8.1.1 – </w:t>
      </w:r>
      <w:proofErr w:type="gramStart"/>
      <w:r w:rsidRPr="00AC1C56">
        <w:rPr>
          <w:rFonts w:ascii="Bookman Old Style" w:eastAsia="MS Mincho" w:hAnsi="Bookman Old Style" w:cs="Calibri"/>
          <w:sz w:val="24"/>
          <w:szCs w:val="24"/>
        </w:rPr>
        <w:t>não</w:t>
      </w:r>
      <w:proofErr w:type="gramEnd"/>
      <w:r w:rsidRPr="00AC1C56">
        <w:rPr>
          <w:rFonts w:ascii="Bookman Old Style" w:eastAsia="MS Mincho" w:hAnsi="Bookman Old Style" w:cs="Calibri"/>
          <w:sz w:val="24"/>
          <w:szCs w:val="24"/>
        </w:rPr>
        <w:t xml:space="preserve"> assinar o termo de contrato ou aceitar/retirar o instrumento equivalente, quando convocado dentro do prazo de validade da proposta;</w:t>
      </w:r>
    </w:p>
    <w:p w14:paraId="266A7576"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8.1.2 – </w:t>
      </w:r>
      <w:proofErr w:type="gramStart"/>
      <w:r w:rsidRPr="00AC1C56">
        <w:rPr>
          <w:rFonts w:ascii="Bookman Old Style" w:eastAsia="MS Mincho" w:hAnsi="Bookman Old Style" w:cs="Calibri"/>
          <w:sz w:val="24"/>
          <w:szCs w:val="24"/>
        </w:rPr>
        <w:t>não</w:t>
      </w:r>
      <w:proofErr w:type="gramEnd"/>
      <w:r w:rsidRPr="00AC1C56">
        <w:rPr>
          <w:rFonts w:ascii="Bookman Old Style" w:eastAsia="MS Mincho" w:hAnsi="Bookman Old Style" w:cs="Calibri"/>
          <w:sz w:val="24"/>
          <w:szCs w:val="24"/>
        </w:rPr>
        <w:t xml:space="preserve"> assinar a ata de registro de preços, quando cabível;</w:t>
      </w:r>
    </w:p>
    <w:p w14:paraId="5D28EA62"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8.1.3 – </w:t>
      </w:r>
      <w:proofErr w:type="gramStart"/>
      <w:r w:rsidRPr="00AC1C56">
        <w:rPr>
          <w:rFonts w:ascii="Bookman Old Style" w:eastAsia="MS Mincho" w:hAnsi="Bookman Old Style" w:cs="Calibri"/>
          <w:sz w:val="24"/>
          <w:szCs w:val="24"/>
        </w:rPr>
        <w:t>apresentar</w:t>
      </w:r>
      <w:proofErr w:type="gramEnd"/>
      <w:r w:rsidRPr="00AC1C56">
        <w:rPr>
          <w:rFonts w:ascii="Bookman Old Style" w:eastAsia="MS Mincho" w:hAnsi="Bookman Old Style" w:cs="Calibri"/>
          <w:sz w:val="24"/>
          <w:szCs w:val="24"/>
        </w:rPr>
        <w:t xml:space="preserve"> documentação falsa;</w:t>
      </w:r>
    </w:p>
    <w:p w14:paraId="05B4AC7D"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8.1.4 – </w:t>
      </w:r>
      <w:proofErr w:type="gramStart"/>
      <w:r w:rsidRPr="00AC1C56">
        <w:rPr>
          <w:rFonts w:ascii="Bookman Old Style" w:eastAsia="MS Mincho" w:hAnsi="Bookman Old Style" w:cs="Calibri"/>
          <w:sz w:val="24"/>
          <w:szCs w:val="24"/>
        </w:rPr>
        <w:t>deixar</w:t>
      </w:r>
      <w:proofErr w:type="gramEnd"/>
      <w:r w:rsidRPr="00AC1C56">
        <w:rPr>
          <w:rFonts w:ascii="Bookman Old Style" w:eastAsia="MS Mincho" w:hAnsi="Bookman Old Style" w:cs="Calibri"/>
          <w:sz w:val="24"/>
          <w:szCs w:val="24"/>
        </w:rPr>
        <w:t xml:space="preserve"> de entregar os documentos exigidos no certame;</w:t>
      </w:r>
    </w:p>
    <w:p w14:paraId="7F49E6B0"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8.1.5 – </w:t>
      </w:r>
      <w:proofErr w:type="gramStart"/>
      <w:r w:rsidRPr="00AC1C56">
        <w:rPr>
          <w:rFonts w:ascii="Bookman Old Style" w:eastAsia="MS Mincho" w:hAnsi="Bookman Old Style" w:cs="Calibri"/>
          <w:sz w:val="24"/>
          <w:szCs w:val="24"/>
        </w:rPr>
        <w:t>ensejar</w:t>
      </w:r>
      <w:proofErr w:type="gramEnd"/>
      <w:r w:rsidRPr="00AC1C56">
        <w:rPr>
          <w:rFonts w:ascii="Bookman Old Style" w:eastAsia="MS Mincho" w:hAnsi="Bookman Old Style" w:cs="Calibri"/>
          <w:sz w:val="24"/>
          <w:szCs w:val="24"/>
        </w:rPr>
        <w:t xml:space="preserve"> o retardamento da execução do objeto;</w:t>
      </w:r>
    </w:p>
    <w:p w14:paraId="5123DF61"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8.1.6 – </w:t>
      </w:r>
      <w:proofErr w:type="gramStart"/>
      <w:r w:rsidRPr="00AC1C56">
        <w:rPr>
          <w:rFonts w:ascii="Bookman Old Style" w:eastAsia="MS Mincho" w:hAnsi="Bookman Old Style" w:cs="Calibri"/>
          <w:sz w:val="24"/>
          <w:szCs w:val="24"/>
        </w:rPr>
        <w:t>não</w:t>
      </w:r>
      <w:proofErr w:type="gramEnd"/>
      <w:r w:rsidRPr="00AC1C56">
        <w:rPr>
          <w:rFonts w:ascii="Bookman Old Style" w:eastAsia="MS Mincho" w:hAnsi="Bookman Old Style" w:cs="Calibri"/>
          <w:sz w:val="24"/>
          <w:szCs w:val="24"/>
        </w:rPr>
        <w:t xml:space="preserve"> mantiver a proposta;</w:t>
      </w:r>
    </w:p>
    <w:p w14:paraId="683D6660"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8.1.7 – </w:t>
      </w:r>
      <w:proofErr w:type="gramStart"/>
      <w:r w:rsidRPr="00AC1C56">
        <w:rPr>
          <w:rFonts w:ascii="Bookman Old Style" w:eastAsia="MS Mincho" w:hAnsi="Bookman Old Style" w:cs="Calibri"/>
          <w:sz w:val="24"/>
          <w:szCs w:val="24"/>
        </w:rPr>
        <w:t>cometer</w:t>
      </w:r>
      <w:proofErr w:type="gramEnd"/>
      <w:r w:rsidRPr="00AC1C56">
        <w:rPr>
          <w:rFonts w:ascii="Bookman Old Style" w:eastAsia="MS Mincho" w:hAnsi="Bookman Old Style" w:cs="Calibri"/>
          <w:sz w:val="24"/>
          <w:szCs w:val="24"/>
        </w:rPr>
        <w:t xml:space="preserve"> fraude fiscal;</w:t>
      </w:r>
    </w:p>
    <w:p w14:paraId="168D5E6C"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8.1.8 – </w:t>
      </w:r>
      <w:proofErr w:type="gramStart"/>
      <w:r w:rsidRPr="00AC1C56">
        <w:rPr>
          <w:rFonts w:ascii="Bookman Old Style" w:eastAsia="MS Mincho" w:hAnsi="Bookman Old Style" w:cs="Calibri"/>
          <w:sz w:val="24"/>
          <w:szCs w:val="24"/>
        </w:rPr>
        <w:t>comportar-se</w:t>
      </w:r>
      <w:proofErr w:type="gramEnd"/>
      <w:r w:rsidRPr="00AC1C56">
        <w:rPr>
          <w:rFonts w:ascii="Bookman Old Style" w:eastAsia="MS Mincho" w:hAnsi="Bookman Old Style" w:cs="Calibri"/>
          <w:sz w:val="24"/>
          <w:szCs w:val="24"/>
        </w:rPr>
        <w:t xml:space="preserve"> de modo inidôneo;</w:t>
      </w:r>
    </w:p>
    <w:p w14:paraId="486C1E24"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8.2 –</w:t>
      </w:r>
      <w:r w:rsidRPr="00AC1C56">
        <w:rPr>
          <w:rFonts w:ascii="Bookman Old Style" w:eastAsia="MS Mincho" w:hAnsi="Bookman Old Style" w:cs="Calibri"/>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6CD1ACC"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8.3 –</w:t>
      </w:r>
      <w:r w:rsidRPr="00AC1C56">
        <w:rPr>
          <w:rFonts w:ascii="Bookman Old Style" w:eastAsia="MS Mincho" w:hAnsi="Bookman Old Style" w:cs="Calibri"/>
          <w:sz w:val="24"/>
          <w:szCs w:val="24"/>
        </w:rPr>
        <w:tab/>
        <w:t xml:space="preserve">A CONTRATADA, durante a execução do Contrato, poderá ser apenada com: </w:t>
      </w:r>
    </w:p>
    <w:p w14:paraId="358A0E81"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8.3.1 – Advertência por faltas leves, assim entendidas como aquelas que não acarretarem prejuízos significativos ao objeto da contratação;</w:t>
      </w:r>
    </w:p>
    <w:p w14:paraId="0C5B3139"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8.3.2 – Multa de 10% (dez por cento) sobre o valor estimado </w:t>
      </w:r>
      <w:proofErr w:type="gramStart"/>
      <w:r w:rsidRPr="00AC1C56">
        <w:rPr>
          <w:rFonts w:ascii="Bookman Old Style" w:eastAsia="MS Mincho" w:hAnsi="Bookman Old Style" w:cs="Calibri"/>
          <w:sz w:val="24"/>
          <w:szCs w:val="24"/>
        </w:rPr>
        <w:t>do(</w:t>
      </w:r>
      <w:proofErr w:type="gramEnd"/>
      <w:r w:rsidRPr="00AC1C56">
        <w:rPr>
          <w:rFonts w:ascii="Bookman Old Style" w:eastAsia="MS Mincho" w:hAnsi="Bookman Old Style" w:cs="Calibri"/>
          <w:sz w:val="24"/>
          <w:szCs w:val="24"/>
        </w:rPr>
        <w:t>s) item(s) prejudicado(s) pela conduta do licitante;</w:t>
      </w:r>
    </w:p>
    <w:p w14:paraId="217C20B0"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lastRenderedPageBreak/>
        <w:t>8.3.3 – Suspensão de licitar e impedimento de contratar com a Administração Pública Municipal pelo prazo de até dois anos;</w:t>
      </w:r>
    </w:p>
    <w:p w14:paraId="31FED6A1" w14:textId="77777777" w:rsidR="00AC1C56" w:rsidRPr="00AC1C56" w:rsidRDefault="00AC1C56" w:rsidP="00AC1C56">
      <w:pPr>
        <w:spacing w:after="0"/>
        <w:ind w:left="1134"/>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8.3.4 – Impedimento de licitar e de contratar com o Município e descredenciamento no SICAF, pelo prazo de até cinco anos;</w:t>
      </w:r>
    </w:p>
    <w:p w14:paraId="187CBE66"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8.4 –</w:t>
      </w:r>
      <w:r w:rsidRPr="00AC1C56">
        <w:rPr>
          <w:rFonts w:ascii="Bookman Old Style" w:eastAsia="MS Mincho" w:hAnsi="Bookman Old Style" w:cs="Calibri"/>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4A115B7"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8.5 –</w:t>
      </w:r>
      <w:r w:rsidRPr="00AC1C56">
        <w:rPr>
          <w:rFonts w:ascii="Bookman Old Style" w:eastAsia="MS Mincho" w:hAnsi="Bookman Old Style" w:cs="Calibri"/>
          <w:sz w:val="24"/>
          <w:szCs w:val="24"/>
        </w:rPr>
        <w:tab/>
        <w:t>A penalidade de multa pode ser aplicada cumulativamente com as demais sanções.</w:t>
      </w:r>
    </w:p>
    <w:p w14:paraId="32CACBF9"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8.6 –</w:t>
      </w:r>
      <w:r w:rsidRPr="00AC1C56">
        <w:rPr>
          <w:rFonts w:ascii="Bookman Old Style" w:eastAsia="MS Mincho" w:hAnsi="Bookman Old Style" w:cs="Calibri"/>
          <w:sz w:val="24"/>
          <w:szCs w:val="24"/>
        </w:rPr>
        <w:tab/>
        <w:t>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8FFD5AB"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8.7 –</w:t>
      </w:r>
      <w:r w:rsidRPr="00AC1C56">
        <w:rPr>
          <w:rFonts w:ascii="Bookman Old Style" w:eastAsia="MS Mincho" w:hAnsi="Bookman Old Style" w:cs="Calibri"/>
          <w:sz w:val="24"/>
          <w:szCs w:val="24"/>
        </w:rPr>
        <w:tab/>
      </w:r>
      <w:proofErr w:type="gramStart"/>
      <w:r w:rsidRPr="00AC1C56">
        <w:rPr>
          <w:rFonts w:ascii="Bookman Old Style" w:eastAsia="MS Mincho" w:hAnsi="Bookman Old Style" w:cs="Calibri"/>
          <w:sz w:val="24"/>
          <w:szCs w:val="24"/>
        </w:rPr>
        <w:t>A apuração e o julgamento</w:t>
      </w:r>
      <w:proofErr w:type="gramEnd"/>
      <w:r w:rsidRPr="00AC1C56">
        <w:rPr>
          <w:rFonts w:ascii="Bookman Old Style" w:eastAsia="MS Mincho" w:hAnsi="Bookman Old Style" w:cs="Calibri"/>
          <w:sz w:val="24"/>
          <w:szCs w:val="24"/>
        </w:rPr>
        <w:t xml:space="preserve"> das demais infrações administrativas não consideradas como ato lesivo à Administração Pública nacional nos termos da Lei nº 12.846/2013, seguirão seu rito normal na unidade administrativa. </w:t>
      </w:r>
    </w:p>
    <w:p w14:paraId="79B4BC29"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8.8 –</w:t>
      </w:r>
      <w:r w:rsidRPr="00AC1C56">
        <w:rPr>
          <w:rFonts w:ascii="Bookman Old Style" w:eastAsia="MS Mincho" w:hAnsi="Bookman Old Style" w:cs="Calibri"/>
          <w:sz w:val="24"/>
          <w:szCs w:val="24"/>
        </w:rPr>
        <w:tab/>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5A37632"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8.9 –</w:t>
      </w:r>
      <w:r w:rsidRPr="00AC1C56">
        <w:rPr>
          <w:rFonts w:ascii="Bookman Old Style" w:eastAsia="MS Mincho" w:hAnsi="Bookman Old Style" w:cs="Calibri"/>
          <w:sz w:val="24"/>
          <w:szCs w:val="24"/>
        </w:rPr>
        <w:tab/>
        <w:t>Caso o valor da multa não seja suficiente para cobrir os prejuízos causados pela conduta do licitante, o Município poderá cobrar o valor remanescente judicialmente, conforme artigo 419 do Código Civil.</w:t>
      </w:r>
    </w:p>
    <w:p w14:paraId="0AFA150A"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8.10 </w:t>
      </w:r>
      <w:r w:rsidRPr="00AC1C56">
        <w:rPr>
          <w:rFonts w:ascii="Bookman Old Style" w:eastAsia="MS Mincho" w:hAnsi="Bookman Old Style" w:cs="Calibri"/>
          <w:sz w:val="24"/>
          <w:szCs w:val="24"/>
        </w:rPr>
        <w:tab/>
        <w:t>A aplicação de qualquer das penalidades previstas realizar-se-á em processo administrativo que assegurará o contraditório e a ampla defesa ao licitante/adjudicatário, observando-se o procedimento previsto na Lei nº 14.133, de 2021.</w:t>
      </w:r>
    </w:p>
    <w:p w14:paraId="3705CEF0"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8.11 </w:t>
      </w:r>
      <w:r w:rsidRPr="00AC1C56">
        <w:rPr>
          <w:rFonts w:ascii="Bookman Old Style" w:eastAsia="MS Mincho" w:hAnsi="Bookman Old Style" w:cs="Calibri"/>
          <w:sz w:val="24"/>
          <w:szCs w:val="24"/>
        </w:rPr>
        <w:tab/>
        <w:t xml:space="preserve"> A autoridade competente, na aplicação das sanções, levará em consideração a gravidade da conduta do infrator, o caráter educativo da pena, bem como o dano causado à Administração, observado o princípio da proporcionalidade.</w:t>
      </w:r>
    </w:p>
    <w:p w14:paraId="74E0B0C4" w14:textId="77777777" w:rsidR="00AC1C56" w:rsidRPr="00AC1C56" w:rsidRDefault="00AC1C56" w:rsidP="00AC1C56">
      <w:pPr>
        <w:spacing w:after="0"/>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 xml:space="preserve">8.12 </w:t>
      </w:r>
      <w:proofErr w:type="gramStart"/>
      <w:r w:rsidRPr="00AC1C56">
        <w:rPr>
          <w:rFonts w:ascii="Bookman Old Style" w:eastAsia="MS Mincho" w:hAnsi="Bookman Old Style" w:cs="Calibri"/>
          <w:sz w:val="24"/>
          <w:szCs w:val="24"/>
        </w:rPr>
        <w:tab/>
        <w:t xml:space="preserve"> As</w:t>
      </w:r>
      <w:proofErr w:type="gramEnd"/>
      <w:r w:rsidRPr="00AC1C56">
        <w:rPr>
          <w:rFonts w:ascii="Bookman Old Style" w:eastAsia="MS Mincho" w:hAnsi="Bookman Old Style" w:cs="Calibri"/>
          <w:sz w:val="24"/>
          <w:szCs w:val="24"/>
        </w:rPr>
        <w:t xml:space="preserve"> penalidades serão obrigatoriamente registradas no SICAF.</w:t>
      </w:r>
    </w:p>
    <w:p w14:paraId="6AEA3866" w14:textId="77777777" w:rsidR="00AC1C56" w:rsidRPr="00AC1C56" w:rsidRDefault="00AC1C56" w:rsidP="00AC1C56">
      <w:pPr>
        <w:spacing w:before="120" w:after="120" w:line="240" w:lineRule="auto"/>
        <w:ind w:right="-425"/>
        <w:jc w:val="both"/>
        <w:rPr>
          <w:rFonts w:ascii="Bookman Old Style" w:eastAsia="MS Mincho" w:hAnsi="Bookman Old Style" w:cstheme="minorHAnsi"/>
          <w:b/>
          <w:sz w:val="24"/>
          <w:szCs w:val="24"/>
        </w:rPr>
      </w:pPr>
    </w:p>
    <w:p w14:paraId="3682A228"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DO JULGAMENTO DOS RECURSOS ADMINISTRATIVOS</w:t>
      </w:r>
    </w:p>
    <w:p w14:paraId="4C93B12C" w14:textId="77777777" w:rsidR="00AC1C56" w:rsidRPr="00AC1C56" w:rsidRDefault="00AC1C56" w:rsidP="00E15208">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C1C56">
        <w:rPr>
          <w:rFonts w:ascii="Bookman Old Style" w:eastAsiaTheme="minorEastAsia" w:hAnsi="Bookman Old Style" w:cs="Calibri"/>
          <w:color w:val="000000"/>
          <w:sz w:val="24"/>
          <w:szCs w:val="24"/>
          <w:lang w:eastAsia="pt-BR"/>
          <w14:ligatures w14:val="standardContextual"/>
        </w:rPr>
        <w:lastRenderedPageBreak/>
        <w:t>O julgamento dos recursos interpostos no âmbito deste certame observará, obrigatoriamente, os prazos, procedimentos e garantias previstos na Lei Federal nº 14.133/2021, nas disposições deste Edital.</w:t>
      </w:r>
    </w:p>
    <w:p w14:paraId="5900BA40" w14:textId="77777777" w:rsidR="00AC1C56" w:rsidRPr="00AC1C56" w:rsidRDefault="00AC1C56" w:rsidP="00E15208">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C1C56">
        <w:rPr>
          <w:rFonts w:ascii="Bookman Old Style" w:eastAsiaTheme="minorEastAsia" w:hAnsi="Bookman Old Style" w:cs="Calibri"/>
          <w:color w:val="000000"/>
          <w:sz w:val="24"/>
          <w:szCs w:val="24"/>
          <w:lang w:eastAsia="pt-BR"/>
          <w14:ligatures w14:val="standardContextual"/>
        </w:rPr>
        <w:t>A autoridade competente, ou aquela a quem for delegada essa atribuição, deverá decidir o recurso administrativo de forma expressa, motivada e dentro do prazo legal, observando os princípios do contraditório, da ampla defesa, da legalidade e da eficiência administrativa.</w:t>
      </w:r>
    </w:p>
    <w:p w14:paraId="0BF61E37" w14:textId="77777777" w:rsidR="00AC1C56" w:rsidRPr="00AC1C56" w:rsidRDefault="00AC1C56" w:rsidP="00E15208">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C1C56">
        <w:rPr>
          <w:rFonts w:ascii="Bookman Old Style" w:eastAsiaTheme="minorEastAsia" w:hAnsi="Bookman Old Style" w:cs="Calibri"/>
          <w:color w:val="000000"/>
          <w:sz w:val="24"/>
          <w:szCs w:val="24"/>
          <w:lang w:eastAsia="pt-BR"/>
          <w14:ligatures w14:val="standardContextual"/>
        </w:rPr>
        <w:t>Fica vedada a postergação ou omissão no julgamento de recurso interposto, sendo obrigatória a publicação da decisão no mesmo meio de divulgação do edital, com indicação clara dos fundamentos de fato e de direito.</w:t>
      </w:r>
    </w:p>
    <w:p w14:paraId="7BF1EC35" w14:textId="77777777" w:rsidR="00AC1C56" w:rsidRPr="00AC1C56" w:rsidRDefault="00AC1C56" w:rsidP="00E15208">
      <w:pPr>
        <w:numPr>
          <w:ilvl w:val="1"/>
          <w:numId w:val="11"/>
        </w:numPr>
        <w:autoSpaceDE w:val="0"/>
        <w:autoSpaceDN w:val="0"/>
        <w:adjustRightInd w:val="0"/>
        <w:spacing w:after="0" w:line="240" w:lineRule="auto"/>
        <w:jc w:val="both"/>
        <w:rPr>
          <w:rFonts w:ascii="Bookman Old Style" w:eastAsia="MS Mincho" w:hAnsi="Bookman Old Style" w:cs="Calibri"/>
          <w:color w:val="000000"/>
          <w:sz w:val="24"/>
          <w:szCs w:val="24"/>
          <w14:ligatures w14:val="standardContextual"/>
        </w:rPr>
      </w:pPr>
      <w:r w:rsidRPr="00AC1C56">
        <w:rPr>
          <w:rFonts w:ascii="Bookman Old Style" w:eastAsia="MS Mincho" w:hAnsi="Bookman Old Style" w:cs="Calibri"/>
          <w:color w:val="000000"/>
          <w:sz w:val="24"/>
          <w:szCs w:val="24"/>
          <w14:ligatures w14:val="standardContextual"/>
        </w:rPr>
        <w:t xml:space="preserve">O não julgamento tempestivo do recurso implicará irregularidade procedimental, nos termos do Acórdão nº 2.706/25 do Tribunal Pleno do TCE-PR, podendo ensejar responsabilização da autoridade competente, conforme previsto na legislação de regência. </w:t>
      </w:r>
    </w:p>
    <w:p w14:paraId="0AFFB15B" w14:textId="77777777" w:rsidR="00AC1C56" w:rsidRPr="00AC1C56" w:rsidRDefault="00AC1C56" w:rsidP="00E15208">
      <w:pPr>
        <w:numPr>
          <w:ilvl w:val="1"/>
          <w:numId w:val="11"/>
        </w:numPr>
        <w:autoSpaceDE w:val="0"/>
        <w:autoSpaceDN w:val="0"/>
        <w:adjustRightInd w:val="0"/>
        <w:spacing w:after="44" w:line="240" w:lineRule="auto"/>
        <w:jc w:val="both"/>
        <w:rPr>
          <w:rFonts w:ascii="Bookman Old Style" w:eastAsia="MS Mincho" w:hAnsi="Bookman Old Style" w:cs="Calibri"/>
          <w:color w:val="000000"/>
          <w:sz w:val="24"/>
          <w:szCs w:val="24"/>
          <w14:ligatures w14:val="standardContextual"/>
        </w:rPr>
      </w:pPr>
      <w:r w:rsidRPr="00AC1C56">
        <w:rPr>
          <w:rFonts w:ascii="Bookman Old Style" w:eastAsia="MS Mincho" w:hAnsi="Bookman Old Style" w:cs="Calibri"/>
          <w:color w:val="000000"/>
          <w:sz w:val="24"/>
          <w:szCs w:val="24"/>
          <w14:ligatures w14:val="standardContextual"/>
        </w:rPr>
        <w:t xml:space="preserve">Nenhuma fase subsequente do processo licitatório poderá ser concluída, antes da decisão final dos recursos tempestivamente interpostos, respeitando-se o princípio da sequencialidade procedimental. </w:t>
      </w:r>
    </w:p>
    <w:p w14:paraId="0E43AC87" w14:textId="77777777" w:rsidR="00AC1C56" w:rsidRPr="00AC1C56" w:rsidRDefault="00AC1C56" w:rsidP="00E15208">
      <w:pPr>
        <w:numPr>
          <w:ilvl w:val="1"/>
          <w:numId w:val="11"/>
        </w:numPr>
        <w:autoSpaceDE w:val="0"/>
        <w:autoSpaceDN w:val="0"/>
        <w:adjustRightInd w:val="0"/>
        <w:spacing w:after="0" w:line="240" w:lineRule="auto"/>
        <w:jc w:val="both"/>
        <w:rPr>
          <w:rFonts w:ascii="Bookman Old Style" w:eastAsia="MS Mincho" w:hAnsi="Bookman Old Style" w:cs="Calibri"/>
          <w:color w:val="000000"/>
          <w:sz w:val="24"/>
          <w:szCs w:val="24"/>
          <w14:ligatures w14:val="standardContextual"/>
        </w:rPr>
      </w:pPr>
      <w:r w:rsidRPr="00AC1C56">
        <w:rPr>
          <w:rFonts w:ascii="Bookman Old Style" w:eastAsia="MS Mincho" w:hAnsi="Bookman Old Style" w:cs="Calibri"/>
          <w:color w:val="000000"/>
          <w:sz w:val="24"/>
          <w:szCs w:val="24"/>
          <w14:ligatures w14:val="standardContextual"/>
        </w:rPr>
        <w:t xml:space="preserve">O recurso intempestivo ou desprovido de fundamentação legal será sumariamente indeferido. </w:t>
      </w:r>
    </w:p>
    <w:p w14:paraId="553E80EC" w14:textId="77777777" w:rsidR="00AC1C56" w:rsidRPr="00AC1C56" w:rsidRDefault="00AC1C56" w:rsidP="00AC1C56">
      <w:pPr>
        <w:spacing w:before="120" w:after="120" w:line="240" w:lineRule="auto"/>
        <w:ind w:right="-425"/>
        <w:jc w:val="both"/>
        <w:rPr>
          <w:rFonts w:ascii="Bookman Old Style" w:eastAsia="MS Mincho" w:hAnsi="Bookman Old Style" w:cstheme="minorHAnsi"/>
          <w:b/>
          <w:sz w:val="24"/>
          <w:szCs w:val="24"/>
        </w:rPr>
      </w:pPr>
    </w:p>
    <w:p w14:paraId="59E4BB52" w14:textId="77777777" w:rsidR="00AC1C56" w:rsidRPr="00AC1C56" w:rsidRDefault="00AC1C56" w:rsidP="00AC1C56">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C1C56">
        <w:rPr>
          <w:rFonts w:ascii="Bookman Old Style" w:eastAsia="WenQuanYi Micro Hei" w:hAnsi="Bookman Old Style" w:cstheme="minorHAnsi"/>
          <w:b/>
          <w:sz w:val="24"/>
          <w:szCs w:val="24"/>
          <w:lang w:eastAsia="zh-CN" w:bidi="hi-IN"/>
        </w:rPr>
        <w:t>DAS DISPOSIÇÕES GERAIS</w:t>
      </w:r>
    </w:p>
    <w:p w14:paraId="36F30D9C" w14:textId="77777777" w:rsidR="00AC1C56" w:rsidRPr="00AC1C56" w:rsidRDefault="00AC1C56" w:rsidP="00AC1C56">
      <w:pPr>
        <w:numPr>
          <w:ilvl w:val="1"/>
          <w:numId w:val="3"/>
        </w:numPr>
        <w:autoSpaceDE w:val="0"/>
        <w:snapToGrid w:val="0"/>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sz w:val="24"/>
          <w:szCs w:val="24"/>
        </w:rPr>
        <w:t xml:space="preserve">O procedimento será divulgado no sítio eletrônico do Poder Legislativo, disponível no endereço </w:t>
      </w:r>
      <w:r w:rsidRPr="00AC1C56">
        <w:rPr>
          <w:rFonts w:ascii="Bookman Old Style" w:eastAsia="MS Mincho" w:hAnsi="Bookman Old Style" w:cstheme="minorHAnsi"/>
          <w:i/>
          <w:color w:val="0070C0"/>
          <w:sz w:val="24"/>
          <w:szCs w:val="24"/>
          <w:u w:val="single"/>
        </w:rPr>
        <w:t>https://camaraterrarica.pr.gov.br/</w:t>
      </w:r>
      <w:r w:rsidRPr="00AC1C56">
        <w:rPr>
          <w:rFonts w:ascii="Bookman Old Style" w:eastAsia="MS Mincho" w:hAnsi="Bookman Old Style" w:cstheme="minorHAnsi"/>
          <w:color w:val="0070C0"/>
          <w:sz w:val="24"/>
          <w:szCs w:val="24"/>
        </w:rPr>
        <w:t xml:space="preserve"> </w:t>
      </w:r>
      <w:r w:rsidRPr="00AC1C56">
        <w:rPr>
          <w:rFonts w:ascii="Bookman Old Style" w:eastAsia="MS Mincho" w:hAnsi="Bookman Old Style" w:cstheme="minorHAnsi"/>
          <w:sz w:val="24"/>
          <w:szCs w:val="24"/>
        </w:rPr>
        <w:t xml:space="preserve">e no Diário Oficial do Órgão, disponível no endereço </w:t>
      </w:r>
      <w:hyperlink r:id="rId9" w:history="1">
        <w:r w:rsidRPr="00AC1C56">
          <w:rPr>
            <w:rFonts w:ascii="Bookman Old Style" w:eastAsia="MS Mincho" w:hAnsi="Bookman Old Style" w:cstheme="minorHAnsi"/>
            <w:i/>
            <w:color w:val="0000FF"/>
            <w:sz w:val="24"/>
            <w:szCs w:val="24"/>
            <w:u w:val="single"/>
          </w:rPr>
          <w:t>https://ampr.org.br/</w:t>
        </w:r>
      </w:hyperlink>
    </w:p>
    <w:p w14:paraId="255DE4D4" w14:textId="77777777" w:rsidR="00AC1C56" w:rsidRPr="00AC1C56" w:rsidRDefault="00AC1C56" w:rsidP="00AC1C56">
      <w:pPr>
        <w:numPr>
          <w:ilvl w:val="1"/>
          <w:numId w:val="3"/>
        </w:numPr>
        <w:autoSpaceDE w:val="0"/>
        <w:snapToGrid w:val="0"/>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No caso de todos os fornecedores restarem desclassificados ou inabilitados (procedimento fracassado), a Administração poderá:</w:t>
      </w:r>
    </w:p>
    <w:p w14:paraId="1E20539D" w14:textId="77777777" w:rsidR="00AC1C56" w:rsidRPr="00AC1C56" w:rsidRDefault="00AC1C56" w:rsidP="00AC1C56">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C1C56">
        <w:rPr>
          <w:rFonts w:ascii="Bookman Old Style" w:eastAsia="MS Mincho" w:hAnsi="Bookman Old Style" w:cstheme="minorHAnsi"/>
          <w:color w:val="000000"/>
          <w:sz w:val="24"/>
          <w:szCs w:val="24"/>
        </w:rPr>
        <w:t>republicar</w:t>
      </w:r>
      <w:proofErr w:type="gramEnd"/>
      <w:r w:rsidRPr="00AC1C56">
        <w:rPr>
          <w:rFonts w:ascii="Bookman Old Style" w:eastAsia="MS Mincho" w:hAnsi="Bookman Old Style" w:cstheme="minorHAnsi"/>
          <w:color w:val="000000"/>
          <w:sz w:val="24"/>
          <w:szCs w:val="24"/>
        </w:rPr>
        <w:t xml:space="preserve"> o presente aviso com uma nova data;</w:t>
      </w:r>
    </w:p>
    <w:p w14:paraId="59346328" w14:textId="77777777" w:rsidR="00AC1C56" w:rsidRPr="00AC1C56" w:rsidRDefault="00AC1C56" w:rsidP="00AC1C56">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C1C56">
        <w:rPr>
          <w:rFonts w:ascii="Bookman Old Style" w:eastAsia="MS Mincho" w:hAnsi="Bookman Old Style" w:cstheme="minorHAnsi"/>
          <w:color w:val="000000"/>
          <w:sz w:val="24"/>
          <w:szCs w:val="24"/>
        </w:rPr>
        <w:t>valer</w:t>
      </w:r>
      <w:proofErr w:type="gramEnd"/>
      <w:r w:rsidRPr="00AC1C56">
        <w:rPr>
          <w:rFonts w:ascii="Bookman Old Style" w:eastAsia="MS Mincho" w:hAnsi="Bookman Old Style" w:cstheme="minorHAnsi"/>
          <w:color w:val="000000"/>
          <w:sz w:val="24"/>
          <w:szCs w:val="24"/>
        </w:rPr>
        <w:t>-se, para a contratação, de cotação obtida na pesquisa de preços que serviu de base ao procedimento, se houver, privilegiando-se os menores preços, sempre que possível, e desde que atendidas às condições de habilitação exigidas;</w:t>
      </w:r>
    </w:p>
    <w:p w14:paraId="49CCED6B" w14:textId="77777777" w:rsidR="00AC1C56" w:rsidRPr="00AC1C56" w:rsidRDefault="00AC1C56" w:rsidP="00AC1C56">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lang w:val="pt-PT"/>
        </w:rPr>
        <w:t xml:space="preserve">fixar prazo para que os fornecedores interessados possam </w:t>
      </w:r>
      <w:r w:rsidRPr="00AC1C56">
        <w:rPr>
          <w:rFonts w:ascii="Bookman Old Style" w:eastAsia="MS Mincho" w:hAnsi="Bookman Old Style" w:cstheme="minorHAnsi"/>
          <w:b/>
          <w:bCs/>
          <w:color w:val="000000"/>
          <w:sz w:val="24"/>
          <w:szCs w:val="24"/>
          <w:lang w:val="pt-PT"/>
        </w:rPr>
        <w:t>adequar</w:t>
      </w:r>
      <w:r w:rsidRPr="00AC1C56">
        <w:rPr>
          <w:rFonts w:ascii="Bookman Old Style" w:eastAsia="MS Mincho" w:hAnsi="Bookman Old Style" w:cstheme="minorHAnsi"/>
          <w:color w:val="000000"/>
          <w:sz w:val="24"/>
          <w:szCs w:val="24"/>
          <w:lang w:val="pt-PT"/>
        </w:rPr>
        <w:t xml:space="preserve"> as suas propostas ou sua situação no que se refere à habilitação;</w:t>
      </w:r>
    </w:p>
    <w:p w14:paraId="55BCED53" w14:textId="77777777" w:rsidR="00AC1C56" w:rsidRPr="00AC1C56" w:rsidRDefault="00AC1C56" w:rsidP="00AC1C56">
      <w:pPr>
        <w:numPr>
          <w:ilvl w:val="3"/>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C1C56">
        <w:rPr>
          <w:rFonts w:ascii="Bookman Old Style" w:eastAsia="MS Mincho" w:hAnsi="Bookman Old Style" w:cstheme="minorHAnsi"/>
          <w:color w:val="000000"/>
          <w:sz w:val="24"/>
          <w:szCs w:val="24"/>
        </w:rPr>
        <w:t>apreciada</w:t>
      </w:r>
      <w:proofErr w:type="gramEnd"/>
      <w:r w:rsidRPr="00AC1C56">
        <w:rPr>
          <w:rFonts w:ascii="Bookman Old Style" w:eastAsia="MS Mincho" w:hAnsi="Bookman Old Style" w:cstheme="minorHAnsi"/>
          <w:color w:val="000000"/>
          <w:sz w:val="24"/>
          <w:szCs w:val="24"/>
        </w:rPr>
        <w:t xml:space="preserve"> a cotação e a documentação de habilitação do fornecedor e, atendidos os critérios exigidos para a contratação, este será declarado vencedor;</w:t>
      </w:r>
    </w:p>
    <w:p w14:paraId="4BE95F9F" w14:textId="77777777" w:rsidR="00AC1C56" w:rsidRPr="00AC1C56" w:rsidRDefault="00AC1C56" w:rsidP="00AC1C56">
      <w:pPr>
        <w:numPr>
          <w:ilvl w:val="3"/>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C1C56">
        <w:rPr>
          <w:rFonts w:ascii="Bookman Old Style" w:eastAsia="MS Mincho" w:hAnsi="Bookman Old Style" w:cstheme="minorHAnsi"/>
          <w:color w:val="000000"/>
          <w:sz w:val="24"/>
          <w:szCs w:val="24"/>
        </w:rPr>
        <w:t>no</w:t>
      </w:r>
      <w:proofErr w:type="gramEnd"/>
      <w:r w:rsidRPr="00AC1C56">
        <w:rPr>
          <w:rFonts w:ascii="Bookman Old Style" w:eastAsia="MS Mincho" w:hAnsi="Bookman Old Style" w:cstheme="minorHAnsi"/>
          <w:color w:val="000000"/>
          <w:sz w:val="24"/>
          <w:szCs w:val="24"/>
        </w:rPr>
        <w:t xml:space="preserve"> caso do subitem anterior, a contratação será operacionalizada fora deste procedimento;</w:t>
      </w:r>
    </w:p>
    <w:p w14:paraId="530621C4" w14:textId="77777777" w:rsidR="00AC1C56" w:rsidRPr="00AC1C56" w:rsidRDefault="00AC1C56" w:rsidP="00AC1C56">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C1C56">
        <w:rPr>
          <w:rFonts w:ascii="Bookman Old Style" w:eastAsia="MS Mincho" w:hAnsi="Bookman Old Style" w:cstheme="minorHAnsi"/>
          <w:color w:val="000000"/>
          <w:sz w:val="24"/>
          <w:szCs w:val="24"/>
        </w:rPr>
        <w:t>fixar</w:t>
      </w:r>
      <w:proofErr w:type="gramEnd"/>
      <w:r w:rsidRPr="00AC1C56">
        <w:rPr>
          <w:rFonts w:ascii="Bookman Old Style" w:eastAsia="MS Mincho" w:hAnsi="Bookman Old Style" w:cstheme="minorHAnsi"/>
          <w:color w:val="000000"/>
          <w:sz w:val="24"/>
          <w:szCs w:val="24"/>
        </w:rPr>
        <w:t xml:space="preserve"> prazo para que possa haver adequação das propostas ou da documentação de habilitação, conforme o caso.</w:t>
      </w:r>
    </w:p>
    <w:p w14:paraId="2D4A2F3A"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As providências dos subitens 11.2.1 e 11.2.2 acima poderão ser utilizadas se não houver o comparecimento de quaisquer fornecedores interessados (procedimento deserto).</w:t>
      </w:r>
    </w:p>
    <w:p w14:paraId="12028171"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lastRenderedPageBreak/>
        <w:t>Havendo a necessidade de realização de ato de qualquer natureza pelos fornecedores, cujo prazo não conste deste Aviso de Contratação Direta, deverá ser atendido o prazo indicado pelo agente da contratação direta na respectiva notificação.</w:t>
      </w:r>
    </w:p>
    <w:p w14:paraId="052C7677"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Caberá ao fornecedor acompanhar a sessão, ficando responsável pelo ônus decorrente da perda do negócio diante de sua ausência.</w:t>
      </w:r>
    </w:p>
    <w:p w14:paraId="15C95F5E"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695C4C19"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themeColor="text1"/>
          <w:sz w:val="24"/>
          <w:szCs w:val="24"/>
        </w:rPr>
      </w:pPr>
      <w:r w:rsidRPr="00AC1C56">
        <w:rPr>
          <w:rFonts w:ascii="Bookman Old Style" w:eastAsia="MS Mincho" w:hAnsi="Bookman Old Style" w:cstheme="minorHAns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E048B4"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B51F143"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1A1894F"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Em caso de divergência entre disposições deste Aviso de Contratação Direta e de seus anexos ou demais peças que compõem o processo, prevalecerá as deste Aviso.</w:t>
      </w:r>
    </w:p>
    <w:p w14:paraId="7D1D59D0"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lang w:val="pt-PT"/>
        </w:rPr>
        <w:t xml:space="preserve">Havendo </w:t>
      </w:r>
      <w:r w:rsidRPr="00AC1C56">
        <w:rPr>
          <w:rFonts w:ascii="Bookman Old Style" w:eastAsia="MS Mincho" w:hAnsi="Bookman Old Style" w:cstheme="minorHAnsi"/>
          <w:b/>
          <w:bCs/>
          <w:color w:val="000000"/>
          <w:sz w:val="24"/>
          <w:szCs w:val="24"/>
          <w:u w:val="single"/>
          <w:lang w:val="pt-PT"/>
        </w:rPr>
        <w:t>mais de uma empresa vencedora</w:t>
      </w:r>
      <w:r w:rsidRPr="00AC1C56">
        <w:rPr>
          <w:rFonts w:ascii="Bookman Old Style" w:eastAsia="MS Mincho" w:hAnsi="Bookman Old Style" w:cstheme="minorHAnsi"/>
          <w:color w:val="000000"/>
          <w:sz w:val="24"/>
          <w:szCs w:val="24"/>
          <w:lang w:val="pt-PT"/>
        </w:rPr>
        <w:t>, o órgão legislativo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6A0B70A7" w14:textId="77777777" w:rsidR="00AC1C56" w:rsidRPr="00AC1C56" w:rsidRDefault="00AC1C56" w:rsidP="00AC1C56">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Da sessão pública será lavrada Ata.</w:t>
      </w:r>
    </w:p>
    <w:p w14:paraId="53EDACAE" w14:textId="77777777" w:rsidR="00AC1C56" w:rsidRPr="00AC1C56" w:rsidRDefault="00AC1C56" w:rsidP="00AC1C56">
      <w:pPr>
        <w:numPr>
          <w:ilvl w:val="1"/>
          <w:numId w:val="3"/>
        </w:numPr>
        <w:spacing w:after="0" w:line="240" w:lineRule="auto"/>
        <w:contextualSpacing/>
        <w:rPr>
          <w:rFonts w:ascii="Bookman Old Style" w:eastAsia="MS Mincho" w:hAnsi="Bookman Old Style"/>
          <w:color w:val="0000FF"/>
          <w:sz w:val="24"/>
          <w:szCs w:val="24"/>
          <w:u w:val="single"/>
        </w:rPr>
      </w:pPr>
      <w:r w:rsidRPr="00AC1C56">
        <w:rPr>
          <w:rFonts w:ascii="Bookman Old Style" w:eastAsiaTheme="minorEastAsia" w:hAnsi="Bookman Old Style" w:cstheme="minorHAnsi"/>
          <w:color w:val="000000"/>
          <w:sz w:val="24"/>
          <w:szCs w:val="24"/>
          <w:lang w:eastAsia="pt-BR"/>
        </w:rPr>
        <w:t xml:space="preserve">Integram este Aviso de Contratação Direta, para todos os fins e efeitos, os documentos abaixo relacionados que se encontram disponíveis no endereço: </w:t>
      </w:r>
      <w:r w:rsidRPr="00AC1C56">
        <w:rPr>
          <w:rFonts w:ascii="Bookman Old Style" w:eastAsia="MS Mincho" w:hAnsi="Bookman Old Style"/>
          <w:color w:val="0000FF"/>
          <w:sz w:val="24"/>
          <w:szCs w:val="24"/>
          <w:u w:val="single"/>
        </w:rPr>
        <w:t>https://camaraterrarica.pr.gov.br/?pag=T0RZPU9EYz1PR009T1RrPU9EWT1PVEE9T1dFPQ==&amp;view=LIST-LICIT&amp;modalidade=&amp;sit=&amp;tipo_licita=&amp;situacao=&amp;ano=2026&amp;notid=&amp;notIn=&amp;tc=&amp;tcNot=&amp;sit=</w:t>
      </w:r>
    </w:p>
    <w:p w14:paraId="60066C45" w14:textId="77777777" w:rsidR="00AC1C56" w:rsidRPr="00AC1C56" w:rsidRDefault="00AC1C56" w:rsidP="00AC1C56">
      <w:pPr>
        <w:spacing w:before="120" w:after="120" w:line="240" w:lineRule="auto"/>
        <w:ind w:left="360" w:right="-425"/>
        <w:jc w:val="both"/>
        <w:rPr>
          <w:rFonts w:ascii="Bookman Old Style" w:eastAsia="MS Mincho" w:hAnsi="Bookman Old Style" w:cstheme="minorHAnsi"/>
          <w:color w:val="000000"/>
          <w:sz w:val="24"/>
          <w:szCs w:val="24"/>
        </w:rPr>
      </w:pPr>
    </w:p>
    <w:p w14:paraId="717483D5" w14:textId="77777777" w:rsidR="00AC1C56" w:rsidRPr="00AC1C56" w:rsidRDefault="00AC1C56" w:rsidP="00AC1C56">
      <w:pPr>
        <w:spacing w:before="120" w:after="20" w:line="240" w:lineRule="auto"/>
        <w:ind w:right="-425"/>
        <w:jc w:val="both"/>
        <w:rPr>
          <w:rFonts w:ascii="Bookman Old Style" w:eastAsia="MS Mincho" w:hAnsi="Bookman Old Style" w:cstheme="minorHAnsi"/>
          <w:i/>
          <w:sz w:val="24"/>
          <w:szCs w:val="24"/>
        </w:rPr>
      </w:pPr>
      <w:r w:rsidRPr="00AC1C56">
        <w:rPr>
          <w:rFonts w:ascii="Bookman Old Style" w:eastAsia="MS Mincho" w:hAnsi="Bookman Old Style" w:cstheme="minorHAnsi"/>
          <w:i/>
          <w:sz w:val="24"/>
          <w:szCs w:val="24"/>
        </w:rPr>
        <w:t>ANEXO I – Documentação exigida para Habilitação;</w:t>
      </w:r>
    </w:p>
    <w:p w14:paraId="1DF26A62" w14:textId="77777777" w:rsidR="00AC1C56" w:rsidRPr="00AC1C56" w:rsidRDefault="00AC1C56" w:rsidP="00AC1C56">
      <w:pPr>
        <w:spacing w:before="120" w:after="20" w:line="240" w:lineRule="auto"/>
        <w:ind w:right="-425"/>
        <w:jc w:val="both"/>
        <w:rPr>
          <w:rFonts w:ascii="Bookman Old Style" w:eastAsia="MS Mincho" w:hAnsi="Bookman Old Style" w:cstheme="minorHAnsi"/>
          <w:i/>
          <w:sz w:val="24"/>
          <w:szCs w:val="24"/>
        </w:rPr>
      </w:pPr>
      <w:r w:rsidRPr="00AC1C56">
        <w:rPr>
          <w:rFonts w:ascii="Bookman Old Style" w:eastAsia="MS Mincho" w:hAnsi="Bookman Old Style" w:cstheme="minorHAnsi"/>
          <w:i/>
          <w:sz w:val="24"/>
          <w:szCs w:val="24"/>
        </w:rPr>
        <w:t>ANEXO II – Termo de Referência</w:t>
      </w:r>
    </w:p>
    <w:p w14:paraId="77E7E992" w14:textId="77777777" w:rsidR="00AC1C56" w:rsidRPr="00AC1C56" w:rsidRDefault="00AC1C56" w:rsidP="00AC1C56">
      <w:pPr>
        <w:spacing w:before="120" w:after="20" w:line="240" w:lineRule="auto"/>
        <w:ind w:right="-425"/>
        <w:jc w:val="both"/>
        <w:rPr>
          <w:rFonts w:ascii="Bookman Old Style" w:eastAsia="MS Mincho" w:hAnsi="Bookman Old Style" w:cstheme="minorHAnsi"/>
          <w:i/>
          <w:iCs/>
          <w:sz w:val="24"/>
          <w:szCs w:val="24"/>
        </w:rPr>
      </w:pPr>
      <w:r w:rsidRPr="00AC1C56">
        <w:rPr>
          <w:rFonts w:ascii="Bookman Old Style" w:eastAsia="MS Mincho" w:hAnsi="Bookman Old Style" w:cstheme="minorHAnsi"/>
          <w:i/>
          <w:iCs/>
          <w:sz w:val="24"/>
          <w:szCs w:val="24"/>
        </w:rPr>
        <w:t xml:space="preserve">ANEXO III – </w:t>
      </w:r>
      <w:r w:rsidRPr="00AC1C56">
        <w:rPr>
          <w:rFonts w:ascii="Bookman Old Style" w:eastAsia="MS Mincho" w:hAnsi="Bookman Old Style" w:cstheme="minorHAnsi"/>
          <w:i/>
          <w:sz w:val="24"/>
          <w:szCs w:val="24"/>
        </w:rPr>
        <w:t>Proposta de Preços;</w:t>
      </w:r>
    </w:p>
    <w:p w14:paraId="16F87A2E" w14:textId="77777777" w:rsidR="00AC1C56" w:rsidRPr="00AC1C56" w:rsidRDefault="00AC1C56" w:rsidP="00AC1C56">
      <w:pPr>
        <w:spacing w:before="120" w:after="20" w:line="240" w:lineRule="auto"/>
        <w:ind w:right="-425"/>
        <w:jc w:val="both"/>
        <w:rPr>
          <w:rFonts w:ascii="Bookman Old Style" w:eastAsia="MS Mincho" w:hAnsi="Bookman Old Style" w:cstheme="minorHAnsi"/>
          <w:i/>
          <w:iCs/>
          <w:sz w:val="24"/>
          <w:szCs w:val="24"/>
        </w:rPr>
      </w:pPr>
      <w:r w:rsidRPr="00AC1C56">
        <w:rPr>
          <w:rFonts w:ascii="Bookman Old Style" w:eastAsia="MS Mincho" w:hAnsi="Bookman Old Style" w:cstheme="minorHAnsi"/>
          <w:i/>
          <w:iCs/>
          <w:sz w:val="24"/>
          <w:szCs w:val="24"/>
        </w:rPr>
        <w:t xml:space="preserve">ANEXO IV – Declaração de Enquadramento </w:t>
      </w:r>
      <w:r w:rsidRPr="00AC1C56">
        <w:rPr>
          <w:rFonts w:ascii="Bookman Old Style" w:eastAsia="MS Mincho" w:hAnsi="Bookman Old Style" w:cstheme="minorHAnsi"/>
          <w:i/>
          <w:iCs/>
          <w:caps/>
          <w:sz w:val="24"/>
          <w:szCs w:val="24"/>
        </w:rPr>
        <w:t>Me Epp</w:t>
      </w:r>
      <w:r w:rsidRPr="00AC1C56">
        <w:rPr>
          <w:rFonts w:ascii="Bookman Old Style" w:eastAsia="MS Mincho" w:hAnsi="Bookman Old Style" w:cstheme="minorHAnsi"/>
          <w:i/>
          <w:iCs/>
          <w:sz w:val="24"/>
          <w:szCs w:val="24"/>
        </w:rPr>
        <w:t>;</w:t>
      </w:r>
    </w:p>
    <w:p w14:paraId="5573FF2A" w14:textId="77777777" w:rsidR="00AC1C56" w:rsidRPr="00AC1C56" w:rsidRDefault="00AC1C56" w:rsidP="00AC1C56">
      <w:pPr>
        <w:spacing w:before="120" w:after="20" w:line="240" w:lineRule="auto"/>
        <w:ind w:right="-425"/>
        <w:jc w:val="both"/>
        <w:rPr>
          <w:rFonts w:ascii="Bookman Old Style" w:eastAsia="MS Mincho" w:hAnsi="Bookman Old Style" w:cstheme="minorHAnsi"/>
          <w:i/>
          <w:iCs/>
          <w:sz w:val="24"/>
          <w:szCs w:val="24"/>
        </w:rPr>
      </w:pPr>
      <w:r w:rsidRPr="00AC1C56">
        <w:rPr>
          <w:rFonts w:ascii="Bookman Old Style" w:eastAsia="MS Mincho" w:hAnsi="Bookman Old Style" w:cstheme="minorHAnsi"/>
          <w:i/>
          <w:iCs/>
          <w:sz w:val="24"/>
          <w:szCs w:val="24"/>
        </w:rPr>
        <w:t>ANEXO V – Declaração Unificada</w:t>
      </w:r>
    </w:p>
    <w:p w14:paraId="5E10E0E6" w14:textId="77777777" w:rsidR="00AC1C56" w:rsidRPr="00AC1C56" w:rsidRDefault="00AC1C56" w:rsidP="00AC1C56">
      <w:pPr>
        <w:spacing w:before="120" w:after="20" w:line="240" w:lineRule="auto"/>
        <w:ind w:right="-425"/>
        <w:jc w:val="both"/>
        <w:rPr>
          <w:rFonts w:ascii="Bookman Old Style" w:eastAsia="MS Mincho" w:hAnsi="Bookman Old Style" w:cstheme="minorHAnsi"/>
          <w:i/>
          <w:iCs/>
          <w:sz w:val="24"/>
          <w:szCs w:val="24"/>
        </w:rPr>
      </w:pPr>
      <w:r w:rsidRPr="00AC1C56">
        <w:rPr>
          <w:rFonts w:ascii="Bookman Old Style" w:eastAsia="MS Mincho" w:hAnsi="Bookman Old Style" w:cstheme="minorHAnsi"/>
          <w:i/>
          <w:iCs/>
          <w:sz w:val="24"/>
          <w:szCs w:val="24"/>
        </w:rPr>
        <w:lastRenderedPageBreak/>
        <w:t>ANEXO VI</w:t>
      </w:r>
      <w:r w:rsidRPr="00AC1C56">
        <w:rPr>
          <w:rFonts w:ascii="Bookman Old Style" w:eastAsia="MS Mincho" w:hAnsi="Bookman Old Style" w:cstheme="minorHAnsi"/>
          <w:sz w:val="24"/>
          <w:szCs w:val="24"/>
        </w:rPr>
        <w:t xml:space="preserve"> - </w:t>
      </w:r>
      <w:r w:rsidRPr="00AC1C56">
        <w:rPr>
          <w:rFonts w:ascii="Bookman Old Style" w:eastAsia="MS Mincho" w:hAnsi="Bookman Old Style" w:cstheme="minorHAnsi"/>
          <w:i/>
          <w:iCs/>
          <w:sz w:val="24"/>
          <w:szCs w:val="24"/>
        </w:rPr>
        <w:t>Minuta de Termo de Contrato ou do instrumento substitutivo;</w:t>
      </w:r>
    </w:p>
    <w:p w14:paraId="4890ADF2" w14:textId="77777777" w:rsidR="00AC1C56" w:rsidRPr="00AC1C56" w:rsidRDefault="00AC1C56" w:rsidP="00AC1C56">
      <w:pPr>
        <w:spacing w:before="120" w:after="20" w:line="240" w:lineRule="auto"/>
        <w:ind w:right="-425"/>
        <w:jc w:val="both"/>
        <w:rPr>
          <w:rFonts w:ascii="Bookman Old Style" w:eastAsia="MS Mincho" w:hAnsi="Bookman Old Style" w:cstheme="minorHAnsi"/>
          <w:sz w:val="24"/>
          <w:szCs w:val="24"/>
        </w:rPr>
      </w:pPr>
      <w:r w:rsidRPr="00AC1C56">
        <w:rPr>
          <w:rFonts w:ascii="Bookman Old Style" w:eastAsia="MS Mincho" w:hAnsi="Bookman Old Style" w:cstheme="minorHAnsi"/>
          <w:i/>
          <w:iCs/>
          <w:sz w:val="24"/>
          <w:szCs w:val="24"/>
        </w:rPr>
        <w:t>ANEXO VII – Declaração Não Parentesco.</w:t>
      </w:r>
    </w:p>
    <w:p w14:paraId="716E074F" w14:textId="77777777" w:rsidR="00AC1C56" w:rsidRPr="00AC1C56" w:rsidRDefault="00AC1C56" w:rsidP="00AC1C56">
      <w:pPr>
        <w:spacing w:before="120" w:after="120" w:line="240" w:lineRule="auto"/>
        <w:ind w:right="-425"/>
        <w:jc w:val="both"/>
        <w:rPr>
          <w:rFonts w:ascii="Bookman Old Style" w:eastAsia="MS Mincho" w:hAnsi="Bookman Old Style" w:cstheme="minorHAnsi"/>
          <w:color w:val="000000"/>
          <w:sz w:val="24"/>
          <w:szCs w:val="24"/>
        </w:rPr>
      </w:pPr>
    </w:p>
    <w:p w14:paraId="251B5F35" w14:textId="4E5651B6" w:rsidR="00AC1C56" w:rsidRPr="00AC1C56" w:rsidRDefault="00AC1C56" w:rsidP="00AC1C56">
      <w:pPr>
        <w:spacing w:before="120" w:after="120" w:line="240" w:lineRule="auto"/>
        <w:ind w:right="-425"/>
        <w:jc w:val="both"/>
        <w:rPr>
          <w:rFonts w:ascii="Bookman Old Style" w:eastAsia="MS Mincho" w:hAnsi="Bookman Old Style" w:cstheme="minorHAnsi"/>
          <w:color w:val="000000"/>
          <w:sz w:val="24"/>
          <w:szCs w:val="24"/>
        </w:rPr>
      </w:pPr>
      <w:r w:rsidRPr="00AC1C56">
        <w:rPr>
          <w:rFonts w:ascii="Bookman Old Style" w:eastAsia="MS Mincho" w:hAnsi="Bookman Old Style" w:cstheme="minorHAnsi"/>
          <w:color w:val="000000"/>
          <w:sz w:val="24"/>
          <w:szCs w:val="24"/>
        </w:rPr>
        <w:t xml:space="preserve">Terra Rica/PR, </w:t>
      </w:r>
      <w:r w:rsidR="00C7590F">
        <w:rPr>
          <w:rFonts w:ascii="Bookman Old Style" w:eastAsia="MS Mincho" w:hAnsi="Bookman Old Style" w:cstheme="minorHAnsi"/>
          <w:color w:val="000000"/>
          <w:sz w:val="24"/>
          <w:szCs w:val="24"/>
        </w:rPr>
        <w:t>07</w:t>
      </w:r>
      <w:r w:rsidRPr="00AC1C56">
        <w:rPr>
          <w:rFonts w:ascii="Bookman Old Style" w:eastAsia="MS Mincho" w:hAnsi="Bookman Old Style" w:cstheme="minorHAnsi"/>
          <w:color w:val="000000"/>
          <w:sz w:val="24"/>
          <w:szCs w:val="24"/>
        </w:rPr>
        <w:t xml:space="preserve"> de outubro de 2026.</w:t>
      </w:r>
    </w:p>
    <w:p w14:paraId="26203153" w14:textId="77777777" w:rsidR="00AC1C56" w:rsidRPr="00AC1C56" w:rsidRDefault="00AC1C56" w:rsidP="00AC1C56">
      <w:pPr>
        <w:spacing w:before="120" w:after="120" w:line="240" w:lineRule="auto"/>
        <w:ind w:right="-425"/>
        <w:jc w:val="both"/>
        <w:rPr>
          <w:rFonts w:ascii="Bookman Old Style" w:eastAsia="MS Mincho" w:hAnsi="Bookman Old Style" w:cstheme="minorHAnsi"/>
          <w:b/>
          <w:bCs/>
          <w:iCs/>
          <w:color w:val="000000"/>
          <w:sz w:val="24"/>
          <w:szCs w:val="24"/>
        </w:rPr>
      </w:pPr>
    </w:p>
    <w:p w14:paraId="3C10F20D" w14:textId="77777777" w:rsidR="00AC1C56" w:rsidRPr="00AC1C56" w:rsidRDefault="00AC1C56" w:rsidP="00AC1C56">
      <w:pPr>
        <w:spacing w:before="120" w:after="120" w:line="240" w:lineRule="auto"/>
        <w:ind w:right="-425"/>
        <w:jc w:val="both"/>
        <w:rPr>
          <w:rFonts w:ascii="Bookman Old Style" w:eastAsia="MS Mincho" w:hAnsi="Bookman Old Style" w:cstheme="minorHAnsi"/>
          <w:b/>
          <w:bCs/>
          <w:iCs/>
          <w:color w:val="000000"/>
          <w:sz w:val="24"/>
          <w:szCs w:val="24"/>
        </w:rPr>
      </w:pPr>
    </w:p>
    <w:p w14:paraId="7122BFB3" w14:textId="77777777" w:rsidR="00AC1C56" w:rsidRPr="00AC1C56" w:rsidRDefault="00AC1C56" w:rsidP="00AC1C56">
      <w:pPr>
        <w:snapToGrid w:val="0"/>
        <w:spacing w:after="0"/>
        <w:jc w:val="center"/>
        <w:rPr>
          <w:rFonts w:ascii="Bookman Old Style" w:eastAsia="SimSun" w:hAnsi="Bookman Old Style" w:cstheme="minorHAnsi"/>
          <w:color w:val="000000" w:themeColor="text1"/>
          <w:kern w:val="3"/>
          <w:sz w:val="24"/>
          <w:szCs w:val="24"/>
          <w:lang w:eastAsia="hi-IN" w:bidi="hi-IN"/>
        </w:rPr>
      </w:pPr>
      <w:r w:rsidRPr="00AC1C56">
        <w:rPr>
          <w:rFonts w:ascii="Bookman Old Style" w:eastAsia="SimSun" w:hAnsi="Bookman Old Style" w:cstheme="minorHAnsi"/>
          <w:color w:val="000000" w:themeColor="text1"/>
          <w:kern w:val="3"/>
          <w:sz w:val="24"/>
          <w:szCs w:val="24"/>
          <w:lang w:eastAsia="hi-IN" w:bidi="hi-IN"/>
        </w:rPr>
        <w:t>ALESSANDRA APARECIDA DA CRUZ</w:t>
      </w:r>
    </w:p>
    <w:p w14:paraId="5D213435" w14:textId="77777777" w:rsidR="00AC1C56" w:rsidRPr="00AC1C56" w:rsidRDefault="00AC1C56" w:rsidP="00AC1C56">
      <w:pPr>
        <w:snapToGrid w:val="0"/>
        <w:spacing w:after="0"/>
        <w:jc w:val="center"/>
        <w:rPr>
          <w:rFonts w:ascii="Bookman Old Style" w:eastAsia="MS Mincho" w:hAnsi="Bookman Old Style" w:cstheme="minorHAnsi"/>
          <w:b/>
          <w:bCs/>
          <w:sz w:val="24"/>
          <w:szCs w:val="24"/>
        </w:rPr>
      </w:pPr>
      <w:r w:rsidRPr="00AC1C56">
        <w:rPr>
          <w:rFonts w:ascii="Bookman Old Style" w:eastAsia="SimSun" w:hAnsi="Bookman Old Style" w:cstheme="minorHAnsi"/>
          <w:b/>
          <w:color w:val="000000" w:themeColor="text1"/>
          <w:kern w:val="3"/>
          <w:sz w:val="24"/>
          <w:szCs w:val="24"/>
          <w:lang w:eastAsia="hi-IN" w:bidi="hi-IN"/>
        </w:rPr>
        <w:t>Presidente da Câmara</w:t>
      </w:r>
      <w:r w:rsidRPr="00AC1C56">
        <w:rPr>
          <w:rFonts w:ascii="Bookman Old Style" w:eastAsia="MS Mincho" w:hAnsi="Bookman Old Style" w:cstheme="minorHAnsi"/>
          <w:b/>
          <w:bCs/>
          <w:sz w:val="24"/>
          <w:szCs w:val="24"/>
        </w:rPr>
        <w:br w:type="page"/>
      </w:r>
    </w:p>
    <w:p w14:paraId="5DDCAA99" w14:textId="77777777" w:rsidR="00AC1C56" w:rsidRPr="00AC1C56" w:rsidRDefault="00AC1C56" w:rsidP="00AC1C56">
      <w:pPr>
        <w:ind w:left="3540" w:right="-567" w:firstLine="708"/>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lastRenderedPageBreak/>
        <w:t>ANEXO I</w:t>
      </w:r>
    </w:p>
    <w:p w14:paraId="75898526" w14:textId="77777777" w:rsidR="00AC1C56" w:rsidRPr="00AC1C56" w:rsidRDefault="00AC1C56" w:rsidP="00AC1C56">
      <w:pPr>
        <w:ind w:right="-567"/>
        <w:jc w:val="center"/>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t>DOCUMENTAÇÃO EXIGIDA PARA HABILITAÇÃO</w:t>
      </w:r>
    </w:p>
    <w:p w14:paraId="37C5ED47" w14:textId="77777777" w:rsidR="00AC1C56" w:rsidRPr="00AC1C56" w:rsidRDefault="00AC1C56" w:rsidP="00AC1C56">
      <w:pPr>
        <w:ind w:right="-567"/>
        <w:jc w:val="both"/>
        <w:rPr>
          <w:rFonts w:ascii="Bookman Old Style" w:eastAsia="MS Mincho" w:hAnsi="Bookman Old Style" w:cstheme="minorHAnsi"/>
          <w:b/>
          <w:bCs/>
          <w:sz w:val="24"/>
          <w:szCs w:val="24"/>
        </w:rPr>
      </w:pPr>
    </w:p>
    <w:p w14:paraId="3F2C9AFA" w14:textId="77777777" w:rsidR="00AC1C56" w:rsidRPr="00AC1C56" w:rsidRDefault="00AC1C56" w:rsidP="00AC1C56">
      <w:pPr>
        <w:contextualSpacing/>
        <w:jc w:val="both"/>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t>PROCESSO ADMINISTRATIVO Nº: 013/2026</w:t>
      </w:r>
    </w:p>
    <w:p w14:paraId="2D424F06" w14:textId="77777777" w:rsidR="00AC1C56" w:rsidRPr="00AC1C56" w:rsidRDefault="00AC1C56" w:rsidP="00AC1C56">
      <w:pPr>
        <w:contextualSpacing/>
        <w:jc w:val="both"/>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t>DISPENSA FÍSICA Nº: 007/2026</w:t>
      </w:r>
    </w:p>
    <w:p w14:paraId="63DE69BA" w14:textId="77777777" w:rsidR="00AC1C56" w:rsidRPr="00AC1C56" w:rsidRDefault="00AC1C56" w:rsidP="00AC1C56">
      <w:pPr>
        <w:contextualSpacing/>
        <w:jc w:val="both"/>
        <w:rPr>
          <w:rFonts w:ascii="Bookman Old Style" w:eastAsia="MS Mincho" w:hAnsi="Bookman Old Style" w:cstheme="minorHAnsi"/>
          <w:b/>
          <w:bCs/>
          <w:sz w:val="24"/>
          <w:szCs w:val="24"/>
        </w:rPr>
      </w:pPr>
    </w:p>
    <w:p w14:paraId="668AE886" w14:textId="77777777" w:rsidR="00AC1C56" w:rsidRPr="00AC1C56" w:rsidRDefault="00AC1C56" w:rsidP="00AC1C56">
      <w:pPr>
        <w:contextualSpacing/>
        <w:jc w:val="both"/>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t xml:space="preserve">1. Habilitação jurídica (Art. 66, Lei 14.133/21) </w:t>
      </w:r>
    </w:p>
    <w:p w14:paraId="7A07425B"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1.1. </w:t>
      </w:r>
      <w:r w:rsidRPr="00AC1C56">
        <w:rPr>
          <w:rFonts w:ascii="Bookman Old Style" w:eastAsia="MS Mincho" w:hAnsi="Bookman Old Style" w:cstheme="minorHAnsi"/>
          <w:b/>
          <w:bCs/>
          <w:sz w:val="24"/>
          <w:szCs w:val="24"/>
        </w:rPr>
        <w:t>Pessoa física</w:t>
      </w:r>
      <w:r w:rsidRPr="00AC1C56">
        <w:rPr>
          <w:rFonts w:ascii="Bookman Old Style" w:eastAsia="MS Mincho" w:hAnsi="Bookman Old Style" w:cstheme="minorHAnsi"/>
          <w:sz w:val="24"/>
          <w:szCs w:val="24"/>
        </w:rPr>
        <w:t>: cédula de identidade (RG) ou documento equivalente que, por força de lei, tenha validade para fins de identificação em todo o território nacional;</w:t>
      </w:r>
    </w:p>
    <w:p w14:paraId="0389898F"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1.2. </w:t>
      </w:r>
      <w:r w:rsidRPr="00AC1C56">
        <w:rPr>
          <w:rFonts w:ascii="Bookman Old Style" w:eastAsia="MS Mincho" w:hAnsi="Bookman Old Style" w:cstheme="minorHAnsi"/>
          <w:b/>
          <w:bCs/>
          <w:sz w:val="24"/>
          <w:szCs w:val="24"/>
        </w:rPr>
        <w:t>Empresário individual</w:t>
      </w:r>
      <w:r w:rsidRPr="00AC1C56">
        <w:rPr>
          <w:rFonts w:ascii="Bookman Old Style" w:eastAsia="MS Mincho" w:hAnsi="Bookman Old Style" w:cstheme="minorHAnsi"/>
          <w:sz w:val="24"/>
          <w:szCs w:val="24"/>
        </w:rPr>
        <w:t xml:space="preserve">: inscrição no Registro Público de Empresas Mercantis, a cargo da Junta Comercial da respectiva sede; </w:t>
      </w:r>
    </w:p>
    <w:p w14:paraId="4E6EE706"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1.3. </w:t>
      </w:r>
      <w:r w:rsidRPr="00AC1C56">
        <w:rPr>
          <w:rFonts w:ascii="Bookman Old Style" w:eastAsia="MS Mincho" w:hAnsi="Bookman Old Style" w:cstheme="minorHAnsi"/>
          <w:b/>
          <w:bCs/>
          <w:sz w:val="24"/>
          <w:szCs w:val="24"/>
        </w:rPr>
        <w:t>Microempreendedor Individual - MEI</w:t>
      </w:r>
      <w:r w:rsidRPr="00AC1C56">
        <w:rPr>
          <w:rFonts w:ascii="Bookman Old Style" w:eastAsia="MS Mincho" w:hAnsi="Bookman Old Style" w:cstheme="minorHAnsi"/>
          <w:sz w:val="24"/>
          <w:szCs w:val="24"/>
        </w:rPr>
        <w:t xml:space="preserve">: Certificado da Condição de Microempreendedor Individual - CCMEI, cuja aceitação ficará condicionada à verificação da autenticidade no sítio </w:t>
      </w:r>
      <w:hyperlink r:id="rId10">
        <w:r w:rsidRPr="00AC1C56">
          <w:rPr>
            <w:rFonts w:ascii="Bookman Old Style" w:eastAsia="MS Mincho" w:hAnsi="Bookman Old Style" w:cstheme="minorHAnsi"/>
            <w:color w:val="0000FF"/>
            <w:sz w:val="24"/>
            <w:szCs w:val="24"/>
            <w:u w:val="single"/>
          </w:rPr>
          <w:t>https://www.gov.br/empresas-e-negocios/pt-br/empreendedor</w:t>
        </w:r>
      </w:hyperlink>
      <w:r w:rsidRPr="00AC1C56">
        <w:rPr>
          <w:rFonts w:ascii="Bookman Old Style" w:eastAsia="MS Mincho" w:hAnsi="Bookman Old Style" w:cstheme="minorHAnsi"/>
          <w:sz w:val="24"/>
          <w:szCs w:val="24"/>
        </w:rPr>
        <w:t xml:space="preserve">; </w:t>
      </w:r>
    </w:p>
    <w:p w14:paraId="0FA1B43D"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1.4. </w:t>
      </w:r>
      <w:r w:rsidRPr="00AC1C56">
        <w:rPr>
          <w:rFonts w:ascii="Bookman Old Style" w:eastAsia="MS Mincho" w:hAnsi="Bookman Old Style" w:cstheme="minorHAnsi"/>
          <w:b/>
          <w:bCs/>
          <w:sz w:val="24"/>
          <w:szCs w:val="24"/>
        </w:rPr>
        <w:t>Sociedade empresária, sociedade limitada unipessoal – SLU</w:t>
      </w:r>
      <w:r w:rsidRPr="00AC1C56">
        <w:rPr>
          <w:rFonts w:ascii="Bookman Old Style" w:eastAsia="MS Mincho" w:hAnsi="Bookman Old Style" w:cstheme="minorHAnsi"/>
          <w:sz w:val="24"/>
          <w:szCs w:val="24"/>
        </w:rPr>
        <w:t>: inscrição do ato constitutivo, estatuto ou contrato social no Registro Público de Empresas Mercantis, a cargo da Junta Comercial da respectiva sede, acompanhada de documento comprobatório de seus administradores;</w:t>
      </w:r>
    </w:p>
    <w:p w14:paraId="498C4095"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1.5. </w:t>
      </w:r>
      <w:r w:rsidRPr="00AC1C56">
        <w:rPr>
          <w:rFonts w:ascii="Bookman Old Style" w:eastAsia="MS Mincho" w:hAnsi="Bookman Old Style" w:cstheme="minorHAnsi"/>
          <w:b/>
          <w:bCs/>
          <w:sz w:val="24"/>
          <w:szCs w:val="24"/>
        </w:rPr>
        <w:t>Sociedade empresária estrangeira</w:t>
      </w:r>
      <w:r w:rsidRPr="00AC1C56">
        <w:rPr>
          <w:rFonts w:ascii="Bookman Old Style" w:eastAsia="MS Mincho" w:hAnsi="Bookman Old Style" w:cstheme="minorHAns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AC1C56">
          <w:rPr>
            <w:rFonts w:ascii="Bookman Old Style" w:eastAsia="MS Mincho" w:hAnsi="Bookman Old Style" w:cstheme="minorHAnsi"/>
            <w:color w:val="0000FF"/>
            <w:sz w:val="24"/>
            <w:szCs w:val="24"/>
            <w:u w:val="single"/>
          </w:rPr>
          <w:t>Normativa DREI/ME n.º 77, de 18 de março de 2020</w:t>
        </w:r>
      </w:hyperlink>
      <w:r w:rsidRPr="00AC1C56">
        <w:rPr>
          <w:rFonts w:ascii="Bookman Old Style" w:eastAsia="MS Mincho" w:hAnsi="Bookman Old Style" w:cstheme="minorHAnsi"/>
          <w:sz w:val="24"/>
          <w:szCs w:val="24"/>
        </w:rPr>
        <w:t>.</w:t>
      </w:r>
    </w:p>
    <w:p w14:paraId="2496655A"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1.6. </w:t>
      </w:r>
      <w:r w:rsidRPr="00AC1C56">
        <w:rPr>
          <w:rFonts w:ascii="Bookman Old Style" w:eastAsia="MS Mincho" w:hAnsi="Bookman Old Style" w:cstheme="minorHAnsi"/>
          <w:b/>
          <w:bCs/>
          <w:sz w:val="24"/>
          <w:szCs w:val="24"/>
        </w:rPr>
        <w:t>Sociedade simples</w:t>
      </w:r>
      <w:r w:rsidRPr="00AC1C56">
        <w:rPr>
          <w:rFonts w:ascii="Bookman Old Style" w:eastAsia="MS Mincho" w:hAnsi="Bookman Old Style" w:cstheme="minorHAnsi"/>
          <w:sz w:val="24"/>
          <w:szCs w:val="24"/>
        </w:rPr>
        <w:t>: inscrição do ato constitutivo no Registro Civil de Pessoas Jurídicas do local de sua sede, acompanhada de documento comprobatório de seus administradores;</w:t>
      </w:r>
    </w:p>
    <w:p w14:paraId="38BB03A4"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1.7. </w:t>
      </w:r>
      <w:r w:rsidRPr="00AC1C56">
        <w:rPr>
          <w:rFonts w:ascii="Bookman Old Style" w:eastAsia="MS Mincho" w:hAnsi="Bookman Old Style" w:cstheme="minorHAnsi"/>
          <w:b/>
          <w:bCs/>
          <w:sz w:val="24"/>
          <w:szCs w:val="24"/>
        </w:rPr>
        <w:t>Filial, sucursal ou agência de sociedade simples ou empresária</w:t>
      </w:r>
      <w:r w:rsidRPr="00AC1C56">
        <w:rPr>
          <w:rFonts w:ascii="Bookman Old Style" w:eastAsia="MS Mincho" w:hAnsi="Bookman Old Style" w:cstheme="minorHAnsi"/>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876B2A"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1.8. </w:t>
      </w:r>
      <w:r w:rsidRPr="00AC1C56">
        <w:rPr>
          <w:rFonts w:ascii="Bookman Old Style" w:eastAsia="MS Mincho" w:hAnsi="Bookman Old Style" w:cstheme="minorHAnsi"/>
          <w:b/>
          <w:bCs/>
          <w:sz w:val="24"/>
          <w:szCs w:val="24"/>
        </w:rPr>
        <w:t>Sociedade cooperativa</w:t>
      </w:r>
      <w:r w:rsidRPr="00AC1C56">
        <w:rPr>
          <w:rFonts w:ascii="Bookman Old Style" w:eastAsia="MS Mincho" w:hAnsi="Bookman Old Style" w:cstheme="minorHAns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r w:rsidRPr="00AC1C56">
          <w:rPr>
            <w:rFonts w:ascii="Bookman Old Style" w:eastAsia="MS Mincho" w:hAnsi="Bookman Old Style" w:cstheme="minorHAnsi"/>
            <w:color w:val="0000FF"/>
            <w:sz w:val="24"/>
            <w:szCs w:val="24"/>
            <w:u w:val="single"/>
          </w:rPr>
          <w:t>art. 107 da Lei nº 5.764, de 16 de dezembro 1971</w:t>
        </w:r>
      </w:hyperlink>
      <w:r w:rsidRPr="00AC1C56">
        <w:rPr>
          <w:rFonts w:ascii="Bookman Old Style" w:eastAsia="MS Mincho" w:hAnsi="Bookman Old Style" w:cstheme="minorHAnsi"/>
          <w:sz w:val="24"/>
          <w:szCs w:val="24"/>
        </w:rPr>
        <w:t>.</w:t>
      </w:r>
    </w:p>
    <w:p w14:paraId="5B271A20"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1.9. Os documentos apresentados deverão estar acompanhados de todas as alterações ou da consolidação respectiva</w:t>
      </w:r>
    </w:p>
    <w:p w14:paraId="06221ED0" w14:textId="77777777" w:rsidR="00AC1C56" w:rsidRPr="00AC1C56" w:rsidRDefault="00AC1C56" w:rsidP="00AC1C56">
      <w:pPr>
        <w:contextualSpacing/>
        <w:jc w:val="both"/>
        <w:rPr>
          <w:rFonts w:ascii="Bookman Old Style" w:eastAsia="MS Mincho" w:hAnsi="Bookman Old Style" w:cstheme="minorHAnsi"/>
          <w:sz w:val="24"/>
          <w:szCs w:val="24"/>
        </w:rPr>
      </w:pPr>
    </w:p>
    <w:p w14:paraId="6604B53A" w14:textId="77777777" w:rsidR="00AC1C56" w:rsidRPr="00AC1C56" w:rsidRDefault="00AC1C56" w:rsidP="00AC1C56">
      <w:pPr>
        <w:contextualSpacing/>
        <w:jc w:val="both"/>
        <w:rPr>
          <w:rFonts w:ascii="Bookman Old Style" w:eastAsia="MS Mincho" w:hAnsi="Bookman Old Style" w:cstheme="minorHAnsi"/>
          <w:b/>
          <w:bCs/>
          <w:sz w:val="24"/>
          <w:szCs w:val="24"/>
        </w:rPr>
      </w:pPr>
      <w:r w:rsidRPr="00AC1C56">
        <w:rPr>
          <w:rFonts w:ascii="Bookman Old Style" w:eastAsia="MS Mincho" w:hAnsi="Bookman Old Style" w:cstheme="minorHAnsi"/>
          <w:b/>
          <w:bCs/>
          <w:sz w:val="24"/>
          <w:szCs w:val="24"/>
        </w:rPr>
        <w:t>2. Habilitação fiscal, social e trabalhista (Art. 68, Lei 14.133/21)</w:t>
      </w:r>
    </w:p>
    <w:p w14:paraId="5DA95D97"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2.1. Prova de inscrição no Cadastro Nacional de Pessoas Jurídicas ou no Cadastro de Pessoas Físicas, conforme o caso;</w:t>
      </w:r>
    </w:p>
    <w:p w14:paraId="45785CCC"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2.2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8CCA03"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2.3 Prova de regularidade com o Fundo de Garantia do Tempo de Serviço (FGTS);</w:t>
      </w:r>
    </w:p>
    <w:p w14:paraId="752EAF00"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AFC9202"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2.5 Prova de inscrição no cadastro de contribuintes municipal relativo ao domicílio ou sede do fornecedor, pertinente ao seu ramo de atividade e compatível com o objeto contratual; </w:t>
      </w:r>
    </w:p>
    <w:p w14:paraId="667A05B4"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2.6 Prova de regularidade com a Fazenda Municipal do domicílio ou sede do fornecedor, relativa à atividade em cujo exercício contrata ou concorre;</w:t>
      </w:r>
    </w:p>
    <w:p w14:paraId="7239C652"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2.7 Prova de regularidade com a Fazenda Estadual do domicílio ou sede do fornecedor, relativa à atividade em cujo exercício contrata ou concorre.</w:t>
      </w:r>
    </w:p>
    <w:p w14:paraId="2D7A2243"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2.8 Declaração de cumprimento do disposto </w:t>
      </w:r>
      <w:r w:rsidRPr="00AC1C56">
        <w:rPr>
          <w:rFonts w:ascii="Tahoma" w:eastAsia="MS Mincho" w:hAnsi="Tahoma" w:cs="Tahoma"/>
          <w:sz w:val="24"/>
          <w:szCs w:val="24"/>
        </w:rPr>
        <w:t>﻿</w:t>
      </w:r>
      <w:r w:rsidRPr="00AC1C56">
        <w:rPr>
          <w:rFonts w:ascii="Bookman Old Style" w:eastAsia="MS Mincho" w:hAnsi="Bookman Old Style" w:cstheme="minorHAnsi"/>
          <w:sz w:val="24"/>
          <w:szCs w:val="24"/>
        </w:rPr>
        <w:t>no inciso XXXIII do art. 7</w:t>
      </w:r>
      <w:r w:rsidRPr="00AC1C56">
        <w:rPr>
          <w:rFonts w:ascii="Bookman Old Style" w:eastAsia="MS Mincho" w:hAnsi="Bookman Old Style" w:cs="Bookman Old Style"/>
          <w:sz w:val="24"/>
          <w:szCs w:val="24"/>
        </w:rPr>
        <w:t>º</w:t>
      </w:r>
      <w:r w:rsidRPr="00AC1C56">
        <w:rPr>
          <w:rFonts w:ascii="Bookman Old Style" w:eastAsia="MS Mincho" w:hAnsi="Bookman Old Style" w:cstheme="minorHAnsi"/>
          <w:sz w:val="24"/>
          <w:szCs w:val="24"/>
        </w:rPr>
        <w:t xml:space="preserve"> da Constitui</w:t>
      </w:r>
      <w:r w:rsidRPr="00AC1C56">
        <w:rPr>
          <w:rFonts w:ascii="Bookman Old Style" w:eastAsia="MS Mincho" w:hAnsi="Bookman Old Style" w:cs="Bookman Old Style"/>
          <w:sz w:val="24"/>
          <w:szCs w:val="24"/>
        </w:rPr>
        <w:t>çã</w:t>
      </w:r>
      <w:r w:rsidRPr="00AC1C56">
        <w:rPr>
          <w:rFonts w:ascii="Bookman Old Style" w:eastAsia="MS Mincho" w:hAnsi="Bookman Old Style" w:cstheme="minorHAnsi"/>
          <w:sz w:val="24"/>
          <w:szCs w:val="24"/>
        </w:rPr>
        <w:t>o Federal.</w:t>
      </w:r>
    </w:p>
    <w:p w14:paraId="41814286"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6E1F4E2" w14:textId="77777777" w:rsidR="00AC1C56" w:rsidRPr="00AC1C56" w:rsidRDefault="00AC1C56" w:rsidP="00AC1C56">
      <w:pPr>
        <w:contextualSpacing/>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57C52A6" w14:textId="77777777" w:rsidR="00AC1C56" w:rsidRPr="00AC1C56" w:rsidRDefault="00AC1C56" w:rsidP="00AC1C56">
      <w:pPr>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br w:type="page"/>
      </w:r>
    </w:p>
    <w:p w14:paraId="3D7B8E42" w14:textId="77777777" w:rsidR="00AC1C56" w:rsidRPr="00AC1C56" w:rsidRDefault="00AC1C56" w:rsidP="00AC1C56">
      <w:pPr>
        <w:contextualSpacing/>
        <w:jc w:val="center"/>
        <w:rPr>
          <w:rFonts w:ascii="Bookman Old Style" w:eastAsia="MS Mincho" w:hAnsi="Bookman Old Style" w:cstheme="minorHAnsi"/>
          <w:b/>
          <w:iCs/>
          <w:color w:val="000000" w:themeColor="text1"/>
          <w:sz w:val="24"/>
          <w:szCs w:val="24"/>
        </w:rPr>
      </w:pPr>
      <w:r w:rsidRPr="00AC1C56">
        <w:rPr>
          <w:rFonts w:ascii="Bookman Old Style" w:eastAsia="MS Mincho" w:hAnsi="Bookman Old Style" w:cstheme="minorHAnsi"/>
          <w:b/>
          <w:iCs/>
          <w:color w:val="000000" w:themeColor="text1"/>
          <w:sz w:val="24"/>
          <w:szCs w:val="24"/>
        </w:rPr>
        <w:lastRenderedPageBreak/>
        <w:t>ANEXO II</w:t>
      </w:r>
    </w:p>
    <w:p w14:paraId="480D5FCE" w14:textId="77777777" w:rsidR="00AC1C56" w:rsidRPr="00AC1C56" w:rsidRDefault="00AC1C56" w:rsidP="00AC1C56">
      <w:pPr>
        <w:contextualSpacing/>
        <w:jc w:val="center"/>
        <w:rPr>
          <w:rFonts w:ascii="Bookman Old Style" w:eastAsia="MS Mincho" w:hAnsi="Bookman Old Style" w:cs="Calibri"/>
          <w:b/>
          <w:iCs/>
          <w:color w:val="000000"/>
          <w:sz w:val="24"/>
          <w:szCs w:val="24"/>
        </w:rPr>
      </w:pPr>
      <w:r w:rsidRPr="00AC1C56">
        <w:rPr>
          <w:rFonts w:ascii="Bookman Old Style" w:eastAsia="MS Mincho" w:hAnsi="Bookman Old Style" w:cs="Calibri"/>
          <w:b/>
          <w:iCs/>
          <w:color w:val="000000"/>
          <w:sz w:val="24"/>
          <w:szCs w:val="24"/>
        </w:rPr>
        <w:t>TERMO DE REFERÊNCIA</w:t>
      </w:r>
    </w:p>
    <w:p w14:paraId="442135E8" w14:textId="77777777" w:rsidR="00AC1C56" w:rsidRPr="00AC1C56" w:rsidRDefault="00AC1C56" w:rsidP="00AC1C56">
      <w:pPr>
        <w:contextualSpacing/>
        <w:jc w:val="center"/>
        <w:rPr>
          <w:rFonts w:ascii="Bookman Old Style" w:eastAsia="MS Mincho" w:hAnsi="Bookman Old Style" w:cs="Calibri"/>
          <w:bCs/>
          <w:color w:val="000000"/>
          <w:sz w:val="24"/>
          <w:szCs w:val="24"/>
        </w:rPr>
      </w:pPr>
      <w:r w:rsidRPr="00AC1C56">
        <w:rPr>
          <w:rFonts w:ascii="Bookman Old Style" w:eastAsia="MS Mincho" w:hAnsi="Bookman Old Style" w:cs="Calibri"/>
          <w:color w:val="000000"/>
          <w:sz w:val="24"/>
          <w:szCs w:val="24"/>
        </w:rPr>
        <w:t>(Processo Administrativo n</w:t>
      </w:r>
      <w:r w:rsidRPr="00AC1C56">
        <w:rPr>
          <w:rFonts w:ascii="Bookman Old Style" w:eastAsia="MS Mincho" w:hAnsi="Bookman Old Style" w:cs="Calibri"/>
          <w:bCs/>
          <w:color w:val="000000"/>
          <w:sz w:val="24"/>
          <w:szCs w:val="24"/>
        </w:rPr>
        <w:t>° 013/2026)</w:t>
      </w:r>
    </w:p>
    <w:p w14:paraId="491DD77A" w14:textId="77777777" w:rsidR="00AC1C56" w:rsidRPr="00AC1C56" w:rsidRDefault="00AC1C56" w:rsidP="00AC1C56">
      <w:pPr>
        <w:contextualSpacing/>
        <w:jc w:val="center"/>
        <w:rPr>
          <w:rFonts w:ascii="Bookman Old Style" w:eastAsia="MS Mincho" w:hAnsi="Bookman Old Style" w:cs="Calibri"/>
          <w:bCs/>
          <w:color w:val="000000"/>
          <w:sz w:val="24"/>
          <w:szCs w:val="24"/>
        </w:rPr>
      </w:pPr>
      <w:r w:rsidRPr="00AC1C56">
        <w:rPr>
          <w:rFonts w:ascii="Bookman Old Style" w:eastAsia="MS Mincho" w:hAnsi="Bookman Old Style" w:cs="Calibri"/>
          <w:b/>
          <w:color w:val="000000"/>
          <w:sz w:val="24"/>
          <w:szCs w:val="24"/>
        </w:rPr>
        <w:t>FUNDAMENTAÇÃO</w:t>
      </w:r>
      <w:r w:rsidRPr="00AC1C56">
        <w:rPr>
          <w:rFonts w:ascii="Bookman Old Style" w:eastAsia="MS Mincho" w:hAnsi="Bookman Old Style" w:cs="Calibri"/>
          <w:bCs/>
          <w:color w:val="000000"/>
          <w:sz w:val="24"/>
          <w:szCs w:val="24"/>
        </w:rPr>
        <w:t>: ART. 6º, Inciso XXIII</w:t>
      </w:r>
    </w:p>
    <w:p w14:paraId="18E04721" w14:textId="77777777" w:rsidR="00AC1C56" w:rsidRPr="00AC1C56" w:rsidRDefault="00AC1C56" w:rsidP="00AC1C56">
      <w:pPr>
        <w:contextualSpacing/>
        <w:jc w:val="center"/>
        <w:rPr>
          <w:rFonts w:ascii="Bookman Old Style" w:eastAsia="MS Mincho" w:hAnsi="Bookman Old Style" w:cs="Calibri"/>
          <w:bCs/>
          <w:color w:val="000000"/>
          <w:sz w:val="24"/>
          <w:szCs w:val="24"/>
        </w:rPr>
      </w:pPr>
    </w:p>
    <w:p w14:paraId="6F156E5D" w14:textId="77777777" w:rsidR="00AC1C56" w:rsidRPr="00AC1C56" w:rsidRDefault="00AC1C56" w:rsidP="00AC1C56">
      <w:pPr>
        <w:shd w:val="clear" w:color="auto" w:fill="D9D9D9"/>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1. DA DEFINIÇÃO DO OBJETO, QUANTITATIVO, PRAZO DO CONTRATO E ESTIMATIVA DA CONTRATAÇÃO (Art. 6º, inciso XXIII, “a” e “i”)</w:t>
      </w:r>
    </w:p>
    <w:p w14:paraId="2437DA87" w14:textId="77777777" w:rsidR="00AC1C56" w:rsidRPr="00AC1C56" w:rsidRDefault="00AC1C56" w:rsidP="00AC1C56">
      <w:pPr>
        <w:contextualSpacing/>
        <w:jc w:val="both"/>
        <w:rPr>
          <w:rFonts w:ascii="Bookman Old Style" w:eastAsia="MS Mincho" w:hAnsi="Bookman Old Style" w:cs="Calibri"/>
          <w:sz w:val="24"/>
          <w:szCs w:val="24"/>
        </w:rPr>
      </w:pPr>
    </w:p>
    <w:p w14:paraId="0DC72086"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1.1.</w:t>
      </w:r>
      <w:r w:rsidRPr="00AC1C56">
        <w:rPr>
          <w:rFonts w:ascii="Bookman Old Style" w:eastAsia="MS Mincho" w:hAnsi="Bookman Old Style" w:cs="Calibri"/>
          <w:sz w:val="24"/>
          <w:szCs w:val="24"/>
        </w:rPr>
        <w:t xml:space="preserve"> </w:t>
      </w:r>
      <w:r w:rsidRPr="00AC1C56">
        <w:rPr>
          <w:rFonts w:ascii="Bookman Old Style" w:eastAsia="MS Mincho" w:hAnsi="Bookman Old Style" w:cs="Times New Roman"/>
          <w:sz w:val="24"/>
          <w:szCs w:val="24"/>
        </w:rPr>
        <w:t>Aquisição de equipamentos de informática, compreendendo notebooks, impressoras multifuncionais a laser monocromática, monitores, microcomputadores completos, suportes articulados de mesa para monitores e scanners de documentos com alimentador automático, bem como contratação de serviços de formatação e instalação de computadores, destinados ao atendimento das necessidades administrativas e institucionais da Câmara Municipal de Terra Rica, Estado do Paraná, incluindo, quando aplicável, fornecimento de acessórios, cabos, montagem, instalação, configuração, testes e demais procedimentos necessários à completa operacionalização dos equipamentos, conforme quantidades, condições e especificações técnicas mínimas constantes no Termo de Referência.</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066A464E" w14:textId="77777777" w:rsidTr="00384905">
        <w:trPr>
          <w:jc w:val="center"/>
        </w:trPr>
        <w:tc>
          <w:tcPr>
            <w:tcW w:w="11194" w:type="dxa"/>
            <w:gridSpan w:val="7"/>
            <w:vAlign w:val="center"/>
          </w:tcPr>
          <w:p w14:paraId="2B375FFD"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01: NOTEBOOK</w:t>
            </w:r>
          </w:p>
        </w:tc>
      </w:tr>
      <w:tr w:rsidR="00AC1C56" w:rsidRPr="00AC1C56" w14:paraId="5B647F76" w14:textId="77777777" w:rsidTr="00384905">
        <w:trPr>
          <w:jc w:val="center"/>
        </w:trPr>
        <w:tc>
          <w:tcPr>
            <w:tcW w:w="704" w:type="dxa"/>
            <w:vAlign w:val="center"/>
          </w:tcPr>
          <w:p w14:paraId="3617C63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491B5E48"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39FCBC22"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2FCA453C"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7DCEE35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04F3701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0A1F2DB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6928C04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63B607B3" w14:textId="77777777" w:rsidTr="00384905">
        <w:trPr>
          <w:jc w:val="center"/>
        </w:trPr>
        <w:tc>
          <w:tcPr>
            <w:tcW w:w="704" w:type="dxa"/>
          </w:tcPr>
          <w:p w14:paraId="397AC9C1"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369ABC9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NOTEBOOK</w:t>
            </w:r>
          </w:p>
          <w:p w14:paraId="6940DD24"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Notebook novo, sem uso anterior, em linha de fabricação, destinado à utilização em atividades administrativas e institucionais, devendo possuir, no mínimo, as seguintes características: Processador: arquitetura de 64 bits, com no mínimo 10 (dez) núcleos físicos e 12 (doze) threads, memória cache de no mínimo 12 MB e frequência máxima em modo turbo de, no mínimo, 5,0 GHz, ou processador de desempenho equivalente ou superior, comprovável mediante documentação técnica oficial do fabricante; Memória RAM: mínimo de 16 GB, padrão DDR4 com frequência mínima de 3.200 MT/s, DDR5 ou tecnologia superior, admitida configuração em um ou mais módulos, desde que atendida a capacidade mínima especificada; Armazenamento: unidade de estado sólido (SSD) com capacidade mínima de 1 TB, preferencialmente padrão M.2 NVMe ou tecnologia de desempenho equivalente ou superior; Placa gráfica: solução gráfica dedicada, com memória própria de vídeo de no mínimo 2 GB, padrão GDDR6 ou superior, compatível com DirectX 12 ou superior e adequada à reprodução, edição e processamento de conteúdos gráficos e audiovisuais; Tela: integrada ao equipamento, com tamanho mínimo de 15 </w:t>
            </w:r>
            <w:r w:rsidRPr="00AC1C56">
              <w:rPr>
                <w:rFonts w:ascii="Bookman Old Style" w:eastAsia="Calibri" w:hAnsi="Bookman Old Style" w:cs="Calibri"/>
                <w:sz w:val="18"/>
                <w:szCs w:val="18"/>
                <w:lang w:val="pt-PT"/>
              </w:rPr>
              <w:lastRenderedPageBreak/>
              <w:t>polegadas, tecnologia LED, LCD ou superior, resolução mínima Full HD (1920 × 1080 pixels); Sistema operacional: Windows 11 Pro, 64 bits, original, devidamente licenciado e ativado, em idioma português do Brasil, instalado de fábrica ou fornecido juntamente com o equipamento, acompanhado da respectiva licença digital, devendo possuir compatibilidade com TPM 2.0, UEFI e inicialização segura (Secure Boot); Conectividade sem fio: interface de rede sem fio compatível com padrão Wi-Fi 6 (IEEE 802.11ax) ou superior, com tecnologia 2x2 ou superior, e Bluetooth integrado; Conexões e interfaces: deverá possuir, no mínimo: 01 (uma) porta HDMI; 01 (uma) porta USB Tipo-A padrão USB 3.2 ou superior; 01 (uma) porta USB Tipo-C padrão USB 3.2 ou superior; 01 (uma) porta USB Tipo-A adicional, padrão USB 2.0 ou superior; 01 (um) conector combinado para fone de ouvido e microfone (headset); conexão própria para alimentação/carregamento do equipamento ou carregamento por USB-C, conforme projeto do fabricante. Webcam: integrada, com resolução mínima HD 720p, acompanhada de microfone digital integrado; Áudio: alto-falantes e microfone integrados ao equipamento; Bateria: integrada ou removível, de íons de lítio ou tecnologia equivalente/superior, dimensionada pelo fabricante para o equipamento e com capacidade mínima de 40 Wh; Alimentação: fonte/carregador original ou homologado pelo fabricante, compatível com a tensão elétrica utilizada no Brasil, acompanhada de cabo de alimentação e todos os acessórios indispensáveis ao funcionamento; Teclado: padrão ABNT2 ou configuração compatível com português do Brasil, integrado ao equipamento; Touchpad: integrado, com suporte às funções usuais de apontamento e navegação; Garantia: garantia mínima de 12 (doze) meses, contados do recebimento definitivo do equipamento, prestada pelo fabricante, fornecedor ou rede de assistência técnica autorizada; Condições gerais: o equipamento deverá ser fornecido novo, sem uso anterior, não recondicionado, não remanufaturado e em linha normal de produção/comercialização, acompanhado de todos os acessórios necessários ao seu perfeito funcionamento.</w:t>
            </w:r>
          </w:p>
          <w:p w14:paraId="78709F7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3A1AB70"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Serão aceitos equipamentos de qualquer fabricante, desde que atendam integralmente ou superem as especificações técnicas mínimas estabelecidas, não sendo admitida a exigência de marca ou modelo específico. Eventuais referências a tecnologias, padrões ou características de equipamentos </w:t>
            </w:r>
            <w:r w:rsidRPr="00AC1C56">
              <w:rPr>
                <w:rFonts w:ascii="Bookman Old Style" w:eastAsia="Calibri" w:hAnsi="Bookman Old Style" w:cs="Calibri"/>
                <w:sz w:val="18"/>
                <w:szCs w:val="18"/>
                <w:lang w:val="pt-PT"/>
              </w:rPr>
              <w:lastRenderedPageBreak/>
              <w:t>existentes no mercado possuem caráter exclusivamente técnico e de definição de desempenho mínimo, admitindo-se soluções equivalentes ou superiores, mediante comprovação por documentação oficial do fabricante.</w:t>
            </w:r>
          </w:p>
          <w:p w14:paraId="3C3AA50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30DADAD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O equipamento deverá ser entregue novo, devidamente montado, instalado e configurado,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140" w:type="dxa"/>
          </w:tcPr>
          <w:p w14:paraId="570AFC6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479403</w:t>
            </w:r>
          </w:p>
        </w:tc>
        <w:tc>
          <w:tcPr>
            <w:tcW w:w="851" w:type="dxa"/>
          </w:tcPr>
          <w:p w14:paraId="5B826E2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35C9EEB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02</w:t>
            </w:r>
          </w:p>
        </w:tc>
        <w:tc>
          <w:tcPr>
            <w:tcW w:w="1417" w:type="dxa"/>
            <w:tcBorders>
              <w:top w:val="nil"/>
              <w:left w:val="single" w:sz="4" w:space="0" w:color="auto"/>
              <w:bottom w:val="single" w:sz="4" w:space="0" w:color="000000"/>
              <w:right w:val="single" w:sz="4" w:space="0" w:color="000000"/>
            </w:tcBorders>
            <w:shd w:val="clear" w:color="auto" w:fill="auto"/>
          </w:tcPr>
          <w:p w14:paraId="1ED6F28A"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R$ 7.260,77</w:t>
            </w:r>
          </w:p>
        </w:tc>
        <w:tc>
          <w:tcPr>
            <w:tcW w:w="1560" w:type="dxa"/>
            <w:tcBorders>
              <w:top w:val="nil"/>
              <w:left w:val="nil"/>
              <w:bottom w:val="single" w:sz="4" w:space="0" w:color="000000"/>
              <w:right w:val="single" w:sz="4" w:space="0" w:color="000000"/>
            </w:tcBorders>
            <w:shd w:val="clear" w:color="auto" w:fill="auto"/>
          </w:tcPr>
          <w:p w14:paraId="372363BC"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R$ 14.521,54</w:t>
            </w:r>
          </w:p>
        </w:tc>
      </w:tr>
      <w:tr w:rsidR="00AC1C56" w:rsidRPr="00AC1C56" w14:paraId="0F5FB1E1" w14:textId="77777777" w:rsidTr="00384905">
        <w:trPr>
          <w:jc w:val="center"/>
        </w:trPr>
        <w:tc>
          <w:tcPr>
            <w:tcW w:w="9634" w:type="dxa"/>
            <w:gridSpan w:val="6"/>
          </w:tcPr>
          <w:p w14:paraId="59524727"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VALOR TOTAL DOS MATERIAIS</w:t>
            </w:r>
          </w:p>
        </w:tc>
        <w:tc>
          <w:tcPr>
            <w:tcW w:w="1560" w:type="dxa"/>
          </w:tcPr>
          <w:p w14:paraId="448076F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R$ 14.521,54</w:t>
            </w:r>
          </w:p>
        </w:tc>
      </w:tr>
    </w:tbl>
    <w:p w14:paraId="6537AC4C"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77E20670" w14:textId="77777777" w:rsidTr="00384905">
        <w:trPr>
          <w:jc w:val="center"/>
        </w:trPr>
        <w:tc>
          <w:tcPr>
            <w:tcW w:w="11194" w:type="dxa"/>
            <w:gridSpan w:val="7"/>
            <w:vAlign w:val="center"/>
          </w:tcPr>
          <w:p w14:paraId="23D9DC38"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02: IMPRESSORA MULTIFUNCIONAL A LASER MONOCROMÁTICA</w:t>
            </w:r>
          </w:p>
        </w:tc>
      </w:tr>
      <w:tr w:rsidR="00AC1C56" w:rsidRPr="00AC1C56" w14:paraId="656183C6" w14:textId="77777777" w:rsidTr="00384905">
        <w:trPr>
          <w:jc w:val="center"/>
        </w:trPr>
        <w:tc>
          <w:tcPr>
            <w:tcW w:w="704" w:type="dxa"/>
            <w:vAlign w:val="center"/>
          </w:tcPr>
          <w:p w14:paraId="351DFC6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5A6A110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321B35AC"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58E6C6F3"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286B2C59"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32912488"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053332DA"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1832869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08A665E1" w14:textId="77777777" w:rsidTr="00384905">
        <w:trPr>
          <w:jc w:val="center"/>
        </w:trPr>
        <w:tc>
          <w:tcPr>
            <w:tcW w:w="704" w:type="dxa"/>
          </w:tcPr>
          <w:p w14:paraId="690942FB"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235B8149"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IMPRESSORA MULTIFUNCIONAL A LASER MONOCROMÁTICA</w:t>
            </w:r>
          </w:p>
          <w:p w14:paraId="087B88CB"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Impressora multifuncional monocromática, nova e sem uso anterior, destinada à utilização em atividades administrativas e institucionais, com funções integradas de impressão, cópia e digitalização, devendo possuir, no mínimo, as seguintes características: Funções: impressão, cópia e digitalização (scanner), integradas em um único equipamento; Tecnologia de impressão: laser monocromática ou tecnologia equivalente/superior; Velocidade de impressão: mínima de 38 páginas por minuto (ppm) em papel tamanho A4; Resolução de impressão: mínima de 1.200 × 1.200 dpi, ou qualidade de impressão equivalente/superior; Impressão frente e verso: automática (duplex), sem necessidade de intervenção manual do usuário; Scanner: integrado e colorido, adequado à digitalização de documentos administrativos; Resolução óptica do scanner: mínima de 600 × 600 dpi; Alimentador automático de documentos (ADF): capacidade mínima de 50 folhas, permitindo a digitalização e/ou cópia sequencial de documentos com múltiplas páginas; Digitalização frente e verso: automática ou por mecanismo compatível com a operação do equipamento, quando disponibilizada pelo fabricante; Copiadora: integrada, permitindo, no mínimo, funções de ampliação e redução de documentos; Ampliação e redução: faixa mínima compreendendo 25% a 400%, admitidas faixas superiores; Bandeja principal de entrada: capacidade mínima de 250 folhas; Bandeja ou alimentador multiuso: capacidade mínima de 50 </w:t>
            </w:r>
            <w:r w:rsidRPr="00AC1C56">
              <w:rPr>
                <w:rFonts w:ascii="Bookman Old Style" w:eastAsia="Calibri" w:hAnsi="Bookman Old Style" w:cs="Calibri"/>
                <w:sz w:val="18"/>
                <w:szCs w:val="18"/>
                <w:lang w:val="pt-PT"/>
              </w:rPr>
              <w:lastRenderedPageBreak/>
              <w:t>folhas, destinada à alimentação de diferentes tipos, formatos ou gramaturas de papel; Bandeja de saída: capacidade mínima de 150 folhas; Formatos de papel: compatível, no mínimo, com A4, A5, A6, Carta e Ofício, além de outros formatos eventualmente suportados pelo equipamento; Gramatura: capacidade para utilização de papéis de diferentes gramaturas, incluindo papel comum, observados os limites estabelecidos pelo fabricante; Conectividade USB: possuir, no mínimo, 01 (uma) interface USB 2.0 ou superior, para conexão direta a computador; Conectividade de rede: possuir interface Ethernet integrada, padrão 10/100 Mbps ou superior, com conector RJ-45, permitindo o compartilhamento e utilização do equipamento em rede local; Memória: capacidade dimensionada pelo fabricante e suficiente para execução adequada das funções e velocidade especificadas; Volume mensal recomendado: adequado ao uso administrativo e institucional, com volume recomendado pelo fabricante de, no mínimo, 5.000 páginas/mês; Ciclo máximo mensal: capacidade de, no mínimo, 50.000 páginas/mês, ou superior; Painel de controle: integrado ao equipamento, com visor e comandos que permitam acesso, operação e configuração das principais funções; Compatibilidade: possuir drivers e softwares compatíveis com Windows 11 de 64 bits, ou versão mais recente do sistema operacional utilizada pela Administração; Alimentação elétrica: compatível com a rede elétrica de 127 V, admitindo-se equipamento bivolt automático, acompanhado de cabo de alimentação e/ou fonte necessária ao funcionamento; Suprimento inicial: deverá ser fornecido com toner inicial e demais consumíveis indispensáveis à sua imediata utilização, originais do fabricante ou fornecidos de fábrica com o equipamento; Acessórios: deverão acompanhar o equipamento todos os cabos, fontes, componentes, acessórios e demais itens indispensáveis à instalação e ao pleno funcionamento; Garantia: mínima de 12 (doze) meses, contados do recebimento definitivo do equipamento, prestada pelo fabricante, fornecedor ou rede de assistência técnica autorizada; Condição: equipamento novo, sem uso anterior, não recondicionado e não remanufaturado, em linha normal de produção/comercialização e fornecido em embalagem original ou adequada à sua proteção.</w:t>
            </w:r>
          </w:p>
          <w:p w14:paraId="063B7AD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32E51CB8"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O equipamento poderá ser de qualquer fabricante, desde que atenda integralmente ou supere as especificações técnicas mínimas estabelecidas, não sendo exigida marca ou modelo específico.</w:t>
            </w:r>
          </w:p>
          <w:p w14:paraId="1A8B8DA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76C6B64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As características técnicas estabelecidas destinam-se exclusivamente à definição do padrão mínimo de desempenho, produtividade, qualidade, capacidade, funcionalidade e compatibilidade necessário ao atendimento das necessidades da Administração, sendo admitidos equipamentos com características equivalentes ou superiores, desde que devidamente comprovadas por catálogo, ficha técnica ou documentação oficial do fabricante.</w:t>
            </w:r>
          </w:p>
          <w:p w14:paraId="404AD359"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19AE15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A proposta deverá indicar expressamente a marca e o modelo do equipamento ofertado, possibilitando à Administração verificar sua conformidade com as especificações técnicas mínimas estabelecidas.</w:t>
            </w:r>
          </w:p>
          <w:p w14:paraId="7DC47310"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747F3B8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O equipamento deverá ser entregue novo, devidamente instalado e configurado nas dependências da Câmara Municipal de Terra Rica/PR, incluindo instalação dos respectivos drivers e softwares, conexão à rede local e/ou computador indicado pela Administração, configuração das funções de impressão, cópia e digitalização e realização dos respectivos testes de funcionamento, devendo ser entregue em plenas condições de funcionamento e pronto para uso, incluindo todos os serviços, mão de obra, cabos, conexões, acessórios e demais procedimentos necessários, sem custos adicionais para a Administração.</w:t>
            </w:r>
          </w:p>
        </w:tc>
        <w:tc>
          <w:tcPr>
            <w:tcW w:w="1140" w:type="dxa"/>
          </w:tcPr>
          <w:p w14:paraId="501C6B1C"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445004</w:t>
            </w:r>
          </w:p>
        </w:tc>
        <w:tc>
          <w:tcPr>
            <w:tcW w:w="851" w:type="dxa"/>
          </w:tcPr>
          <w:p w14:paraId="6D45F7B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303E4DC7"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1417" w:type="dxa"/>
            <w:tcBorders>
              <w:top w:val="nil"/>
              <w:left w:val="single" w:sz="4" w:space="0" w:color="auto"/>
              <w:bottom w:val="single" w:sz="4" w:space="0" w:color="000000"/>
              <w:right w:val="single" w:sz="4" w:space="0" w:color="000000"/>
            </w:tcBorders>
            <w:shd w:val="clear" w:color="auto" w:fill="auto"/>
          </w:tcPr>
          <w:p w14:paraId="613A9AA4"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R$ 3.352,69</w:t>
            </w:r>
          </w:p>
        </w:tc>
        <w:tc>
          <w:tcPr>
            <w:tcW w:w="1560" w:type="dxa"/>
            <w:tcBorders>
              <w:top w:val="nil"/>
              <w:left w:val="nil"/>
              <w:bottom w:val="single" w:sz="4" w:space="0" w:color="000000"/>
              <w:right w:val="single" w:sz="4" w:space="0" w:color="000000"/>
            </w:tcBorders>
            <w:shd w:val="clear" w:color="auto" w:fill="auto"/>
          </w:tcPr>
          <w:p w14:paraId="204B6D22"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R$ 3.352,69</w:t>
            </w:r>
          </w:p>
        </w:tc>
      </w:tr>
      <w:tr w:rsidR="00AC1C56" w:rsidRPr="00AC1C56" w14:paraId="391B36A8" w14:textId="77777777" w:rsidTr="00384905">
        <w:trPr>
          <w:jc w:val="center"/>
        </w:trPr>
        <w:tc>
          <w:tcPr>
            <w:tcW w:w="9634" w:type="dxa"/>
            <w:gridSpan w:val="6"/>
          </w:tcPr>
          <w:p w14:paraId="729F28E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VALOR TOTAL DOS MATERIAIS</w:t>
            </w:r>
          </w:p>
        </w:tc>
        <w:tc>
          <w:tcPr>
            <w:tcW w:w="1560" w:type="dxa"/>
          </w:tcPr>
          <w:p w14:paraId="5EF005C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R$ 3.352,69</w:t>
            </w:r>
          </w:p>
        </w:tc>
      </w:tr>
    </w:tbl>
    <w:p w14:paraId="640C92D0"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4691F350" w14:textId="77777777" w:rsidTr="00384905">
        <w:trPr>
          <w:jc w:val="center"/>
        </w:trPr>
        <w:tc>
          <w:tcPr>
            <w:tcW w:w="11194" w:type="dxa"/>
            <w:gridSpan w:val="7"/>
            <w:vAlign w:val="center"/>
          </w:tcPr>
          <w:p w14:paraId="51690FDA"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03: IMPRESSORA MULTIFUNCIONAL A LASER</w:t>
            </w:r>
          </w:p>
        </w:tc>
      </w:tr>
      <w:tr w:rsidR="00AC1C56" w:rsidRPr="00AC1C56" w14:paraId="08424AE8" w14:textId="77777777" w:rsidTr="00384905">
        <w:trPr>
          <w:jc w:val="center"/>
        </w:trPr>
        <w:tc>
          <w:tcPr>
            <w:tcW w:w="704" w:type="dxa"/>
            <w:vAlign w:val="center"/>
          </w:tcPr>
          <w:p w14:paraId="68302B1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1AF1E1D5"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4C715F00"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34566CCD"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7298BA3A"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682D476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2C18BF2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4C698C9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29A5B345" w14:textId="77777777" w:rsidTr="00384905">
        <w:trPr>
          <w:jc w:val="center"/>
        </w:trPr>
        <w:tc>
          <w:tcPr>
            <w:tcW w:w="704" w:type="dxa"/>
          </w:tcPr>
          <w:p w14:paraId="72404A8B"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2778B36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IMPRESSORA MULTIFUNCIONAL A LASER</w:t>
            </w:r>
          </w:p>
          <w:p w14:paraId="5C87487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Impressora multifuncional monocromática, com tecnologia de impressão a laser ou tecnologia equivalente/superior, nova e sem uso anterior, destinada às atividades administrativas e institucionais, devendo possuir, no mínimo, as seguintes características: Funções: impressão, cópia e digitalização (scanner), integradas em um único equipamento; Tipo de impressão: monocromática; Tecnologia: laser ou tecnologia equivalente/superior; Velocidade de impressão: mínima de 30 páginas por minuto (ppm) em papel tamanho A4; Resolução de impressão: mínima de 600 × 600 dpi; Impressão frente e verso: automática (duplex); Scanner: integrado, colorido, com resolução óptica mínima de 600 × 600 dpi; Copiadora: integrada, com funções de ampliação e redução; Alimentador automático de documentos </w:t>
            </w:r>
            <w:r w:rsidRPr="00AC1C56">
              <w:rPr>
                <w:rFonts w:ascii="Bookman Old Style" w:eastAsia="Calibri" w:hAnsi="Bookman Old Style" w:cs="Calibri"/>
                <w:sz w:val="18"/>
                <w:szCs w:val="18"/>
                <w:lang w:val="pt-PT"/>
              </w:rPr>
              <w:lastRenderedPageBreak/>
              <w:t>(ADF): capacidade mínima para 35 folhas, permitindo digitalização e cópia de documentos com múltiplas páginas; Bandeja de entrada: capacidade mínima de 150 folhas; Formatos de papel: compatível, no mínimo, com papel A4, A5, A6, Carta e Ofício, observadas as limitações próprias de cada bandeja ou alimentador; Conectividade: no mínimo 01 (uma) interface USB, para conexão direta a computador; Conectividade de rede: interface Ethernet e/ou Wi-Fi integrada, permitindo o compartilhamento do equipamento em rede; Compatibilidade: compatível com sistemas operacionais Windows atualmente suportados pelo fabricante; Painel de controle: integrado ao equipamento, permitindo acesso e configuração das principais funções; Memória: capacidade compatível com as funções e velocidade especificadas, dimensionada pelo fabricante para o funcionamento adequado do equipamento; Ciclo mensal: recomendado pelo fabricante para utilização compatível com ambiente administrativo; Alimentação elétrica: compatível com a rede elétrica local, acompanhada de cabo de alimentação; Suprimento: deverá ser fornecida com cartucho de toner inicial, original do fabricante ou fornecido de fábrica, permitindo a imediata utilização do equipamento; Acessórios: deverão acompanhar o equipamento todos os cabos, fontes, acessórios e demais componentes indispensáveis à sua instalação e funcionamento; Garantia: mínima de 12 (doze) meses, contados do recebimento definitivo do equipamento, prestada pelo fabricante, fornecedor ou rede de assistência técnica autorizada; Condição: equipamento novo, sem uso anterior, não recondicionado e não remanufaturado, fornecido em embalagem original ou adequada à sua proteção.</w:t>
            </w:r>
          </w:p>
          <w:p w14:paraId="4CF3D319"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0F6461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O equipamento poderá ser de qualquer fabricante, desde que atenda integralmente ou supere as especificações técnicas mínimas estabelecidas, não sendo exigida marca ou modelo específico.</w:t>
            </w:r>
          </w:p>
          <w:p w14:paraId="42EAC7C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3FFE435"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Eventuais características técnicas indicadas destinam-se exclusivamente à definição do padrão mínimo de desempenho, qualidade, funcionalidade e compatibilidade necessário ao atendimento da Administração, sendo admitidos equipamentos com características equivalentes ou superiores, mediante comprovação por catálogo, ficha técnica ou documentação oficial do fabricante.</w:t>
            </w:r>
          </w:p>
        </w:tc>
        <w:tc>
          <w:tcPr>
            <w:tcW w:w="1140" w:type="dxa"/>
          </w:tcPr>
          <w:p w14:paraId="4AE28BD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469175</w:t>
            </w:r>
          </w:p>
        </w:tc>
        <w:tc>
          <w:tcPr>
            <w:tcW w:w="851" w:type="dxa"/>
          </w:tcPr>
          <w:p w14:paraId="701B6EA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676FE0D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02</w:t>
            </w:r>
          </w:p>
        </w:tc>
        <w:tc>
          <w:tcPr>
            <w:tcW w:w="1417" w:type="dxa"/>
            <w:tcBorders>
              <w:top w:val="nil"/>
              <w:left w:val="single" w:sz="4" w:space="0" w:color="auto"/>
              <w:bottom w:val="single" w:sz="4" w:space="0" w:color="000000"/>
              <w:right w:val="single" w:sz="4" w:space="0" w:color="000000"/>
            </w:tcBorders>
            <w:shd w:val="clear" w:color="auto" w:fill="auto"/>
          </w:tcPr>
          <w:p w14:paraId="4A1092F5"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R$ 2.354,64</w:t>
            </w:r>
          </w:p>
        </w:tc>
        <w:tc>
          <w:tcPr>
            <w:tcW w:w="1560" w:type="dxa"/>
            <w:tcBorders>
              <w:top w:val="nil"/>
              <w:left w:val="nil"/>
              <w:bottom w:val="single" w:sz="4" w:space="0" w:color="000000"/>
              <w:right w:val="single" w:sz="4" w:space="0" w:color="000000"/>
            </w:tcBorders>
            <w:shd w:val="clear" w:color="auto" w:fill="auto"/>
          </w:tcPr>
          <w:p w14:paraId="78E2A375"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R$ 4.709,28</w:t>
            </w:r>
          </w:p>
        </w:tc>
      </w:tr>
      <w:tr w:rsidR="00AC1C56" w:rsidRPr="00AC1C56" w14:paraId="6D28CA5D" w14:textId="77777777" w:rsidTr="00384905">
        <w:trPr>
          <w:jc w:val="center"/>
        </w:trPr>
        <w:tc>
          <w:tcPr>
            <w:tcW w:w="9634" w:type="dxa"/>
            <w:gridSpan w:val="6"/>
          </w:tcPr>
          <w:p w14:paraId="54DB29F8"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 DOS MATERIAIS</w:t>
            </w:r>
          </w:p>
        </w:tc>
        <w:tc>
          <w:tcPr>
            <w:tcW w:w="1560" w:type="dxa"/>
          </w:tcPr>
          <w:p w14:paraId="76E5E90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R$ 4.709,28</w:t>
            </w:r>
          </w:p>
        </w:tc>
      </w:tr>
    </w:tbl>
    <w:p w14:paraId="50E84D7E"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2509C3F4" w14:textId="77777777" w:rsidTr="00384905">
        <w:trPr>
          <w:jc w:val="center"/>
        </w:trPr>
        <w:tc>
          <w:tcPr>
            <w:tcW w:w="11194" w:type="dxa"/>
            <w:gridSpan w:val="7"/>
            <w:vAlign w:val="center"/>
          </w:tcPr>
          <w:p w14:paraId="7AF1B06A"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04: MONITOR 24”</w:t>
            </w:r>
          </w:p>
        </w:tc>
      </w:tr>
      <w:tr w:rsidR="00AC1C56" w:rsidRPr="00AC1C56" w14:paraId="2728962B" w14:textId="77777777" w:rsidTr="00384905">
        <w:trPr>
          <w:jc w:val="center"/>
        </w:trPr>
        <w:tc>
          <w:tcPr>
            <w:tcW w:w="704" w:type="dxa"/>
            <w:vAlign w:val="center"/>
          </w:tcPr>
          <w:p w14:paraId="02AF1B6C"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Item</w:t>
            </w:r>
          </w:p>
        </w:tc>
        <w:tc>
          <w:tcPr>
            <w:tcW w:w="4814" w:type="dxa"/>
            <w:vAlign w:val="center"/>
          </w:tcPr>
          <w:p w14:paraId="12BB9F0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42D1A4FE"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7FB38AFF"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25E859F7"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5DD01FFC"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1467FCC9"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7459769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59FB9243" w14:textId="77777777" w:rsidTr="00384905">
        <w:trPr>
          <w:jc w:val="center"/>
        </w:trPr>
        <w:tc>
          <w:tcPr>
            <w:tcW w:w="704" w:type="dxa"/>
          </w:tcPr>
          <w:p w14:paraId="5B15B262"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6A692D5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MONITOR 24”</w:t>
            </w:r>
          </w:p>
          <w:p w14:paraId="5FFE723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Monitor de vídeo, novo e sem uso anterior, destinado à utilização em atividades administrativas e institucionais, devendo possuir, no mínimo, as seguintes características: Tamanho da tela: mínimo de 23,8 polegadas, comercialmente classificado como 24 polegadas; Formato da tela: plana; Tecnologia do painel: IPS, VA ou tecnologia equivalente/superior, desde que proporcione adequada qualidade de imagem e ângulo de visualização; Resolução nativa: mínima Full HD (1920 × 1080 pixels); Proporção de tela: 16:9; Taxa de atualização: mínima de 100 Hz; Brilho: mínimo de 250 cd/m²; Contraste: mínimo de 1.000:1; Tempo de resposta: máximo de 8 ms; Ângulo de visão: mínimo de 178° na horizontal e 178° na vertical, ou equivalente; Reprodução de cores: capacidade mínima de 16,7 milhões de cores; Conectividade: possuir, no mínimo, 01 (uma) entrada HDMI; Recursos de conforto visual: possuir tecnologia de redução de cintilação da tela (Flicker Free ou equivalente) e recurso para redução da emissão de luz azul, ou tecnologias equivalentes; Ajustes de imagem: permitir ajustes de brilho, contraste e demais configurações básicas de imagem; Suporte/base: deverá acompanhar base original ou compatível com o equipamento, proporcionando estabilidade adequada para utilização sobre mesa; Compatibilidade com suporte: possuir sistema de fixação padrão VESA ou equivalente, permitindo sua instalação em suporte articulado para monitor; Alimentação: bivolt automático ou compatível com tensão de 100 a 240 V, acompanhada de fonte e/ou cabo de alimentação, conforme aplicável; Cor predominante: preta ou tonalidade escura equivalente; Acessórios: deverá acompanhar, no mínimo, cabo de alimentação e cabo HDMI, compatíveis com o equipamento, além dos demais acessórios indispensáveis ao seu funcionamento; Garantia: mínima de 12 (doze) meses, contados do recebimento definitivo do equipamento, prestada pelo fabricante, fornecedor ou rede de assistência técnica autorizada;</w:t>
            </w:r>
          </w:p>
          <w:p w14:paraId="3F6FDC74"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169246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Condição: equipamento novo, sem uso anterior, não recondicionado e não remanufaturado, em linha normal de produção/comercialização.</w:t>
            </w:r>
          </w:p>
          <w:p w14:paraId="79A5A00F"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61FA653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O equipamento poderá ser de qualquer fabricante, desde que atenda integralmente ou supere as especificações técnicas mínimas estabelecidas, não </w:t>
            </w:r>
            <w:r w:rsidRPr="00AC1C56">
              <w:rPr>
                <w:rFonts w:ascii="Bookman Old Style" w:eastAsia="Calibri" w:hAnsi="Bookman Old Style" w:cs="Calibri"/>
                <w:sz w:val="18"/>
                <w:szCs w:val="18"/>
                <w:lang w:val="pt-PT"/>
              </w:rPr>
              <w:lastRenderedPageBreak/>
              <w:t>sendo exigida marca ou modelo específico.</w:t>
            </w:r>
          </w:p>
          <w:p w14:paraId="5E0911D8"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CFE6DC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As características técnicas estabelecidas destinam-se exclusivamente à definição do padrão mínimo de qualidade, desempenho, funcionalidade, ergonomia e compatibilidade necessário ao atendimento das necessidades da Administração, sendo admitidos equipamentos com características equivalentes ou superiores, desde que comprovadas mediante catálogo, ficha técnica ou documentação oficial do fabricante.</w:t>
            </w:r>
          </w:p>
          <w:p w14:paraId="67C62AC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3863288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A proposta deverá indicar expressamente a marca e o modelo do equipamento ofertado, possibilitando à Administração verificar sua conformidade com as especificações técnicas mínimas estabelecidas.</w:t>
            </w:r>
          </w:p>
        </w:tc>
        <w:tc>
          <w:tcPr>
            <w:tcW w:w="1140" w:type="dxa"/>
          </w:tcPr>
          <w:p w14:paraId="4F17550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625673</w:t>
            </w:r>
          </w:p>
        </w:tc>
        <w:tc>
          <w:tcPr>
            <w:tcW w:w="851" w:type="dxa"/>
          </w:tcPr>
          <w:p w14:paraId="4D26DDE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671B4B9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06</w:t>
            </w:r>
          </w:p>
        </w:tc>
        <w:tc>
          <w:tcPr>
            <w:tcW w:w="1417" w:type="dxa"/>
            <w:tcBorders>
              <w:top w:val="nil"/>
              <w:left w:val="single" w:sz="4" w:space="0" w:color="auto"/>
              <w:bottom w:val="single" w:sz="4" w:space="0" w:color="000000"/>
              <w:right w:val="single" w:sz="4" w:space="0" w:color="000000"/>
            </w:tcBorders>
            <w:shd w:val="clear" w:color="auto" w:fill="auto"/>
          </w:tcPr>
          <w:p w14:paraId="1D2EEE6B"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R$ 806,46</w:t>
            </w:r>
          </w:p>
        </w:tc>
        <w:tc>
          <w:tcPr>
            <w:tcW w:w="1560" w:type="dxa"/>
            <w:tcBorders>
              <w:top w:val="nil"/>
              <w:left w:val="nil"/>
              <w:bottom w:val="single" w:sz="4" w:space="0" w:color="000000"/>
              <w:right w:val="single" w:sz="4" w:space="0" w:color="000000"/>
            </w:tcBorders>
            <w:shd w:val="clear" w:color="auto" w:fill="auto"/>
          </w:tcPr>
          <w:p w14:paraId="2C7D3233"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R$ 4.838,76</w:t>
            </w:r>
          </w:p>
        </w:tc>
      </w:tr>
      <w:tr w:rsidR="00AC1C56" w:rsidRPr="00AC1C56" w14:paraId="142A899F" w14:textId="77777777" w:rsidTr="00384905">
        <w:trPr>
          <w:jc w:val="center"/>
        </w:trPr>
        <w:tc>
          <w:tcPr>
            <w:tcW w:w="9634" w:type="dxa"/>
            <w:gridSpan w:val="6"/>
          </w:tcPr>
          <w:p w14:paraId="2326F5F9"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 DOS MATERIAIS</w:t>
            </w:r>
          </w:p>
        </w:tc>
        <w:tc>
          <w:tcPr>
            <w:tcW w:w="1560" w:type="dxa"/>
          </w:tcPr>
          <w:p w14:paraId="28B71EE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R$ 4.838,76</w:t>
            </w:r>
          </w:p>
        </w:tc>
      </w:tr>
    </w:tbl>
    <w:p w14:paraId="3EEE6796"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7A1F6BDB" w14:textId="77777777" w:rsidTr="00384905">
        <w:trPr>
          <w:jc w:val="center"/>
        </w:trPr>
        <w:tc>
          <w:tcPr>
            <w:tcW w:w="11194" w:type="dxa"/>
            <w:gridSpan w:val="7"/>
            <w:vAlign w:val="center"/>
          </w:tcPr>
          <w:p w14:paraId="5B08C2A0"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05: MICROCOMPUTADOR COMPLETO</w:t>
            </w:r>
          </w:p>
        </w:tc>
      </w:tr>
      <w:tr w:rsidR="00AC1C56" w:rsidRPr="00AC1C56" w14:paraId="5478D6C8" w14:textId="77777777" w:rsidTr="00384905">
        <w:trPr>
          <w:jc w:val="center"/>
        </w:trPr>
        <w:tc>
          <w:tcPr>
            <w:tcW w:w="704" w:type="dxa"/>
            <w:vAlign w:val="center"/>
          </w:tcPr>
          <w:p w14:paraId="2279BAC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3300294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283B9A33"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11976C79"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79291E8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3985AA5D"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57E592F7"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1D43FE2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272FAC17" w14:textId="77777777" w:rsidTr="00384905">
        <w:trPr>
          <w:jc w:val="center"/>
        </w:trPr>
        <w:tc>
          <w:tcPr>
            <w:tcW w:w="704" w:type="dxa"/>
          </w:tcPr>
          <w:p w14:paraId="3AD4A999"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0B7B1E7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MICROCOMPUTADOR COMPLETO</w:t>
            </w:r>
          </w:p>
          <w:p w14:paraId="0D4D54F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Microcomputador tipo desktop, completo, novo e sem uso anterior, destinado à execução de atividades administrativas e institucionais, devendo possuir, no mínimo, as seguintes características: Processador: arquitetura de 64 bits, com no mínimo 8 (oito) núcleos físicos e 12 (doze) threads, memória cache de no mínimo 12 MB, frequência máxima em modo turbo de, no mínimo, 4,5 GHz, ou processador de desempenho equivalente ou superior, comprovável mediante documentação técnica oficial do fabricante; Memória RAM: mínimo de 16 GB, padrão DDR4 com frequência mínima de 3.200 MT/s, DDR5 ou tecnologia superior; Armazenamento: unidade de estado sólido (SSD) com capacidade mínima de 1 TB, padrão M.2 NVMe, ou tecnologia de desempenho equivalente ou superior; Placa-mãe: compatível com todos os componentes ofertados, com suporte integral ao processador, memória, armazenamento e demais dispositivos especificados, não sendo admitida exigência de fabricante ou marca específica; Rede: interface de rede Ethernet integrada, com velocidade mínima de 10/100/1000 Mbps (Gigabit Ethernet) e conector RJ-45; Áudio: interface de áudio integrada, com conexões compatíveis para utilização de caixas de som, fones de ouvido e/ou microfone; Vídeo: solução gráfica integrada ao processador ou dedicada, com capacidade para resolução mínima Full HD (1920 × 1080 pixels) e saída digital de vídeo HDMI e/ou DisplayPort; Portas USB: mínimo de 08 (oito) portas USB, sendo pelo menos 04 (quatro) </w:t>
            </w:r>
            <w:r w:rsidRPr="00AC1C56">
              <w:rPr>
                <w:rFonts w:ascii="Bookman Old Style" w:eastAsia="Calibri" w:hAnsi="Bookman Old Style" w:cs="Calibri"/>
                <w:sz w:val="18"/>
                <w:szCs w:val="18"/>
                <w:lang w:val="pt-PT"/>
              </w:rPr>
              <w:lastRenderedPageBreak/>
              <w:t>portas padrão USB 3.0/3.2 ou superior, devendo possuir portas acessíveis na parte frontal do gabinete para conexão de dispositivos; Fonte de alimentação: padrão ATX ou compatível com o gabinete, com potência dimensionada pelo fabricante/montador para suportar adequadamente todos os componentes instalados, com margem operacional de segurança e compatível com a rede elétrica local; Gabinete: padrão compatível com os componentes internos, na cor preta ou tonalidade escura equivalente, com sistema adequado de ventilação e refrigeração; Sistema operacional: Windows 11 Pro, 64 bits, original, devidamente licenciado e ativado, em idioma português do Brasil, acompanhado da respectiva licença digital, devendo o equipamento possuir compatibilidade com TPM 2.0, UEFI e Secure Boot; Teclado: padrão ABNT2, conexão USB ou tecnologia equivalente, na cor preta ou tonalidade escura; Mouse: óptico, com no mínimo 02 botões e botão de rolagem (scroll), conexão USB ou tecnologia equivalente, na cor preta ou tonalidade escura; Caixas de som: conjunto de caixas de som compatível com o equipamento, alimentado por USB ou fonte própria, com conexão de áudio compatível, na cor preta ou tonalidade escura; Cabos e acessórios: deverão acompanhar o equipamento todos os cabos, fontes, adaptadores e demais acessórios indispensáveis à instalação e ao pleno funcionamento; Garantia: mínima de 12 (doze) meses, contados do recebimento definitivo do equipamento, abrangendo os componentes que integram o microcomputador; Condição: todos os componentes deverão ser novos, sem uso anterior, não recondicionados e não remanufaturados, devendo ser integralmente compatíveis entre si.</w:t>
            </w:r>
          </w:p>
          <w:p w14:paraId="6AC13A0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1DB3400"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O microcomputador e seus componentes poderão ser de qualquer fabricante, desde que atendam integralmente ou superem as especificações técnicas mínimas estabelecidas, não sendo exigidas marcas específicas de processador, placa-mãe ou demais componentes.</w:t>
            </w:r>
          </w:p>
          <w:p w14:paraId="21668C3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761EC863"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Eventuais referências a tecnologias, padrões, capacidades ou características destinam-se exclusivamente à definição do padrão mínimo de desempenho, qualidade, funcionalidade e compatibilidade necessário ao atendimento da Administração, admitindo-se soluções tecnicamente equivalentes ou superiores, desde que comprovadas por catálogo, ficha técnica ou documentação oficial do fabricante.</w:t>
            </w:r>
          </w:p>
          <w:p w14:paraId="15FA821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65C82A5"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lastRenderedPageBreak/>
              <w:t>O equipamento deverá ser entregue novo, devidamente montados, instalados e configurados,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140" w:type="dxa"/>
          </w:tcPr>
          <w:p w14:paraId="660CBDD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482392</w:t>
            </w:r>
          </w:p>
        </w:tc>
        <w:tc>
          <w:tcPr>
            <w:tcW w:w="851" w:type="dxa"/>
          </w:tcPr>
          <w:p w14:paraId="11DAFEE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1970AC3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05</w:t>
            </w:r>
          </w:p>
        </w:tc>
        <w:tc>
          <w:tcPr>
            <w:tcW w:w="1417" w:type="dxa"/>
            <w:tcBorders>
              <w:top w:val="nil"/>
              <w:left w:val="single" w:sz="4" w:space="0" w:color="auto"/>
              <w:bottom w:val="single" w:sz="4" w:space="0" w:color="000000"/>
              <w:right w:val="single" w:sz="4" w:space="0" w:color="000000"/>
            </w:tcBorders>
            <w:shd w:val="clear" w:color="auto" w:fill="auto"/>
          </w:tcPr>
          <w:p w14:paraId="128AC552"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R$ 5.183,27</w:t>
            </w:r>
          </w:p>
        </w:tc>
        <w:tc>
          <w:tcPr>
            <w:tcW w:w="1560" w:type="dxa"/>
            <w:tcBorders>
              <w:top w:val="nil"/>
              <w:left w:val="nil"/>
              <w:bottom w:val="single" w:sz="4" w:space="0" w:color="000000"/>
              <w:right w:val="single" w:sz="4" w:space="0" w:color="000000"/>
            </w:tcBorders>
            <w:shd w:val="clear" w:color="auto" w:fill="auto"/>
          </w:tcPr>
          <w:p w14:paraId="70C09561"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R$ 25.916,35</w:t>
            </w:r>
          </w:p>
        </w:tc>
      </w:tr>
      <w:tr w:rsidR="00AC1C56" w:rsidRPr="00AC1C56" w14:paraId="553C2628" w14:textId="77777777" w:rsidTr="00384905">
        <w:trPr>
          <w:jc w:val="center"/>
        </w:trPr>
        <w:tc>
          <w:tcPr>
            <w:tcW w:w="9634" w:type="dxa"/>
            <w:gridSpan w:val="6"/>
          </w:tcPr>
          <w:p w14:paraId="6AE9BFF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VALOR TOTAL DOS MATERIAIS</w:t>
            </w:r>
          </w:p>
        </w:tc>
        <w:tc>
          <w:tcPr>
            <w:tcW w:w="1560" w:type="dxa"/>
          </w:tcPr>
          <w:p w14:paraId="2475C61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R$ 25.916,35</w:t>
            </w:r>
          </w:p>
        </w:tc>
      </w:tr>
    </w:tbl>
    <w:p w14:paraId="7F90BE45" w14:textId="77777777" w:rsidR="00AC1C56" w:rsidRPr="00AC1C56" w:rsidRDefault="00AC1C56" w:rsidP="00AC1C56">
      <w:pPr>
        <w:spacing w:after="0"/>
        <w:contextualSpacing/>
        <w:jc w:val="both"/>
        <w:rPr>
          <w:rFonts w:ascii="Bookman Old Style" w:eastAsia="MS Mincho" w:hAnsi="Bookman Old Style" w:cs="Calibri"/>
          <w:b/>
          <w:bCs/>
          <w:sz w:val="24"/>
          <w:szCs w:val="24"/>
        </w:rPr>
      </w:pPr>
    </w:p>
    <w:p w14:paraId="6EE052ED" w14:textId="77777777" w:rsidR="00AC1C56" w:rsidRPr="00AC1C56" w:rsidRDefault="00AC1C56" w:rsidP="00AC1C56">
      <w:pPr>
        <w:spacing w:after="0" w:line="240" w:lineRule="auto"/>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br w:type="page"/>
      </w:r>
    </w:p>
    <w:p w14:paraId="2EDA43A9"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0C7203BB" w14:textId="77777777" w:rsidTr="00384905">
        <w:trPr>
          <w:jc w:val="center"/>
        </w:trPr>
        <w:tc>
          <w:tcPr>
            <w:tcW w:w="11194" w:type="dxa"/>
            <w:gridSpan w:val="7"/>
            <w:vAlign w:val="center"/>
          </w:tcPr>
          <w:p w14:paraId="06628416"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06: SUPORTE ARTICULADO DUPLO DE MESA PARA MONITORES</w:t>
            </w:r>
          </w:p>
        </w:tc>
      </w:tr>
      <w:tr w:rsidR="00AC1C56" w:rsidRPr="00AC1C56" w14:paraId="17C9C970" w14:textId="77777777" w:rsidTr="00384905">
        <w:trPr>
          <w:jc w:val="center"/>
        </w:trPr>
        <w:tc>
          <w:tcPr>
            <w:tcW w:w="704" w:type="dxa"/>
            <w:vAlign w:val="center"/>
          </w:tcPr>
          <w:p w14:paraId="0D05D835"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3444105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3234B8F2"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2BA7EABD"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63E531C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6AB4307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1DB4C291"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3A98ED0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1A198DDC" w14:textId="77777777" w:rsidTr="00384905">
        <w:trPr>
          <w:jc w:val="center"/>
        </w:trPr>
        <w:tc>
          <w:tcPr>
            <w:tcW w:w="704" w:type="dxa"/>
          </w:tcPr>
          <w:p w14:paraId="33418164"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730D998A"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SUPORTE ARTICULADO DUPLO DE MESA PARA MONITORES</w:t>
            </w:r>
          </w:p>
          <w:p w14:paraId="6BC83685"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Suporte articulado duplo de mesa para monitores, novo e sem uso anterior, destinado à instalação de 02 (dois) monitores simultaneamente, proporcionando ajuste ergonômico, organização e otimização do espaço das estações de trabalho, devendo possuir, no mínimo, as seguintes características: Capacidade: suporte para instalação simultânea de 02 (dois) monitores; Compatibilidade de tamanho: adequado para monitores com telas de, no mínimo, 17 a 32 polegadas, devendo ser plenamente compatível com os monitores de 24 polegadas a serem utilizados pela Administração; Capacidade de carga: suportar, no mínimo, 8 kg por braço/monitor, ou capacidade superior; Padrão de fixação dos monitores: compatível, no mínimo, com os padrões VESA 75 × 75 mm e 100 × 100 mm; Tipo: suporte de mesa com 02 (dois) braços articulados independentes, permitindo o posicionamento individual de cada monitor; Sistema de movimentação: mecanismo por mola a gás, pistão a gás, mola mecânica ou tecnologia equivalente/superior, que permita movimentação e regulagem dos monitores de maneira estável e segura; Ajuste de altura: regulagem individual da altura dos monitores, possibilitando sua adequação à posição de trabalho do usuário; Inclinação: permitir ajuste de inclinação vertical dos monitores; Rotação lateral: permitir movimentação horizontal dos braços e ajuste do ângulo de visualização; Rotação da tela: permitir alteração da orientação do monitor entre as posições horizontal (paisagem) e vertical (retrato); Articulação: braços com múltiplos pontos de articulação, permitindo aproximação, afastamento e reposicionamento independente dos monitores; Fixação à mesa: sistema de fixação por morsa/presilha de pressão (tipo C-Clamp) e/ou fixação através de furo na mesa (grommet), devendo proporcionar estabilidade e segurança durante a utilização; Organização de cabos: possuir sistema, presilhas, canaletas ou dispositivo equivalente para organização e direcionamento dos cabos dos monitores; Estrutura: confeccionada em material metálico, aço, alumínio ou material de resistência equivalente, adequado à sustentação da carga especificada; Cor predominante: preta ou tonalidade escura equivalente; Instalação: deverá permitir instalação segura em mesa ou bancada compatível, </w:t>
            </w:r>
            <w:r w:rsidRPr="00AC1C56">
              <w:rPr>
                <w:rFonts w:ascii="Bookman Old Style" w:eastAsia="Calibri" w:hAnsi="Bookman Old Style" w:cs="Calibri"/>
                <w:sz w:val="18"/>
                <w:szCs w:val="18"/>
                <w:lang w:val="pt-PT"/>
              </w:rPr>
              <w:lastRenderedPageBreak/>
              <w:t>sem comprometer a estabilidade dos equipamentos; Acessórios: deverá acompanhar todos os parafusos, porcas, arruelas, adaptadores, elementos de fixação, ferramentas específicas e demais acessórios necessários à montagem e instalação completa do suporte e dos monitores; Manual: deverá acompanhar manual ou instruções de montagem e utilização, em meio físico ou digital; Garantia: mínima de 12 (doze) meses, contados do recebimento definitivo, prestada pelo fabricante, fornecedor ou assistência técnica responsável; Condição: produto novo, sem uso anterior, não recondicionado e não remanufaturado, fornecido em embalagem original ou adequada à sua proteção durante o transporte.</w:t>
            </w:r>
          </w:p>
          <w:p w14:paraId="7AE0820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1E92E2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O produto poderá ser de qualquer fabricante, desde que atenda integralmente ou supere as especificações técnicas mínimas estabelecidas, não sendo exigida marca ou modelo específico.</w:t>
            </w:r>
          </w:p>
          <w:p w14:paraId="399D098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58844F9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As características técnicas estabelecidas destinam-se exclusivamente à definição do padrão mínimo de qualidade, resistência, segurança, funcionalidade, ergonomia e compatibilidade necessário ao atendimento das necessidades da Administração, sendo admitidos produtos com características equivalentes ou superiores, mediante comprovação por catálogo, ficha técnica ou documentação oficial do fabricante.</w:t>
            </w:r>
          </w:p>
          <w:p w14:paraId="66ED7CB6"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3FD648C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A proposta deverá indicar expressamente a marca e o modelo do suporte ofertado, possibilitando à Administração verificar sua conformidade com as especificações técnicas mínimas estabelecidas.</w:t>
            </w:r>
          </w:p>
        </w:tc>
        <w:tc>
          <w:tcPr>
            <w:tcW w:w="1140" w:type="dxa"/>
          </w:tcPr>
          <w:p w14:paraId="1AB3D5E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628629</w:t>
            </w:r>
          </w:p>
        </w:tc>
        <w:tc>
          <w:tcPr>
            <w:tcW w:w="851" w:type="dxa"/>
          </w:tcPr>
          <w:p w14:paraId="0021312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14671D7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06</w:t>
            </w:r>
          </w:p>
        </w:tc>
        <w:tc>
          <w:tcPr>
            <w:tcW w:w="1417" w:type="dxa"/>
            <w:tcBorders>
              <w:top w:val="nil"/>
              <w:left w:val="single" w:sz="4" w:space="0" w:color="auto"/>
              <w:bottom w:val="single" w:sz="4" w:space="0" w:color="000000"/>
              <w:right w:val="single" w:sz="4" w:space="0" w:color="000000"/>
            </w:tcBorders>
            <w:shd w:val="clear" w:color="auto" w:fill="auto"/>
          </w:tcPr>
          <w:p w14:paraId="52E1A9C8"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R$ 340,73</w:t>
            </w:r>
          </w:p>
        </w:tc>
        <w:tc>
          <w:tcPr>
            <w:tcW w:w="1560" w:type="dxa"/>
            <w:tcBorders>
              <w:top w:val="nil"/>
              <w:left w:val="nil"/>
              <w:bottom w:val="single" w:sz="4" w:space="0" w:color="000000"/>
              <w:right w:val="single" w:sz="4" w:space="0" w:color="000000"/>
            </w:tcBorders>
            <w:shd w:val="clear" w:color="auto" w:fill="auto"/>
          </w:tcPr>
          <w:p w14:paraId="363B402B"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R$ 2.044,38</w:t>
            </w:r>
          </w:p>
        </w:tc>
      </w:tr>
      <w:tr w:rsidR="00AC1C56" w:rsidRPr="00AC1C56" w14:paraId="316D2B65" w14:textId="77777777" w:rsidTr="00384905">
        <w:trPr>
          <w:jc w:val="center"/>
        </w:trPr>
        <w:tc>
          <w:tcPr>
            <w:tcW w:w="9634" w:type="dxa"/>
            <w:gridSpan w:val="6"/>
          </w:tcPr>
          <w:p w14:paraId="6163FB6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 DOS MATERIAIS</w:t>
            </w:r>
          </w:p>
        </w:tc>
        <w:tc>
          <w:tcPr>
            <w:tcW w:w="1560" w:type="dxa"/>
          </w:tcPr>
          <w:p w14:paraId="53B0670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R$ 2.044,38</w:t>
            </w:r>
          </w:p>
        </w:tc>
      </w:tr>
    </w:tbl>
    <w:p w14:paraId="44268FD7"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58878BB6" w14:textId="77777777" w:rsidTr="00384905">
        <w:trPr>
          <w:jc w:val="center"/>
        </w:trPr>
        <w:tc>
          <w:tcPr>
            <w:tcW w:w="11194" w:type="dxa"/>
            <w:gridSpan w:val="7"/>
            <w:vAlign w:val="center"/>
          </w:tcPr>
          <w:p w14:paraId="16691641"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07: SCANNER DE DOCUMENTOS COM ALIMENTADOR AUTOMÁTICO</w:t>
            </w:r>
          </w:p>
        </w:tc>
      </w:tr>
      <w:tr w:rsidR="00AC1C56" w:rsidRPr="00AC1C56" w14:paraId="110E2FE3" w14:textId="77777777" w:rsidTr="00384905">
        <w:trPr>
          <w:jc w:val="center"/>
        </w:trPr>
        <w:tc>
          <w:tcPr>
            <w:tcW w:w="704" w:type="dxa"/>
            <w:vAlign w:val="center"/>
          </w:tcPr>
          <w:p w14:paraId="6307A59F"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3769C32B"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6F710C81"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C1C56">
              <w:rPr>
                <w:rFonts w:ascii="Bookman Old Style" w:eastAsia="Calibri" w:hAnsi="Bookman Old Style" w:cs="Calibri"/>
                <w:b/>
                <w:spacing w:val="-2"/>
                <w:sz w:val="18"/>
                <w:szCs w:val="18"/>
                <w:lang w:val="pt-PT"/>
              </w:rPr>
              <w:t>CÓDIGO</w:t>
            </w:r>
          </w:p>
          <w:p w14:paraId="5EF9A06E"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8"/>
                <w:szCs w:val="18"/>
                <w:lang w:val="pt-PT"/>
              </w:rPr>
              <w:t>CATMAT</w:t>
            </w:r>
          </w:p>
        </w:tc>
        <w:tc>
          <w:tcPr>
            <w:tcW w:w="851" w:type="dxa"/>
            <w:vAlign w:val="center"/>
          </w:tcPr>
          <w:p w14:paraId="298C87A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0F3C2C5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127ED5D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26DD40DD"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18214894" w14:textId="77777777" w:rsidTr="00384905">
        <w:trPr>
          <w:jc w:val="center"/>
        </w:trPr>
        <w:tc>
          <w:tcPr>
            <w:tcW w:w="704" w:type="dxa"/>
          </w:tcPr>
          <w:p w14:paraId="684FC385"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570CBE06"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SCANNER DE DOCUMENTOS COM ALIMENTADOR AUTOMÁTICO</w:t>
            </w:r>
          </w:p>
          <w:p w14:paraId="1EE2DDE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Scanner de documentos de mesa, novo e sem uso anterior, destinado à digitalização de documentos administrativos, processos, ofícios, contratos e demais documentos da Câmara Municipal, devendo possuir, no mínimo, as seguintes características: Tipo: scanner de documentos de mesa com alimentador automático de documentos (ADF); Digitalização: colorida, escala de cinza e preto e branco; Digitalização frente e verso: automática em uma única passagem (duplex); Velocidade de digitalização: mínima de 30 páginas por minuto </w:t>
            </w:r>
            <w:r w:rsidRPr="00AC1C56">
              <w:rPr>
                <w:rFonts w:ascii="Bookman Old Style" w:eastAsia="Calibri" w:hAnsi="Bookman Old Style" w:cs="Calibri"/>
                <w:sz w:val="18"/>
                <w:szCs w:val="18"/>
                <w:lang w:val="pt-PT"/>
              </w:rPr>
              <w:lastRenderedPageBreak/>
              <w:t xml:space="preserve">(ppm) em modo simplex e 60 imagens por minuto (ipm) em modo duplex, considerando documentos tamanho A4; Resolução óptica: mínima de 600 dpi; Alimentador automático de documentos (ADF): capacidade mínima de 50 folhas, admitindo-se capacidade superior; Tamanho de documentos: compatível, no mínimo, com documentos nos formatos A4, A5 e A6, além de documentos de tamanhos variados dentro dos limites suportados pelo equipamento; Detecção de alimentação múltipla: deverá possuir recurso destinado à identificação de alimentação simultânea de duas ou mais folhas, por tecnologia ultrassônica ou solução tecnicamente equivalente; Alimentação de documentos: deverá permitir a digitalização de documentos de diferentes gramaturas e tamanhos, observados os limites estabelecidos pelo fabricante; Conectividade: interface USB 3.0, USB 3.1, USB 3.2 ou superior, acompanhada do respectivo cabo de conexão, quando necessário; Compatibilidade: compatível com Windows 11 de 64 bits; Drivers: deverá disponibilizar, no mínimo, driver TWAIN e/ou WIA, permitindo sua utilização com aplicações de digitalização compatíveis; Formatos de saída: permitir a geração de arquivos, no mínimo, nos formatos PDF e JPEG, diretamente ou por meio do software fornecido com o equipamento; Recursos de processamento de imagem: deverá possuir recursos de ajuste automático ou manual de imagem, contemplando funções como correção de inclinação, rotação, recorte automático, ajuste de brilho e contraste e remoção de páginas em branco, por meio do equipamento, driver ou software fornecido; Volume de trabalho: adequado à utilização em ambiente administrativo, com capacidade recomendada pelo fabricante de, no mínimo, 3.000 páginas por dia; Painel ou comandos de operação: deverá possuir botões, teclas ou controles que permitam iniciar e/ou gerenciar as principais funções de digitalização; Software: deverá acompanhar ou disponibilizar gratuitamente software e drivers necessários à digitalização, configuração e gerenciamento do equipamento; Alimentação elétrica: compatível com a rede elétrica utilizada no local de instalação, acompanhada de fonte e/ou cabo de alimentação necessários ao funcionamento; Acessórios: deverão acompanhar o equipamento todos os cabos, fontes, adaptadores e demais acessórios indispensáveis ao seu pleno funcionamento; Garantia: mínima de 12 (doze) meses, contados do recebimento definitivo do equipamento; Condição: equipamento novo, sem uso anterior, não recondicionado e não </w:t>
            </w:r>
            <w:r w:rsidRPr="00AC1C56">
              <w:rPr>
                <w:rFonts w:ascii="Bookman Old Style" w:eastAsia="Calibri" w:hAnsi="Bookman Old Style" w:cs="Calibri"/>
                <w:sz w:val="18"/>
                <w:szCs w:val="18"/>
                <w:lang w:val="pt-PT"/>
              </w:rPr>
              <w:lastRenderedPageBreak/>
              <w:t>remanufaturado.</w:t>
            </w:r>
          </w:p>
          <w:p w14:paraId="0068763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28CAAEC"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O scanner poderá ser de qualquer fabricante, desde que atenda integralmente ou supere as especificações técnicas mínimas estabelecidas, não sendo exigida marca ou modelo específico.</w:t>
            </w:r>
          </w:p>
          <w:p w14:paraId="2985F26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12B068E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As características estabelecidas destinam-se exclusivamente à definição do padrão mínimo de desempenho, qualidade, produtividade, funcionalidade e compatibilidade necessário ao atendimento da Administração, sendo admitidos equipamentos com características equivalentes ou superiores, mediante comprovação por catálogo, ficha técnica ou documentação oficial do fabricante.</w:t>
            </w:r>
          </w:p>
        </w:tc>
        <w:tc>
          <w:tcPr>
            <w:tcW w:w="1140" w:type="dxa"/>
          </w:tcPr>
          <w:p w14:paraId="14B439F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398567</w:t>
            </w:r>
          </w:p>
        </w:tc>
        <w:tc>
          <w:tcPr>
            <w:tcW w:w="851" w:type="dxa"/>
          </w:tcPr>
          <w:p w14:paraId="61204B0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Unid.</w:t>
            </w:r>
          </w:p>
        </w:tc>
        <w:tc>
          <w:tcPr>
            <w:tcW w:w="708" w:type="dxa"/>
          </w:tcPr>
          <w:p w14:paraId="2EEA9838"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02</w:t>
            </w:r>
          </w:p>
        </w:tc>
        <w:tc>
          <w:tcPr>
            <w:tcW w:w="1417" w:type="dxa"/>
            <w:tcBorders>
              <w:top w:val="nil"/>
              <w:left w:val="single" w:sz="4" w:space="0" w:color="auto"/>
              <w:bottom w:val="single" w:sz="4" w:space="0" w:color="000000"/>
              <w:right w:val="single" w:sz="4" w:space="0" w:color="000000"/>
            </w:tcBorders>
            <w:shd w:val="clear" w:color="auto" w:fill="auto"/>
          </w:tcPr>
          <w:p w14:paraId="78DE65EC"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R$ 2.900,23</w:t>
            </w:r>
          </w:p>
        </w:tc>
        <w:tc>
          <w:tcPr>
            <w:tcW w:w="1560" w:type="dxa"/>
            <w:tcBorders>
              <w:top w:val="nil"/>
              <w:left w:val="nil"/>
              <w:bottom w:val="single" w:sz="4" w:space="0" w:color="000000"/>
              <w:right w:val="single" w:sz="4" w:space="0" w:color="000000"/>
            </w:tcBorders>
            <w:shd w:val="clear" w:color="auto" w:fill="auto"/>
          </w:tcPr>
          <w:p w14:paraId="06F8F6D0"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R$ 5.800,46</w:t>
            </w:r>
          </w:p>
        </w:tc>
      </w:tr>
      <w:tr w:rsidR="00AC1C56" w:rsidRPr="00AC1C56" w14:paraId="09A97C06" w14:textId="77777777" w:rsidTr="00384905">
        <w:trPr>
          <w:jc w:val="center"/>
        </w:trPr>
        <w:tc>
          <w:tcPr>
            <w:tcW w:w="9634" w:type="dxa"/>
            <w:gridSpan w:val="6"/>
          </w:tcPr>
          <w:p w14:paraId="4FEA266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VALOR TOTAL DOS MATERIAIS</w:t>
            </w:r>
          </w:p>
        </w:tc>
        <w:tc>
          <w:tcPr>
            <w:tcW w:w="1560" w:type="dxa"/>
          </w:tcPr>
          <w:p w14:paraId="64CF8EE3"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R$ 5.800,46</w:t>
            </w:r>
          </w:p>
        </w:tc>
      </w:tr>
    </w:tbl>
    <w:p w14:paraId="4607B8B0"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C1C56" w:rsidRPr="00AC1C56" w14:paraId="4157B602" w14:textId="77777777" w:rsidTr="00384905">
        <w:trPr>
          <w:jc w:val="center"/>
        </w:trPr>
        <w:tc>
          <w:tcPr>
            <w:tcW w:w="11194" w:type="dxa"/>
            <w:gridSpan w:val="7"/>
            <w:vAlign w:val="center"/>
          </w:tcPr>
          <w:p w14:paraId="31450EDB" w14:textId="77777777" w:rsidR="00AC1C56" w:rsidRPr="00AC1C56" w:rsidRDefault="00AC1C56" w:rsidP="00AC1C56">
            <w:pPr>
              <w:widowControl w:val="0"/>
              <w:suppressAutoHyphens/>
              <w:autoSpaceDN w:val="0"/>
              <w:spacing w:after="0"/>
              <w:jc w:val="both"/>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Lote 08: SERVIÇO DE FORMATAÇÃO E INSTALAÇÃO DE COMPUTADORES</w:t>
            </w:r>
          </w:p>
        </w:tc>
      </w:tr>
      <w:tr w:rsidR="00AC1C56" w:rsidRPr="00AC1C56" w14:paraId="782CEB37" w14:textId="77777777" w:rsidTr="00384905">
        <w:trPr>
          <w:jc w:val="center"/>
        </w:trPr>
        <w:tc>
          <w:tcPr>
            <w:tcW w:w="704" w:type="dxa"/>
            <w:vAlign w:val="center"/>
          </w:tcPr>
          <w:p w14:paraId="5CEE4B62"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Item</w:t>
            </w:r>
          </w:p>
        </w:tc>
        <w:tc>
          <w:tcPr>
            <w:tcW w:w="4814" w:type="dxa"/>
            <w:vAlign w:val="center"/>
          </w:tcPr>
          <w:p w14:paraId="3CCED49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Descrição</w:t>
            </w:r>
          </w:p>
        </w:tc>
        <w:tc>
          <w:tcPr>
            <w:tcW w:w="1140" w:type="dxa"/>
            <w:vAlign w:val="center"/>
          </w:tcPr>
          <w:p w14:paraId="65BE13C5"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spacing w:val="-2"/>
                <w:sz w:val="16"/>
                <w:szCs w:val="16"/>
                <w:lang w:val="pt-PT"/>
              </w:rPr>
            </w:pPr>
            <w:r w:rsidRPr="00AC1C56">
              <w:rPr>
                <w:rFonts w:ascii="Bookman Old Style" w:eastAsia="Calibri" w:hAnsi="Bookman Old Style" w:cs="Calibri"/>
                <w:b/>
                <w:spacing w:val="-2"/>
                <w:sz w:val="16"/>
                <w:szCs w:val="16"/>
                <w:lang w:val="pt-PT"/>
              </w:rPr>
              <w:t>CÓDIGO</w:t>
            </w:r>
          </w:p>
          <w:p w14:paraId="48095CE2" w14:textId="77777777" w:rsidR="00AC1C56" w:rsidRPr="00AC1C56" w:rsidRDefault="00AC1C56" w:rsidP="00AC1C56">
            <w:pPr>
              <w:widowControl w:val="0"/>
              <w:autoSpaceDE w:val="0"/>
              <w:autoSpaceDN w:val="0"/>
              <w:spacing w:before="1" w:after="0" w:line="246" w:lineRule="exact"/>
              <w:ind w:left="34"/>
              <w:jc w:val="center"/>
              <w:rPr>
                <w:rFonts w:ascii="Bookman Old Style" w:eastAsia="Calibri" w:hAnsi="Bookman Old Style" w:cs="Calibri"/>
                <w:b/>
                <w:color w:val="000000"/>
                <w:sz w:val="18"/>
                <w:szCs w:val="18"/>
                <w:lang w:val="pt-PT"/>
              </w:rPr>
            </w:pPr>
            <w:r w:rsidRPr="00AC1C56">
              <w:rPr>
                <w:rFonts w:ascii="Bookman Old Style" w:eastAsia="Calibri" w:hAnsi="Bookman Old Style" w:cs="Calibri"/>
                <w:b/>
                <w:spacing w:val="-2"/>
                <w:sz w:val="16"/>
                <w:szCs w:val="16"/>
                <w:lang w:val="pt-PT"/>
              </w:rPr>
              <w:t>CATSERV</w:t>
            </w:r>
          </w:p>
        </w:tc>
        <w:tc>
          <w:tcPr>
            <w:tcW w:w="851" w:type="dxa"/>
            <w:vAlign w:val="center"/>
          </w:tcPr>
          <w:p w14:paraId="2A3D2EA8"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Unid.</w:t>
            </w:r>
          </w:p>
        </w:tc>
        <w:tc>
          <w:tcPr>
            <w:tcW w:w="708" w:type="dxa"/>
            <w:vAlign w:val="center"/>
          </w:tcPr>
          <w:p w14:paraId="0833B3BC"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proofErr w:type="spellStart"/>
            <w:r w:rsidRPr="00AC1C56">
              <w:rPr>
                <w:rFonts w:ascii="Bookman Old Style" w:eastAsia="SimSun" w:hAnsi="Bookman Old Style" w:cs="Calibri"/>
                <w:b/>
                <w:color w:val="000000"/>
                <w:kern w:val="3"/>
                <w:sz w:val="18"/>
                <w:szCs w:val="18"/>
                <w:lang w:eastAsia="zh-CN" w:bidi="hi-IN"/>
              </w:rPr>
              <w:t>Qtd</w:t>
            </w:r>
            <w:proofErr w:type="spellEnd"/>
            <w:r w:rsidRPr="00AC1C56">
              <w:rPr>
                <w:rFonts w:ascii="Bookman Old Style" w:eastAsia="SimSun" w:hAnsi="Bookman Old Style" w:cs="Calibri"/>
                <w:b/>
                <w:color w:val="000000"/>
                <w:kern w:val="3"/>
                <w:sz w:val="18"/>
                <w:szCs w:val="18"/>
                <w:lang w:eastAsia="zh-CN" w:bidi="hi-IN"/>
              </w:rPr>
              <w:t>.</w:t>
            </w:r>
          </w:p>
        </w:tc>
        <w:tc>
          <w:tcPr>
            <w:tcW w:w="1417" w:type="dxa"/>
            <w:vAlign w:val="center"/>
          </w:tcPr>
          <w:p w14:paraId="4282D876"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UNIT.</w:t>
            </w:r>
          </w:p>
        </w:tc>
        <w:tc>
          <w:tcPr>
            <w:tcW w:w="1560" w:type="dxa"/>
            <w:vAlign w:val="center"/>
          </w:tcPr>
          <w:p w14:paraId="30B7044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VALOR TOTAL</w:t>
            </w:r>
          </w:p>
        </w:tc>
      </w:tr>
      <w:tr w:rsidR="00AC1C56" w:rsidRPr="00AC1C56" w14:paraId="28DE60FB" w14:textId="77777777" w:rsidTr="00384905">
        <w:trPr>
          <w:jc w:val="center"/>
        </w:trPr>
        <w:tc>
          <w:tcPr>
            <w:tcW w:w="704" w:type="dxa"/>
          </w:tcPr>
          <w:p w14:paraId="6E4896BD" w14:textId="77777777" w:rsidR="00AC1C56" w:rsidRPr="00AC1C56" w:rsidRDefault="00AC1C56" w:rsidP="00AC1C56">
            <w:pPr>
              <w:widowControl w:val="0"/>
              <w:suppressAutoHyphens/>
              <w:autoSpaceDN w:val="0"/>
              <w:spacing w:after="0"/>
              <w:ind w:left="-112"/>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01</w:t>
            </w:r>
          </w:p>
        </w:tc>
        <w:tc>
          <w:tcPr>
            <w:tcW w:w="4814" w:type="dxa"/>
          </w:tcPr>
          <w:p w14:paraId="71CBB0F1"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b/>
                <w:sz w:val="18"/>
                <w:szCs w:val="18"/>
                <w:lang w:val="pt-PT"/>
              </w:rPr>
            </w:pPr>
            <w:r w:rsidRPr="00AC1C56">
              <w:rPr>
                <w:rFonts w:ascii="Bookman Old Style" w:eastAsia="Calibri" w:hAnsi="Bookman Old Style" w:cs="Calibri"/>
                <w:b/>
                <w:sz w:val="18"/>
                <w:szCs w:val="18"/>
                <w:lang w:val="pt-PT"/>
              </w:rPr>
              <w:t>SERVIÇO DE FORMATAÇÃO E INSTALAÇÃO DE COMPUTADORES</w:t>
            </w:r>
          </w:p>
          <w:p w14:paraId="2E4FF720"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Prestação de serviços técnicos especializados de formatação e instalação de computadores, destinados às atividades administrativas e institucionais da Câmara Municipal, compreendendo os procedimentos necessários para reinstalação de equipamentos existentes e instalação dos equipamentos nos respectivos locais de utilização, conforme demanda da Administração. O serviço deverá compreender, quando aplicável, no mínimo: Formatação de computadores existentes, incluindo preparação da unidade de armazenamento para reinstalação do sistema; Instalação do sistema operacional Windows nos equipamentos submetidos à formatação, em versão compatível com o equipamento, mediante utilização de licença válida disponibilizada pela Administração; Instalação das atualizações necessárias do sistema operacional nos computadores submetidos à formatação; Instalação e atualização dos drivers necessários ao correto funcionamento dos computadores submetidos à formatação; Instalação física dos computadores e equipamentos nos locais indicados pela Administração; Conexão e instalação de monitor, teclado, mouse, caixas de som, impressoras, scanners e demais periféricos, conforme a necessidade de cada posto de trabalho; Conexão dos equipamentos à rede local, por meio de Ethernet e/ou Wi-Fi, conforme infraestrutura existente; Configuração de acesso à internet e aos recursos compartilhados da rede interna da Câmara </w:t>
            </w:r>
            <w:r w:rsidRPr="00AC1C56">
              <w:rPr>
                <w:rFonts w:ascii="Bookman Old Style" w:eastAsia="Calibri" w:hAnsi="Bookman Old Style" w:cs="Calibri"/>
                <w:sz w:val="18"/>
                <w:szCs w:val="18"/>
                <w:lang w:val="pt-PT"/>
              </w:rPr>
              <w:lastRenderedPageBreak/>
              <w:t>Municipal; Instalação dos computadores e periféricos nas respectivas estações de trabalho, incluindo a conexão e organização básica dos cabos; Instalação de softwares específicos utilizados pela Câmara Municipal, quando necessária, desde que os respectivos instaladores, licenças e credenciais sejam disponibilizados pela Administração; Instalação de aplicativos necessários às atividades administrativas nos equipamentos submetidos à formatação, desde que sejam gratuitos, devidamente licenciados ou tenham suas respectivas licenças disponibilizadas pela Administração; Configuração de pastas, unidades e recursos compartilhados em rede, quando existentes e necessários; Realização de backup dos arquivos existentes antes da formatação, quando solicitado pela Administração e tecnicamente possível; Restauração dos arquivos previamente copiados após a conclusão da formatação, quando aplicável; Migração de arquivos e documentos de computadores anteriormente utilizados para os novos equipamentos, quando solicitada pela Administração e tecnicamente possível; Realização de testes de funcionamento dos equipamentos após a instalação, incluindo, conforme aplicável, rede, acesso à internet, monitor, teclado, mouse, áudio, impressoras, scanners e demais periféricos; Verificação final do serviço, deixando os equipamentos devidamente instalados nos respectivos locais de trabalho e em condições de utilização.</w:t>
            </w:r>
          </w:p>
          <w:p w14:paraId="4CC85DEA"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3DC7CB4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Não integra o presente item a montagem ou a configuração inicial dos equipamentos novos quando tais serviços já estiverem incluídos no fornecimento dos respectivos equipamentos, evitando-se duplicidade de serviços e custos para a Administração.</w:t>
            </w:r>
          </w:p>
          <w:p w14:paraId="34CF1507"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07666F09"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Todos os serviços deverão ser executados por profissional capacitado, observando as boas práticas de tecnologia da informação, segurança da informação e proteção dos dados existentes nos equipamentos.</w:t>
            </w:r>
          </w:p>
          <w:p w14:paraId="7FBE564D"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401C45B"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A contratada deverá preservar a confidencialidade e a integridade das informações eventualmente acessadas durante a execução dos serviços, sendo vedada a cópia, utilização, divulgação ou compartilhamento não autorizado de documentos, arquivos, credenciais ou quaisquer dados pertencentes à Administração.</w:t>
            </w:r>
          </w:p>
          <w:p w14:paraId="12D69E9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4E8FD8C8"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r w:rsidRPr="00AC1C56">
              <w:rPr>
                <w:rFonts w:ascii="Bookman Old Style" w:eastAsia="Calibri" w:hAnsi="Bookman Old Style" w:cs="Calibri"/>
                <w:sz w:val="18"/>
                <w:szCs w:val="18"/>
                <w:lang w:val="pt-PT"/>
              </w:rPr>
              <w:t xml:space="preserve">A instalação de sistemas operacionais, aplicativos e </w:t>
            </w:r>
            <w:r w:rsidRPr="00AC1C56">
              <w:rPr>
                <w:rFonts w:ascii="Bookman Old Style" w:eastAsia="Calibri" w:hAnsi="Bookman Old Style" w:cs="Calibri"/>
                <w:sz w:val="18"/>
                <w:szCs w:val="18"/>
                <w:lang w:val="pt-PT"/>
              </w:rPr>
              <w:lastRenderedPageBreak/>
              <w:t>demais softwares deverá observar as respectivas condições de licenciamento, sendo vedada a utilização de softwares sem licença válida ou obtidos por meios irregulares.</w:t>
            </w:r>
          </w:p>
          <w:p w14:paraId="7F7C5222"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pt-PT"/>
              </w:rPr>
            </w:pPr>
          </w:p>
          <w:p w14:paraId="5F67EE9E" w14:textId="77777777" w:rsidR="00AC1C56" w:rsidRPr="00AC1C56" w:rsidRDefault="00AC1C56" w:rsidP="00AC1C56">
            <w:pPr>
              <w:widowControl w:val="0"/>
              <w:autoSpaceDE w:val="0"/>
              <w:autoSpaceDN w:val="0"/>
              <w:spacing w:before="1" w:after="0" w:line="246" w:lineRule="exact"/>
              <w:ind w:left="34"/>
              <w:jc w:val="both"/>
              <w:rPr>
                <w:rFonts w:ascii="Bookman Old Style" w:eastAsia="Calibri" w:hAnsi="Bookman Old Style" w:cs="Calibri"/>
                <w:sz w:val="18"/>
                <w:szCs w:val="18"/>
                <w:lang w:val="x-none" w:eastAsia="pt-BR"/>
              </w:rPr>
            </w:pPr>
            <w:r w:rsidRPr="00AC1C56">
              <w:rPr>
                <w:rFonts w:ascii="Bookman Old Style" w:eastAsia="Calibri" w:hAnsi="Bookman Old Style" w:cs="Calibri"/>
                <w:sz w:val="18"/>
                <w:szCs w:val="18"/>
                <w:lang w:val="pt-PT"/>
              </w:rPr>
              <w:t>O valor proposto deverá compreender toda a mão de obra, deslocamentos, ferramentas e demais recursos necessários à execução completa dos serviços, não sendo admitida cobrança adicional, salvo por serviços ou materiais não previstos no objeto e previamente autorizados pela Administração</w:t>
            </w:r>
          </w:p>
        </w:tc>
        <w:tc>
          <w:tcPr>
            <w:tcW w:w="1140" w:type="dxa"/>
          </w:tcPr>
          <w:p w14:paraId="3139FE70"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Mangal"/>
                <w:kern w:val="3"/>
                <w:sz w:val="18"/>
                <w:szCs w:val="18"/>
                <w:lang w:eastAsia="zh-CN" w:bidi="hi-IN"/>
              </w:rPr>
              <w:lastRenderedPageBreak/>
              <w:t>27103</w:t>
            </w:r>
          </w:p>
        </w:tc>
        <w:tc>
          <w:tcPr>
            <w:tcW w:w="851" w:type="dxa"/>
          </w:tcPr>
          <w:p w14:paraId="18E2DCC4"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Serv.</w:t>
            </w:r>
          </w:p>
        </w:tc>
        <w:tc>
          <w:tcPr>
            <w:tcW w:w="708" w:type="dxa"/>
          </w:tcPr>
          <w:p w14:paraId="523C0905"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color w:val="000000"/>
                <w:kern w:val="3"/>
                <w:sz w:val="18"/>
                <w:szCs w:val="18"/>
                <w:lang w:eastAsia="zh-CN" w:bidi="hi-IN"/>
              </w:rPr>
            </w:pPr>
            <w:r w:rsidRPr="00AC1C56">
              <w:rPr>
                <w:rFonts w:ascii="Bookman Old Style" w:eastAsia="SimSun" w:hAnsi="Bookman Old Style" w:cs="Calibri"/>
                <w:color w:val="000000"/>
                <w:kern w:val="3"/>
                <w:sz w:val="18"/>
                <w:szCs w:val="18"/>
                <w:lang w:eastAsia="zh-CN" w:bidi="hi-IN"/>
              </w:rPr>
              <w:t>05</w:t>
            </w:r>
          </w:p>
        </w:tc>
        <w:tc>
          <w:tcPr>
            <w:tcW w:w="1417" w:type="dxa"/>
            <w:tcBorders>
              <w:top w:val="nil"/>
              <w:left w:val="single" w:sz="4" w:space="0" w:color="auto"/>
              <w:bottom w:val="single" w:sz="4" w:space="0" w:color="000000"/>
              <w:right w:val="single" w:sz="4" w:space="0" w:color="000000"/>
            </w:tcBorders>
            <w:shd w:val="clear" w:color="auto" w:fill="auto"/>
          </w:tcPr>
          <w:p w14:paraId="6432D909"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MS Mincho" w:hAnsi="Bookman Old Style" w:cs="Times New Roman"/>
                <w:kern w:val="3"/>
                <w:sz w:val="18"/>
                <w:szCs w:val="18"/>
                <w:lang w:eastAsia="zh-CN" w:bidi="hi-IN"/>
              </w:rPr>
              <w:t>R$ 276,33</w:t>
            </w:r>
          </w:p>
        </w:tc>
        <w:tc>
          <w:tcPr>
            <w:tcW w:w="1560" w:type="dxa"/>
            <w:tcBorders>
              <w:top w:val="nil"/>
              <w:left w:val="nil"/>
              <w:bottom w:val="single" w:sz="4" w:space="0" w:color="000000"/>
              <w:right w:val="single" w:sz="4" w:space="0" w:color="000000"/>
            </w:tcBorders>
            <w:shd w:val="clear" w:color="auto" w:fill="auto"/>
          </w:tcPr>
          <w:p w14:paraId="0DBD0E68" w14:textId="77777777" w:rsidR="00AC1C56" w:rsidRPr="00AC1C56" w:rsidRDefault="00AC1C56" w:rsidP="00AC1C56">
            <w:pPr>
              <w:widowControl w:val="0"/>
              <w:suppressAutoHyphens/>
              <w:autoSpaceDN w:val="0"/>
              <w:spacing w:after="0"/>
              <w:jc w:val="right"/>
              <w:textAlignment w:val="baseline"/>
              <w:rPr>
                <w:rFonts w:ascii="Bookman Old Style" w:eastAsia="SimSun" w:hAnsi="Bookman Old Style" w:cs="Calibri"/>
                <w:kern w:val="3"/>
                <w:sz w:val="18"/>
                <w:szCs w:val="18"/>
                <w:lang w:eastAsia="zh-CN" w:bidi="hi-IN"/>
              </w:rPr>
            </w:pPr>
            <w:r w:rsidRPr="00AC1C56">
              <w:rPr>
                <w:rFonts w:ascii="Bookman Old Style" w:eastAsia="Times New Roman" w:hAnsi="Bookman Old Style" w:cs="Calibri"/>
                <w:kern w:val="3"/>
                <w:sz w:val="18"/>
                <w:szCs w:val="18"/>
                <w:lang w:eastAsia="pt-BR" w:bidi="hi-IN"/>
              </w:rPr>
              <w:t>R$ 1.381,65</w:t>
            </w:r>
          </w:p>
        </w:tc>
      </w:tr>
      <w:tr w:rsidR="00AC1C56" w:rsidRPr="00AC1C56" w14:paraId="4431DC8E" w14:textId="77777777" w:rsidTr="00384905">
        <w:trPr>
          <w:jc w:val="center"/>
        </w:trPr>
        <w:tc>
          <w:tcPr>
            <w:tcW w:w="9634" w:type="dxa"/>
            <w:gridSpan w:val="6"/>
          </w:tcPr>
          <w:p w14:paraId="763B55AC"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lastRenderedPageBreak/>
              <w:t>VALOR TOTAL DOS SERVIÇOS</w:t>
            </w:r>
          </w:p>
        </w:tc>
        <w:tc>
          <w:tcPr>
            <w:tcW w:w="1560" w:type="dxa"/>
          </w:tcPr>
          <w:p w14:paraId="5D52952E" w14:textId="77777777" w:rsidR="00AC1C56" w:rsidRPr="00AC1C56" w:rsidRDefault="00AC1C56" w:rsidP="00AC1C56">
            <w:pPr>
              <w:widowControl w:val="0"/>
              <w:suppressAutoHyphens/>
              <w:autoSpaceDN w:val="0"/>
              <w:spacing w:after="0"/>
              <w:jc w:val="center"/>
              <w:textAlignment w:val="baseline"/>
              <w:rPr>
                <w:rFonts w:ascii="Bookman Old Style" w:eastAsia="SimSun" w:hAnsi="Bookman Old Style" w:cs="Calibri"/>
                <w:b/>
                <w:color w:val="000000"/>
                <w:kern w:val="3"/>
                <w:sz w:val="18"/>
                <w:szCs w:val="18"/>
                <w:lang w:eastAsia="zh-CN" w:bidi="hi-IN"/>
              </w:rPr>
            </w:pPr>
            <w:r w:rsidRPr="00AC1C56">
              <w:rPr>
                <w:rFonts w:ascii="Bookman Old Style" w:eastAsia="SimSun" w:hAnsi="Bookman Old Style" w:cs="Calibri"/>
                <w:b/>
                <w:color w:val="000000"/>
                <w:kern w:val="3"/>
                <w:sz w:val="18"/>
                <w:szCs w:val="18"/>
                <w:lang w:eastAsia="zh-CN" w:bidi="hi-IN"/>
              </w:rPr>
              <w:t>R$ 1.381,65</w:t>
            </w:r>
          </w:p>
        </w:tc>
      </w:tr>
    </w:tbl>
    <w:p w14:paraId="47E6FB11" w14:textId="77777777" w:rsidR="00AC1C56" w:rsidRPr="00AC1C56" w:rsidRDefault="00AC1C56" w:rsidP="00AC1C56">
      <w:pPr>
        <w:spacing w:after="0"/>
        <w:contextualSpacing/>
        <w:jc w:val="both"/>
        <w:rPr>
          <w:rFonts w:ascii="Bookman Old Style" w:eastAsia="MS Mincho" w:hAnsi="Bookman Old Style" w:cs="Calibri"/>
          <w:b/>
          <w:bCs/>
          <w:sz w:val="24"/>
          <w:szCs w:val="24"/>
        </w:rPr>
      </w:pPr>
    </w:p>
    <w:tbl>
      <w:tblPr>
        <w:tblStyle w:val="Tabelacomgrade1"/>
        <w:tblW w:w="9989" w:type="dxa"/>
        <w:jc w:val="center"/>
        <w:tblLook w:val="04A0" w:firstRow="1" w:lastRow="0" w:firstColumn="1" w:lastColumn="0" w:noHBand="0" w:noVBand="1"/>
      </w:tblPr>
      <w:tblGrid>
        <w:gridCol w:w="1413"/>
        <w:gridCol w:w="5953"/>
        <w:gridCol w:w="2623"/>
      </w:tblGrid>
      <w:tr w:rsidR="00AC1C56" w:rsidRPr="00AC1C56" w14:paraId="0E8F194A" w14:textId="77777777" w:rsidTr="00384905">
        <w:trPr>
          <w:trHeight w:val="300"/>
          <w:jc w:val="center"/>
        </w:trPr>
        <w:tc>
          <w:tcPr>
            <w:tcW w:w="1413" w:type="dxa"/>
            <w:noWrap/>
            <w:hideMark/>
          </w:tcPr>
          <w:p w14:paraId="033A9FF5"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01</w:t>
            </w:r>
          </w:p>
        </w:tc>
        <w:tc>
          <w:tcPr>
            <w:tcW w:w="5953" w:type="dxa"/>
            <w:noWrap/>
          </w:tcPr>
          <w:p w14:paraId="7B17393D"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NOTEBOOK</w:t>
            </w:r>
          </w:p>
        </w:tc>
        <w:tc>
          <w:tcPr>
            <w:tcW w:w="2623" w:type="dxa"/>
            <w:noWrap/>
          </w:tcPr>
          <w:p w14:paraId="44FBE50E"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R$ 14.521,54</w:t>
            </w:r>
          </w:p>
        </w:tc>
      </w:tr>
      <w:tr w:rsidR="00AC1C56" w:rsidRPr="00AC1C56" w14:paraId="198D87CB" w14:textId="77777777" w:rsidTr="00384905">
        <w:trPr>
          <w:trHeight w:val="300"/>
          <w:jc w:val="center"/>
        </w:trPr>
        <w:tc>
          <w:tcPr>
            <w:tcW w:w="1413" w:type="dxa"/>
            <w:noWrap/>
            <w:hideMark/>
          </w:tcPr>
          <w:p w14:paraId="22C9DF23"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02</w:t>
            </w:r>
          </w:p>
        </w:tc>
        <w:tc>
          <w:tcPr>
            <w:tcW w:w="5953" w:type="dxa"/>
            <w:noWrap/>
          </w:tcPr>
          <w:p w14:paraId="3581FE7C"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IMPRESSORA MULTIFUNCIONAL A LASER MONOCROMÁTICA</w:t>
            </w:r>
          </w:p>
        </w:tc>
        <w:tc>
          <w:tcPr>
            <w:tcW w:w="2623" w:type="dxa"/>
            <w:noWrap/>
          </w:tcPr>
          <w:p w14:paraId="570C9A6F"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R$ 3.352,69</w:t>
            </w:r>
          </w:p>
        </w:tc>
      </w:tr>
      <w:tr w:rsidR="00AC1C56" w:rsidRPr="00AC1C56" w14:paraId="093DDD30" w14:textId="77777777" w:rsidTr="00384905">
        <w:trPr>
          <w:trHeight w:val="300"/>
          <w:jc w:val="center"/>
        </w:trPr>
        <w:tc>
          <w:tcPr>
            <w:tcW w:w="1413" w:type="dxa"/>
            <w:noWrap/>
            <w:hideMark/>
          </w:tcPr>
          <w:p w14:paraId="659F26B3"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03</w:t>
            </w:r>
          </w:p>
        </w:tc>
        <w:tc>
          <w:tcPr>
            <w:tcW w:w="5953" w:type="dxa"/>
            <w:noWrap/>
          </w:tcPr>
          <w:p w14:paraId="259C8476"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IMPRESSORA MULTIFUNCIONAL A LASER</w:t>
            </w:r>
          </w:p>
        </w:tc>
        <w:tc>
          <w:tcPr>
            <w:tcW w:w="2623" w:type="dxa"/>
            <w:noWrap/>
          </w:tcPr>
          <w:p w14:paraId="009257C5"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R$ 4.709,28</w:t>
            </w:r>
          </w:p>
        </w:tc>
      </w:tr>
      <w:tr w:rsidR="00AC1C56" w:rsidRPr="00AC1C56" w14:paraId="62DDF9E0" w14:textId="77777777" w:rsidTr="00384905">
        <w:trPr>
          <w:trHeight w:val="300"/>
          <w:jc w:val="center"/>
        </w:trPr>
        <w:tc>
          <w:tcPr>
            <w:tcW w:w="1413" w:type="dxa"/>
            <w:noWrap/>
            <w:hideMark/>
          </w:tcPr>
          <w:p w14:paraId="255B2BE5"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04</w:t>
            </w:r>
          </w:p>
        </w:tc>
        <w:tc>
          <w:tcPr>
            <w:tcW w:w="5953" w:type="dxa"/>
            <w:noWrap/>
          </w:tcPr>
          <w:p w14:paraId="35AFAAAD"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MONITOR 24”</w:t>
            </w:r>
          </w:p>
        </w:tc>
        <w:tc>
          <w:tcPr>
            <w:tcW w:w="2623" w:type="dxa"/>
            <w:noWrap/>
          </w:tcPr>
          <w:p w14:paraId="2F336CB4"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R$ 4.838,76</w:t>
            </w:r>
          </w:p>
        </w:tc>
      </w:tr>
      <w:tr w:rsidR="00AC1C56" w:rsidRPr="00AC1C56" w14:paraId="5B8FB6B3" w14:textId="77777777" w:rsidTr="00384905">
        <w:trPr>
          <w:trHeight w:val="300"/>
          <w:jc w:val="center"/>
        </w:trPr>
        <w:tc>
          <w:tcPr>
            <w:tcW w:w="1413" w:type="dxa"/>
            <w:noWrap/>
          </w:tcPr>
          <w:p w14:paraId="78C7E0F6"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05</w:t>
            </w:r>
          </w:p>
        </w:tc>
        <w:tc>
          <w:tcPr>
            <w:tcW w:w="5953" w:type="dxa"/>
            <w:noWrap/>
          </w:tcPr>
          <w:p w14:paraId="270E2E5C"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MICROCOMPUTADOR COMPLETO</w:t>
            </w:r>
          </w:p>
        </w:tc>
        <w:tc>
          <w:tcPr>
            <w:tcW w:w="2623" w:type="dxa"/>
            <w:noWrap/>
          </w:tcPr>
          <w:p w14:paraId="661555F6"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R$ 25.916,35</w:t>
            </w:r>
          </w:p>
        </w:tc>
      </w:tr>
      <w:tr w:rsidR="00AC1C56" w:rsidRPr="00AC1C56" w14:paraId="49A34C26" w14:textId="77777777" w:rsidTr="00384905">
        <w:trPr>
          <w:trHeight w:val="300"/>
          <w:jc w:val="center"/>
        </w:trPr>
        <w:tc>
          <w:tcPr>
            <w:tcW w:w="1413" w:type="dxa"/>
            <w:noWrap/>
          </w:tcPr>
          <w:p w14:paraId="3360E64B"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06</w:t>
            </w:r>
          </w:p>
        </w:tc>
        <w:tc>
          <w:tcPr>
            <w:tcW w:w="5953" w:type="dxa"/>
            <w:noWrap/>
          </w:tcPr>
          <w:p w14:paraId="276F88FD"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SUPORTE ARTICULADO DUPLO DE MESA PARA MONITORES</w:t>
            </w:r>
          </w:p>
        </w:tc>
        <w:tc>
          <w:tcPr>
            <w:tcW w:w="2623" w:type="dxa"/>
            <w:noWrap/>
          </w:tcPr>
          <w:p w14:paraId="7CE71F28"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R$ 2.044,38</w:t>
            </w:r>
          </w:p>
        </w:tc>
      </w:tr>
      <w:tr w:rsidR="00AC1C56" w:rsidRPr="00AC1C56" w14:paraId="437D2DE1" w14:textId="77777777" w:rsidTr="00384905">
        <w:trPr>
          <w:trHeight w:val="300"/>
          <w:jc w:val="center"/>
        </w:trPr>
        <w:tc>
          <w:tcPr>
            <w:tcW w:w="1413" w:type="dxa"/>
            <w:noWrap/>
          </w:tcPr>
          <w:p w14:paraId="18AD2925"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07</w:t>
            </w:r>
          </w:p>
        </w:tc>
        <w:tc>
          <w:tcPr>
            <w:tcW w:w="5953" w:type="dxa"/>
            <w:noWrap/>
          </w:tcPr>
          <w:p w14:paraId="46103407"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SCANNER DE DOCUMENTOS COM ALIMENTADOR AUTOMÁTICO</w:t>
            </w:r>
          </w:p>
        </w:tc>
        <w:tc>
          <w:tcPr>
            <w:tcW w:w="2623" w:type="dxa"/>
            <w:noWrap/>
          </w:tcPr>
          <w:p w14:paraId="76A8C43C"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R$ 5.800,46</w:t>
            </w:r>
          </w:p>
        </w:tc>
      </w:tr>
      <w:tr w:rsidR="00AC1C56" w:rsidRPr="00AC1C56" w14:paraId="6C19DB67" w14:textId="77777777" w:rsidTr="00384905">
        <w:trPr>
          <w:trHeight w:val="300"/>
          <w:jc w:val="center"/>
        </w:trPr>
        <w:tc>
          <w:tcPr>
            <w:tcW w:w="1413" w:type="dxa"/>
            <w:noWrap/>
          </w:tcPr>
          <w:p w14:paraId="3455E2C9"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LOTE 08</w:t>
            </w:r>
          </w:p>
        </w:tc>
        <w:tc>
          <w:tcPr>
            <w:tcW w:w="5953" w:type="dxa"/>
            <w:noWrap/>
          </w:tcPr>
          <w:p w14:paraId="5DEA0EE3" w14:textId="77777777" w:rsidR="00AC1C56" w:rsidRPr="00AC1C56" w:rsidRDefault="00AC1C56" w:rsidP="00AC1C56">
            <w:pPr>
              <w:spacing w:after="0"/>
              <w:ind w:left="29"/>
              <w:jc w:val="center"/>
              <w:rPr>
                <w:rFonts w:ascii="Bookman Old Style" w:hAnsi="Bookman Old Style" w:cs="Calibri"/>
              </w:rPr>
            </w:pPr>
            <w:r w:rsidRPr="00AC1C56">
              <w:rPr>
                <w:rFonts w:ascii="Bookman Old Style" w:hAnsi="Bookman Old Style" w:cs="Calibri"/>
              </w:rPr>
              <w:t>SERVIÇO DE FORMATAÇÃO E INSTALAÇÃO DE COMPUTADORES</w:t>
            </w:r>
          </w:p>
        </w:tc>
        <w:tc>
          <w:tcPr>
            <w:tcW w:w="2623" w:type="dxa"/>
            <w:noWrap/>
          </w:tcPr>
          <w:p w14:paraId="7749FA72" w14:textId="77777777" w:rsidR="00AC1C56" w:rsidRPr="00AC1C56" w:rsidRDefault="00AC1C56" w:rsidP="00AC1C56">
            <w:pPr>
              <w:spacing w:after="0"/>
              <w:ind w:left="29"/>
              <w:jc w:val="right"/>
              <w:rPr>
                <w:rFonts w:ascii="Bookman Old Style" w:hAnsi="Bookman Old Style" w:cs="Calibri"/>
              </w:rPr>
            </w:pPr>
            <w:r w:rsidRPr="00AC1C56">
              <w:rPr>
                <w:rFonts w:ascii="Bookman Old Style" w:hAnsi="Bookman Old Style" w:cs="Calibri"/>
              </w:rPr>
              <w:t>R$ 1.381,65</w:t>
            </w:r>
          </w:p>
        </w:tc>
      </w:tr>
      <w:tr w:rsidR="00AC1C56" w:rsidRPr="00AC1C56" w14:paraId="65480081" w14:textId="77777777" w:rsidTr="00384905">
        <w:trPr>
          <w:trHeight w:val="300"/>
          <w:jc w:val="center"/>
        </w:trPr>
        <w:tc>
          <w:tcPr>
            <w:tcW w:w="7366" w:type="dxa"/>
            <w:gridSpan w:val="2"/>
            <w:noWrap/>
            <w:hideMark/>
          </w:tcPr>
          <w:p w14:paraId="3702DF27" w14:textId="77777777" w:rsidR="00AC1C56" w:rsidRPr="00AC1C56" w:rsidRDefault="00AC1C56" w:rsidP="00AC1C56">
            <w:pPr>
              <w:spacing w:after="0"/>
              <w:ind w:left="29"/>
              <w:jc w:val="center"/>
              <w:rPr>
                <w:rFonts w:ascii="Bookman Old Style" w:hAnsi="Bookman Old Style" w:cs="Calibri"/>
                <w:b/>
                <w:bCs/>
              </w:rPr>
            </w:pPr>
            <w:r w:rsidRPr="00AC1C56">
              <w:rPr>
                <w:rFonts w:ascii="Bookman Old Style" w:hAnsi="Bookman Old Style" w:cs="Calibri"/>
                <w:b/>
                <w:bCs/>
              </w:rPr>
              <w:t>TOTAL GERAL</w:t>
            </w:r>
          </w:p>
        </w:tc>
        <w:tc>
          <w:tcPr>
            <w:tcW w:w="2623" w:type="dxa"/>
            <w:noWrap/>
            <w:hideMark/>
          </w:tcPr>
          <w:p w14:paraId="0437A1D4" w14:textId="77777777" w:rsidR="00AC1C56" w:rsidRPr="00AC1C56" w:rsidRDefault="00AC1C56" w:rsidP="00AC1C56">
            <w:pPr>
              <w:spacing w:after="0"/>
              <w:ind w:left="34"/>
              <w:jc w:val="right"/>
              <w:rPr>
                <w:rFonts w:ascii="Bookman Old Style" w:hAnsi="Bookman Old Style" w:cs="Calibri"/>
                <w:b/>
                <w:bCs/>
              </w:rPr>
            </w:pPr>
            <w:r w:rsidRPr="00AC1C56">
              <w:rPr>
                <w:rFonts w:ascii="Bookman Old Style" w:hAnsi="Bookman Old Style" w:cs="Calibri"/>
                <w:b/>
                <w:bCs/>
              </w:rPr>
              <w:t>R$ 62.565,11</w:t>
            </w:r>
          </w:p>
        </w:tc>
      </w:tr>
    </w:tbl>
    <w:p w14:paraId="16484170" w14:textId="77777777" w:rsidR="00AC1C56" w:rsidRPr="00AC1C56" w:rsidRDefault="00AC1C56" w:rsidP="00AC1C56">
      <w:pPr>
        <w:spacing w:after="0"/>
        <w:contextualSpacing/>
        <w:jc w:val="both"/>
        <w:rPr>
          <w:rFonts w:ascii="Bookman Old Style" w:eastAsia="MS Mincho" w:hAnsi="Bookman Old Style" w:cs="Calibri"/>
          <w:b/>
          <w:bCs/>
          <w:sz w:val="24"/>
          <w:szCs w:val="24"/>
        </w:rPr>
      </w:pPr>
    </w:p>
    <w:p w14:paraId="6D0320BB"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1.2.</w:t>
      </w:r>
      <w:r w:rsidRPr="00AC1C56">
        <w:rPr>
          <w:rFonts w:ascii="Bookman Old Style" w:eastAsia="Times New Roman" w:hAnsi="Bookman Old Style" w:cs="Times New Roman"/>
          <w:sz w:val="24"/>
          <w:szCs w:val="24"/>
          <w:lang w:eastAsia="pt-BR"/>
        </w:rPr>
        <w:t xml:space="preserve"> Os bens e serviços objeto desta contratação são caracterizados como </w:t>
      </w:r>
      <w:r w:rsidRPr="00AC1C56">
        <w:rPr>
          <w:rFonts w:ascii="Bookman Old Style" w:eastAsia="Times New Roman" w:hAnsi="Bookman Old Style" w:cs="Times New Roman"/>
          <w:b/>
          <w:bCs/>
          <w:sz w:val="24"/>
          <w:szCs w:val="24"/>
          <w:lang w:eastAsia="pt-BR"/>
        </w:rPr>
        <w:t>comuns</w:t>
      </w:r>
      <w:r w:rsidRPr="00AC1C56">
        <w:rPr>
          <w:rFonts w:ascii="Bookman Old Style" w:eastAsia="Times New Roman" w:hAnsi="Bookman Old Style" w:cs="Times New Roman"/>
          <w:sz w:val="24"/>
          <w:szCs w:val="24"/>
          <w:lang w:eastAsia="pt-BR"/>
        </w:rPr>
        <w:t>, uma vez que seus padrões de desempenho e qualidade podem ser objetivamente definidos por meio de especificações usuais de mercado, conforme justificativa constante no Documento de Formalização da Demanda.</w:t>
      </w:r>
    </w:p>
    <w:p w14:paraId="2C0B84D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1.3.</w:t>
      </w:r>
      <w:r w:rsidRPr="00AC1C56">
        <w:rPr>
          <w:rFonts w:ascii="Bookman Old Style" w:eastAsia="Times New Roman" w:hAnsi="Bookman Old Style" w:cs="Times New Roman"/>
          <w:sz w:val="24"/>
          <w:szCs w:val="24"/>
          <w:lang w:eastAsia="pt-BR"/>
        </w:rPr>
        <w:t xml:space="preserve"> O prazo de vigência da contratação será de </w:t>
      </w:r>
      <w:r w:rsidRPr="00AC1C56">
        <w:rPr>
          <w:rFonts w:ascii="Bookman Old Style" w:eastAsia="Times New Roman" w:hAnsi="Bookman Old Style" w:cs="Times New Roman"/>
          <w:b/>
          <w:bCs/>
          <w:sz w:val="24"/>
          <w:szCs w:val="24"/>
          <w:lang w:eastAsia="pt-BR"/>
        </w:rPr>
        <w:t>12 (doze) meses</w:t>
      </w:r>
      <w:r w:rsidRPr="00AC1C56">
        <w:rPr>
          <w:rFonts w:ascii="Bookman Old Style" w:eastAsia="Times New Roman" w:hAnsi="Bookman Old Style" w:cs="Times New Roman"/>
          <w:sz w:val="24"/>
          <w:szCs w:val="24"/>
          <w:lang w:eastAsia="pt-BR"/>
        </w:rPr>
        <w:t>, contado da data estabelecida no instrumento contratual ou instrumento equivalente, observadas as disposições do art. 105 da Lei Federal nº 14.133/2021.</w:t>
      </w:r>
    </w:p>
    <w:p w14:paraId="50F517E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1.4. Prazo de entrega e execução:</w:t>
      </w:r>
      <w:r w:rsidRPr="00AC1C56">
        <w:rPr>
          <w:rFonts w:ascii="Bookman Old Style" w:eastAsia="Times New Roman" w:hAnsi="Bookman Old Style" w:cs="Times New Roman"/>
          <w:sz w:val="24"/>
          <w:szCs w:val="24"/>
          <w:lang w:eastAsia="pt-BR"/>
        </w:rPr>
        <w:t xml:space="preserve"> O prazo para </w:t>
      </w:r>
      <w:r w:rsidRPr="00AC1C56">
        <w:rPr>
          <w:rFonts w:ascii="Bookman Old Style" w:eastAsia="Times New Roman" w:hAnsi="Bookman Old Style" w:cs="Times New Roman"/>
          <w:b/>
          <w:bCs/>
          <w:sz w:val="24"/>
          <w:szCs w:val="24"/>
          <w:lang w:eastAsia="pt-BR"/>
        </w:rPr>
        <w:t>entrega dos equipamentos e execução dos serviços será de até 30 (trinta) dias corridos</w:t>
      </w:r>
      <w:r w:rsidRPr="00AC1C56">
        <w:rPr>
          <w:rFonts w:ascii="Bookman Old Style" w:eastAsia="Times New Roman" w:hAnsi="Bookman Old Style" w:cs="Times New Roman"/>
          <w:sz w:val="24"/>
          <w:szCs w:val="24"/>
          <w:lang w:eastAsia="pt-BR"/>
        </w:rPr>
        <w:t xml:space="preserve">, contados do recebimento, pela contratada, da </w:t>
      </w:r>
      <w:r w:rsidRPr="00AC1C56">
        <w:rPr>
          <w:rFonts w:ascii="Bookman Old Style" w:eastAsia="Times New Roman" w:hAnsi="Bookman Old Style" w:cs="Times New Roman"/>
          <w:b/>
          <w:bCs/>
          <w:sz w:val="24"/>
          <w:szCs w:val="24"/>
          <w:lang w:eastAsia="pt-BR"/>
        </w:rPr>
        <w:t>Nota de Empenho, Ordem de Fornecimento, Ordem de Serviço ou instrumento equivalente</w:t>
      </w:r>
      <w:r w:rsidRPr="00AC1C56">
        <w:rPr>
          <w:rFonts w:ascii="Bookman Old Style" w:eastAsia="Times New Roman" w:hAnsi="Bookman Old Style" w:cs="Times New Roman"/>
          <w:sz w:val="24"/>
          <w:szCs w:val="24"/>
          <w:lang w:eastAsia="pt-BR"/>
        </w:rPr>
        <w:t>, conforme aplicável. Dentro desse prazo deverão estar compreendidos, quando pertinentes, a entrega, montagem, instalação, configuração, realização de testes e demais procedimentos necessários à completa operacionalização dos equipamentos e à conclusão dos serviços contratados.</w:t>
      </w:r>
    </w:p>
    <w:p w14:paraId="65A20DC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1.5.</w:t>
      </w:r>
      <w:r w:rsidRPr="00AC1C56">
        <w:rPr>
          <w:rFonts w:ascii="Bookman Old Style" w:eastAsia="Times New Roman" w:hAnsi="Bookman Old Style" w:cs="Times New Roman"/>
          <w:sz w:val="24"/>
          <w:szCs w:val="24"/>
          <w:lang w:eastAsia="pt-BR"/>
        </w:rPr>
        <w:t xml:space="preserve"> O valor estimado da contratação, apurado com base na pesquisa de preços realizada pela Administração, é de </w:t>
      </w:r>
      <w:r w:rsidRPr="00AC1C56">
        <w:rPr>
          <w:rFonts w:ascii="Bookman Old Style" w:eastAsia="Times New Roman" w:hAnsi="Bookman Old Style" w:cs="Times New Roman"/>
          <w:b/>
          <w:bCs/>
          <w:sz w:val="24"/>
          <w:szCs w:val="24"/>
          <w:lang w:eastAsia="pt-BR"/>
        </w:rPr>
        <w:t>R$ 62.565,11 (Sessenta e dois mil, quinhentos e sessenta e cinco reais e onze centavos)</w:t>
      </w:r>
      <w:r w:rsidRPr="00AC1C56">
        <w:rPr>
          <w:rFonts w:ascii="Bookman Old Style" w:eastAsia="Times New Roman" w:hAnsi="Bookman Old Style" w:cs="Times New Roman"/>
          <w:sz w:val="24"/>
          <w:szCs w:val="24"/>
          <w:lang w:eastAsia="pt-BR"/>
        </w:rPr>
        <w:t>.</w:t>
      </w:r>
    </w:p>
    <w:p w14:paraId="14F72226" w14:textId="77777777" w:rsidR="00AC1C56" w:rsidRPr="00AC1C56" w:rsidRDefault="00AC1C56" w:rsidP="00AC1C56">
      <w:pPr>
        <w:spacing w:after="0"/>
        <w:contextualSpacing/>
        <w:jc w:val="both"/>
        <w:rPr>
          <w:rFonts w:ascii="Bookman Old Style" w:eastAsia="MS Mincho" w:hAnsi="Bookman Old Style" w:cs="Calibri"/>
          <w:sz w:val="24"/>
          <w:szCs w:val="24"/>
        </w:rPr>
      </w:pPr>
    </w:p>
    <w:p w14:paraId="67E5CEA3" w14:textId="77777777" w:rsidR="00AC1C56" w:rsidRPr="00AC1C56" w:rsidRDefault="00AC1C56" w:rsidP="00AC1C56">
      <w:pPr>
        <w:shd w:val="clear" w:color="auto" w:fill="D9D9D9"/>
        <w:spacing w:after="0"/>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2. FUNDAMENTAÇÃO DA CONTRATAÇÃO (Art. 6º, inciso XXIII, “b”)</w:t>
      </w:r>
    </w:p>
    <w:p w14:paraId="7635445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w:t>
      </w:r>
      <w:r w:rsidRPr="00AC1C56">
        <w:rPr>
          <w:rFonts w:ascii="Bookman Old Style" w:eastAsia="Times New Roman" w:hAnsi="Bookman Old Style" w:cs="Times New Roman"/>
          <w:sz w:val="24"/>
          <w:szCs w:val="24"/>
          <w:lang w:eastAsia="pt-BR"/>
        </w:rPr>
        <w:t xml:space="preserve"> A presente contratação decorre da necessidade de </w:t>
      </w:r>
      <w:r w:rsidRPr="00AC1C56">
        <w:rPr>
          <w:rFonts w:ascii="Bookman Old Style" w:eastAsia="Times New Roman" w:hAnsi="Bookman Old Style" w:cs="Times New Roman"/>
          <w:b/>
          <w:bCs/>
          <w:sz w:val="24"/>
          <w:szCs w:val="24"/>
          <w:lang w:eastAsia="pt-BR"/>
        </w:rPr>
        <w:t>modernização, adequação e manutenção da infraestrutura de tecnologia da informação da Câmara Municipal de Terra Rica/PR</w:t>
      </w:r>
      <w:r w:rsidRPr="00AC1C56">
        <w:rPr>
          <w:rFonts w:ascii="Bookman Old Style" w:eastAsia="Times New Roman" w:hAnsi="Bookman Old Style" w:cs="Times New Roman"/>
          <w:sz w:val="24"/>
          <w:szCs w:val="24"/>
          <w:lang w:eastAsia="pt-BR"/>
        </w:rPr>
        <w:t>, visando assegurar condições adequadas para o desempenho das atividades legislativas, administrativas e institucionais, com maior eficiência, produtividade, segurança, confiabilidade e continuidade das atividades desenvolvidas pelo Poder Legislativo.</w:t>
      </w:r>
    </w:p>
    <w:p w14:paraId="748AAFF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2.2.</w:t>
      </w:r>
      <w:r w:rsidRPr="00AC1C56">
        <w:rPr>
          <w:rFonts w:ascii="Bookman Old Style" w:eastAsia="Times New Roman" w:hAnsi="Bookman Old Style" w:cs="Times New Roman"/>
          <w:sz w:val="24"/>
          <w:szCs w:val="24"/>
          <w:lang w:eastAsia="pt-BR"/>
        </w:rPr>
        <w:t xml:space="preserve"> A necessidade identificada compreende a aquisição de </w:t>
      </w:r>
      <w:r w:rsidRPr="00AC1C56">
        <w:rPr>
          <w:rFonts w:ascii="Bookman Old Style" w:eastAsia="Times New Roman" w:hAnsi="Bookman Old Style" w:cs="Times New Roman"/>
          <w:b/>
          <w:bCs/>
          <w:sz w:val="24"/>
          <w:szCs w:val="24"/>
          <w:lang w:eastAsia="pt-BR"/>
        </w:rPr>
        <w:t>notebooks, microcomputadores, monitores, impressoras multifuncionais, scanner de documentos e suportes articulados para monitores</w:t>
      </w:r>
      <w:r w:rsidRPr="00AC1C56">
        <w:rPr>
          <w:rFonts w:ascii="Bookman Old Style" w:eastAsia="Times New Roman" w:hAnsi="Bookman Old Style" w:cs="Times New Roman"/>
          <w:sz w:val="24"/>
          <w:szCs w:val="24"/>
          <w:lang w:eastAsia="pt-BR"/>
        </w:rPr>
        <w:t xml:space="preserve">, bem como a contratação de </w:t>
      </w:r>
      <w:r w:rsidRPr="00AC1C56">
        <w:rPr>
          <w:rFonts w:ascii="Bookman Old Style" w:eastAsia="Times New Roman" w:hAnsi="Bookman Old Style" w:cs="Times New Roman"/>
          <w:b/>
          <w:bCs/>
          <w:sz w:val="24"/>
          <w:szCs w:val="24"/>
          <w:lang w:eastAsia="pt-BR"/>
        </w:rPr>
        <w:t>serviços de formatação e instalação de computadores</w:t>
      </w:r>
      <w:r w:rsidRPr="00AC1C56">
        <w:rPr>
          <w:rFonts w:ascii="Bookman Old Style" w:eastAsia="Times New Roman" w:hAnsi="Bookman Old Style" w:cs="Times New Roman"/>
          <w:sz w:val="24"/>
          <w:szCs w:val="24"/>
          <w:lang w:eastAsia="pt-BR"/>
        </w:rPr>
        <w:t>, destinados a atender às demandas dos diversos setores da Câmara Municipal e promover a atualização e adequação de sua infraestrutura tecnológica.</w:t>
      </w:r>
    </w:p>
    <w:p w14:paraId="078E71B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2.3.</w:t>
      </w:r>
      <w:r w:rsidRPr="00AC1C56">
        <w:rPr>
          <w:rFonts w:ascii="Bookman Old Style" w:eastAsia="Times New Roman" w:hAnsi="Bookman Old Style" w:cs="Times New Roman"/>
          <w:sz w:val="24"/>
          <w:szCs w:val="24"/>
          <w:lang w:eastAsia="pt-BR"/>
        </w:rPr>
        <w:t xml:space="preserve"> Parte dos equipamentos atualmente utilizados encontra-se sujeita ao desgaste decorrente do tempo de uso e às limitações inerentes à evolução tecnológica, podendo apresentar desempenho insuficiente para determinadas aplicações, sistemas e rotinas administrativas atualmente executadas. A atualização do parque tecnológico busca, portanto, reduzir riscos de indisponibilidade, lentidão e incompatibilidade, proporcionando melhores condições para a execução das atividades institucionais.</w:t>
      </w:r>
    </w:p>
    <w:p w14:paraId="7EADA6F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2.4.</w:t>
      </w:r>
      <w:r w:rsidRPr="00AC1C56">
        <w:rPr>
          <w:rFonts w:ascii="Bookman Old Style" w:eastAsia="Times New Roman" w:hAnsi="Bookman Old Style" w:cs="Times New Roman"/>
          <w:sz w:val="24"/>
          <w:szCs w:val="24"/>
          <w:lang w:eastAsia="pt-BR"/>
        </w:rPr>
        <w:t xml:space="preserve"> A aquisição de novos </w:t>
      </w:r>
      <w:r w:rsidRPr="00AC1C56">
        <w:rPr>
          <w:rFonts w:ascii="Bookman Old Style" w:eastAsia="Times New Roman" w:hAnsi="Bookman Old Style" w:cs="Times New Roman"/>
          <w:b/>
          <w:bCs/>
          <w:sz w:val="24"/>
          <w:szCs w:val="24"/>
          <w:lang w:eastAsia="pt-BR"/>
        </w:rPr>
        <w:t>microcomputadores e notebooks</w:t>
      </w:r>
      <w:r w:rsidRPr="00AC1C56">
        <w:rPr>
          <w:rFonts w:ascii="Bookman Old Style" w:eastAsia="Times New Roman" w:hAnsi="Bookman Old Style" w:cs="Times New Roman"/>
          <w:sz w:val="24"/>
          <w:szCs w:val="24"/>
          <w:lang w:eastAsia="pt-BR"/>
        </w:rPr>
        <w:t xml:space="preserve"> permitirá disponibilizar equipamentos com capacidade de processamento, armazenamento e recursos compatíveis com as necessidades atuais da Administração, proporcionando maior estabilidade operacional e adequado funcionamento dos sistemas, aplicações e ferramentas utilizados no desenvolvimento das atividades legislativas e administrativas.</w:t>
      </w:r>
    </w:p>
    <w:p w14:paraId="66EA322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2.5.</w:t>
      </w:r>
      <w:r w:rsidRPr="00AC1C56">
        <w:rPr>
          <w:rFonts w:ascii="Bookman Old Style" w:eastAsia="Times New Roman" w:hAnsi="Bookman Old Style" w:cs="Times New Roman"/>
          <w:sz w:val="24"/>
          <w:szCs w:val="24"/>
          <w:lang w:eastAsia="pt-BR"/>
        </w:rPr>
        <w:t xml:space="preserve"> A aquisição de </w:t>
      </w:r>
      <w:r w:rsidRPr="00AC1C56">
        <w:rPr>
          <w:rFonts w:ascii="Bookman Old Style" w:eastAsia="Times New Roman" w:hAnsi="Bookman Old Style" w:cs="Times New Roman"/>
          <w:b/>
          <w:bCs/>
          <w:sz w:val="24"/>
          <w:szCs w:val="24"/>
          <w:lang w:eastAsia="pt-BR"/>
        </w:rPr>
        <w:t>monitores e suportes articulados</w:t>
      </w:r>
      <w:r w:rsidRPr="00AC1C56">
        <w:rPr>
          <w:rFonts w:ascii="Bookman Old Style" w:eastAsia="Times New Roman" w:hAnsi="Bookman Old Style" w:cs="Times New Roman"/>
          <w:sz w:val="24"/>
          <w:szCs w:val="24"/>
          <w:lang w:eastAsia="pt-BR"/>
        </w:rPr>
        <w:t xml:space="preserve"> destina-se à adequação e modernização das estações de trabalho, proporcionando melhores condições de visualização, organização e aproveitamento do espaço físico, bem como maior flexibilidade para o posicionamento dos equipamentos conforme as necessidades dos usuários.</w:t>
      </w:r>
    </w:p>
    <w:p w14:paraId="4192206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2.6.</w:t>
      </w:r>
      <w:r w:rsidRPr="00AC1C56">
        <w:rPr>
          <w:rFonts w:ascii="Bookman Old Style" w:eastAsia="Times New Roman" w:hAnsi="Bookman Old Style" w:cs="Times New Roman"/>
          <w:sz w:val="24"/>
          <w:szCs w:val="24"/>
          <w:lang w:eastAsia="pt-BR"/>
        </w:rPr>
        <w:t xml:space="preserve"> As </w:t>
      </w:r>
      <w:r w:rsidRPr="00AC1C56">
        <w:rPr>
          <w:rFonts w:ascii="Bookman Old Style" w:eastAsia="Times New Roman" w:hAnsi="Bookman Old Style" w:cs="Times New Roman"/>
          <w:b/>
          <w:bCs/>
          <w:sz w:val="24"/>
          <w:szCs w:val="24"/>
          <w:lang w:eastAsia="pt-BR"/>
        </w:rPr>
        <w:t>impressoras multifuncionais</w:t>
      </w:r>
      <w:r w:rsidRPr="00AC1C56">
        <w:rPr>
          <w:rFonts w:ascii="Bookman Old Style" w:eastAsia="Times New Roman" w:hAnsi="Bookman Old Style" w:cs="Times New Roman"/>
          <w:sz w:val="24"/>
          <w:szCs w:val="24"/>
          <w:lang w:eastAsia="pt-BR"/>
        </w:rPr>
        <w:t xml:space="preserve"> são necessárias para atender às rotinas de impressão, cópia e digitalização de documentos dos setores administrativos, enquanto o </w:t>
      </w:r>
      <w:r w:rsidRPr="00AC1C56">
        <w:rPr>
          <w:rFonts w:ascii="Bookman Old Style" w:eastAsia="Times New Roman" w:hAnsi="Bookman Old Style" w:cs="Times New Roman"/>
          <w:b/>
          <w:bCs/>
          <w:sz w:val="24"/>
          <w:szCs w:val="24"/>
          <w:lang w:eastAsia="pt-BR"/>
        </w:rPr>
        <w:t>scanner de documentos com alimentador automático</w:t>
      </w:r>
      <w:r w:rsidRPr="00AC1C56">
        <w:rPr>
          <w:rFonts w:ascii="Bookman Old Style" w:eastAsia="Times New Roman" w:hAnsi="Bookman Old Style" w:cs="Times New Roman"/>
          <w:sz w:val="24"/>
          <w:szCs w:val="24"/>
          <w:lang w:eastAsia="pt-BR"/>
        </w:rPr>
        <w:t xml:space="preserve"> permitirá maior agilidade na digitalização de processos, contratos, procedimentos administrativos, documentos legislativos e demais registros produzidos ou recebidos pela Câmara </w:t>
      </w:r>
      <w:r w:rsidRPr="00AC1C56">
        <w:rPr>
          <w:rFonts w:ascii="Bookman Old Style" w:eastAsia="Times New Roman" w:hAnsi="Bookman Old Style" w:cs="Times New Roman"/>
          <w:sz w:val="24"/>
          <w:szCs w:val="24"/>
          <w:lang w:eastAsia="pt-BR"/>
        </w:rPr>
        <w:lastRenderedPageBreak/>
        <w:t>Municipal, contribuindo para a organização e manutenção do acervo documental em meio eletrônico.</w:t>
      </w:r>
    </w:p>
    <w:p w14:paraId="1DF14E3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2.7.</w:t>
      </w:r>
      <w:r w:rsidRPr="00AC1C56">
        <w:rPr>
          <w:rFonts w:ascii="Bookman Old Style" w:eastAsia="Times New Roman" w:hAnsi="Bookman Old Style" w:cs="Times New Roman"/>
          <w:sz w:val="24"/>
          <w:szCs w:val="24"/>
          <w:lang w:eastAsia="pt-BR"/>
        </w:rPr>
        <w:t xml:space="preserve"> A contratação dos </w:t>
      </w:r>
      <w:r w:rsidRPr="00AC1C56">
        <w:rPr>
          <w:rFonts w:ascii="Bookman Old Style" w:eastAsia="Times New Roman" w:hAnsi="Bookman Old Style" w:cs="Times New Roman"/>
          <w:b/>
          <w:bCs/>
          <w:sz w:val="24"/>
          <w:szCs w:val="24"/>
          <w:lang w:eastAsia="pt-BR"/>
        </w:rPr>
        <w:t>serviços de formatação e instalação de computadores</w:t>
      </w:r>
      <w:r w:rsidRPr="00AC1C56">
        <w:rPr>
          <w:rFonts w:ascii="Bookman Old Style" w:eastAsia="Times New Roman" w:hAnsi="Bookman Old Style" w:cs="Times New Roman"/>
          <w:sz w:val="24"/>
          <w:szCs w:val="24"/>
          <w:lang w:eastAsia="pt-BR"/>
        </w:rPr>
        <w:t xml:space="preserve"> destina-se ao atendimento dos equipamentos existentes que necessitem de reinstalação, preparação e instalação nos respectivos locais de utilização, de acordo com a demanda da Administração, não se confundindo com as obrigações de montagem, instalação e configuração que já integrem o fornecimento dos equipamentos novos.</w:t>
      </w:r>
    </w:p>
    <w:p w14:paraId="4D530639"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2.8.</w:t>
      </w:r>
      <w:r w:rsidRPr="00AC1C56">
        <w:rPr>
          <w:rFonts w:ascii="Bookman Old Style" w:eastAsia="Times New Roman" w:hAnsi="Bookman Old Style" w:cs="Times New Roman"/>
          <w:sz w:val="24"/>
          <w:szCs w:val="24"/>
          <w:lang w:eastAsia="pt-BR"/>
        </w:rPr>
        <w:t xml:space="preserve"> A contratação está inserida no dever de planejamento das contratações públicas estabelecido pela </w:t>
      </w:r>
      <w:r w:rsidRPr="00AC1C56">
        <w:rPr>
          <w:rFonts w:ascii="Bookman Old Style" w:eastAsia="Times New Roman" w:hAnsi="Bookman Old Style" w:cs="Times New Roman"/>
          <w:b/>
          <w:bCs/>
          <w:sz w:val="24"/>
          <w:szCs w:val="24"/>
          <w:lang w:eastAsia="pt-BR"/>
        </w:rPr>
        <w:t>Lei Federal nº 14.133/2021</w:t>
      </w:r>
      <w:r w:rsidRPr="00AC1C56">
        <w:rPr>
          <w:rFonts w:ascii="Bookman Old Style" w:eastAsia="Times New Roman" w:hAnsi="Bookman Old Style" w:cs="Times New Roman"/>
          <w:sz w:val="24"/>
          <w:szCs w:val="24"/>
          <w:lang w:eastAsia="pt-BR"/>
        </w:rPr>
        <w:t>, devendo a solução pretendida ser dimensionada de acordo com a necessidade administrativa, mediante definição de requisitos suficientes ao atendimento da demanda e observância, entre outros, dos princípios da eficiência, economicidade, planejamento, competitividade, proporcionalidade e interesse público.</w:t>
      </w:r>
    </w:p>
    <w:p w14:paraId="05229BE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2.9.</w:t>
      </w:r>
      <w:r w:rsidRPr="00AC1C56">
        <w:rPr>
          <w:rFonts w:ascii="Bookman Old Style" w:eastAsia="Times New Roman" w:hAnsi="Bookman Old Style" w:cs="Times New Roman"/>
          <w:sz w:val="24"/>
          <w:szCs w:val="24"/>
          <w:lang w:eastAsia="pt-BR"/>
        </w:rPr>
        <w:t xml:space="preserve"> A modernização da infraestrutura tecnológica também contribui para o cumprimento das atividades relacionadas à </w:t>
      </w:r>
      <w:r w:rsidRPr="00AC1C56">
        <w:rPr>
          <w:rFonts w:ascii="Bookman Old Style" w:eastAsia="Times New Roman" w:hAnsi="Bookman Old Style" w:cs="Times New Roman"/>
          <w:b/>
          <w:bCs/>
          <w:sz w:val="24"/>
          <w:szCs w:val="24"/>
          <w:lang w:eastAsia="pt-BR"/>
        </w:rPr>
        <w:t>transparência pública, publicidade dos atos institucionais, disponibilização de informações em meio eletrônico e prestação de serviços digitais</w:t>
      </w:r>
      <w:r w:rsidRPr="00AC1C56">
        <w:rPr>
          <w:rFonts w:ascii="Bookman Old Style" w:eastAsia="Times New Roman" w:hAnsi="Bookman Old Style" w:cs="Times New Roman"/>
          <w:sz w:val="24"/>
          <w:szCs w:val="24"/>
          <w:lang w:eastAsia="pt-BR"/>
        </w:rPr>
        <w:t xml:space="preserve">, em consonância com a </w:t>
      </w:r>
      <w:r w:rsidRPr="00AC1C56">
        <w:rPr>
          <w:rFonts w:ascii="Bookman Old Style" w:eastAsia="Times New Roman" w:hAnsi="Bookman Old Style" w:cs="Times New Roman"/>
          <w:b/>
          <w:bCs/>
          <w:sz w:val="24"/>
          <w:szCs w:val="24"/>
          <w:lang w:eastAsia="pt-BR"/>
        </w:rPr>
        <w:t>Lei Federal nº 12.527/2011 – Lei de Acesso à Informação</w:t>
      </w:r>
      <w:r w:rsidRPr="00AC1C56">
        <w:rPr>
          <w:rFonts w:ascii="Bookman Old Style" w:eastAsia="Times New Roman" w:hAnsi="Bookman Old Style" w:cs="Times New Roman"/>
          <w:sz w:val="24"/>
          <w:szCs w:val="24"/>
          <w:lang w:eastAsia="pt-BR"/>
        </w:rPr>
        <w:t xml:space="preserve">, com a </w:t>
      </w:r>
      <w:r w:rsidRPr="00AC1C56">
        <w:rPr>
          <w:rFonts w:ascii="Bookman Old Style" w:eastAsia="Times New Roman" w:hAnsi="Bookman Old Style" w:cs="Times New Roman"/>
          <w:b/>
          <w:bCs/>
          <w:sz w:val="24"/>
          <w:szCs w:val="24"/>
          <w:lang w:eastAsia="pt-BR"/>
        </w:rPr>
        <w:t>Lei Federal nº 14.129/2021 – Lei do Governo Digital</w:t>
      </w:r>
      <w:r w:rsidRPr="00AC1C56">
        <w:rPr>
          <w:rFonts w:ascii="Bookman Old Style" w:eastAsia="Times New Roman" w:hAnsi="Bookman Old Style" w:cs="Times New Roman"/>
          <w:sz w:val="24"/>
          <w:szCs w:val="24"/>
          <w:lang w:eastAsia="pt-BR"/>
        </w:rPr>
        <w:t>, no que for aplicável ao Poder Legislativo municipal, e com as demais normas pertinentes.</w:t>
      </w:r>
    </w:p>
    <w:p w14:paraId="1BC4265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2.10.</w:t>
      </w:r>
      <w:r w:rsidRPr="00AC1C56">
        <w:rPr>
          <w:rFonts w:ascii="Bookman Old Style" w:eastAsia="Times New Roman" w:hAnsi="Bookman Old Style" w:cs="Times New Roman"/>
          <w:sz w:val="24"/>
          <w:szCs w:val="24"/>
          <w:lang w:eastAsia="pt-BR"/>
        </w:rPr>
        <w:t xml:space="preserve"> A infraestrutura tecnológica adequada constitui suporte necessário ao funcionamento dos sistemas e ferramentas utilizados pela Câmara Municipal, incluindo </w:t>
      </w:r>
      <w:r w:rsidRPr="00AC1C56">
        <w:rPr>
          <w:rFonts w:ascii="Bookman Old Style" w:eastAsia="Times New Roman" w:hAnsi="Bookman Old Style" w:cs="Times New Roman"/>
          <w:b/>
          <w:bCs/>
          <w:sz w:val="24"/>
          <w:szCs w:val="24"/>
          <w:lang w:eastAsia="pt-BR"/>
        </w:rPr>
        <w:t>sistemas de gestão legislativa e administrativa, portal institucional, Portal da Transparência, sistemas contábeis, financeiros e de controle, plataformas de comunicação e videoconferência, certificação digital, assinaturas eletrônicas, digitalização e gerenciamento de documentos, transmissão das sessões legislativas e demais soluções informatizadas</w:t>
      </w:r>
      <w:r w:rsidRPr="00AC1C56">
        <w:rPr>
          <w:rFonts w:ascii="Bookman Old Style" w:eastAsia="Times New Roman" w:hAnsi="Bookman Old Style" w:cs="Times New Roman"/>
          <w:sz w:val="24"/>
          <w:szCs w:val="24"/>
          <w:lang w:eastAsia="pt-BR"/>
        </w:rPr>
        <w:t xml:space="preserve"> utilizadas no desempenho das atribuições institucionais.</w:t>
      </w:r>
    </w:p>
    <w:p w14:paraId="4F00AD2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2.11.</w:t>
      </w:r>
      <w:r w:rsidRPr="00AC1C56">
        <w:rPr>
          <w:rFonts w:ascii="Bookman Old Style" w:eastAsia="Times New Roman" w:hAnsi="Bookman Old Style" w:cs="Times New Roman"/>
          <w:sz w:val="24"/>
          <w:szCs w:val="24"/>
          <w:lang w:eastAsia="pt-BR"/>
        </w:rPr>
        <w:t xml:space="preserve"> A contratação também contribuirá para proporcionar melhores condições ao desenvolvimento das atividades administrativas e parlamentares, incluindo elaboração e tramitação de documentos, realização de reuniões e apresentações, procedimentos de contratação, atividades contábeis e financeiras, fiscalização, controle interno, atendimento ao público e demais atividades inerentes ao funcionamento do Poder Legislativo Municipal.</w:t>
      </w:r>
    </w:p>
    <w:p w14:paraId="67FEA1A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2.12.</w:t>
      </w:r>
      <w:r w:rsidRPr="00AC1C56">
        <w:rPr>
          <w:rFonts w:ascii="Bookman Old Style" w:eastAsia="Times New Roman" w:hAnsi="Bookman Old Style" w:cs="Times New Roman"/>
          <w:sz w:val="24"/>
          <w:szCs w:val="24"/>
          <w:lang w:eastAsia="pt-BR"/>
        </w:rPr>
        <w:t xml:space="preserve"> As especificações técnicas dos equipamentos deverão estabelecer </w:t>
      </w:r>
      <w:r w:rsidRPr="00AC1C56">
        <w:rPr>
          <w:rFonts w:ascii="Bookman Old Style" w:eastAsia="Times New Roman" w:hAnsi="Bookman Old Style" w:cs="Times New Roman"/>
          <w:b/>
          <w:bCs/>
          <w:sz w:val="24"/>
          <w:szCs w:val="24"/>
          <w:lang w:eastAsia="pt-BR"/>
        </w:rPr>
        <w:t>requisitos mínimos de desempenho, qualidade, funcionalidade, compatibilidade e segurança</w:t>
      </w:r>
      <w:r w:rsidRPr="00AC1C56">
        <w:rPr>
          <w:rFonts w:ascii="Bookman Old Style" w:eastAsia="Times New Roman" w:hAnsi="Bookman Old Style" w:cs="Times New Roman"/>
          <w:sz w:val="24"/>
          <w:szCs w:val="24"/>
          <w:lang w:eastAsia="pt-BR"/>
        </w:rPr>
        <w:t>, compatíveis com a necessidade administrativa e com as soluções disponíveis no mercado, evitando-se características desnecessárias ou excessivamente restritivas.</w:t>
      </w:r>
    </w:p>
    <w:p w14:paraId="2E8D701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2.13.</w:t>
      </w:r>
      <w:r w:rsidRPr="00AC1C56">
        <w:rPr>
          <w:rFonts w:ascii="Bookman Old Style" w:eastAsia="Times New Roman" w:hAnsi="Bookman Old Style" w:cs="Times New Roman"/>
          <w:sz w:val="24"/>
          <w:szCs w:val="24"/>
          <w:lang w:eastAsia="pt-BR"/>
        </w:rPr>
        <w:t xml:space="preserve"> A definição das especificações observará, quando aplicável, a </w:t>
      </w:r>
      <w:r w:rsidRPr="00AC1C56">
        <w:rPr>
          <w:rFonts w:ascii="Bookman Old Style" w:eastAsia="Times New Roman" w:hAnsi="Bookman Old Style" w:cs="Times New Roman"/>
          <w:b/>
          <w:bCs/>
          <w:sz w:val="24"/>
          <w:szCs w:val="24"/>
          <w:lang w:eastAsia="pt-BR"/>
        </w:rPr>
        <w:t>padronização e a compatibilidade com a infraestrutura existente</w:t>
      </w:r>
      <w:r w:rsidRPr="00AC1C56">
        <w:rPr>
          <w:rFonts w:ascii="Bookman Old Style" w:eastAsia="Times New Roman" w:hAnsi="Bookman Old Style" w:cs="Times New Roman"/>
          <w:sz w:val="24"/>
          <w:szCs w:val="24"/>
          <w:lang w:eastAsia="pt-BR"/>
        </w:rPr>
        <w:t xml:space="preserve">, sem imposição injustificada de marca ou modelo específico. Serão admitidos equipamentos de diferentes fabricantes que atendam ou superem os requisitos técnicos mínimos estabelecidos, preservando-se a </w:t>
      </w:r>
      <w:r w:rsidRPr="00AC1C56">
        <w:rPr>
          <w:rFonts w:ascii="Bookman Old Style" w:eastAsia="Times New Roman" w:hAnsi="Bookman Old Style" w:cs="Times New Roman"/>
          <w:b/>
          <w:bCs/>
          <w:sz w:val="24"/>
          <w:szCs w:val="24"/>
          <w:lang w:eastAsia="pt-BR"/>
        </w:rPr>
        <w:t>isonomia e a ampla competitividade</w:t>
      </w:r>
      <w:r w:rsidRPr="00AC1C56">
        <w:rPr>
          <w:rFonts w:ascii="Bookman Old Style" w:eastAsia="Times New Roman" w:hAnsi="Bookman Old Style" w:cs="Times New Roman"/>
          <w:sz w:val="24"/>
          <w:szCs w:val="24"/>
          <w:lang w:eastAsia="pt-BR"/>
        </w:rPr>
        <w:t xml:space="preserve"> do procedimento.</w:t>
      </w:r>
    </w:p>
    <w:p w14:paraId="03131BE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2.14.</w:t>
      </w:r>
      <w:r w:rsidRPr="00AC1C56">
        <w:rPr>
          <w:rFonts w:ascii="Bookman Old Style" w:eastAsia="Times New Roman" w:hAnsi="Bookman Old Style" w:cs="Times New Roman"/>
          <w:sz w:val="24"/>
          <w:szCs w:val="24"/>
          <w:lang w:eastAsia="pt-BR"/>
        </w:rPr>
        <w:t xml:space="preserve"> A adoção de equipamentos com características compatíveis entre si também favorecerá a gestão dos ativos de tecnologia da informação, a manutenção, o suporte técnico e a integração entre equipamentos e sistemas, contribuindo para maior eficiência na administração da infraestrutura tecnológica.</w:t>
      </w:r>
    </w:p>
    <w:p w14:paraId="0F22EB3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2.15.</w:t>
      </w:r>
      <w:r w:rsidRPr="00AC1C56">
        <w:rPr>
          <w:rFonts w:ascii="Bookman Old Style" w:eastAsia="Times New Roman" w:hAnsi="Bookman Old Style" w:cs="Times New Roman"/>
          <w:sz w:val="24"/>
          <w:szCs w:val="24"/>
          <w:lang w:eastAsia="pt-BR"/>
        </w:rPr>
        <w:t xml:space="preserve"> A solução pretendida deverá observar critérios de </w:t>
      </w:r>
      <w:r w:rsidRPr="00AC1C56">
        <w:rPr>
          <w:rFonts w:ascii="Bookman Old Style" w:eastAsia="Times New Roman" w:hAnsi="Bookman Old Style" w:cs="Times New Roman"/>
          <w:b/>
          <w:bCs/>
          <w:sz w:val="24"/>
          <w:szCs w:val="24"/>
          <w:lang w:eastAsia="pt-BR"/>
        </w:rPr>
        <w:t xml:space="preserve">economicidade e </w:t>
      </w:r>
      <w:proofErr w:type="spellStart"/>
      <w:r w:rsidRPr="00AC1C56">
        <w:rPr>
          <w:rFonts w:ascii="Bookman Old Style" w:eastAsia="Times New Roman" w:hAnsi="Bookman Old Style" w:cs="Times New Roman"/>
          <w:b/>
          <w:bCs/>
          <w:sz w:val="24"/>
          <w:szCs w:val="24"/>
          <w:lang w:eastAsia="pt-BR"/>
        </w:rPr>
        <w:t>vantajosidade</w:t>
      </w:r>
      <w:proofErr w:type="spellEnd"/>
      <w:r w:rsidRPr="00AC1C56">
        <w:rPr>
          <w:rFonts w:ascii="Bookman Old Style" w:eastAsia="Times New Roman" w:hAnsi="Bookman Old Style" w:cs="Times New Roman"/>
          <w:sz w:val="24"/>
          <w:szCs w:val="24"/>
          <w:lang w:eastAsia="pt-BR"/>
        </w:rPr>
        <w:t>, considerando não apenas o atendimento imediato da demanda, mas também a qualidade, durabilidade, garantia, desempenho e adequação dos equipamentos às atividades para as quais serão destinados, de modo a proporcionar utilização eficiente dos recursos públicos.</w:t>
      </w:r>
    </w:p>
    <w:p w14:paraId="49A6D64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2.16.</w:t>
      </w:r>
      <w:r w:rsidRPr="00AC1C56">
        <w:rPr>
          <w:rFonts w:ascii="Bookman Old Style" w:eastAsia="Times New Roman" w:hAnsi="Bookman Old Style" w:cs="Times New Roman"/>
          <w:sz w:val="24"/>
          <w:szCs w:val="24"/>
          <w:lang w:eastAsia="pt-BR"/>
        </w:rPr>
        <w:t xml:space="preserve"> Dessa forma, a contratação mostra-se necessária para </w:t>
      </w:r>
      <w:r w:rsidRPr="00AC1C56">
        <w:rPr>
          <w:rFonts w:ascii="Bookman Old Style" w:eastAsia="Times New Roman" w:hAnsi="Bookman Old Style" w:cs="Times New Roman"/>
          <w:b/>
          <w:bCs/>
          <w:sz w:val="24"/>
          <w:szCs w:val="24"/>
          <w:lang w:eastAsia="pt-BR"/>
        </w:rPr>
        <w:t>modernizar e adequar a infraestrutura tecnológica da Câmara Municipal de Terra Rica/PR</w:t>
      </w:r>
      <w:r w:rsidRPr="00AC1C56">
        <w:rPr>
          <w:rFonts w:ascii="Bookman Old Style" w:eastAsia="Times New Roman" w:hAnsi="Bookman Old Style" w:cs="Times New Roman"/>
          <w:sz w:val="24"/>
          <w:szCs w:val="24"/>
          <w:lang w:eastAsia="pt-BR"/>
        </w:rPr>
        <w:t>, assegurar condições apropriadas para o desempenho das atividades legislativas e administrativas, promover maior eficiência e produtividade, reduzir riscos de indisponibilidade dos recursos tecnológicos e proporcionar suporte adequado às atividades de transparência, gestão documental, comunicação e atendimento ao cidadão.</w:t>
      </w:r>
    </w:p>
    <w:p w14:paraId="20775A3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2.17.</w:t>
      </w:r>
      <w:r w:rsidRPr="00AC1C56">
        <w:rPr>
          <w:rFonts w:ascii="Bookman Old Style" w:eastAsia="Times New Roman" w:hAnsi="Bookman Old Style" w:cs="Times New Roman"/>
          <w:sz w:val="24"/>
          <w:szCs w:val="24"/>
          <w:lang w:eastAsia="pt-BR"/>
        </w:rPr>
        <w:t xml:space="preserve"> A contratação encontra-se, portanto, fundamentada na </w:t>
      </w:r>
      <w:r w:rsidRPr="00AC1C56">
        <w:rPr>
          <w:rFonts w:ascii="Bookman Old Style" w:eastAsia="Times New Roman" w:hAnsi="Bookman Old Style" w:cs="Times New Roman"/>
          <w:b/>
          <w:bCs/>
          <w:sz w:val="24"/>
          <w:szCs w:val="24"/>
          <w:lang w:eastAsia="pt-BR"/>
        </w:rPr>
        <w:t>necessidade administrativa efetivamente identificada</w:t>
      </w:r>
      <w:r w:rsidRPr="00AC1C56">
        <w:rPr>
          <w:rFonts w:ascii="Bookman Old Style" w:eastAsia="Times New Roman" w:hAnsi="Bookman Old Style" w:cs="Times New Roman"/>
          <w:sz w:val="24"/>
          <w:szCs w:val="24"/>
          <w:lang w:eastAsia="pt-BR"/>
        </w:rPr>
        <w:t xml:space="preserve">, no interesse público e na busca pela adequada estruturação dos recursos tecnológicos indispensáveis ao regular funcionamento da Câmara Municipal, observando-se o planejamento e os demais princípios e diretrizes aplicáveis às contratações públicas estabelecidos pela </w:t>
      </w:r>
      <w:r w:rsidRPr="00AC1C56">
        <w:rPr>
          <w:rFonts w:ascii="Bookman Old Style" w:eastAsia="Times New Roman" w:hAnsi="Bookman Old Style" w:cs="Times New Roman"/>
          <w:b/>
          <w:bCs/>
          <w:sz w:val="24"/>
          <w:szCs w:val="24"/>
          <w:lang w:eastAsia="pt-BR"/>
        </w:rPr>
        <w:t>Lei Federal nº 14.133/2021</w:t>
      </w:r>
      <w:r w:rsidRPr="00AC1C56">
        <w:rPr>
          <w:rFonts w:ascii="Bookman Old Style" w:eastAsia="Times New Roman" w:hAnsi="Bookman Old Style" w:cs="Times New Roman"/>
          <w:sz w:val="24"/>
          <w:szCs w:val="24"/>
          <w:lang w:eastAsia="pt-BR"/>
        </w:rPr>
        <w:t>.</w:t>
      </w:r>
    </w:p>
    <w:p w14:paraId="1DCC52C3" w14:textId="77777777" w:rsidR="00AC1C56" w:rsidRPr="00AC1C56" w:rsidRDefault="00AC1C56" w:rsidP="00AC1C56">
      <w:pPr>
        <w:spacing w:after="0"/>
        <w:contextualSpacing/>
        <w:jc w:val="both"/>
        <w:rPr>
          <w:rFonts w:ascii="Bookman Old Style" w:eastAsia="MS Mincho" w:hAnsi="Bookman Old Style" w:cs="Calibri"/>
          <w:sz w:val="24"/>
          <w:szCs w:val="24"/>
        </w:rPr>
      </w:pPr>
    </w:p>
    <w:p w14:paraId="428FBC76" w14:textId="77777777" w:rsidR="00AC1C56" w:rsidRPr="00AC1C56" w:rsidRDefault="00AC1C56" w:rsidP="00AC1C56">
      <w:pPr>
        <w:shd w:val="clear" w:color="auto" w:fill="D9D9D9"/>
        <w:spacing w:after="0"/>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 REQUISITOS DA CONTRATAÇÃO (art. 6º, XXIII, alínea ‘d’ da Lei nº 14.133/21)</w:t>
      </w:r>
    </w:p>
    <w:p w14:paraId="1F3DC87F" w14:textId="77777777" w:rsidR="00AC1C56" w:rsidRPr="00AC1C56" w:rsidRDefault="00AC1C56" w:rsidP="00AC1C56">
      <w:pPr>
        <w:spacing w:after="0"/>
        <w:jc w:val="both"/>
        <w:outlineLvl w:val="1"/>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 REQUISITOS DA CONTRATAÇÃO</w:t>
      </w:r>
    </w:p>
    <w:p w14:paraId="20416A82"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3.1. Requisitos Gerais</w:t>
      </w:r>
    </w:p>
    <w:p w14:paraId="089FC3D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3.1.1.</w:t>
      </w:r>
      <w:r w:rsidRPr="00AC1C56">
        <w:rPr>
          <w:rFonts w:ascii="Bookman Old Style" w:eastAsia="Times New Roman" w:hAnsi="Bookman Old Style" w:cs="Times New Roman"/>
          <w:sz w:val="24"/>
          <w:szCs w:val="24"/>
          <w:lang w:eastAsia="pt-BR"/>
        </w:rPr>
        <w:t xml:space="preserve"> A contratação tem por finalidade a </w:t>
      </w:r>
      <w:r w:rsidRPr="00AC1C56">
        <w:rPr>
          <w:rFonts w:ascii="Bookman Old Style" w:eastAsia="Times New Roman" w:hAnsi="Bookman Old Style" w:cs="Times New Roman"/>
          <w:b/>
          <w:bCs/>
          <w:sz w:val="24"/>
          <w:szCs w:val="24"/>
          <w:lang w:eastAsia="pt-BR"/>
        </w:rPr>
        <w:t>aquisição de equipamentos de informática e a prestação de serviços de formatação e instalação de computadores</w:t>
      </w:r>
      <w:r w:rsidRPr="00AC1C56">
        <w:rPr>
          <w:rFonts w:ascii="Bookman Old Style" w:eastAsia="Times New Roman" w:hAnsi="Bookman Old Style" w:cs="Times New Roman"/>
          <w:sz w:val="24"/>
          <w:szCs w:val="24"/>
          <w:lang w:eastAsia="pt-BR"/>
        </w:rPr>
        <w:t>, destinados à modernização, adequação e manutenção da infraestrutura tecnológica da Câmara Municipal de Terra Rica/PR, conforme condições, quantidades e especificações técnicas estabelecidas neste Termo de Referência.</w:t>
      </w:r>
    </w:p>
    <w:p w14:paraId="7427BA1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3.1.2.</w:t>
      </w:r>
      <w:r w:rsidRPr="00AC1C56">
        <w:rPr>
          <w:rFonts w:ascii="Bookman Old Style" w:eastAsia="Times New Roman" w:hAnsi="Bookman Old Style" w:cs="Times New Roman"/>
          <w:sz w:val="24"/>
          <w:szCs w:val="24"/>
          <w:lang w:eastAsia="pt-BR"/>
        </w:rPr>
        <w:t xml:space="preserve"> Todos os equipamentos fornecidos deverão ser </w:t>
      </w:r>
      <w:r w:rsidRPr="00AC1C56">
        <w:rPr>
          <w:rFonts w:ascii="Bookman Old Style" w:eastAsia="Times New Roman" w:hAnsi="Bookman Old Style" w:cs="Times New Roman"/>
          <w:b/>
          <w:bCs/>
          <w:sz w:val="24"/>
          <w:szCs w:val="24"/>
          <w:lang w:eastAsia="pt-BR"/>
        </w:rPr>
        <w:t xml:space="preserve">novos, de primeiro uso, sem qualquer tipo de recondicionamento, </w:t>
      </w:r>
      <w:proofErr w:type="spellStart"/>
      <w:r w:rsidRPr="00AC1C56">
        <w:rPr>
          <w:rFonts w:ascii="Bookman Old Style" w:eastAsia="Times New Roman" w:hAnsi="Bookman Old Style" w:cs="Times New Roman"/>
          <w:b/>
          <w:bCs/>
          <w:sz w:val="24"/>
          <w:szCs w:val="24"/>
          <w:lang w:eastAsia="pt-BR"/>
        </w:rPr>
        <w:t>remanufatura</w:t>
      </w:r>
      <w:proofErr w:type="spellEnd"/>
      <w:r w:rsidRPr="00AC1C56">
        <w:rPr>
          <w:rFonts w:ascii="Bookman Old Style" w:eastAsia="Times New Roman" w:hAnsi="Bookman Old Style" w:cs="Times New Roman"/>
          <w:b/>
          <w:bCs/>
          <w:sz w:val="24"/>
          <w:szCs w:val="24"/>
          <w:lang w:eastAsia="pt-BR"/>
        </w:rPr>
        <w:t xml:space="preserve"> ou utilização anterior</w:t>
      </w:r>
      <w:r w:rsidRPr="00AC1C56">
        <w:rPr>
          <w:rFonts w:ascii="Bookman Old Style" w:eastAsia="Times New Roman" w:hAnsi="Bookman Old Style" w:cs="Times New Roman"/>
          <w:sz w:val="24"/>
          <w:szCs w:val="24"/>
          <w:lang w:eastAsia="pt-BR"/>
        </w:rPr>
        <w:t xml:space="preserve">, </w:t>
      </w:r>
      <w:r w:rsidRPr="00AC1C56">
        <w:rPr>
          <w:rFonts w:ascii="Bookman Old Style" w:eastAsia="Times New Roman" w:hAnsi="Bookman Old Style" w:cs="Times New Roman"/>
          <w:sz w:val="24"/>
          <w:szCs w:val="24"/>
          <w:lang w:eastAsia="pt-BR"/>
        </w:rPr>
        <w:lastRenderedPageBreak/>
        <w:t>devendo ser fornecidos em embalagem original do fabricante ou em embalagem adequada que assegure sua integridade durante o transporte e a entrega.</w:t>
      </w:r>
    </w:p>
    <w:p w14:paraId="331AA85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3.1.3.</w:t>
      </w:r>
      <w:r w:rsidRPr="00AC1C56">
        <w:rPr>
          <w:rFonts w:ascii="Bookman Old Style" w:eastAsia="Times New Roman" w:hAnsi="Bookman Old Style" w:cs="Times New Roman"/>
          <w:sz w:val="24"/>
          <w:szCs w:val="24"/>
          <w:lang w:eastAsia="pt-BR"/>
        </w:rPr>
        <w:t xml:space="preserve"> Os equipamentos deverão atender integralmente às </w:t>
      </w:r>
      <w:r w:rsidRPr="00AC1C56">
        <w:rPr>
          <w:rFonts w:ascii="Bookman Old Style" w:eastAsia="Times New Roman" w:hAnsi="Bookman Old Style" w:cs="Times New Roman"/>
          <w:b/>
          <w:bCs/>
          <w:sz w:val="24"/>
          <w:szCs w:val="24"/>
          <w:lang w:eastAsia="pt-BR"/>
        </w:rPr>
        <w:t>especificações técnicas mínimas</w:t>
      </w:r>
      <w:r w:rsidRPr="00AC1C56">
        <w:rPr>
          <w:rFonts w:ascii="Bookman Old Style" w:eastAsia="Times New Roman" w:hAnsi="Bookman Old Style" w:cs="Times New Roman"/>
          <w:sz w:val="24"/>
          <w:szCs w:val="24"/>
          <w:lang w:eastAsia="pt-BR"/>
        </w:rPr>
        <w:t xml:space="preserve"> estabelecidas neste Termo de Referência, sendo admitidos equipamentos com características equivalentes ou superiores, desde que preservadas a compatibilidade, funcionalidade e finalidade pretendidas pela Administração.</w:t>
      </w:r>
    </w:p>
    <w:p w14:paraId="20B832D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3.1.4.</w:t>
      </w:r>
      <w:r w:rsidRPr="00AC1C56">
        <w:rPr>
          <w:rFonts w:ascii="Bookman Old Style" w:eastAsia="Times New Roman" w:hAnsi="Bookman Old Style" w:cs="Times New Roman"/>
          <w:sz w:val="24"/>
          <w:szCs w:val="24"/>
          <w:lang w:eastAsia="pt-BR"/>
        </w:rPr>
        <w:t xml:space="preserve"> Serão admitidos equipamentos de </w:t>
      </w:r>
      <w:r w:rsidRPr="00AC1C56">
        <w:rPr>
          <w:rFonts w:ascii="Bookman Old Style" w:eastAsia="Times New Roman" w:hAnsi="Bookman Old Style" w:cs="Times New Roman"/>
          <w:b/>
          <w:bCs/>
          <w:sz w:val="24"/>
          <w:szCs w:val="24"/>
          <w:lang w:eastAsia="pt-BR"/>
        </w:rPr>
        <w:t>qualquer fabricante</w:t>
      </w:r>
      <w:r w:rsidRPr="00AC1C56">
        <w:rPr>
          <w:rFonts w:ascii="Bookman Old Style" w:eastAsia="Times New Roman" w:hAnsi="Bookman Old Style" w:cs="Times New Roman"/>
          <w:sz w:val="24"/>
          <w:szCs w:val="24"/>
          <w:lang w:eastAsia="pt-BR"/>
        </w:rPr>
        <w:t>, desde que atendam ou superem os requisitos técnicos mínimos estabelecidos, não sendo exigida marca ou modelo específico, ressalvadas as hipóteses legalmente admitidas e devidamente justificadas.</w:t>
      </w:r>
    </w:p>
    <w:p w14:paraId="558284B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3.1.5.</w:t>
      </w:r>
      <w:r w:rsidRPr="00AC1C56">
        <w:rPr>
          <w:rFonts w:ascii="Bookman Old Style" w:eastAsia="Times New Roman" w:hAnsi="Bookman Old Style" w:cs="Times New Roman"/>
          <w:sz w:val="24"/>
          <w:szCs w:val="24"/>
          <w:lang w:eastAsia="pt-BR"/>
        </w:rPr>
        <w:t xml:space="preserve"> Eventuais referências a padrões, tecnologias ou características técnicas destinam-se exclusivamente à definição do </w:t>
      </w:r>
      <w:r w:rsidRPr="00AC1C56">
        <w:rPr>
          <w:rFonts w:ascii="Bookman Old Style" w:eastAsia="Times New Roman" w:hAnsi="Bookman Old Style" w:cs="Times New Roman"/>
          <w:b/>
          <w:bCs/>
          <w:sz w:val="24"/>
          <w:szCs w:val="24"/>
          <w:lang w:eastAsia="pt-BR"/>
        </w:rPr>
        <w:t>nível mínimo de desempenho, qualidade, funcionalidade e compatibilidade</w:t>
      </w:r>
      <w:r w:rsidRPr="00AC1C56">
        <w:rPr>
          <w:rFonts w:ascii="Bookman Old Style" w:eastAsia="Times New Roman" w:hAnsi="Bookman Old Style" w:cs="Times New Roman"/>
          <w:sz w:val="24"/>
          <w:szCs w:val="24"/>
          <w:lang w:eastAsia="pt-BR"/>
        </w:rPr>
        <w:t xml:space="preserve"> necessário ao atendimento da demanda administrativa, não devendo ser interpretadas como indicação de fabricante ou marca.</w:t>
      </w:r>
    </w:p>
    <w:p w14:paraId="0B2B60CB"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3.1.6.</w:t>
      </w:r>
      <w:r w:rsidRPr="00AC1C56">
        <w:rPr>
          <w:rFonts w:ascii="Bookman Old Style" w:eastAsia="Times New Roman" w:hAnsi="Bookman Old Style" w:cs="Times New Roman"/>
          <w:sz w:val="24"/>
          <w:szCs w:val="24"/>
          <w:lang w:eastAsia="pt-BR"/>
        </w:rPr>
        <w:t xml:space="preserve"> Os equipamentos deverão estar em </w:t>
      </w:r>
      <w:r w:rsidRPr="00AC1C56">
        <w:rPr>
          <w:rFonts w:ascii="Bookman Old Style" w:eastAsia="Times New Roman" w:hAnsi="Bookman Old Style" w:cs="Times New Roman"/>
          <w:b/>
          <w:bCs/>
          <w:sz w:val="24"/>
          <w:szCs w:val="24"/>
          <w:lang w:eastAsia="pt-BR"/>
        </w:rPr>
        <w:t>linha normal de produção e comercialização</w:t>
      </w:r>
      <w:r w:rsidRPr="00AC1C56">
        <w:rPr>
          <w:rFonts w:ascii="Bookman Old Style" w:eastAsia="Times New Roman" w:hAnsi="Bookman Old Style" w:cs="Times New Roman"/>
          <w:sz w:val="24"/>
          <w:szCs w:val="24"/>
          <w:lang w:eastAsia="pt-BR"/>
        </w:rPr>
        <w:t xml:space="preserve"> na data da apresentação da proposta, não sendo admitidos produtos descontinuados pelo fabricante.</w:t>
      </w:r>
    </w:p>
    <w:p w14:paraId="1A2CF136"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3.1.7.</w:t>
      </w:r>
      <w:r w:rsidRPr="00AC1C56">
        <w:rPr>
          <w:rFonts w:ascii="Bookman Old Style" w:eastAsia="Times New Roman" w:hAnsi="Bookman Old Style" w:cs="Times New Roman"/>
          <w:sz w:val="24"/>
          <w:szCs w:val="24"/>
          <w:lang w:eastAsia="pt-BR"/>
        </w:rPr>
        <w:t xml:space="preserve"> A proposta deverá indicar, para cada equipamento, quando aplicável, a </w:t>
      </w:r>
      <w:r w:rsidRPr="00AC1C56">
        <w:rPr>
          <w:rFonts w:ascii="Bookman Old Style" w:eastAsia="Times New Roman" w:hAnsi="Bookman Old Style" w:cs="Times New Roman"/>
          <w:b/>
          <w:bCs/>
          <w:sz w:val="24"/>
          <w:szCs w:val="24"/>
          <w:lang w:eastAsia="pt-BR"/>
        </w:rPr>
        <w:t>marca e o modelo ofertados</w:t>
      </w:r>
      <w:r w:rsidRPr="00AC1C56">
        <w:rPr>
          <w:rFonts w:ascii="Bookman Old Style" w:eastAsia="Times New Roman" w:hAnsi="Bookman Old Style" w:cs="Times New Roman"/>
          <w:sz w:val="24"/>
          <w:szCs w:val="24"/>
          <w:lang w:eastAsia="pt-BR"/>
        </w:rPr>
        <w:t>, de forma a possibilitar a conferência de sua conformidade com as especificações técnicas estabelecidas.</w:t>
      </w:r>
    </w:p>
    <w:p w14:paraId="492E779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3.1.8.</w:t>
      </w:r>
      <w:r w:rsidRPr="00AC1C56">
        <w:rPr>
          <w:rFonts w:ascii="Bookman Old Style" w:eastAsia="Times New Roman" w:hAnsi="Bookman Old Style" w:cs="Times New Roman"/>
          <w:sz w:val="24"/>
          <w:szCs w:val="24"/>
          <w:lang w:eastAsia="pt-BR"/>
        </w:rPr>
        <w:t xml:space="preserve"> A Administração poderá solicitar </w:t>
      </w:r>
      <w:r w:rsidRPr="00AC1C56">
        <w:rPr>
          <w:rFonts w:ascii="Bookman Old Style" w:eastAsia="Times New Roman" w:hAnsi="Bookman Old Style" w:cs="Times New Roman"/>
          <w:b/>
          <w:bCs/>
          <w:sz w:val="24"/>
          <w:szCs w:val="24"/>
          <w:lang w:eastAsia="pt-BR"/>
        </w:rPr>
        <w:t>catálogos, fichas técnicas, manuais, prospectos ou documentação oficial do fabricante</w:t>
      </w:r>
      <w:r w:rsidRPr="00AC1C56">
        <w:rPr>
          <w:rFonts w:ascii="Bookman Old Style" w:eastAsia="Times New Roman" w:hAnsi="Bookman Old Style" w:cs="Times New Roman"/>
          <w:sz w:val="24"/>
          <w:szCs w:val="24"/>
          <w:lang w:eastAsia="pt-BR"/>
        </w:rPr>
        <w:t xml:space="preserve"> para comprovação das características dos equipamentos ofertados.</w:t>
      </w:r>
    </w:p>
    <w:p w14:paraId="16ADAC14"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3.2. Requisitos Técnicos e de Compatibilidade</w:t>
      </w:r>
    </w:p>
    <w:p w14:paraId="1FAF29C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3.2.1.</w:t>
      </w:r>
      <w:r w:rsidRPr="00AC1C56">
        <w:rPr>
          <w:rFonts w:ascii="Bookman Old Style" w:eastAsia="Times New Roman" w:hAnsi="Bookman Old Style" w:cs="Times New Roman"/>
          <w:sz w:val="24"/>
          <w:szCs w:val="24"/>
          <w:lang w:eastAsia="pt-BR"/>
        </w:rPr>
        <w:t xml:space="preserve"> Os equipamentos deverão ser compatíveis com a infraestrutura tecnológica e com os sistemas utilizados pela Câmara Municipal, observadas as especificações particulares estabelecidas para cada item.</w:t>
      </w:r>
    </w:p>
    <w:p w14:paraId="1DE3493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3.2.2.</w:t>
      </w:r>
      <w:r w:rsidRPr="00AC1C56">
        <w:rPr>
          <w:rFonts w:ascii="Bookman Old Style" w:eastAsia="Times New Roman" w:hAnsi="Bookman Old Style" w:cs="Times New Roman"/>
          <w:sz w:val="24"/>
          <w:szCs w:val="24"/>
          <w:lang w:eastAsia="pt-BR"/>
        </w:rPr>
        <w:t xml:space="preserve"> Os equipamentos deverão possuir alimentação elétrica compatível com a rede elétrica existente no local de instalação, conforme os requisitos específicos de cada item.</w:t>
      </w:r>
    </w:p>
    <w:p w14:paraId="337D394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3.2.3.</w:t>
      </w:r>
      <w:r w:rsidRPr="00AC1C56">
        <w:rPr>
          <w:rFonts w:ascii="Bookman Old Style" w:eastAsia="Times New Roman" w:hAnsi="Bookman Old Style" w:cs="Times New Roman"/>
          <w:sz w:val="24"/>
          <w:szCs w:val="24"/>
          <w:lang w:eastAsia="pt-BR"/>
        </w:rPr>
        <w:t xml:space="preserve"> Os sistemas operacionais e demais softwares cuja licença integre o fornecimento deverão ser fornecidos em </w:t>
      </w:r>
      <w:r w:rsidRPr="00AC1C56">
        <w:rPr>
          <w:rFonts w:ascii="Bookman Old Style" w:eastAsia="Times New Roman" w:hAnsi="Bookman Old Style" w:cs="Times New Roman"/>
          <w:b/>
          <w:bCs/>
          <w:sz w:val="24"/>
          <w:szCs w:val="24"/>
          <w:lang w:eastAsia="pt-BR"/>
        </w:rPr>
        <w:t>versões oficiais e devidamente licenciadas</w:t>
      </w:r>
      <w:r w:rsidRPr="00AC1C56">
        <w:rPr>
          <w:rFonts w:ascii="Bookman Old Style" w:eastAsia="Times New Roman" w:hAnsi="Bookman Old Style" w:cs="Times New Roman"/>
          <w:sz w:val="24"/>
          <w:szCs w:val="24"/>
          <w:lang w:eastAsia="pt-BR"/>
        </w:rPr>
        <w:t>, quando aplicável, vedada a utilização de cópias não autorizadas ou mecanismos irregulares de ativação.</w:t>
      </w:r>
    </w:p>
    <w:p w14:paraId="660AE7E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3.2.4.</w:t>
      </w:r>
      <w:r w:rsidRPr="00AC1C56">
        <w:rPr>
          <w:rFonts w:ascii="Bookman Old Style" w:eastAsia="Times New Roman" w:hAnsi="Bookman Old Style" w:cs="Times New Roman"/>
          <w:sz w:val="24"/>
          <w:szCs w:val="24"/>
          <w:lang w:eastAsia="pt-BR"/>
        </w:rPr>
        <w:t xml:space="preserve"> Os equipamentos deverão permitir a instalação dos drivers, firmwares e atualizações oficialmente disponibilizados pelos respectivos fabricantes e necessários ao seu correto funcionamento.</w:t>
      </w:r>
    </w:p>
    <w:p w14:paraId="4B706376"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3.2.5.</w:t>
      </w:r>
      <w:r w:rsidRPr="00AC1C56">
        <w:rPr>
          <w:rFonts w:ascii="Bookman Old Style" w:eastAsia="Times New Roman" w:hAnsi="Bookman Old Style" w:cs="Times New Roman"/>
          <w:sz w:val="24"/>
          <w:szCs w:val="24"/>
          <w:lang w:eastAsia="pt-BR"/>
        </w:rPr>
        <w:t xml:space="preserve"> Os computadores e notebooks deverão apresentar desempenho compatível com as atividades administrativas e institucionais para as quais serão destinados, </w:t>
      </w:r>
      <w:r w:rsidRPr="00AC1C56">
        <w:rPr>
          <w:rFonts w:ascii="Bookman Old Style" w:eastAsia="Times New Roman" w:hAnsi="Bookman Old Style" w:cs="Times New Roman"/>
          <w:sz w:val="24"/>
          <w:szCs w:val="24"/>
          <w:lang w:eastAsia="pt-BR"/>
        </w:rPr>
        <w:lastRenderedPageBreak/>
        <w:t>incluindo utilização de sistemas legislativos e administrativos, aplicações de escritório, portais institucionais, sistemas de transparência, navegação, videoconferências e demais ferramentas utilizadas pela Câmara Municipal.</w:t>
      </w:r>
    </w:p>
    <w:p w14:paraId="31A4831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3.2.6.</w:t>
      </w:r>
      <w:r w:rsidRPr="00AC1C56">
        <w:rPr>
          <w:rFonts w:ascii="Bookman Old Style" w:eastAsia="Times New Roman" w:hAnsi="Bookman Old Style" w:cs="Times New Roman"/>
          <w:sz w:val="24"/>
          <w:szCs w:val="24"/>
          <w:lang w:eastAsia="pt-BR"/>
        </w:rPr>
        <w:t xml:space="preserve"> Monitores, suportes articulados, impressoras multifuncionais, scanner e demais equipamentos deverão possuir plena compatibilidade física e funcional com a finalidade prevista neste Termo de Referência.</w:t>
      </w:r>
    </w:p>
    <w:p w14:paraId="0F456E9C"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3.3. Garantia</w:t>
      </w:r>
    </w:p>
    <w:p w14:paraId="75B1101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3.3.1.</w:t>
      </w:r>
      <w:r w:rsidRPr="00AC1C56">
        <w:rPr>
          <w:rFonts w:ascii="Bookman Old Style" w:eastAsia="Times New Roman" w:hAnsi="Bookman Old Style" w:cs="Times New Roman"/>
          <w:sz w:val="24"/>
          <w:szCs w:val="24"/>
          <w:lang w:eastAsia="pt-BR"/>
        </w:rPr>
        <w:t xml:space="preserve"> Os equipamentos deverão possuir </w:t>
      </w:r>
      <w:r w:rsidRPr="00AC1C56">
        <w:rPr>
          <w:rFonts w:ascii="Bookman Old Style" w:eastAsia="Times New Roman" w:hAnsi="Bookman Old Style" w:cs="Times New Roman"/>
          <w:b/>
          <w:bCs/>
          <w:sz w:val="24"/>
          <w:szCs w:val="24"/>
          <w:lang w:eastAsia="pt-BR"/>
        </w:rPr>
        <w:t>garantia mínima de 12 (doze) meses</w:t>
      </w:r>
      <w:r w:rsidRPr="00AC1C56">
        <w:rPr>
          <w:rFonts w:ascii="Bookman Old Style" w:eastAsia="Times New Roman" w:hAnsi="Bookman Old Style" w:cs="Times New Roman"/>
          <w:sz w:val="24"/>
          <w:szCs w:val="24"/>
          <w:lang w:eastAsia="pt-BR"/>
        </w:rPr>
        <w:t>, contados do recebimento definitivo, salvo se prazo superior estiver previsto na especificação do respectivo item ou for oferecido pelo fabricante ou fornecedor.</w:t>
      </w:r>
    </w:p>
    <w:p w14:paraId="24C23B4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3.3.2.</w:t>
      </w:r>
      <w:r w:rsidRPr="00AC1C56">
        <w:rPr>
          <w:rFonts w:ascii="Bookman Old Style" w:eastAsia="Times New Roman" w:hAnsi="Bookman Old Style" w:cs="Times New Roman"/>
          <w:sz w:val="24"/>
          <w:szCs w:val="24"/>
          <w:lang w:eastAsia="pt-BR"/>
        </w:rPr>
        <w:t xml:space="preserve"> Durante o período de garantia, os defeitos de fabricação e demais ocorrências abrangidas pela garantia deverão ser </w:t>
      </w:r>
      <w:proofErr w:type="gramStart"/>
      <w:r w:rsidRPr="00AC1C56">
        <w:rPr>
          <w:rFonts w:ascii="Bookman Old Style" w:eastAsia="Times New Roman" w:hAnsi="Bookman Old Style" w:cs="Times New Roman"/>
          <w:sz w:val="24"/>
          <w:szCs w:val="24"/>
          <w:lang w:eastAsia="pt-BR"/>
        </w:rPr>
        <w:t>solucionados</w:t>
      </w:r>
      <w:proofErr w:type="gramEnd"/>
      <w:r w:rsidRPr="00AC1C56">
        <w:rPr>
          <w:rFonts w:ascii="Bookman Old Style" w:eastAsia="Times New Roman" w:hAnsi="Bookman Old Style" w:cs="Times New Roman"/>
          <w:sz w:val="24"/>
          <w:szCs w:val="24"/>
          <w:lang w:eastAsia="pt-BR"/>
        </w:rPr>
        <w:t xml:space="preserve"> </w:t>
      </w:r>
      <w:r w:rsidRPr="00AC1C56">
        <w:rPr>
          <w:rFonts w:ascii="Bookman Old Style" w:eastAsia="Times New Roman" w:hAnsi="Bookman Old Style" w:cs="Times New Roman"/>
          <w:b/>
          <w:bCs/>
          <w:sz w:val="24"/>
          <w:szCs w:val="24"/>
          <w:lang w:eastAsia="pt-BR"/>
        </w:rPr>
        <w:t>sem ônus adicional para a Administração</w:t>
      </w:r>
      <w:r w:rsidRPr="00AC1C56">
        <w:rPr>
          <w:rFonts w:ascii="Bookman Old Style" w:eastAsia="Times New Roman" w:hAnsi="Bookman Old Style" w:cs="Times New Roman"/>
          <w:sz w:val="24"/>
          <w:szCs w:val="24"/>
          <w:lang w:eastAsia="pt-BR"/>
        </w:rPr>
        <w:t>, observadas as condições estabelecidas pelo fabricante e as obrigações assumidas pela contratada.</w:t>
      </w:r>
    </w:p>
    <w:p w14:paraId="4A684026"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3.3.3.</w:t>
      </w:r>
      <w:r w:rsidRPr="00AC1C56">
        <w:rPr>
          <w:rFonts w:ascii="Bookman Old Style" w:eastAsia="Times New Roman" w:hAnsi="Bookman Old Style" w:cs="Times New Roman"/>
          <w:sz w:val="24"/>
          <w:szCs w:val="24"/>
          <w:lang w:eastAsia="pt-BR"/>
        </w:rPr>
        <w:t xml:space="preserve"> Quando necessária a substituição de equipamento em decorrência de defeito abrangido pela garantia e não solucionado adequadamente, deverá ser fornecido equipamento </w:t>
      </w:r>
      <w:r w:rsidRPr="00AC1C56">
        <w:rPr>
          <w:rFonts w:ascii="Bookman Old Style" w:eastAsia="Times New Roman" w:hAnsi="Bookman Old Style" w:cs="Times New Roman"/>
          <w:b/>
          <w:bCs/>
          <w:sz w:val="24"/>
          <w:szCs w:val="24"/>
          <w:lang w:eastAsia="pt-BR"/>
        </w:rPr>
        <w:t>novo, de características iguais, equivalentes ou superiores</w:t>
      </w:r>
      <w:r w:rsidRPr="00AC1C56">
        <w:rPr>
          <w:rFonts w:ascii="Bookman Old Style" w:eastAsia="Times New Roman" w:hAnsi="Bookman Old Style" w:cs="Times New Roman"/>
          <w:sz w:val="24"/>
          <w:szCs w:val="24"/>
          <w:lang w:eastAsia="pt-BR"/>
        </w:rPr>
        <w:t>, observadas as condições contratuais e a legislação aplicável.</w:t>
      </w:r>
    </w:p>
    <w:p w14:paraId="1C71BE3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3.3.4.</w:t>
      </w:r>
      <w:r w:rsidRPr="00AC1C56">
        <w:rPr>
          <w:rFonts w:ascii="Bookman Old Style" w:eastAsia="Times New Roman" w:hAnsi="Bookman Old Style" w:cs="Times New Roman"/>
          <w:sz w:val="24"/>
          <w:szCs w:val="24"/>
          <w:lang w:eastAsia="pt-BR"/>
        </w:rPr>
        <w:t xml:space="preserve"> A contratada deverá fornecer todas as informações necessárias para acionamento da garantia e assistência técnica dos equipamentos.</w:t>
      </w:r>
    </w:p>
    <w:p w14:paraId="529BC1C3"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3.4. Entrega, Instalação e Configuração</w:t>
      </w:r>
    </w:p>
    <w:p w14:paraId="3C6537F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3.4.1.</w:t>
      </w:r>
      <w:r w:rsidRPr="00AC1C56">
        <w:rPr>
          <w:rFonts w:ascii="Bookman Old Style" w:eastAsia="Times New Roman" w:hAnsi="Bookman Old Style" w:cs="Times New Roman"/>
          <w:sz w:val="24"/>
          <w:szCs w:val="24"/>
          <w:lang w:eastAsia="pt-BR"/>
        </w:rPr>
        <w:t xml:space="preserve"> Os equipamentos deverão ser entregues </w:t>
      </w:r>
      <w:r w:rsidRPr="00AC1C56">
        <w:rPr>
          <w:rFonts w:ascii="Bookman Old Style" w:eastAsia="Times New Roman" w:hAnsi="Bookman Old Style" w:cs="Times New Roman"/>
          <w:b/>
          <w:bCs/>
          <w:sz w:val="24"/>
          <w:szCs w:val="24"/>
          <w:lang w:eastAsia="pt-BR"/>
        </w:rPr>
        <w:t>completos e acompanhados de todos os componentes, cabos, fontes, carregadores, acessórios e demais itens necessários ao seu pleno funcionamento</w:t>
      </w:r>
      <w:r w:rsidRPr="00AC1C56">
        <w:rPr>
          <w:rFonts w:ascii="Bookman Old Style" w:eastAsia="Times New Roman" w:hAnsi="Bookman Old Style" w:cs="Times New Roman"/>
          <w:sz w:val="24"/>
          <w:szCs w:val="24"/>
          <w:lang w:eastAsia="pt-BR"/>
        </w:rPr>
        <w:t>, conforme aplicável a cada item.</w:t>
      </w:r>
    </w:p>
    <w:p w14:paraId="1222098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3.4.2.</w:t>
      </w:r>
      <w:r w:rsidRPr="00AC1C56">
        <w:rPr>
          <w:rFonts w:ascii="Bookman Old Style" w:eastAsia="Times New Roman" w:hAnsi="Bookman Old Style" w:cs="Times New Roman"/>
          <w:sz w:val="24"/>
          <w:szCs w:val="24"/>
          <w:lang w:eastAsia="pt-BR"/>
        </w:rPr>
        <w:t xml:space="preserve"> Os equipamentos deverão ser entregues, quando aplicável, </w:t>
      </w:r>
      <w:r w:rsidRPr="00AC1C56">
        <w:rPr>
          <w:rFonts w:ascii="Bookman Old Style" w:eastAsia="Times New Roman" w:hAnsi="Bookman Old Style" w:cs="Times New Roman"/>
          <w:b/>
          <w:bCs/>
          <w:sz w:val="24"/>
          <w:szCs w:val="24"/>
          <w:lang w:eastAsia="pt-BR"/>
        </w:rPr>
        <w:t>devidamente montados, instalados e configurados</w:t>
      </w:r>
      <w:r w:rsidRPr="00AC1C56">
        <w:rPr>
          <w:rFonts w:ascii="Bookman Old Style" w:eastAsia="Times New Roman" w:hAnsi="Bookman Old Style" w:cs="Times New Roman"/>
          <w:sz w:val="24"/>
          <w:szCs w:val="24"/>
          <w:lang w:eastAsia="pt-BR"/>
        </w:rPr>
        <w:t>, em plenas condições de funcionamento e prontos para uso nas dependências da Câmara Municipal de Terra Rica/PR.</w:t>
      </w:r>
    </w:p>
    <w:p w14:paraId="3ED45C5B"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3.4.3.</w:t>
      </w:r>
      <w:r w:rsidRPr="00AC1C56">
        <w:rPr>
          <w:rFonts w:ascii="Bookman Old Style" w:eastAsia="Times New Roman" w:hAnsi="Bookman Old Style" w:cs="Times New Roman"/>
          <w:sz w:val="24"/>
          <w:szCs w:val="24"/>
          <w:lang w:eastAsia="pt-BR"/>
        </w:rPr>
        <w:t xml:space="preserve"> A instalação deverá contemplar, conforme a natureza do equipamento, a montagem física, conexão de cabos e periféricos, instalação de drivers e softwares necessários, configuração de rede, conexão dos equipamentos, ajustes operacionais e realização de testes.</w:t>
      </w:r>
    </w:p>
    <w:p w14:paraId="73E7E08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3.4.4.</w:t>
      </w:r>
      <w:r w:rsidRPr="00AC1C56">
        <w:rPr>
          <w:rFonts w:ascii="Bookman Old Style" w:eastAsia="Times New Roman" w:hAnsi="Bookman Old Style" w:cs="Times New Roman"/>
          <w:sz w:val="24"/>
          <w:szCs w:val="24"/>
          <w:lang w:eastAsia="pt-BR"/>
        </w:rPr>
        <w:t xml:space="preserve"> As impressoras multifuncionais e o scanner deverão ser instalados e configurados nos computadores e/ou na rede indicada pela Administração, conforme aplicável, com realização de testes das respectivas funcionalidades.</w:t>
      </w:r>
    </w:p>
    <w:p w14:paraId="219C9FB7"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3.4.5.</w:t>
      </w:r>
      <w:r w:rsidRPr="00AC1C56">
        <w:rPr>
          <w:rFonts w:ascii="Bookman Old Style" w:eastAsia="Times New Roman" w:hAnsi="Bookman Old Style" w:cs="Times New Roman"/>
          <w:sz w:val="24"/>
          <w:szCs w:val="24"/>
          <w:lang w:eastAsia="pt-BR"/>
        </w:rPr>
        <w:t xml:space="preserve"> Os suportes articulados deverão ser devidamente montados e instalados nas mesas ou bancadas indicadas pela Administração, incluindo a instalação e regulagem dos monitores e organização dos respectivos cabos.</w:t>
      </w:r>
    </w:p>
    <w:p w14:paraId="10A7E3D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3.4.6.</w:t>
      </w:r>
      <w:r w:rsidRPr="00AC1C56">
        <w:rPr>
          <w:rFonts w:ascii="Bookman Old Style" w:eastAsia="Times New Roman" w:hAnsi="Bookman Old Style" w:cs="Times New Roman"/>
          <w:sz w:val="24"/>
          <w:szCs w:val="24"/>
          <w:lang w:eastAsia="pt-BR"/>
        </w:rPr>
        <w:t xml:space="preserve"> Todos os custos de </w:t>
      </w:r>
      <w:r w:rsidRPr="00AC1C56">
        <w:rPr>
          <w:rFonts w:ascii="Bookman Old Style" w:eastAsia="Times New Roman" w:hAnsi="Bookman Old Style" w:cs="Times New Roman"/>
          <w:b/>
          <w:bCs/>
          <w:sz w:val="24"/>
          <w:szCs w:val="24"/>
          <w:lang w:eastAsia="pt-BR"/>
        </w:rPr>
        <w:t>frete, transporte, descarga, montagem, instalação, configuração, mão de obra, deslocamentos, ferramentas e testes</w:t>
      </w:r>
      <w:r w:rsidRPr="00AC1C56">
        <w:rPr>
          <w:rFonts w:ascii="Bookman Old Style" w:eastAsia="Times New Roman" w:hAnsi="Bookman Old Style" w:cs="Times New Roman"/>
          <w:sz w:val="24"/>
          <w:szCs w:val="24"/>
          <w:lang w:eastAsia="pt-BR"/>
        </w:rPr>
        <w:t xml:space="preserve"> necessários à </w:t>
      </w:r>
      <w:r w:rsidRPr="00AC1C56">
        <w:rPr>
          <w:rFonts w:ascii="Bookman Old Style" w:eastAsia="Times New Roman" w:hAnsi="Bookman Old Style" w:cs="Times New Roman"/>
          <w:sz w:val="24"/>
          <w:szCs w:val="24"/>
          <w:lang w:eastAsia="pt-BR"/>
        </w:rPr>
        <w:lastRenderedPageBreak/>
        <w:t>completa entrega e operacionalização dos equipamentos deverão estar incluídos no preço contratado, sem custos adicionais para a Administração.</w:t>
      </w:r>
    </w:p>
    <w:p w14:paraId="13DD2120"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3.5. Requisitos dos Serviços de Formatação e Instalação</w:t>
      </w:r>
    </w:p>
    <w:p w14:paraId="254C96E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3.5.1.</w:t>
      </w:r>
      <w:r w:rsidRPr="00AC1C56">
        <w:rPr>
          <w:rFonts w:ascii="Bookman Old Style" w:eastAsia="Times New Roman" w:hAnsi="Bookman Old Style" w:cs="Times New Roman"/>
          <w:sz w:val="24"/>
          <w:szCs w:val="24"/>
          <w:lang w:eastAsia="pt-BR"/>
        </w:rPr>
        <w:t xml:space="preserve"> Os serviços de formatação e instalação serão executados nos equipamentos indicados pela Administração, conforme a necessidade identificada durante a execução contratual e observadas as quantidades previstas.</w:t>
      </w:r>
    </w:p>
    <w:p w14:paraId="0646D4D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3.5.2.</w:t>
      </w:r>
      <w:r w:rsidRPr="00AC1C56">
        <w:rPr>
          <w:rFonts w:ascii="Bookman Old Style" w:eastAsia="Times New Roman" w:hAnsi="Bookman Old Style" w:cs="Times New Roman"/>
          <w:sz w:val="24"/>
          <w:szCs w:val="24"/>
          <w:lang w:eastAsia="pt-BR"/>
        </w:rPr>
        <w:t xml:space="preserve"> Os serviços deverão compreender, conforme aplicável, </w:t>
      </w:r>
      <w:r w:rsidRPr="00AC1C56">
        <w:rPr>
          <w:rFonts w:ascii="Bookman Old Style" w:eastAsia="Times New Roman" w:hAnsi="Bookman Old Style" w:cs="Times New Roman"/>
          <w:b/>
          <w:bCs/>
          <w:sz w:val="24"/>
          <w:szCs w:val="24"/>
          <w:lang w:eastAsia="pt-BR"/>
        </w:rPr>
        <w:t>formatação e preparação das unidades de armazenamento, instalação do sistema operacional com licença válida disponibilizada pela Administração, instalação de drivers, atualizações, softwares necessários, conexão à rede local, instalação de periféricos e realização de testes de funcionamento</w:t>
      </w:r>
      <w:r w:rsidRPr="00AC1C56">
        <w:rPr>
          <w:rFonts w:ascii="Bookman Old Style" w:eastAsia="Times New Roman" w:hAnsi="Bookman Old Style" w:cs="Times New Roman"/>
          <w:sz w:val="24"/>
          <w:szCs w:val="24"/>
          <w:lang w:eastAsia="pt-BR"/>
        </w:rPr>
        <w:t>.</w:t>
      </w:r>
    </w:p>
    <w:p w14:paraId="665F442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3.5.3.</w:t>
      </w:r>
      <w:r w:rsidRPr="00AC1C56">
        <w:rPr>
          <w:rFonts w:ascii="Bookman Old Style" w:eastAsia="Times New Roman" w:hAnsi="Bookman Old Style" w:cs="Times New Roman"/>
          <w:sz w:val="24"/>
          <w:szCs w:val="24"/>
          <w:lang w:eastAsia="pt-BR"/>
        </w:rPr>
        <w:t xml:space="preserve"> Quando previamente solicitado pela Administração e tecnicamente possível, deverá ser realizado </w:t>
      </w:r>
      <w:r w:rsidRPr="00AC1C56">
        <w:rPr>
          <w:rFonts w:ascii="Bookman Old Style" w:eastAsia="Times New Roman" w:hAnsi="Bookman Old Style" w:cs="Times New Roman"/>
          <w:b/>
          <w:bCs/>
          <w:sz w:val="24"/>
          <w:szCs w:val="24"/>
          <w:lang w:eastAsia="pt-BR"/>
        </w:rPr>
        <w:t>backup dos arquivos existentes antes da formatação</w:t>
      </w:r>
      <w:r w:rsidRPr="00AC1C56">
        <w:rPr>
          <w:rFonts w:ascii="Bookman Old Style" w:eastAsia="Times New Roman" w:hAnsi="Bookman Old Style" w:cs="Times New Roman"/>
          <w:sz w:val="24"/>
          <w:szCs w:val="24"/>
          <w:lang w:eastAsia="pt-BR"/>
        </w:rPr>
        <w:t>, bem como sua posterior restauração, observadas as orientações do responsável pelo equipamento.</w:t>
      </w:r>
    </w:p>
    <w:p w14:paraId="6FC620B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3.5.4.</w:t>
      </w:r>
      <w:r w:rsidRPr="00AC1C56">
        <w:rPr>
          <w:rFonts w:ascii="Bookman Old Style" w:eastAsia="Times New Roman" w:hAnsi="Bookman Old Style" w:cs="Times New Roman"/>
          <w:sz w:val="24"/>
          <w:szCs w:val="24"/>
          <w:lang w:eastAsia="pt-BR"/>
        </w:rPr>
        <w:t xml:space="preserve"> Os serviços deverão ser executados por profissional com conhecimento técnico compatível com as atividades a serem realizadas, adotando-se os cuidados necessários à preservação dos equipamentos, informações e dados institucionais.</w:t>
      </w:r>
    </w:p>
    <w:p w14:paraId="1EE14407"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3.5.5.</w:t>
      </w:r>
      <w:r w:rsidRPr="00AC1C56">
        <w:rPr>
          <w:rFonts w:ascii="Bookman Old Style" w:eastAsia="Times New Roman" w:hAnsi="Bookman Old Style" w:cs="Times New Roman"/>
          <w:sz w:val="24"/>
          <w:szCs w:val="24"/>
          <w:lang w:eastAsia="pt-BR"/>
        </w:rPr>
        <w:t xml:space="preserve"> A contratada deverá preservar a </w:t>
      </w:r>
      <w:r w:rsidRPr="00AC1C56">
        <w:rPr>
          <w:rFonts w:ascii="Bookman Old Style" w:eastAsia="Times New Roman" w:hAnsi="Bookman Old Style" w:cs="Times New Roman"/>
          <w:b/>
          <w:bCs/>
          <w:sz w:val="24"/>
          <w:szCs w:val="24"/>
          <w:lang w:eastAsia="pt-BR"/>
        </w:rPr>
        <w:t>confidencialidade das informações e dos dados institucionais</w:t>
      </w:r>
      <w:r w:rsidRPr="00AC1C56">
        <w:rPr>
          <w:rFonts w:ascii="Bookman Old Style" w:eastAsia="Times New Roman" w:hAnsi="Bookman Old Style" w:cs="Times New Roman"/>
          <w:sz w:val="24"/>
          <w:szCs w:val="24"/>
          <w:lang w:eastAsia="pt-BR"/>
        </w:rPr>
        <w:t xml:space="preserve"> aos quais eventualmente tenha acesso durante a execução dos serviços, não podendo copiá-los, divulgá-los ou utilizá-los para finalidade diversa da execução contratual.</w:t>
      </w:r>
    </w:p>
    <w:p w14:paraId="42FB81A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3.5.6.</w:t>
      </w:r>
      <w:r w:rsidRPr="00AC1C56">
        <w:rPr>
          <w:rFonts w:ascii="Bookman Old Style" w:eastAsia="Times New Roman" w:hAnsi="Bookman Old Style" w:cs="Times New Roman"/>
          <w:sz w:val="24"/>
          <w:szCs w:val="24"/>
          <w:lang w:eastAsia="pt-BR"/>
        </w:rPr>
        <w:t xml:space="preserve"> Não integra o presente serviço a montagem ou configuração inicial dos equipamentos novos quando tais atividades já estiverem compreendidas nas obrigações de fornecimento do respectivo item, </w:t>
      </w:r>
      <w:r w:rsidRPr="00AC1C56">
        <w:rPr>
          <w:rFonts w:ascii="Bookman Old Style" w:eastAsia="Times New Roman" w:hAnsi="Bookman Old Style" w:cs="Times New Roman"/>
          <w:b/>
          <w:bCs/>
          <w:sz w:val="24"/>
          <w:szCs w:val="24"/>
          <w:lang w:eastAsia="pt-BR"/>
        </w:rPr>
        <w:t>evitando-se duplicidade de serviços e custos para a Administração</w:t>
      </w:r>
      <w:r w:rsidRPr="00AC1C56">
        <w:rPr>
          <w:rFonts w:ascii="Bookman Old Style" w:eastAsia="Times New Roman" w:hAnsi="Bookman Old Style" w:cs="Times New Roman"/>
          <w:sz w:val="24"/>
          <w:szCs w:val="24"/>
          <w:lang w:eastAsia="pt-BR"/>
        </w:rPr>
        <w:t>.</w:t>
      </w:r>
    </w:p>
    <w:p w14:paraId="45A9DDF3"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3.6. Sustentabilidade</w:t>
      </w:r>
    </w:p>
    <w:p w14:paraId="20B49DE7"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3.6.1.</w:t>
      </w:r>
      <w:r w:rsidRPr="00AC1C56">
        <w:rPr>
          <w:rFonts w:ascii="Bookman Old Style" w:eastAsia="Times New Roman" w:hAnsi="Bookman Old Style" w:cs="Times New Roman"/>
          <w:sz w:val="24"/>
          <w:szCs w:val="24"/>
          <w:lang w:eastAsia="pt-BR"/>
        </w:rPr>
        <w:t xml:space="preserve"> Os equipamentos deverão atender, quando aplicável, às </w:t>
      </w:r>
      <w:r w:rsidRPr="00AC1C56">
        <w:rPr>
          <w:rFonts w:ascii="Bookman Old Style" w:eastAsia="Times New Roman" w:hAnsi="Bookman Old Style" w:cs="Times New Roman"/>
          <w:b/>
          <w:bCs/>
          <w:sz w:val="24"/>
          <w:szCs w:val="24"/>
          <w:lang w:eastAsia="pt-BR"/>
        </w:rPr>
        <w:t>normas e regulamentos técnicos vigentes relativos à segurança, eficiência energética e compatibilidade eletromagnética</w:t>
      </w:r>
      <w:r w:rsidRPr="00AC1C56">
        <w:rPr>
          <w:rFonts w:ascii="Bookman Old Style" w:eastAsia="Times New Roman" w:hAnsi="Bookman Old Style" w:cs="Times New Roman"/>
          <w:sz w:val="24"/>
          <w:szCs w:val="24"/>
          <w:lang w:eastAsia="pt-BR"/>
        </w:rPr>
        <w:t>, inclusive requisitos de certificação compulsória quando legalmente exigidos para o produto.</w:t>
      </w:r>
    </w:p>
    <w:p w14:paraId="4C1A6C9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3.6.2.</w:t>
      </w:r>
      <w:r w:rsidRPr="00AC1C56">
        <w:rPr>
          <w:rFonts w:ascii="Bookman Old Style" w:eastAsia="Times New Roman" w:hAnsi="Bookman Old Style" w:cs="Times New Roman"/>
          <w:sz w:val="24"/>
          <w:szCs w:val="24"/>
          <w:lang w:eastAsia="pt-BR"/>
        </w:rPr>
        <w:t xml:space="preserve"> A contratada deverá observar, durante a entrega e execução dos serviços, práticas destinadas à redução de desperdícios e à adequada destinação dos materiais e embalagens decorrentes da execução do objeto, em conformidade com a legislação ambiental aplicável.</w:t>
      </w:r>
    </w:p>
    <w:p w14:paraId="2CC526F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3.6.3.</w:t>
      </w:r>
      <w:r w:rsidRPr="00AC1C56">
        <w:rPr>
          <w:rFonts w:ascii="Bookman Old Style" w:eastAsia="Times New Roman" w:hAnsi="Bookman Old Style" w:cs="Times New Roman"/>
          <w:sz w:val="24"/>
          <w:szCs w:val="24"/>
          <w:lang w:eastAsia="pt-BR"/>
        </w:rPr>
        <w:t xml:space="preserve"> Sempre que possível e sem prejuízo da proteção dos equipamentos, deverão ser utilizadas embalagens recicláveis, reutilizáveis ou passíveis de destinação ambientalmente adequada.</w:t>
      </w:r>
    </w:p>
    <w:p w14:paraId="22739A9C"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3.7. Recebimento e Verificação</w:t>
      </w:r>
    </w:p>
    <w:p w14:paraId="47FF08D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3.7.1.</w:t>
      </w:r>
      <w:r w:rsidRPr="00AC1C56">
        <w:rPr>
          <w:rFonts w:ascii="Bookman Old Style" w:eastAsia="Times New Roman" w:hAnsi="Bookman Old Style" w:cs="Times New Roman"/>
          <w:sz w:val="24"/>
          <w:szCs w:val="24"/>
          <w:lang w:eastAsia="pt-BR"/>
        </w:rPr>
        <w:t xml:space="preserve"> O recebimento dos equipamentos e serviços será realizado pela Administração mediante </w:t>
      </w:r>
      <w:r w:rsidRPr="00AC1C56">
        <w:rPr>
          <w:rFonts w:ascii="Bookman Old Style" w:eastAsia="Times New Roman" w:hAnsi="Bookman Old Style" w:cs="Times New Roman"/>
          <w:b/>
          <w:bCs/>
          <w:sz w:val="24"/>
          <w:szCs w:val="24"/>
          <w:lang w:eastAsia="pt-BR"/>
        </w:rPr>
        <w:t>conferência dos quantitativos, características, condições físicas e documentação pertinente</w:t>
      </w:r>
      <w:r w:rsidRPr="00AC1C56">
        <w:rPr>
          <w:rFonts w:ascii="Bookman Old Style" w:eastAsia="Times New Roman" w:hAnsi="Bookman Old Style" w:cs="Times New Roman"/>
          <w:sz w:val="24"/>
          <w:szCs w:val="24"/>
          <w:lang w:eastAsia="pt-BR"/>
        </w:rPr>
        <w:t>, sem prejuízo das demais verificações necessárias.</w:t>
      </w:r>
    </w:p>
    <w:p w14:paraId="1E032CD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3.7.2.</w:t>
      </w:r>
      <w:r w:rsidRPr="00AC1C56">
        <w:rPr>
          <w:rFonts w:ascii="Bookman Old Style" w:eastAsia="Times New Roman" w:hAnsi="Bookman Old Style" w:cs="Times New Roman"/>
          <w:sz w:val="24"/>
          <w:szCs w:val="24"/>
          <w:lang w:eastAsia="pt-BR"/>
        </w:rPr>
        <w:t xml:space="preserve"> O recebimento definitivo ficará condicionado à verificação do atendimento às </w:t>
      </w:r>
      <w:r w:rsidRPr="00AC1C56">
        <w:rPr>
          <w:rFonts w:ascii="Bookman Old Style" w:eastAsia="Times New Roman" w:hAnsi="Bookman Old Style" w:cs="Times New Roman"/>
          <w:b/>
          <w:bCs/>
          <w:sz w:val="24"/>
          <w:szCs w:val="24"/>
          <w:lang w:eastAsia="pt-BR"/>
        </w:rPr>
        <w:t>especificações técnicas, funcionamento, integridade, instalação e configuração</w:t>
      </w:r>
      <w:r w:rsidRPr="00AC1C56">
        <w:rPr>
          <w:rFonts w:ascii="Bookman Old Style" w:eastAsia="Times New Roman" w:hAnsi="Bookman Old Style" w:cs="Times New Roman"/>
          <w:sz w:val="24"/>
          <w:szCs w:val="24"/>
          <w:lang w:eastAsia="pt-BR"/>
        </w:rPr>
        <w:t>, quando aplicáveis, bem como à conformidade dos serviços executados com as condições estabelecidas neste Termo de Referência.</w:t>
      </w:r>
    </w:p>
    <w:p w14:paraId="7ADB52C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3.7.3.</w:t>
      </w:r>
      <w:r w:rsidRPr="00AC1C56">
        <w:rPr>
          <w:rFonts w:ascii="Bookman Old Style" w:eastAsia="Times New Roman" w:hAnsi="Bookman Old Style" w:cs="Times New Roman"/>
          <w:sz w:val="24"/>
          <w:szCs w:val="24"/>
          <w:lang w:eastAsia="pt-BR"/>
        </w:rPr>
        <w:t xml:space="preserve"> A Administração poderá realizar testes de funcionamento e compatibilidade antes do recebimento definitivo, inclusive impressão, digitalização, conectividade, inicialização dos equipamentos, funcionamento dos periféricos e demais testes pertinentes à natureza de cada item.</w:t>
      </w:r>
    </w:p>
    <w:p w14:paraId="4B0351A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3.7.4.</w:t>
      </w:r>
      <w:r w:rsidRPr="00AC1C56">
        <w:rPr>
          <w:rFonts w:ascii="Bookman Old Style" w:eastAsia="Times New Roman" w:hAnsi="Bookman Old Style" w:cs="Times New Roman"/>
          <w:sz w:val="24"/>
          <w:szCs w:val="24"/>
          <w:lang w:eastAsia="pt-BR"/>
        </w:rPr>
        <w:t xml:space="preserve"> A Administração poderá rejeitar, total ou parcialmente, equipamentos ou serviços que estejam em desacordo com as especificações e condições estabelecidas, cabendo à contratada promover a </w:t>
      </w:r>
      <w:r w:rsidRPr="00AC1C56">
        <w:rPr>
          <w:rFonts w:ascii="Bookman Old Style" w:eastAsia="Times New Roman" w:hAnsi="Bookman Old Style" w:cs="Times New Roman"/>
          <w:b/>
          <w:bCs/>
          <w:sz w:val="24"/>
          <w:szCs w:val="24"/>
          <w:lang w:eastAsia="pt-BR"/>
        </w:rPr>
        <w:t>correção, complementação, reinstalação ou substituição</w:t>
      </w:r>
      <w:r w:rsidRPr="00AC1C56">
        <w:rPr>
          <w:rFonts w:ascii="Bookman Old Style" w:eastAsia="Times New Roman" w:hAnsi="Bookman Old Style" w:cs="Times New Roman"/>
          <w:sz w:val="24"/>
          <w:szCs w:val="24"/>
          <w:lang w:eastAsia="pt-BR"/>
        </w:rPr>
        <w:t>, conforme o caso, sem custos adicionais para a Câmara Municipal.</w:t>
      </w:r>
    </w:p>
    <w:p w14:paraId="595FE701"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3.8. Compatibilidade, Padronização e Competitividade</w:t>
      </w:r>
    </w:p>
    <w:p w14:paraId="4F2DF6D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3.8.1.</w:t>
      </w:r>
      <w:r w:rsidRPr="00AC1C56">
        <w:rPr>
          <w:rFonts w:ascii="Bookman Old Style" w:eastAsia="Times New Roman" w:hAnsi="Bookman Old Style" w:cs="Times New Roman"/>
          <w:sz w:val="24"/>
          <w:szCs w:val="24"/>
          <w:lang w:eastAsia="pt-BR"/>
        </w:rPr>
        <w:t xml:space="preserve"> Os equipamentos deverão apresentar compatibilidade entre seus componentes e, quando necessário, com a infraestrutura tecnológica existente na Câmara Municipal, assegurando sua adequada integração e funcionamento.</w:t>
      </w:r>
    </w:p>
    <w:p w14:paraId="3162878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3.8.2.</w:t>
      </w:r>
      <w:r w:rsidRPr="00AC1C56">
        <w:rPr>
          <w:rFonts w:ascii="Bookman Old Style" w:eastAsia="Times New Roman" w:hAnsi="Bookman Old Style" w:cs="Times New Roman"/>
          <w:sz w:val="24"/>
          <w:szCs w:val="24"/>
          <w:lang w:eastAsia="pt-BR"/>
        </w:rPr>
        <w:t xml:space="preserve"> A padronização deverá ser observada </w:t>
      </w:r>
      <w:r w:rsidRPr="00AC1C56">
        <w:rPr>
          <w:rFonts w:ascii="Bookman Old Style" w:eastAsia="Times New Roman" w:hAnsi="Bookman Old Style" w:cs="Times New Roman"/>
          <w:b/>
          <w:bCs/>
          <w:sz w:val="24"/>
          <w:szCs w:val="24"/>
          <w:lang w:eastAsia="pt-BR"/>
        </w:rPr>
        <w:t>somente na medida necessária à compatibilidade, integração, facilidade de manutenção e gerenciamento dos equipamentos</w:t>
      </w:r>
      <w:r w:rsidRPr="00AC1C56">
        <w:rPr>
          <w:rFonts w:ascii="Bookman Old Style" w:eastAsia="Times New Roman" w:hAnsi="Bookman Old Style" w:cs="Times New Roman"/>
          <w:sz w:val="24"/>
          <w:szCs w:val="24"/>
          <w:lang w:eastAsia="pt-BR"/>
        </w:rPr>
        <w:t>, não podendo resultar em restrição injustificada à competitividade.</w:t>
      </w:r>
    </w:p>
    <w:p w14:paraId="2BF5B9C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3.8.3.</w:t>
      </w:r>
      <w:r w:rsidRPr="00AC1C56">
        <w:rPr>
          <w:rFonts w:ascii="Bookman Old Style" w:eastAsia="Times New Roman" w:hAnsi="Bookman Old Style" w:cs="Times New Roman"/>
          <w:sz w:val="24"/>
          <w:szCs w:val="24"/>
          <w:lang w:eastAsia="pt-BR"/>
        </w:rPr>
        <w:t xml:space="preserve"> Não será exigido que todos os equipamentos sejam de um mesmo fabricante ou pertençam a uma mesma linha comercial, desde que sejam atendidas integralmente as especificações técnicas e os requisitos de compatibilidade estabelecidos.</w:t>
      </w:r>
    </w:p>
    <w:p w14:paraId="0CE4030C"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3.8.4.</w:t>
      </w:r>
      <w:r w:rsidRPr="00AC1C56">
        <w:rPr>
          <w:rFonts w:ascii="Bookman Old Style" w:eastAsia="Times New Roman" w:hAnsi="Bookman Old Style" w:cs="Times New Roman"/>
          <w:sz w:val="24"/>
          <w:szCs w:val="24"/>
          <w:lang w:eastAsia="pt-BR"/>
        </w:rPr>
        <w:t xml:space="preserve"> Características superiores às especificações mínimas poderão ser aceitas, desde que </w:t>
      </w:r>
      <w:r w:rsidRPr="00AC1C56">
        <w:rPr>
          <w:rFonts w:ascii="Bookman Old Style" w:eastAsia="Times New Roman" w:hAnsi="Bookman Old Style" w:cs="Times New Roman"/>
          <w:b/>
          <w:bCs/>
          <w:sz w:val="24"/>
          <w:szCs w:val="24"/>
          <w:lang w:eastAsia="pt-BR"/>
        </w:rPr>
        <w:t>não impliquem prejuízo à compatibilidade, funcionalidade ou utilização pretendida pela Administração e não gerem custos adicionais</w:t>
      </w:r>
      <w:r w:rsidRPr="00AC1C56">
        <w:rPr>
          <w:rFonts w:ascii="Bookman Old Style" w:eastAsia="Times New Roman" w:hAnsi="Bookman Old Style" w:cs="Times New Roman"/>
          <w:sz w:val="24"/>
          <w:szCs w:val="24"/>
          <w:lang w:eastAsia="pt-BR"/>
        </w:rPr>
        <w:t xml:space="preserve"> além do preço ofertado.</w:t>
      </w:r>
    </w:p>
    <w:p w14:paraId="2255A659"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3.9. Critérios de Aceitação</w:t>
      </w:r>
    </w:p>
    <w:p w14:paraId="4ADB66A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3.9.1.</w:t>
      </w:r>
      <w:r w:rsidRPr="00AC1C56">
        <w:rPr>
          <w:rFonts w:ascii="Bookman Old Style" w:eastAsia="Times New Roman" w:hAnsi="Bookman Old Style" w:cs="Times New Roman"/>
          <w:sz w:val="24"/>
          <w:szCs w:val="24"/>
          <w:lang w:eastAsia="pt-BR"/>
        </w:rPr>
        <w:t xml:space="preserve"> Somente serão aceitos os equipamentos e serviços que atendam integralmente às condições e </w:t>
      </w:r>
      <w:r w:rsidRPr="00AC1C56">
        <w:rPr>
          <w:rFonts w:ascii="Bookman Old Style" w:eastAsia="Times New Roman" w:hAnsi="Bookman Old Style" w:cs="Times New Roman"/>
          <w:b/>
          <w:bCs/>
          <w:sz w:val="24"/>
          <w:szCs w:val="24"/>
          <w:lang w:eastAsia="pt-BR"/>
        </w:rPr>
        <w:t>especificações mínimas estabelecidas neste Termo de Referência</w:t>
      </w:r>
      <w:r w:rsidRPr="00AC1C56">
        <w:rPr>
          <w:rFonts w:ascii="Bookman Old Style" w:eastAsia="Times New Roman" w:hAnsi="Bookman Old Style" w:cs="Times New Roman"/>
          <w:sz w:val="24"/>
          <w:szCs w:val="24"/>
          <w:lang w:eastAsia="pt-BR"/>
        </w:rPr>
        <w:t>.</w:t>
      </w:r>
    </w:p>
    <w:p w14:paraId="5DFD984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3.9.2.</w:t>
      </w:r>
      <w:r w:rsidRPr="00AC1C56">
        <w:rPr>
          <w:rFonts w:ascii="Bookman Old Style" w:eastAsia="Times New Roman" w:hAnsi="Bookman Old Style" w:cs="Times New Roman"/>
          <w:sz w:val="24"/>
          <w:szCs w:val="24"/>
          <w:lang w:eastAsia="pt-BR"/>
        </w:rPr>
        <w:t xml:space="preserve"> Para fins de verificação, a Administração poderá confrontar a marca e o modelo efetivamente entregues com a proposta apresentada e com a documentação técnica oficial do fabricante.</w:t>
      </w:r>
    </w:p>
    <w:p w14:paraId="64C737C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3.9.3.</w:t>
      </w:r>
      <w:r w:rsidRPr="00AC1C56">
        <w:rPr>
          <w:rFonts w:ascii="Bookman Old Style" w:eastAsia="Times New Roman" w:hAnsi="Bookman Old Style" w:cs="Times New Roman"/>
          <w:sz w:val="24"/>
          <w:szCs w:val="24"/>
          <w:lang w:eastAsia="pt-BR"/>
        </w:rPr>
        <w:t xml:space="preserve"> Não serão aceitos equipamentos com </w:t>
      </w:r>
      <w:r w:rsidRPr="00AC1C56">
        <w:rPr>
          <w:rFonts w:ascii="Bookman Old Style" w:eastAsia="Times New Roman" w:hAnsi="Bookman Old Style" w:cs="Times New Roman"/>
          <w:b/>
          <w:bCs/>
          <w:sz w:val="24"/>
          <w:szCs w:val="24"/>
          <w:lang w:eastAsia="pt-BR"/>
        </w:rPr>
        <w:t>avarias, sinais de uso, componentes ausentes, especificações inferiores às exigidas ou divergentes da proposta aceita</w:t>
      </w:r>
      <w:r w:rsidRPr="00AC1C56">
        <w:rPr>
          <w:rFonts w:ascii="Bookman Old Style" w:eastAsia="Times New Roman" w:hAnsi="Bookman Old Style" w:cs="Times New Roman"/>
          <w:sz w:val="24"/>
          <w:szCs w:val="24"/>
          <w:lang w:eastAsia="pt-BR"/>
        </w:rPr>
        <w:t>.</w:t>
      </w:r>
    </w:p>
    <w:p w14:paraId="49B2B2C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3.9.4.</w:t>
      </w:r>
      <w:r w:rsidRPr="00AC1C56">
        <w:rPr>
          <w:rFonts w:ascii="Bookman Old Style" w:eastAsia="Times New Roman" w:hAnsi="Bookman Old Style" w:cs="Times New Roman"/>
          <w:sz w:val="24"/>
          <w:szCs w:val="24"/>
          <w:lang w:eastAsia="pt-BR"/>
        </w:rPr>
        <w:t xml:space="preserve"> Os equipamentos que apresentarem defeitos, avarias ou desconformidades deverão ser substituídos ou regularizados pela contratada, conforme a natureza da ocorrência, </w:t>
      </w:r>
      <w:r w:rsidRPr="00AC1C56">
        <w:rPr>
          <w:rFonts w:ascii="Bookman Old Style" w:eastAsia="Times New Roman" w:hAnsi="Bookman Old Style" w:cs="Times New Roman"/>
          <w:b/>
          <w:bCs/>
          <w:sz w:val="24"/>
          <w:szCs w:val="24"/>
          <w:lang w:eastAsia="pt-BR"/>
        </w:rPr>
        <w:t>sem qualquer ônus adicional para a Câmara Municipal</w:t>
      </w:r>
      <w:r w:rsidRPr="00AC1C56">
        <w:rPr>
          <w:rFonts w:ascii="Bookman Old Style" w:eastAsia="Times New Roman" w:hAnsi="Bookman Old Style" w:cs="Times New Roman"/>
          <w:sz w:val="24"/>
          <w:szCs w:val="24"/>
          <w:lang w:eastAsia="pt-BR"/>
        </w:rPr>
        <w:t>.</w:t>
      </w:r>
    </w:p>
    <w:p w14:paraId="6781DAC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3.9.5.</w:t>
      </w:r>
      <w:r w:rsidRPr="00AC1C56">
        <w:rPr>
          <w:rFonts w:ascii="Bookman Old Style" w:eastAsia="Times New Roman" w:hAnsi="Bookman Old Style" w:cs="Times New Roman"/>
          <w:sz w:val="24"/>
          <w:szCs w:val="24"/>
          <w:lang w:eastAsia="pt-BR"/>
        </w:rPr>
        <w:t xml:space="preserve"> Os serviços somente serão considerados concluídos após a realização das atividades previstas e a constatação de que os equipamentos envolvidos se encontram </w:t>
      </w:r>
      <w:r w:rsidRPr="00AC1C56">
        <w:rPr>
          <w:rFonts w:ascii="Bookman Old Style" w:eastAsia="Times New Roman" w:hAnsi="Bookman Old Style" w:cs="Times New Roman"/>
          <w:b/>
          <w:bCs/>
          <w:sz w:val="24"/>
          <w:szCs w:val="24"/>
          <w:lang w:eastAsia="pt-BR"/>
        </w:rPr>
        <w:t>instalados e em condições adequadas de funcionamento</w:t>
      </w:r>
      <w:r w:rsidRPr="00AC1C56">
        <w:rPr>
          <w:rFonts w:ascii="Bookman Old Style" w:eastAsia="Times New Roman" w:hAnsi="Bookman Old Style" w:cs="Times New Roman"/>
          <w:sz w:val="24"/>
          <w:szCs w:val="24"/>
          <w:lang w:eastAsia="pt-BR"/>
        </w:rPr>
        <w:t>, conforme o escopo contratado.</w:t>
      </w:r>
    </w:p>
    <w:p w14:paraId="7BB2031D" w14:textId="77777777" w:rsidR="00AC1C56" w:rsidRPr="00AC1C56" w:rsidRDefault="00AC1C56" w:rsidP="00AC1C56">
      <w:pPr>
        <w:contextualSpacing/>
        <w:rPr>
          <w:rFonts w:ascii="Bookman Old Style" w:eastAsia="MS Mincho" w:hAnsi="Bookman Old Style" w:cs="Calibri"/>
          <w:b/>
          <w:bCs/>
          <w:sz w:val="24"/>
          <w:szCs w:val="24"/>
        </w:rPr>
      </w:pPr>
      <w:proofErr w:type="gramStart"/>
      <w:r w:rsidRPr="00AC1C56">
        <w:rPr>
          <w:rFonts w:ascii="Bookman Old Style" w:eastAsia="MS Mincho" w:hAnsi="Bookman Old Style" w:cs="Calibri"/>
          <w:b/>
          <w:bCs/>
          <w:sz w:val="24"/>
          <w:szCs w:val="24"/>
        </w:rPr>
        <w:t>3.10 Dos</w:t>
      </w:r>
      <w:proofErr w:type="gramEnd"/>
      <w:r w:rsidRPr="00AC1C56">
        <w:rPr>
          <w:rFonts w:ascii="Bookman Old Style" w:eastAsia="MS Mincho" w:hAnsi="Bookman Old Style" w:cs="Calibri"/>
          <w:b/>
          <w:bCs/>
          <w:sz w:val="24"/>
          <w:szCs w:val="24"/>
        </w:rPr>
        <w:t xml:space="preserve"> critérios de sustentabilidade</w:t>
      </w:r>
    </w:p>
    <w:p w14:paraId="772E6A0A"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3.10.1 Da Subcontratação</w:t>
      </w:r>
    </w:p>
    <w:p w14:paraId="4AA7013C" w14:textId="77777777" w:rsidR="00AC1C56" w:rsidRPr="00AC1C56" w:rsidRDefault="00AC1C56" w:rsidP="00AC1C56">
      <w:pPr>
        <w:contextualSpacing/>
        <w:rPr>
          <w:rFonts w:ascii="Bookman Old Style" w:eastAsia="MS Mincho" w:hAnsi="Bookman Old Style" w:cs="Calibri"/>
          <w:sz w:val="24"/>
          <w:szCs w:val="24"/>
        </w:rPr>
      </w:pPr>
      <w:r w:rsidRPr="00AC1C56">
        <w:rPr>
          <w:rFonts w:ascii="Bookman Old Style" w:eastAsia="MS Mincho" w:hAnsi="Bookman Old Style" w:cs="Calibri"/>
          <w:sz w:val="24"/>
          <w:szCs w:val="24"/>
        </w:rPr>
        <w:t>3.</w:t>
      </w:r>
      <w:proofErr w:type="gramStart"/>
      <w:r w:rsidRPr="00AC1C56">
        <w:rPr>
          <w:rFonts w:ascii="Bookman Old Style" w:eastAsia="MS Mincho" w:hAnsi="Bookman Old Style" w:cs="Calibri"/>
          <w:sz w:val="24"/>
          <w:szCs w:val="24"/>
        </w:rPr>
        <w:t>10.1.1 É</w:t>
      </w:r>
      <w:proofErr w:type="gramEnd"/>
      <w:r w:rsidRPr="00AC1C56">
        <w:rPr>
          <w:rFonts w:ascii="Bookman Old Style" w:eastAsia="MS Mincho" w:hAnsi="Bookman Old Style" w:cs="Calibri"/>
          <w:sz w:val="24"/>
          <w:szCs w:val="24"/>
        </w:rPr>
        <w:t xml:space="preserve"> vedada a subcontratação do objeto contratual.</w:t>
      </w:r>
    </w:p>
    <w:p w14:paraId="03E74187"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3.10.2 Do orçamento Sigiloso</w:t>
      </w:r>
    </w:p>
    <w:p w14:paraId="59C98CA4" w14:textId="77777777" w:rsidR="00AC1C56" w:rsidRPr="00AC1C56" w:rsidRDefault="00AC1C56" w:rsidP="00AC1C56">
      <w:pPr>
        <w:contextualSpacing/>
        <w:rPr>
          <w:rFonts w:ascii="Bookman Old Style" w:eastAsia="MS Mincho" w:hAnsi="Bookman Old Style" w:cs="Calibri"/>
          <w:sz w:val="24"/>
          <w:szCs w:val="24"/>
        </w:rPr>
      </w:pPr>
      <w:r w:rsidRPr="00AC1C56">
        <w:rPr>
          <w:rFonts w:ascii="Bookman Old Style" w:eastAsia="MS Mincho" w:hAnsi="Bookman Old Style" w:cs="Calibri"/>
          <w:sz w:val="24"/>
          <w:szCs w:val="24"/>
        </w:rPr>
        <w:t>3.</w:t>
      </w:r>
      <w:proofErr w:type="gramStart"/>
      <w:r w:rsidRPr="00AC1C56">
        <w:rPr>
          <w:rFonts w:ascii="Bookman Old Style" w:eastAsia="MS Mincho" w:hAnsi="Bookman Old Style" w:cs="Calibri"/>
          <w:sz w:val="24"/>
          <w:szCs w:val="24"/>
        </w:rPr>
        <w:t>10.2.1 Não</w:t>
      </w:r>
      <w:proofErr w:type="gramEnd"/>
      <w:r w:rsidRPr="00AC1C56">
        <w:rPr>
          <w:rFonts w:ascii="Bookman Old Style" w:eastAsia="MS Mincho" w:hAnsi="Bookman Old Style" w:cs="Calibri"/>
          <w:sz w:val="24"/>
          <w:szCs w:val="24"/>
        </w:rPr>
        <w:t xml:space="preserve"> será adotado o orçamento sigiloso.</w:t>
      </w:r>
    </w:p>
    <w:p w14:paraId="24255D0D"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3.10.3 Da garantia da Contratação</w:t>
      </w:r>
    </w:p>
    <w:p w14:paraId="486F7DA9"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3.</w:t>
      </w:r>
      <w:proofErr w:type="gramStart"/>
      <w:r w:rsidRPr="00AC1C56">
        <w:rPr>
          <w:rFonts w:ascii="Bookman Old Style" w:eastAsia="MS Mincho" w:hAnsi="Bookman Old Style" w:cs="Calibri"/>
          <w:sz w:val="24"/>
          <w:szCs w:val="24"/>
        </w:rPr>
        <w:t>10.3.1 Sem</w:t>
      </w:r>
      <w:proofErr w:type="gramEnd"/>
      <w:r w:rsidRPr="00AC1C56">
        <w:rPr>
          <w:rFonts w:ascii="Bookman Old Style" w:eastAsia="MS Mincho" w:hAnsi="Bookman Old Style" w:cs="Calibri"/>
          <w:sz w:val="24"/>
          <w:szCs w:val="24"/>
        </w:rPr>
        <w:t xml:space="preserve"> garantia.</w:t>
      </w:r>
    </w:p>
    <w:p w14:paraId="7834903C"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3.10.4 Da Amostragem</w:t>
      </w:r>
    </w:p>
    <w:p w14:paraId="138E57D1" w14:textId="77777777" w:rsidR="00AC1C56" w:rsidRPr="00AC1C56" w:rsidRDefault="00AC1C56" w:rsidP="00AC1C56">
      <w:pPr>
        <w:contextualSpacing/>
        <w:rPr>
          <w:rFonts w:ascii="Bookman Old Style" w:eastAsia="MS Mincho" w:hAnsi="Bookman Old Style" w:cs="Calibri"/>
          <w:sz w:val="24"/>
          <w:szCs w:val="24"/>
        </w:rPr>
      </w:pPr>
      <w:r w:rsidRPr="00AC1C56">
        <w:rPr>
          <w:rFonts w:ascii="Bookman Old Style" w:eastAsia="MS Mincho" w:hAnsi="Bookman Old Style" w:cs="Calibri"/>
          <w:sz w:val="24"/>
          <w:szCs w:val="24"/>
        </w:rPr>
        <w:t>3.</w:t>
      </w:r>
      <w:proofErr w:type="gramStart"/>
      <w:r w:rsidRPr="00AC1C56">
        <w:rPr>
          <w:rFonts w:ascii="Bookman Old Style" w:eastAsia="MS Mincho" w:hAnsi="Bookman Old Style" w:cs="Calibri"/>
          <w:sz w:val="24"/>
          <w:szCs w:val="24"/>
        </w:rPr>
        <w:t>10.4.1 Não</w:t>
      </w:r>
      <w:proofErr w:type="gramEnd"/>
      <w:r w:rsidRPr="00AC1C56">
        <w:rPr>
          <w:rFonts w:ascii="Bookman Old Style" w:eastAsia="MS Mincho" w:hAnsi="Bookman Old Style" w:cs="Calibri"/>
          <w:sz w:val="24"/>
          <w:szCs w:val="24"/>
        </w:rPr>
        <w:t xml:space="preserve"> foi utilizado amostragem dos serviços solicitados.</w:t>
      </w:r>
    </w:p>
    <w:p w14:paraId="56CBB6E1"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3.10.5 Da indicação de Marca</w:t>
      </w:r>
    </w:p>
    <w:p w14:paraId="6033BA4A" w14:textId="77777777" w:rsidR="00AC1C56" w:rsidRPr="00AC1C56" w:rsidRDefault="00AC1C56" w:rsidP="00AC1C56">
      <w:pPr>
        <w:contextualSpacing/>
        <w:rPr>
          <w:rFonts w:ascii="Bookman Old Style" w:eastAsia="MS Mincho" w:hAnsi="Bookman Old Style" w:cs="Calibri"/>
          <w:bCs/>
          <w:sz w:val="24"/>
          <w:szCs w:val="24"/>
        </w:rPr>
      </w:pPr>
      <w:r w:rsidRPr="00AC1C56">
        <w:rPr>
          <w:rFonts w:ascii="Bookman Old Style" w:eastAsia="MS Mincho" w:hAnsi="Bookman Old Style" w:cs="Calibri"/>
          <w:bCs/>
          <w:sz w:val="24"/>
          <w:szCs w:val="24"/>
        </w:rPr>
        <w:t>3.</w:t>
      </w:r>
      <w:proofErr w:type="gramStart"/>
      <w:r w:rsidRPr="00AC1C56">
        <w:rPr>
          <w:rFonts w:ascii="Bookman Old Style" w:eastAsia="MS Mincho" w:hAnsi="Bookman Old Style" w:cs="Calibri"/>
          <w:bCs/>
          <w:sz w:val="24"/>
          <w:szCs w:val="24"/>
        </w:rPr>
        <w:t>10.5.1 Sem</w:t>
      </w:r>
      <w:proofErr w:type="gramEnd"/>
      <w:r w:rsidRPr="00AC1C56">
        <w:rPr>
          <w:rFonts w:ascii="Bookman Old Style" w:eastAsia="MS Mincho" w:hAnsi="Bookman Old Style" w:cs="Calibri"/>
          <w:bCs/>
          <w:sz w:val="24"/>
          <w:szCs w:val="24"/>
        </w:rPr>
        <w:t xml:space="preserve"> indicação de Marca.</w:t>
      </w:r>
    </w:p>
    <w:p w14:paraId="3B7E9FF2"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3.10.6 Do Parcelamento</w:t>
      </w:r>
    </w:p>
    <w:p w14:paraId="03CAD272" w14:textId="77777777" w:rsidR="00AC1C56" w:rsidRPr="00AC1C56" w:rsidRDefault="00AC1C56" w:rsidP="00AC1C56">
      <w:pPr>
        <w:autoSpaceDE w:val="0"/>
        <w:autoSpaceDN w:val="0"/>
        <w:adjustRightInd w:val="0"/>
        <w:spacing w:after="0" w:line="240" w:lineRule="auto"/>
        <w:ind w:right="-420"/>
        <w:jc w:val="both"/>
        <w:rPr>
          <w:rFonts w:ascii="Bookman Old Style" w:eastAsia="MS Mincho" w:hAnsi="Bookman Old Style" w:cs="Calibri"/>
          <w:b/>
          <w:bCs/>
          <w:sz w:val="24"/>
          <w:szCs w:val="24"/>
        </w:rPr>
      </w:pPr>
      <w:r w:rsidRPr="00AC1C56">
        <w:rPr>
          <w:rFonts w:ascii="Bookman Old Style" w:eastAsia="MS Mincho" w:hAnsi="Bookman Old Style" w:cs="Times New Roman"/>
          <w:sz w:val="24"/>
          <w:szCs w:val="24"/>
          <w:lang w:eastAsia="pt-BR"/>
        </w:rPr>
        <w:t>3.</w:t>
      </w:r>
      <w:proofErr w:type="gramStart"/>
      <w:r w:rsidRPr="00AC1C56">
        <w:rPr>
          <w:rFonts w:ascii="Bookman Old Style" w:eastAsia="MS Mincho" w:hAnsi="Bookman Old Style" w:cs="Times New Roman"/>
          <w:sz w:val="24"/>
          <w:szCs w:val="24"/>
          <w:lang w:eastAsia="pt-BR"/>
        </w:rPr>
        <w:t xml:space="preserve">10.6.1 </w:t>
      </w:r>
      <w:r w:rsidRPr="00AC1C56">
        <w:rPr>
          <w:rFonts w:ascii="Bookman Old Style" w:eastAsia="MS Mincho" w:hAnsi="Bookman Old Style" w:cs="Times New Roman"/>
          <w:sz w:val="24"/>
          <w:szCs w:val="24"/>
          <w:lang w:val="x-none" w:eastAsia="pt-BR"/>
        </w:rPr>
        <w:t>Os</w:t>
      </w:r>
      <w:proofErr w:type="gramEnd"/>
      <w:r w:rsidRPr="00AC1C56">
        <w:rPr>
          <w:rFonts w:ascii="Bookman Old Style" w:eastAsia="MS Mincho" w:hAnsi="Bookman Old Style" w:cs="Times New Roman"/>
          <w:sz w:val="24"/>
          <w:szCs w:val="24"/>
          <w:lang w:val="x-none" w:eastAsia="pt-BR"/>
        </w:rPr>
        <w:t xml:space="preserve"> pagamentos serão realizados pela Contratante </w:t>
      </w:r>
      <w:r w:rsidRPr="00AC1C56">
        <w:rPr>
          <w:rFonts w:ascii="Bookman Old Style" w:eastAsia="MS Mincho" w:hAnsi="Bookman Old Style" w:cs="Times New Roman"/>
          <w:sz w:val="24"/>
          <w:szCs w:val="24"/>
          <w:lang w:eastAsia="pt-BR"/>
        </w:rPr>
        <w:t>de acordo com a entrada da Nota Fiscal em até 30 (trinta) dias.</w:t>
      </w:r>
    </w:p>
    <w:p w14:paraId="16F8167D" w14:textId="77777777" w:rsidR="00AC1C56" w:rsidRPr="00AC1C56" w:rsidRDefault="00AC1C56" w:rsidP="00AC1C56">
      <w:pPr>
        <w:contextualSpacing/>
        <w:rPr>
          <w:rFonts w:ascii="Bookman Old Style" w:eastAsia="MS Mincho" w:hAnsi="Bookman Old Style" w:cs="Calibri"/>
          <w:sz w:val="24"/>
          <w:szCs w:val="24"/>
        </w:rPr>
      </w:pPr>
    </w:p>
    <w:p w14:paraId="4683804B" w14:textId="77777777" w:rsidR="00AC1C56" w:rsidRPr="00AC1C56" w:rsidRDefault="00AC1C56" w:rsidP="00AC1C56">
      <w:pPr>
        <w:shd w:val="clear" w:color="auto" w:fill="D9D9D9"/>
        <w:spacing w:after="0"/>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4. EXECUÇÃO CONTRATUAL (</w:t>
      </w:r>
      <w:proofErr w:type="spellStart"/>
      <w:r w:rsidRPr="00AC1C56">
        <w:rPr>
          <w:rFonts w:ascii="Bookman Old Style" w:eastAsia="MS Mincho" w:hAnsi="Bookman Old Style" w:cs="Calibri"/>
          <w:b/>
          <w:bCs/>
          <w:sz w:val="24"/>
          <w:szCs w:val="24"/>
        </w:rPr>
        <w:t>arts</w:t>
      </w:r>
      <w:proofErr w:type="spellEnd"/>
      <w:r w:rsidRPr="00AC1C56">
        <w:rPr>
          <w:rFonts w:ascii="Bookman Old Style" w:eastAsia="MS Mincho" w:hAnsi="Bookman Old Style" w:cs="Calibri"/>
          <w:b/>
          <w:bCs/>
          <w:sz w:val="24"/>
          <w:szCs w:val="24"/>
        </w:rPr>
        <w:t>. 6º, XXIII, alínea “e” da Lei n. 14.133/2021)</w:t>
      </w:r>
    </w:p>
    <w:p w14:paraId="3DDD90A4"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4.1. DO LOCAL, PRAZO E HORÁRIO DE ENTREGA E EXECUÇÃO</w:t>
      </w:r>
    </w:p>
    <w:p w14:paraId="7802C3C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4.1.1.</w:t>
      </w:r>
      <w:r w:rsidRPr="00AC1C56">
        <w:rPr>
          <w:rFonts w:ascii="Bookman Old Style" w:eastAsia="Times New Roman" w:hAnsi="Bookman Old Style" w:cs="Times New Roman"/>
          <w:sz w:val="24"/>
          <w:szCs w:val="24"/>
          <w:lang w:eastAsia="pt-BR"/>
        </w:rPr>
        <w:t xml:space="preserve"> A entrega dos equipamentos e a execução dos serviços deverão ocorrer no prazo máximo de </w:t>
      </w:r>
      <w:r w:rsidRPr="00AC1C56">
        <w:rPr>
          <w:rFonts w:ascii="Bookman Old Style" w:eastAsia="Times New Roman" w:hAnsi="Bookman Old Style" w:cs="Times New Roman"/>
          <w:b/>
          <w:bCs/>
          <w:sz w:val="24"/>
          <w:szCs w:val="24"/>
          <w:lang w:eastAsia="pt-BR"/>
        </w:rPr>
        <w:t>30 (trinta) dias corridos</w:t>
      </w:r>
      <w:r w:rsidRPr="00AC1C56">
        <w:rPr>
          <w:rFonts w:ascii="Bookman Old Style" w:eastAsia="Times New Roman" w:hAnsi="Bookman Old Style" w:cs="Times New Roman"/>
          <w:sz w:val="24"/>
          <w:szCs w:val="24"/>
          <w:lang w:eastAsia="pt-BR"/>
        </w:rPr>
        <w:t xml:space="preserve">, contados do recebimento, pela Contratada, da </w:t>
      </w:r>
      <w:r w:rsidRPr="00AC1C56">
        <w:rPr>
          <w:rFonts w:ascii="Bookman Old Style" w:eastAsia="Times New Roman" w:hAnsi="Bookman Old Style" w:cs="Times New Roman"/>
          <w:b/>
          <w:bCs/>
          <w:sz w:val="24"/>
          <w:szCs w:val="24"/>
          <w:lang w:eastAsia="pt-BR"/>
        </w:rPr>
        <w:t>Nota de Empenho, Ordem de Fornecimento, Ordem de Serviço ou instrumento equivalente</w:t>
      </w:r>
      <w:r w:rsidRPr="00AC1C56">
        <w:rPr>
          <w:rFonts w:ascii="Bookman Old Style" w:eastAsia="Times New Roman" w:hAnsi="Bookman Old Style" w:cs="Times New Roman"/>
          <w:sz w:val="24"/>
          <w:szCs w:val="24"/>
          <w:lang w:eastAsia="pt-BR"/>
        </w:rPr>
        <w:t>, conforme aplicável.</w:t>
      </w:r>
    </w:p>
    <w:p w14:paraId="1D1DD88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4.1.2.</w:t>
      </w:r>
      <w:r w:rsidRPr="00AC1C56">
        <w:rPr>
          <w:rFonts w:ascii="Bookman Old Style" w:eastAsia="Times New Roman" w:hAnsi="Bookman Old Style" w:cs="Times New Roman"/>
          <w:sz w:val="24"/>
          <w:szCs w:val="24"/>
          <w:lang w:eastAsia="pt-BR"/>
        </w:rPr>
        <w:t xml:space="preserve"> Os equipamentos deverão ser entregues e os serviços executados na sede da </w:t>
      </w:r>
      <w:r w:rsidRPr="00AC1C56">
        <w:rPr>
          <w:rFonts w:ascii="Bookman Old Style" w:eastAsia="Times New Roman" w:hAnsi="Bookman Old Style" w:cs="Times New Roman"/>
          <w:b/>
          <w:bCs/>
          <w:sz w:val="24"/>
          <w:szCs w:val="24"/>
          <w:lang w:eastAsia="pt-BR"/>
        </w:rPr>
        <w:t>Câmara Municipal de Terra Rica/PR</w:t>
      </w:r>
      <w:r w:rsidRPr="00AC1C56">
        <w:rPr>
          <w:rFonts w:ascii="Bookman Old Style" w:eastAsia="Times New Roman" w:hAnsi="Bookman Old Style" w:cs="Times New Roman"/>
          <w:sz w:val="24"/>
          <w:szCs w:val="24"/>
          <w:lang w:eastAsia="pt-BR"/>
        </w:rPr>
        <w:t xml:space="preserve">, situada na </w:t>
      </w:r>
      <w:r w:rsidRPr="00AC1C56">
        <w:rPr>
          <w:rFonts w:ascii="Bookman Old Style" w:eastAsia="Times New Roman" w:hAnsi="Bookman Old Style" w:cs="Times New Roman"/>
          <w:b/>
          <w:bCs/>
          <w:sz w:val="24"/>
          <w:szCs w:val="24"/>
          <w:lang w:eastAsia="pt-BR"/>
        </w:rPr>
        <w:t>Avenida São Paulo, nº 1.178, 1º andar, Centro, Terra Rica/PR, CEP 87.890-000</w:t>
      </w:r>
      <w:r w:rsidRPr="00AC1C56">
        <w:rPr>
          <w:rFonts w:ascii="Bookman Old Style" w:eastAsia="Times New Roman" w:hAnsi="Bookman Old Style" w:cs="Times New Roman"/>
          <w:sz w:val="24"/>
          <w:szCs w:val="24"/>
          <w:lang w:eastAsia="pt-BR"/>
        </w:rPr>
        <w:t xml:space="preserve">, em dias úteis, durante o horário de expediente, compreendido </w:t>
      </w:r>
      <w:r w:rsidRPr="00AC1C56">
        <w:rPr>
          <w:rFonts w:ascii="Bookman Old Style" w:eastAsia="Times New Roman" w:hAnsi="Bookman Old Style" w:cs="Times New Roman"/>
          <w:b/>
          <w:bCs/>
          <w:sz w:val="24"/>
          <w:szCs w:val="24"/>
          <w:lang w:eastAsia="pt-BR"/>
        </w:rPr>
        <w:t>das 08h00 às 11h00 e das 13h00 às 17h00</w:t>
      </w:r>
      <w:r w:rsidRPr="00AC1C56">
        <w:rPr>
          <w:rFonts w:ascii="Bookman Old Style" w:eastAsia="Times New Roman" w:hAnsi="Bookman Old Style" w:cs="Times New Roman"/>
          <w:sz w:val="24"/>
          <w:szCs w:val="24"/>
          <w:lang w:eastAsia="pt-BR"/>
        </w:rPr>
        <w:t>, preferencialmente mediante prévio agendamento com o setor responsável.</w:t>
      </w:r>
    </w:p>
    <w:p w14:paraId="1D096DAB"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4.1.3.</w:t>
      </w:r>
      <w:r w:rsidRPr="00AC1C56">
        <w:rPr>
          <w:rFonts w:ascii="Bookman Old Style" w:eastAsia="Times New Roman" w:hAnsi="Bookman Old Style" w:cs="Times New Roman"/>
          <w:sz w:val="24"/>
          <w:szCs w:val="24"/>
          <w:lang w:eastAsia="pt-BR"/>
        </w:rPr>
        <w:t xml:space="preserve"> Todos os custos relacionados ao cumprimento do objeto, incluindo </w:t>
      </w:r>
      <w:r w:rsidRPr="00AC1C56">
        <w:rPr>
          <w:rFonts w:ascii="Bookman Old Style" w:eastAsia="Times New Roman" w:hAnsi="Bookman Old Style" w:cs="Times New Roman"/>
          <w:b/>
          <w:bCs/>
          <w:sz w:val="24"/>
          <w:szCs w:val="24"/>
          <w:lang w:eastAsia="pt-BR"/>
        </w:rPr>
        <w:t>transporte, frete, seguro, embalagem, carregamento, descarregamento, deslocamento, montagem, instalação, configuração, mão de obra, ferramentas, testes, tributos, encargos trabalhistas, previdenciários, fiscais e comerciais</w:t>
      </w:r>
      <w:r w:rsidRPr="00AC1C56">
        <w:rPr>
          <w:rFonts w:ascii="Bookman Old Style" w:eastAsia="Times New Roman" w:hAnsi="Bookman Old Style" w:cs="Times New Roman"/>
          <w:sz w:val="24"/>
          <w:szCs w:val="24"/>
          <w:lang w:eastAsia="pt-BR"/>
        </w:rPr>
        <w:t>, quando aplicáveis, deverão estar incluídos nos preços contratados, sem qualquer ônus adicional para a Administração.</w:t>
      </w:r>
    </w:p>
    <w:p w14:paraId="0DC107C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4.1.4.</w:t>
      </w:r>
      <w:r w:rsidRPr="00AC1C56">
        <w:rPr>
          <w:rFonts w:ascii="Bookman Old Style" w:eastAsia="Times New Roman" w:hAnsi="Bookman Old Style" w:cs="Times New Roman"/>
          <w:sz w:val="24"/>
          <w:szCs w:val="24"/>
          <w:lang w:eastAsia="pt-BR"/>
        </w:rPr>
        <w:t xml:space="preserve"> Os equipamentos deverão ser entregues devidamente acondicionados, acompanhados de todos os </w:t>
      </w:r>
      <w:r w:rsidRPr="00AC1C56">
        <w:rPr>
          <w:rFonts w:ascii="Bookman Old Style" w:eastAsia="Times New Roman" w:hAnsi="Bookman Old Style" w:cs="Times New Roman"/>
          <w:b/>
          <w:bCs/>
          <w:sz w:val="24"/>
          <w:szCs w:val="24"/>
          <w:lang w:eastAsia="pt-BR"/>
        </w:rPr>
        <w:t xml:space="preserve">cabos, fontes, carregadores, acessórios, componentes, </w:t>
      </w:r>
      <w:r w:rsidRPr="00AC1C56">
        <w:rPr>
          <w:rFonts w:ascii="Bookman Old Style" w:eastAsia="Times New Roman" w:hAnsi="Bookman Old Style" w:cs="Times New Roman"/>
          <w:b/>
          <w:bCs/>
          <w:sz w:val="24"/>
          <w:szCs w:val="24"/>
          <w:lang w:eastAsia="pt-BR"/>
        </w:rPr>
        <w:lastRenderedPageBreak/>
        <w:t>manuais e documentos de garantia</w:t>
      </w:r>
      <w:r w:rsidRPr="00AC1C56">
        <w:rPr>
          <w:rFonts w:ascii="Bookman Old Style" w:eastAsia="Times New Roman" w:hAnsi="Bookman Old Style" w:cs="Times New Roman"/>
          <w:sz w:val="24"/>
          <w:szCs w:val="24"/>
          <w:lang w:eastAsia="pt-BR"/>
        </w:rPr>
        <w:t xml:space="preserve"> necessários ao seu pleno funcionamento, conforme aplicável a cada item.</w:t>
      </w:r>
    </w:p>
    <w:p w14:paraId="4154EC4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4.1.5.</w:t>
      </w:r>
      <w:r w:rsidRPr="00AC1C56">
        <w:rPr>
          <w:rFonts w:ascii="Bookman Old Style" w:eastAsia="Times New Roman" w:hAnsi="Bookman Old Style" w:cs="Times New Roman"/>
          <w:sz w:val="24"/>
          <w:szCs w:val="24"/>
          <w:lang w:eastAsia="pt-BR"/>
        </w:rPr>
        <w:t xml:space="preserve"> Os equipamentos deverão ser entregues, quando aplicável, </w:t>
      </w:r>
      <w:r w:rsidRPr="00AC1C56">
        <w:rPr>
          <w:rFonts w:ascii="Bookman Old Style" w:eastAsia="Times New Roman" w:hAnsi="Bookman Old Style" w:cs="Times New Roman"/>
          <w:b/>
          <w:bCs/>
          <w:sz w:val="24"/>
          <w:szCs w:val="24"/>
          <w:lang w:eastAsia="pt-BR"/>
        </w:rPr>
        <w:t>montados, instalados, configurados e testados</w:t>
      </w:r>
      <w:r w:rsidRPr="00AC1C56">
        <w:rPr>
          <w:rFonts w:ascii="Bookman Old Style" w:eastAsia="Times New Roman" w:hAnsi="Bookman Old Style" w:cs="Times New Roman"/>
          <w:sz w:val="24"/>
          <w:szCs w:val="24"/>
          <w:lang w:eastAsia="pt-BR"/>
        </w:rPr>
        <w:t>, em plenas condições de funcionamento e prontos para utilização pela Administração, observadas as especificações de cada item.</w:t>
      </w:r>
    </w:p>
    <w:p w14:paraId="71FA6C5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4.1.6.</w:t>
      </w:r>
      <w:r w:rsidRPr="00AC1C56">
        <w:rPr>
          <w:rFonts w:ascii="Bookman Old Style" w:eastAsia="Times New Roman" w:hAnsi="Bookman Old Style" w:cs="Times New Roman"/>
          <w:sz w:val="24"/>
          <w:szCs w:val="24"/>
          <w:lang w:eastAsia="pt-BR"/>
        </w:rPr>
        <w:t xml:space="preserve"> Os equipamentos que possuírem sistema operacional ou software cuja licença integre o fornecimento deverão ser entregues com as respectivas soluções </w:t>
      </w:r>
      <w:r w:rsidRPr="00AC1C56">
        <w:rPr>
          <w:rFonts w:ascii="Bookman Old Style" w:eastAsia="Times New Roman" w:hAnsi="Bookman Old Style" w:cs="Times New Roman"/>
          <w:b/>
          <w:bCs/>
          <w:sz w:val="24"/>
          <w:szCs w:val="24"/>
          <w:lang w:eastAsia="pt-BR"/>
        </w:rPr>
        <w:t>devidamente instaladas, licenciadas e ativadas</w:t>
      </w:r>
      <w:r w:rsidRPr="00AC1C56">
        <w:rPr>
          <w:rFonts w:ascii="Bookman Old Style" w:eastAsia="Times New Roman" w:hAnsi="Bookman Old Style" w:cs="Times New Roman"/>
          <w:sz w:val="24"/>
          <w:szCs w:val="24"/>
          <w:lang w:eastAsia="pt-BR"/>
        </w:rPr>
        <w:t>, quando aplicável.</w:t>
      </w:r>
    </w:p>
    <w:p w14:paraId="2F1A1C32"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4.2. DO FORNECIMENTO, INSTALAÇÃO E EXECUÇÃO DOS SERVIÇOS</w:t>
      </w:r>
    </w:p>
    <w:p w14:paraId="17B869A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4.2.1.</w:t>
      </w:r>
      <w:r w:rsidRPr="00AC1C56">
        <w:rPr>
          <w:rFonts w:ascii="Bookman Old Style" w:eastAsia="Times New Roman" w:hAnsi="Bookman Old Style" w:cs="Times New Roman"/>
          <w:sz w:val="24"/>
          <w:szCs w:val="24"/>
          <w:lang w:eastAsia="pt-BR"/>
        </w:rPr>
        <w:t xml:space="preserve"> A Contratada deverá fornecer os equipamentos rigorosamente de acordo com as </w:t>
      </w:r>
      <w:r w:rsidRPr="00AC1C56">
        <w:rPr>
          <w:rFonts w:ascii="Bookman Old Style" w:eastAsia="Times New Roman" w:hAnsi="Bookman Old Style" w:cs="Times New Roman"/>
          <w:b/>
          <w:bCs/>
          <w:sz w:val="24"/>
          <w:szCs w:val="24"/>
          <w:lang w:eastAsia="pt-BR"/>
        </w:rPr>
        <w:t>especificações técnicas deste Termo de Referência e com a marca e o modelo constantes da proposta aceita pela Administração</w:t>
      </w:r>
      <w:r w:rsidRPr="00AC1C56">
        <w:rPr>
          <w:rFonts w:ascii="Bookman Old Style" w:eastAsia="Times New Roman" w:hAnsi="Bookman Old Style" w:cs="Times New Roman"/>
          <w:sz w:val="24"/>
          <w:szCs w:val="24"/>
          <w:lang w:eastAsia="pt-BR"/>
        </w:rPr>
        <w:t>, não sendo admitido o fornecimento de produto com características inferiores às exigidas.</w:t>
      </w:r>
    </w:p>
    <w:p w14:paraId="18B9199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4.2.2.</w:t>
      </w:r>
      <w:r w:rsidRPr="00AC1C56">
        <w:rPr>
          <w:rFonts w:ascii="Bookman Old Style" w:eastAsia="Times New Roman" w:hAnsi="Bookman Old Style" w:cs="Times New Roman"/>
          <w:sz w:val="24"/>
          <w:szCs w:val="24"/>
          <w:lang w:eastAsia="pt-BR"/>
        </w:rPr>
        <w:t xml:space="preserve"> Poderão ser aceitos equipamentos com características técnicas </w:t>
      </w:r>
      <w:r w:rsidRPr="00AC1C56">
        <w:rPr>
          <w:rFonts w:ascii="Bookman Old Style" w:eastAsia="Times New Roman" w:hAnsi="Bookman Old Style" w:cs="Times New Roman"/>
          <w:b/>
          <w:bCs/>
          <w:sz w:val="24"/>
          <w:szCs w:val="24"/>
          <w:lang w:eastAsia="pt-BR"/>
        </w:rPr>
        <w:t>equivalentes ou superiores às especificações mínimas</w:t>
      </w:r>
      <w:r w:rsidRPr="00AC1C56">
        <w:rPr>
          <w:rFonts w:ascii="Bookman Old Style" w:eastAsia="Times New Roman" w:hAnsi="Bookman Old Style" w:cs="Times New Roman"/>
          <w:sz w:val="24"/>
          <w:szCs w:val="24"/>
          <w:lang w:eastAsia="pt-BR"/>
        </w:rPr>
        <w:t>, desde que preservadas a compatibilidade e a funcionalidade pretendidas e não haja qualquer acréscimo de preço para a Administração.</w:t>
      </w:r>
    </w:p>
    <w:p w14:paraId="10165526"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4.2.3.</w:t>
      </w:r>
      <w:r w:rsidRPr="00AC1C56">
        <w:rPr>
          <w:rFonts w:ascii="Bookman Old Style" w:eastAsia="Times New Roman" w:hAnsi="Bookman Old Style" w:cs="Times New Roman"/>
          <w:sz w:val="24"/>
          <w:szCs w:val="24"/>
          <w:lang w:eastAsia="pt-BR"/>
        </w:rPr>
        <w:t xml:space="preserve"> A substituição da marca ou modelo originalmente ofertado durante a execução contratual somente poderá ocorrer mediante </w:t>
      </w:r>
      <w:r w:rsidRPr="00AC1C56">
        <w:rPr>
          <w:rFonts w:ascii="Bookman Old Style" w:eastAsia="Times New Roman" w:hAnsi="Bookman Old Style" w:cs="Times New Roman"/>
          <w:b/>
          <w:bCs/>
          <w:sz w:val="24"/>
          <w:szCs w:val="24"/>
          <w:lang w:eastAsia="pt-BR"/>
        </w:rPr>
        <w:t>justificativa da Contratada e prévia aceitação da Administração</w:t>
      </w:r>
      <w:r w:rsidRPr="00AC1C56">
        <w:rPr>
          <w:rFonts w:ascii="Bookman Old Style" w:eastAsia="Times New Roman" w:hAnsi="Bookman Old Style" w:cs="Times New Roman"/>
          <w:sz w:val="24"/>
          <w:szCs w:val="24"/>
          <w:lang w:eastAsia="pt-BR"/>
        </w:rPr>
        <w:t>, devendo o produto substituto atender integralmente ou superar as especificações técnicas exigidas, sem alteração do valor contratado.</w:t>
      </w:r>
    </w:p>
    <w:p w14:paraId="43CD503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4.2.4.</w:t>
      </w:r>
      <w:r w:rsidRPr="00AC1C56">
        <w:rPr>
          <w:rFonts w:ascii="Bookman Old Style" w:eastAsia="Times New Roman" w:hAnsi="Bookman Old Style" w:cs="Times New Roman"/>
          <w:sz w:val="24"/>
          <w:szCs w:val="24"/>
          <w:lang w:eastAsia="pt-BR"/>
        </w:rPr>
        <w:t xml:space="preserve"> A instalação dos equipamentos deverá contemplar, conforme aplicável, </w:t>
      </w:r>
      <w:r w:rsidRPr="00AC1C56">
        <w:rPr>
          <w:rFonts w:ascii="Bookman Old Style" w:eastAsia="Times New Roman" w:hAnsi="Bookman Old Style" w:cs="Times New Roman"/>
          <w:b/>
          <w:bCs/>
          <w:sz w:val="24"/>
          <w:szCs w:val="24"/>
          <w:lang w:eastAsia="pt-BR"/>
        </w:rPr>
        <w:t>montagem, conexão de cabos e periféricos, instalação de drivers e softwares necessários, configuração de rede, ajustes operacionais e realização de testes</w:t>
      </w:r>
      <w:r w:rsidRPr="00AC1C56">
        <w:rPr>
          <w:rFonts w:ascii="Bookman Old Style" w:eastAsia="Times New Roman" w:hAnsi="Bookman Old Style" w:cs="Times New Roman"/>
          <w:sz w:val="24"/>
          <w:szCs w:val="24"/>
          <w:lang w:eastAsia="pt-BR"/>
        </w:rPr>
        <w:t>, de forma que sejam entregues em condições de utilização.</w:t>
      </w:r>
    </w:p>
    <w:p w14:paraId="368C58A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4.2.5.</w:t>
      </w:r>
      <w:r w:rsidRPr="00AC1C56">
        <w:rPr>
          <w:rFonts w:ascii="Bookman Old Style" w:eastAsia="Times New Roman" w:hAnsi="Bookman Old Style" w:cs="Times New Roman"/>
          <w:sz w:val="24"/>
          <w:szCs w:val="24"/>
          <w:lang w:eastAsia="pt-BR"/>
        </w:rPr>
        <w:t xml:space="preserve"> As impressoras multifuncionais e o scanner deverão ser instalados e configurados nos computadores e/ou na rede indicada pela Administração, conforme aplicável, incluindo instalação dos drivers necessários e realização de testes de </w:t>
      </w:r>
      <w:r w:rsidRPr="00AC1C56">
        <w:rPr>
          <w:rFonts w:ascii="Bookman Old Style" w:eastAsia="Times New Roman" w:hAnsi="Bookman Old Style" w:cs="Times New Roman"/>
          <w:b/>
          <w:bCs/>
          <w:sz w:val="24"/>
          <w:szCs w:val="24"/>
          <w:lang w:eastAsia="pt-BR"/>
        </w:rPr>
        <w:t>impressão, cópia, digitalização e conectividade</w:t>
      </w:r>
      <w:r w:rsidRPr="00AC1C56">
        <w:rPr>
          <w:rFonts w:ascii="Bookman Old Style" w:eastAsia="Times New Roman" w:hAnsi="Bookman Old Style" w:cs="Times New Roman"/>
          <w:sz w:val="24"/>
          <w:szCs w:val="24"/>
          <w:lang w:eastAsia="pt-BR"/>
        </w:rPr>
        <w:t>.</w:t>
      </w:r>
    </w:p>
    <w:p w14:paraId="4130E6D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4.2.6.</w:t>
      </w:r>
      <w:r w:rsidRPr="00AC1C56">
        <w:rPr>
          <w:rFonts w:ascii="Bookman Old Style" w:eastAsia="Times New Roman" w:hAnsi="Bookman Old Style" w:cs="Times New Roman"/>
          <w:sz w:val="24"/>
          <w:szCs w:val="24"/>
          <w:lang w:eastAsia="pt-BR"/>
        </w:rPr>
        <w:t xml:space="preserve"> Os suportes articulados para monitores deverão ser montados e instalados nas mesas ou bancadas indicadas pela Administração, incluindo a instalação dos respectivos monitores, regulagem dos braços, posicionamento e organização dos cabos.</w:t>
      </w:r>
    </w:p>
    <w:p w14:paraId="0C1585F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4.2.7.</w:t>
      </w:r>
      <w:r w:rsidRPr="00AC1C56">
        <w:rPr>
          <w:rFonts w:ascii="Bookman Old Style" w:eastAsia="Times New Roman" w:hAnsi="Bookman Old Style" w:cs="Times New Roman"/>
          <w:sz w:val="24"/>
          <w:szCs w:val="24"/>
          <w:lang w:eastAsia="pt-BR"/>
        </w:rPr>
        <w:t xml:space="preserve"> Os serviços de </w:t>
      </w:r>
      <w:r w:rsidRPr="00AC1C56">
        <w:rPr>
          <w:rFonts w:ascii="Bookman Old Style" w:eastAsia="Times New Roman" w:hAnsi="Bookman Old Style" w:cs="Times New Roman"/>
          <w:b/>
          <w:bCs/>
          <w:sz w:val="24"/>
          <w:szCs w:val="24"/>
          <w:lang w:eastAsia="pt-BR"/>
        </w:rPr>
        <w:t>formatação e instalação de computadores</w:t>
      </w:r>
      <w:r w:rsidRPr="00AC1C56">
        <w:rPr>
          <w:rFonts w:ascii="Bookman Old Style" w:eastAsia="Times New Roman" w:hAnsi="Bookman Old Style" w:cs="Times New Roman"/>
          <w:sz w:val="24"/>
          <w:szCs w:val="24"/>
          <w:lang w:eastAsia="pt-BR"/>
        </w:rPr>
        <w:t xml:space="preserve"> deverão ser executados nos equipamentos indicados pela Administração, compreendendo as atividades estabelecidas no respectivo item deste Termo de Referência.</w:t>
      </w:r>
    </w:p>
    <w:p w14:paraId="30C18B8F"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4.2.8.</w:t>
      </w:r>
      <w:r w:rsidRPr="00AC1C56">
        <w:rPr>
          <w:rFonts w:ascii="Bookman Old Style" w:eastAsia="Times New Roman" w:hAnsi="Bookman Old Style" w:cs="Times New Roman"/>
          <w:sz w:val="24"/>
          <w:szCs w:val="24"/>
          <w:lang w:eastAsia="pt-BR"/>
        </w:rPr>
        <w:t xml:space="preserve"> Quando solicitado pela Administração e tecnicamente possível, deverá ser realizado backup dos arquivos existentes antes da formatação, com posterior </w:t>
      </w:r>
      <w:r w:rsidRPr="00AC1C56">
        <w:rPr>
          <w:rFonts w:ascii="Bookman Old Style" w:eastAsia="Times New Roman" w:hAnsi="Bookman Old Style" w:cs="Times New Roman"/>
          <w:sz w:val="24"/>
          <w:szCs w:val="24"/>
          <w:lang w:eastAsia="pt-BR"/>
        </w:rPr>
        <w:lastRenderedPageBreak/>
        <w:t>restauração, cabendo à Contratada adotar os cuidados necessários à preservação e à confidencialidade das informações às quais tiver acesso.</w:t>
      </w:r>
    </w:p>
    <w:p w14:paraId="0C13A839"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4.2.9.</w:t>
      </w:r>
      <w:r w:rsidRPr="00AC1C56">
        <w:rPr>
          <w:rFonts w:ascii="Bookman Old Style" w:eastAsia="Times New Roman" w:hAnsi="Bookman Old Style" w:cs="Times New Roman"/>
          <w:sz w:val="24"/>
          <w:szCs w:val="24"/>
          <w:lang w:eastAsia="pt-BR"/>
        </w:rPr>
        <w:t xml:space="preserve"> Não deverão ser cobrados, no item relativo aos serviços de formatação e instalação, serviços que já constituam obrigação da Contratada no fornecimento dos equipamentos novos, </w:t>
      </w:r>
      <w:r w:rsidRPr="00AC1C56">
        <w:rPr>
          <w:rFonts w:ascii="Bookman Old Style" w:eastAsia="Times New Roman" w:hAnsi="Bookman Old Style" w:cs="Times New Roman"/>
          <w:b/>
          <w:bCs/>
          <w:sz w:val="24"/>
          <w:szCs w:val="24"/>
          <w:lang w:eastAsia="pt-BR"/>
        </w:rPr>
        <w:t>evitando-se duplicidade de execução e de custos para a Administração</w:t>
      </w:r>
      <w:r w:rsidRPr="00AC1C56">
        <w:rPr>
          <w:rFonts w:ascii="Bookman Old Style" w:eastAsia="Times New Roman" w:hAnsi="Bookman Old Style" w:cs="Times New Roman"/>
          <w:sz w:val="24"/>
          <w:szCs w:val="24"/>
          <w:lang w:eastAsia="pt-BR"/>
        </w:rPr>
        <w:t>.</w:t>
      </w:r>
    </w:p>
    <w:p w14:paraId="692939D1"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4.3. DO RECEBIMENTO DOS BENS E SERVIÇOS</w:t>
      </w:r>
    </w:p>
    <w:p w14:paraId="6D9C001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4.3.1.</w:t>
      </w:r>
      <w:r w:rsidRPr="00AC1C56">
        <w:rPr>
          <w:rFonts w:ascii="Bookman Old Style" w:eastAsia="Times New Roman" w:hAnsi="Bookman Old Style" w:cs="Times New Roman"/>
          <w:sz w:val="24"/>
          <w:szCs w:val="24"/>
          <w:lang w:eastAsia="pt-BR"/>
        </w:rPr>
        <w:t xml:space="preserve"> O recebimento dos equipamentos e serviços observará as condições previstas neste Termo de Referência e na legislação aplicável, sem prejuízo da realização das verificações necessárias pela fiscalização contratual.</w:t>
      </w:r>
    </w:p>
    <w:p w14:paraId="14BC1AD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4.3.2.</w:t>
      </w:r>
      <w:r w:rsidRPr="00AC1C56">
        <w:rPr>
          <w:rFonts w:ascii="Bookman Old Style" w:eastAsia="Times New Roman" w:hAnsi="Bookman Old Style" w:cs="Times New Roman"/>
          <w:sz w:val="24"/>
          <w:szCs w:val="24"/>
          <w:lang w:eastAsia="pt-BR"/>
        </w:rPr>
        <w:t xml:space="preserve"> O </w:t>
      </w:r>
      <w:r w:rsidRPr="00AC1C56">
        <w:rPr>
          <w:rFonts w:ascii="Bookman Old Style" w:eastAsia="Times New Roman" w:hAnsi="Bookman Old Style" w:cs="Times New Roman"/>
          <w:b/>
          <w:bCs/>
          <w:sz w:val="24"/>
          <w:szCs w:val="24"/>
          <w:lang w:eastAsia="pt-BR"/>
        </w:rPr>
        <w:t>recebimento provisório</w:t>
      </w:r>
      <w:r w:rsidRPr="00AC1C56">
        <w:rPr>
          <w:rFonts w:ascii="Bookman Old Style" w:eastAsia="Times New Roman" w:hAnsi="Bookman Old Style" w:cs="Times New Roman"/>
          <w:sz w:val="24"/>
          <w:szCs w:val="24"/>
          <w:lang w:eastAsia="pt-BR"/>
        </w:rPr>
        <w:t xml:space="preserve"> será realizado após a entrega dos equipamentos e/ou conclusão dos serviços, mediante conferência inicial dos quantitativos, integridade aparente e correspondência com os itens contratados.</w:t>
      </w:r>
    </w:p>
    <w:p w14:paraId="0F5DA11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4.3.3.</w:t>
      </w:r>
      <w:r w:rsidRPr="00AC1C56">
        <w:rPr>
          <w:rFonts w:ascii="Bookman Old Style" w:eastAsia="Times New Roman" w:hAnsi="Bookman Old Style" w:cs="Times New Roman"/>
          <w:sz w:val="24"/>
          <w:szCs w:val="24"/>
          <w:lang w:eastAsia="pt-BR"/>
        </w:rPr>
        <w:t xml:space="preserve"> O </w:t>
      </w:r>
      <w:r w:rsidRPr="00AC1C56">
        <w:rPr>
          <w:rFonts w:ascii="Bookman Old Style" w:eastAsia="Times New Roman" w:hAnsi="Bookman Old Style" w:cs="Times New Roman"/>
          <w:b/>
          <w:bCs/>
          <w:sz w:val="24"/>
          <w:szCs w:val="24"/>
          <w:lang w:eastAsia="pt-BR"/>
        </w:rPr>
        <w:t>recebimento definitivo</w:t>
      </w:r>
      <w:r w:rsidRPr="00AC1C56">
        <w:rPr>
          <w:rFonts w:ascii="Bookman Old Style" w:eastAsia="Times New Roman" w:hAnsi="Bookman Old Style" w:cs="Times New Roman"/>
          <w:sz w:val="24"/>
          <w:szCs w:val="24"/>
          <w:lang w:eastAsia="pt-BR"/>
        </w:rPr>
        <w:t xml:space="preserve"> ficará condicionado à verificação da conformidade dos equipamentos e serviços com as especificações estabelecidas, incluindo, conforme aplicável, características técnicas, integridade física, instalação, configuração, compatibilidade e adequado funcionamento.</w:t>
      </w:r>
    </w:p>
    <w:p w14:paraId="15F8B43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4.3.4.</w:t>
      </w:r>
      <w:r w:rsidRPr="00AC1C56">
        <w:rPr>
          <w:rFonts w:ascii="Bookman Old Style" w:eastAsia="Times New Roman" w:hAnsi="Bookman Old Style" w:cs="Times New Roman"/>
          <w:sz w:val="24"/>
          <w:szCs w:val="24"/>
          <w:lang w:eastAsia="pt-BR"/>
        </w:rPr>
        <w:t xml:space="preserve"> A Administração poderá realizar </w:t>
      </w:r>
      <w:r w:rsidRPr="00AC1C56">
        <w:rPr>
          <w:rFonts w:ascii="Bookman Old Style" w:eastAsia="Times New Roman" w:hAnsi="Bookman Old Style" w:cs="Times New Roman"/>
          <w:b/>
          <w:bCs/>
          <w:sz w:val="24"/>
          <w:szCs w:val="24"/>
          <w:lang w:eastAsia="pt-BR"/>
        </w:rPr>
        <w:t>testes de funcionamento e compatibilidade</w:t>
      </w:r>
      <w:r w:rsidRPr="00AC1C56">
        <w:rPr>
          <w:rFonts w:ascii="Bookman Old Style" w:eastAsia="Times New Roman" w:hAnsi="Bookman Old Style" w:cs="Times New Roman"/>
          <w:sz w:val="24"/>
          <w:szCs w:val="24"/>
          <w:lang w:eastAsia="pt-BR"/>
        </w:rPr>
        <w:t xml:space="preserve"> antes do recebimento definitivo, inclusive inicialização dos computadores, verificação do sistema operacional, funcionamento dos monitores e periféricos, conectividade, impressão, cópia, digitalização e demais testes pertinentes à natureza de cada item.</w:t>
      </w:r>
    </w:p>
    <w:p w14:paraId="012552F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4.3.5.</w:t>
      </w:r>
      <w:r w:rsidRPr="00AC1C56">
        <w:rPr>
          <w:rFonts w:ascii="Bookman Old Style" w:eastAsia="Times New Roman" w:hAnsi="Bookman Old Style" w:cs="Times New Roman"/>
          <w:sz w:val="24"/>
          <w:szCs w:val="24"/>
          <w:lang w:eastAsia="pt-BR"/>
        </w:rPr>
        <w:t xml:space="preserve"> A Administração poderá rejeitar, total ou parcialmente, os equipamentos ou serviços executados em desacordo com este Termo de Referência, com a proposta aceita ou com as demais condições da contratação.</w:t>
      </w:r>
    </w:p>
    <w:p w14:paraId="0FEC395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4.3.6.</w:t>
      </w:r>
      <w:r w:rsidRPr="00AC1C56">
        <w:rPr>
          <w:rFonts w:ascii="Bookman Old Style" w:eastAsia="Times New Roman" w:hAnsi="Bookman Old Style" w:cs="Times New Roman"/>
          <w:sz w:val="24"/>
          <w:szCs w:val="24"/>
          <w:lang w:eastAsia="pt-BR"/>
        </w:rPr>
        <w:t xml:space="preserve"> Constatada irregularidade, defeito, avaria, vício, incompatibilidade ou desconformidade, a Contratada será notificada para promover a </w:t>
      </w:r>
      <w:r w:rsidRPr="00AC1C56">
        <w:rPr>
          <w:rFonts w:ascii="Bookman Old Style" w:eastAsia="Times New Roman" w:hAnsi="Bookman Old Style" w:cs="Times New Roman"/>
          <w:b/>
          <w:bCs/>
          <w:sz w:val="24"/>
          <w:szCs w:val="24"/>
          <w:lang w:eastAsia="pt-BR"/>
        </w:rPr>
        <w:t>correção, complementação, reinstalação ou substituição</w:t>
      </w:r>
      <w:r w:rsidRPr="00AC1C56">
        <w:rPr>
          <w:rFonts w:ascii="Bookman Old Style" w:eastAsia="Times New Roman" w:hAnsi="Bookman Old Style" w:cs="Times New Roman"/>
          <w:sz w:val="24"/>
          <w:szCs w:val="24"/>
          <w:lang w:eastAsia="pt-BR"/>
        </w:rPr>
        <w:t xml:space="preserve">, conforme o caso, no prazo máximo de </w:t>
      </w:r>
      <w:r w:rsidRPr="00AC1C56">
        <w:rPr>
          <w:rFonts w:ascii="Bookman Old Style" w:eastAsia="Times New Roman" w:hAnsi="Bookman Old Style" w:cs="Times New Roman"/>
          <w:b/>
          <w:bCs/>
          <w:sz w:val="24"/>
          <w:szCs w:val="24"/>
          <w:lang w:eastAsia="pt-BR"/>
        </w:rPr>
        <w:t>10 (dez) dias úteis</w:t>
      </w:r>
      <w:r w:rsidRPr="00AC1C56">
        <w:rPr>
          <w:rFonts w:ascii="Bookman Old Style" w:eastAsia="Times New Roman" w:hAnsi="Bookman Old Style" w:cs="Times New Roman"/>
          <w:sz w:val="24"/>
          <w:szCs w:val="24"/>
          <w:lang w:eastAsia="pt-BR"/>
        </w:rPr>
        <w:t>, contado do recebimento da notificação, salvo prazo diverso expressamente autorizado pela Administração em razão da natureza da providência necessária.</w:t>
      </w:r>
    </w:p>
    <w:p w14:paraId="7460FBF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4.3.7.</w:t>
      </w:r>
      <w:r w:rsidRPr="00AC1C56">
        <w:rPr>
          <w:rFonts w:ascii="Bookman Old Style" w:eastAsia="Times New Roman" w:hAnsi="Bookman Old Style" w:cs="Times New Roman"/>
          <w:sz w:val="24"/>
          <w:szCs w:val="24"/>
          <w:lang w:eastAsia="pt-BR"/>
        </w:rPr>
        <w:t xml:space="preserve"> Todas as providências necessárias à regularização deverão ocorrer </w:t>
      </w:r>
      <w:r w:rsidRPr="00AC1C56">
        <w:rPr>
          <w:rFonts w:ascii="Bookman Old Style" w:eastAsia="Times New Roman" w:hAnsi="Bookman Old Style" w:cs="Times New Roman"/>
          <w:b/>
          <w:bCs/>
          <w:sz w:val="24"/>
          <w:szCs w:val="24"/>
          <w:lang w:eastAsia="pt-BR"/>
        </w:rPr>
        <w:t>sem custos adicionais para a Câmara Municipal</w:t>
      </w:r>
      <w:r w:rsidRPr="00AC1C56">
        <w:rPr>
          <w:rFonts w:ascii="Bookman Old Style" w:eastAsia="Times New Roman" w:hAnsi="Bookman Old Style" w:cs="Times New Roman"/>
          <w:sz w:val="24"/>
          <w:szCs w:val="24"/>
          <w:lang w:eastAsia="pt-BR"/>
        </w:rPr>
        <w:t>.</w:t>
      </w:r>
    </w:p>
    <w:p w14:paraId="47AE7ED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4.3.8.</w:t>
      </w:r>
      <w:r w:rsidRPr="00AC1C56">
        <w:rPr>
          <w:rFonts w:ascii="Bookman Old Style" w:eastAsia="Times New Roman" w:hAnsi="Bookman Old Style" w:cs="Times New Roman"/>
          <w:sz w:val="24"/>
          <w:szCs w:val="24"/>
          <w:lang w:eastAsia="pt-BR"/>
        </w:rPr>
        <w:t xml:space="preserve"> O recebimento provisório ou definitivo não exclui a responsabilidade da Contratada pela qualidade, segurança, garantia e adequado funcionamento dos equipamentos e serviços, nos limites estabelecidos na contratação e na legislação aplicável.</w:t>
      </w:r>
    </w:p>
    <w:p w14:paraId="0C44F35F"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4.4. DAS OBRIGAÇÕES DA CONTRATADA</w:t>
      </w:r>
    </w:p>
    <w:p w14:paraId="4C39414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4.4.1.</w:t>
      </w:r>
      <w:r w:rsidRPr="00AC1C56">
        <w:rPr>
          <w:rFonts w:ascii="Bookman Old Style" w:eastAsia="Times New Roman" w:hAnsi="Bookman Old Style" w:cs="Times New Roman"/>
          <w:sz w:val="24"/>
          <w:szCs w:val="24"/>
          <w:lang w:eastAsia="pt-BR"/>
        </w:rPr>
        <w:t xml:space="preserve"> Cumprir integralmente o objeto contratado, observando os prazos, especificações técnicas, quantidades e demais condições estabelecidas neste Termo de Referência e na proposta aceita.</w:t>
      </w:r>
    </w:p>
    <w:p w14:paraId="4B8927D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4.4.2.</w:t>
      </w:r>
      <w:r w:rsidRPr="00AC1C56">
        <w:rPr>
          <w:rFonts w:ascii="Bookman Old Style" w:eastAsia="Times New Roman" w:hAnsi="Bookman Old Style" w:cs="Times New Roman"/>
          <w:sz w:val="24"/>
          <w:szCs w:val="24"/>
          <w:lang w:eastAsia="pt-BR"/>
        </w:rPr>
        <w:t xml:space="preserve"> Fornecer todos os equipamentos </w:t>
      </w:r>
      <w:r w:rsidRPr="00AC1C56">
        <w:rPr>
          <w:rFonts w:ascii="Bookman Old Style" w:eastAsia="Times New Roman" w:hAnsi="Bookman Old Style" w:cs="Times New Roman"/>
          <w:b/>
          <w:bCs/>
          <w:sz w:val="24"/>
          <w:szCs w:val="24"/>
          <w:lang w:eastAsia="pt-BR"/>
        </w:rPr>
        <w:t xml:space="preserve">novos, de primeiro uso, não recondicionados e não </w:t>
      </w:r>
      <w:proofErr w:type="spellStart"/>
      <w:r w:rsidRPr="00AC1C56">
        <w:rPr>
          <w:rFonts w:ascii="Bookman Old Style" w:eastAsia="Times New Roman" w:hAnsi="Bookman Old Style" w:cs="Times New Roman"/>
          <w:b/>
          <w:bCs/>
          <w:sz w:val="24"/>
          <w:szCs w:val="24"/>
          <w:lang w:eastAsia="pt-BR"/>
        </w:rPr>
        <w:t>remanufaturados</w:t>
      </w:r>
      <w:proofErr w:type="spellEnd"/>
      <w:r w:rsidRPr="00AC1C56">
        <w:rPr>
          <w:rFonts w:ascii="Bookman Old Style" w:eastAsia="Times New Roman" w:hAnsi="Bookman Old Style" w:cs="Times New Roman"/>
          <w:sz w:val="24"/>
          <w:szCs w:val="24"/>
          <w:lang w:eastAsia="pt-BR"/>
        </w:rPr>
        <w:t>, em linha normal de produção e comercialização, conforme as especificações de cada item.</w:t>
      </w:r>
    </w:p>
    <w:p w14:paraId="67CB2D89"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4.4.3.</w:t>
      </w:r>
      <w:r w:rsidRPr="00AC1C56">
        <w:rPr>
          <w:rFonts w:ascii="Bookman Old Style" w:eastAsia="Times New Roman" w:hAnsi="Bookman Old Style" w:cs="Times New Roman"/>
          <w:sz w:val="24"/>
          <w:szCs w:val="24"/>
          <w:lang w:eastAsia="pt-BR"/>
        </w:rPr>
        <w:t xml:space="preserve"> Responsabilizar-se integralmente pelo transporte, frete, seguro, embalagem, manuseio, descarregamento, montagem, instalação, configuração e testes dos equipamentos, quando aplicáveis.</w:t>
      </w:r>
    </w:p>
    <w:p w14:paraId="789EE25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4.4.4.</w:t>
      </w:r>
      <w:r w:rsidRPr="00AC1C56">
        <w:rPr>
          <w:rFonts w:ascii="Bookman Old Style" w:eastAsia="Times New Roman" w:hAnsi="Bookman Old Style" w:cs="Times New Roman"/>
          <w:sz w:val="24"/>
          <w:szCs w:val="24"/>
          <w:lang w:eastAsia="pt-BR"/>
        </w:rPr>
        <w:t xml:space="preserve"> Executar os serviços de formatação e instalação com pessoal tecnicamente capacitado e com os equipamentos, ferramentas e demais recursos necessários à adequada execução.</w:t>
      </w:r>
    </w:p>
    <w:p w14:paraId="025D3FC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4.4.5.</w:t>
      </w:r>
      <w:r w:rsidRPr="00AC1C56">
        <w:rPr>
          <w:rFonts w:ascii="Bookman Old Style" w:eastAsia="Times New Roman" w:hAnsi="Bookman Old Style" w:cs="Times New Roman"/>
          <w:sz w:val="24"/>
          <w:szCs w:val="24"/>
          <w:lang w:eastAsia="pt-BR"/>
        </w:rPr>
        <w:t xml:space="preserve"> Substituir ou regularizar, às suas expensas, os equipamentos que apresentarem defeitos, avarias, vícios ou desconformidades com as especificações estabelecidas.</w:t>
      </w:r>
    </w:p>
    <w:p w14:paraId="4E657769"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4.4.6.</w:t>
      </w:r>
      <w:r w:rsidRPr="00AC1C56">
        <w:rPr>
          <w:rFonts w:ascii="Bookman Old Style" w:eastAsia="Times New Roman" w:hAnsi="Bookman Old Style" w:cs="Times New Roman"/>
          <w:sz w:val="24"/>
          <w:szCs w:val="24"/>
          <w:lang w:eastAsia="pt-BR"/>
        </w:rPr>
        <w:t xml:space="preserve"> Manter </w:t>
      </w:r>
      <w:r w:rsidRPr="00AC1C56">
        <w:rPr>
          <w:rFonts w:ascii="Bookman Old Style" w:eastAsia="Times New Roman" w:hAnsi="Bookman Old Style" w:cs="Times New Roman"/>
          <w:b/>
          <w:bCs/>
          <w:sz w:val="24"/>
          <w:szCs w:val="24"/>
          <w:lang w:eastAsia="pt-BR"/>
        </w:rPr>
        <w:t>sigilo e confidencialidade</w:t>
      </w:r>
      <w:r w:rsidRPr="00AC1C56">
        <w:rPr>
          <w:rFonts w:ascii="Bookman Old Style" w:eastAsia="Times New Roman" w:hAnsi="Bookman Old Style" w:cs="Times New Roman"/>
          <w:sz w:val="24"/>
          <w:szCs w:val="24"/>
          <w:lang w:eastAsia="pt-BR"/>
        </w:rPr>
        <w:t xml:space="preserve"> sobre dados, documentos, arquivos, credenciais e demais informações institucionais às quais seus empregados ou prepostos eventualmente tenham acesso durante a execução dos serviços.</w:t>
      </w:r>
    </w:p>
    <w:p w14:paraId="25A2CC1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4.4.7.</w:t>
      </w:r>
      <w:r w:rsidRPr="00AC1C56">
        <w:rPr>
          <w:rFonts w:ascii="Bookman Old Style" w:eastAsia="Times New Roman" w:hAnsi="Bookman Old Style" w:cs="Times New Roman"/>
          <w:sz w:val="24"/>
          <w:szCs w:val="24"/>
          <w:lang w:eastAsia="pt-BR"/>
        </w:rPr>
        <w:t xml:space="preserve"> Não copiar, armazenar, divulgar, compartilhar ou utilizar informações da Câmara Municipal para finalidade diversa da estritamente necessária à execução do objeto.</w:t>
      </w:r>
    </w:p>
    <w:p w14:paraId="717D64A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4.4.8.</w:t>
      </w:r>
      <w:r w:rsidRPr="00AC1C56">
        <w:rPr>
          <w:rFonts w:ascii="Bookman Old Style" w:eastAsia="Times New Roman" w:hAnsi="Bookman Old Style" w:cs="Times New Roman"/>
          <w:sz w:val="24"/>
          <w:szCs w:val="24"/>
          <w:lang w:eastAsia="pt-BR"/>
        </w:rPr>
        <w:t xml:space="preserve"> Responsabilizar-se pelos danos causados diretamente à Administração ou a terceiros em decorrência de ação ou omissão imputável à Contratada, seus empregados ou prepostos durante a execução contratual, observada a legislação aplicável.</w:t>
      </w:r>
    </w:p>
    <w:p w14:paraId="728A4422"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4.4.9.</w:t>
      </w:r>
      <w:r w:rsidRPr="00AC1C56">
        <w:rPr>
          <w:rFonts w:ascii="Bookman Old Style" w:eastAsia="Times New Roman" w:hAnsi="Bookman Old Style" w:cs="Times New Roman"/>
          <w:sz w:val="24"/>
          <w:szCs w:val="24"/>
          <w:lang w:eastAsia="pt-BR"/>
        </w:rPr>
        <w:t xml:space="preserve"> Manter, durante a execução da contratação, as condições de habilitação e qualificação exigidas para a contratação, quando aplicável.</w:t>
      </w:r>
    </w:p>
    <w:p w14:paraId="3D64CFD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4.4.10.</w:t>
      </w:r>
      <w:r w:rsidRPr="00AC1C56">
        <w:rPr>
          <w:rFonts w:ascii="Bookman Old Style" w:eastAsia="Times New Roman" w:hAnsi="Bookman Old Style" w:cs="Times New Roman"/>
          <w:sz w:val="24"/>
          <w:szCs w:val="24"/>
          <w:lang w:eastAsia="pt-BR"/>
        </w:rPr>
        <w:t xml:space="preserve"> Comunicar imediatamente à Administração qualquer ocorrência que possa comprometer ou retardar o cumprimento do objeto, apresentando as respectivas justificativas e providências adotadas.</w:t>
      </w:r>
    </w:p>
    <w:p w14:paraId="5F86AFA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4.4.11.</w:t>
      </w:r>
      <w:r w:rsidRPr="00AC1C56">
        <w:rPr>
          <w:rFonts w:ascii="Bookman Old Style" w:eastAsia="Times New Roman" w:hAnsi="Bookman Old Style" w:cs="Times New Roman"/>
          <w:sz w:val="24"/>
          <w:szCs w:val="24"/>
          <w:lang w:eastAsia="pt-BR"/>
        </w:rPr>
        <w:t xml:space="preserve"> Fornecer os manuais, termos ou certificados de garantia, licenças e demais documentos necessários à utilização dos equipamentos, quando aplicáveis.</w:t>
      </w:r>
    </w:p>
    <w:p w14:paraId="4D0D116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4.4.12.</w:t>
      </w:r>
      <w:r w:rsidRPr="00AC1C56">
        <w:rPr>
          <w:rFonts w:ascii="Bookman Old Style" w:eastAsia="Times New Roman" w:hAnsi="Bookman Old Style" w:cs="Times New Roman"/>
          <w:sz w:val="24"/>
          <w:szCs w:val="24"/>
          <w:lang w:eastAsia="pt-BR"/>
        </w:rPr>
        <w:t xml:space="preserve"> Prestar as informações e o suporte necessários para o acionamento da garantia durante o respectivo período.</w:t>
      </w:r>
    </w:p>
    <w:p w14:paraId="09625D31"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4.4.13.</w:t>
      </w:r>
      <w:r w:rsidRPr="00AC1C56">
        <w:rPr>
          <w:rFonts w:ascii="Bookman Old Style" w:eastAsia="Times New Roman" w:hAnsi="Bookman Old Style" w:cs="Times New Roman"/>
          <w:sz w:val="24"/>
          <w:szCs w:val="24"/>
          <w:lang w:eastAsia="pt-BR"/>
        </w:rPr>
        <w:t xml:space="preserve"> Cumprir as determinações e orientações emitidas pelo fiscal ou gestor da contratação relacionadas à adequada execução do objeto, desde que compatíveis com as obrigações estabelecidas.</w:t>
      </w:r>
    </w:p>
    <w:p w14:paraId="1D9DC512"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4.5. DAS OBRIGAÇÕES DA CONTRATANTE</w:t>
      </w:r>
    </w:p>
    <w:p w14:paraId="489DF3B8"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4.5.1.</w:t>
      </w:r>
      <w:r w:rsidRPr="00AC1C56">
        <w:rPr>
          <w:rFonts w:ascii="Bookman Old Style" w:eastAsia="Times New Roman" w:hAnsi="Bookman Old Style" w:cs="Times New Roman"/>
          <w:sz w:val="24"/>
          <w:szCs w:val="24"/>
          <w:lang w:eastAsia="pt-BR"/>
        </w:rPr>
        <w:t xml:space="preserve"> Proporcionar as condições necessárias para que a Contratada possa realizar a entrega, instalação e execução dos serviços nas condições estabelecidas.</w:t>
      </w:r>
    </w:p>
    <w:p w14:paraId="6E9BABD0"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4.5.2.</w:t>
      </w:r>
      <w:r w:rsidRPr="00AC1C56">
        <w:rPr>
          <w:rFonts w:ascii="Bookman Old Style" w:eastAsia="Times New Roman" w:hAnsi="Bookman Old Style" w:cs="Times New Roman"/>
          <w:sz w:val="24"/>
          <w:szCs w:val="24"/>
          <w:lang w:eastAsia="pt-BR"/>
        </w:rPr>
        <w:t xml:space="preserve"> Disponibilizar acesso aos locais, equipamentos e recursos necessários à instalação e à execução dos serviços, quando aplicável.</w:t>
      </w:r>
    </w:p>
    <w:p w14:paraId="651B3FD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lastRenderedPageBreak/>
        <w:t>4.5.3.</w:t>
      </w:r>
      <w:r w:rsidRPr="00AC1C56">
        <w:rPr>
          <w:rFonts w:ascii="Bookman Old Style" w:eastAsia="Times New Roman" w:hAnsi="Bookman Old Style" w:cs="Times New Roman"/>
          <w:sz w:val="24"/>
          <w:szCs w:val="24"/>
          <w:lang w:eastAsia="pt-BR"/>
        </w:rPr>
        <w:t xml:space="preserve"> Receber e conferir os equipamentos e serviços, verificando sua conformidade com as especificações e condições estabelecidas.</w:t>
      </w:r>
    </w:p>
    <w:p w14:paraId="616C65D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4.5.4.</w:t>
      </w:r>
      <w:r w:rsidRPr="00AC1C56">
        <w:rPr>
          <w:rFonts w:ascii="Bookman Old Style" w:eastAsia="Times New Roman" w:hAnsi="Bookman Old Style" w:cs="Times New Roman"/>
          <w:sz w:val="24"/>
          <w:szCs w:val="24"/>
          <w:lang w:eastAsia="pt-BR"/>
        </w:rPr>
        <w:t xml:space="preserve"> Acompanhar e fiscalizar a execução contratual por intermédio dos servidores formalmente designados.</w:t>
      </w:r>
    </w:p>
    <w:p w14:paraId="168B709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4.5.5.</w:t>
      </w:r>
      <w:r w:rsidRPr="00AC1C56">
        <w:rPr>
          <w:rFonts w:ascii="Bookman Old Style" w:eastAsia="Times New Roman" w:hAnsi="Bookman Old Style" w:cs="Times New Roman"/>
          <w:sz w:val="24"/>
          <w:szCs w:val="24"/>
          <w:lang w:eastAsia="pt-BR"/>
        </w:rPr>
        <w:t xml:space="preserve"> Comunicar formalmente à </w:t>
      </w:r>
      <w:proofErr w:type="gramStart"/>
      <w:r w:rsidRPr="00AC1C56">
        <w:rPr>
          <w:rFonts w:ascii="Bookman Old Style" w:eastAsia="Times New Roman" w:hAnsi="Bookman Old Style" w:cs="Times New Roman"/>
          <w:sz w:val="24"/>
          <w:szCs w:val="24"/>
          <w:lang w:eastAsia="pt-BR"/>
        </w:rPr>
        <w:t>Contratada eventuais defeitos</w:t>
      </w:r>
      <w:proofErr w:type="gramEnd"/>
      <w:r w:rsidRPr="00AC1C56">
        <w:rPr>
          <w:rFonts w:ascii="Bookman Old Style" w:eastAsia="Times New Roman" w:hAnsi="Bookman Old Style" w:cs="Times New Roman"/>
          <w:sz w:val="24"/>
          <w:szCs w:val="24"/>
          <w:lang w:eastAsia="pt-BR"/>
        </w:rPr>
        <w:t>, irregularidades ou desconformidades identificadas, estabelecendo prazo para regularização quando cabível.</w:t>
      </w:r>
    </w:p>
    <w:p w14:paraId="7E6B7DB6"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4.5.6.</w:t>
      </w:r>
      <w:r w:rsidRPr="00AC1C56">
        <w:rPr>
          <w:rFonts w:ascii="Bookman Old Style" w:eastAsia="Times New Roman" w:hAnsi="Bookman Old Style" w:cs="Times New Roman"/>
          <w:sz w:val="24"/>
          <w:szCs w:val="24"/>
          <w:lang w:eastAsia="pt-BR"/>
        </w:rPr>
        <w:t xml:space="preserve"> Fornecer, quando necessário à execução dos serviços de formatação, as </w:t>
      </w:r>
      <w:r w:rsidRPr="00AC1C56">
        <w:rPr>
          <w:rFonts w:ascii="Bookman Old Style" w:eastAsia="Times New Roman" w:hAnsi="Bookman Old Style" w:cs="Times New Roman"/>
          <w:b/>
          <w:bCs/>
          <w:sz w:val="24"/>
          <w:szCs w:val="24"/>
          <w:lang w:eastAsia="pt-BR"/>
        </w:rPr>
        <w:t>licenças, instaladores, credenciais e demais informações institucionais</w:t>
      </w:r>
      <w:r w:rsidRPr="00AC1C56">
        <w:rPr>
          <w:rFonts w:ascii="Bookman Old Style" w:eastAsia="Times New Roman" w:hAnsi="Bookman Old Style" w:cs="Times New Roman"/>
          <w:sz w:val="24"/>
          <w:szCs w:val="24"/>
          <w:lang w:eastAsia="pt-BR"/>
        </w:rPr>
        <w:t xml:space="preserve"> cuja disponibilização seja de responsabilidade da Administração.</w:t>
      </w:r>
    </w:p>
    <w:p w14:paraId="7CC2B10A"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4.5.7.</w:t>
      </w:r>
      <w:r w:rsidRPr="00AC1C56">
        <w:rPr>
          <w:rFonts w:ascii="Bookman Old Style" w:eastAsia="Times New Roman" w:hAnsi="Bookman Old Style" w:cs="Times New Roman"/>
          <w:sz w:val="24"/>
          <w:szCs w:val="24"/>
          <w:lang w:eastAsia="pt-BR"/>
        </w:rPr>
        <w:t xml:space="preserve"> Efetuar o pagamento devido à Contratada após o cumprimento das condições estabelecidas para o recebimento e mediante apresentação da documentação fiscal correspondente, observados os prazos e procedimentos previstos na contratação.</w:t>
      </w:r>
    </w:p>
    <w:p w14:paraId="540ECBA3"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4.5.8.</w:t>
      </w:r>
      <w:r w:rsidRPr="00AC1C56">
        <w:rPr>
          <w:rFonts w:ascii="Bookman Old Style" w:eastAsia="Times New Roman" w:hAnsi="Bookman Old Style" w:cs="Times New Roman"/>
          <w:sz w:val="24"/>
          <w:szCs w:val="24"/>
          <w:lang w:eastAsia="pt-BR"/>
        </w:rPr>
        <w:t xml:space="preserve"> Rejeitar equipamentos ou serviços que não atendam às condições e especificações estabelecidas, exigindo sua regularização nos termos deste Termo de Referência.</w:t>
      </w:r>
    </w:p>
    <w:p w14:paraId="56A7018F" w14:textId="77777777" w:rsidR="00AC1C56" w:rsidRPr="00AC1C56" w:rsidRDefault="00AC1C56" w:rsidP="00AC1C56">
      <w:pPr>
        <w:spacing w:after="0"/>
        <w:jc w:val="both"/>
        <w:outlineLvl w:val="2"/>
        <w:rPr>
          <w:rFonts w:ascii="Bookman Old Style" w:eastAsia="Times New Roman" w:hAnsi="Bookman Old Style" w:cs="Times New Roman"/>
          <w:b/>
          <w:bCs/>
          <w:sz w:val="24"/>
          <w:szCs w:val="24"/>
          <w:lang w:eastAsia="pt-BR"/>
        </w:rPr>
      </w:pPr>
      <w:r w:rsidRPr="00AC1C56">
        <w:rPr>
          <w:rFonts w:ascii="Bookman Old Style" w:eastAsia="Times New Roman" w:hAnsi="Bookman Old Style" w:cs="Times New Roman"/>
          <w:b/>
          <w:bCs/>
          <w:sz w:val="24"/>
          <w:szCs w:val="24"/>
          <w:lang w:eastAsia="pt-BR"/>
        </w:rPr>
        <w:t>4.6. DA GARANTIA DOS EQUIPAMENTOS</w:t>
      </w:r>
    </w:p>
    <w:p w14:paraId="5FF3A08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4.6.1.</w:t>
      </w:r>
      <w:r w:rsidRPr="00AC1C56">
        <w:rPr>
          <w:rFonts w:ascii="Bookman Old Style" w:eastAsia="Times New Roman" w:hAnsi="Bookman Old Style" w:cs="Times New Roman"/>
          <w:sz w:val="24"/>
          <w:szCs w:val="24"/>
          <w:lang w:eastAsia="pt-BR"/>
        </w:rPr>
        <w:t xml:space="preserve"> Todos os equipamentos deverão possuir garantia mínima de </w:t>
      </w:r>
      <w:r w:rsidRPr="00AC1C56">
        <w:rPr>
          <w:rFonts w:ascii="Bookman Old Style" w:eastAsia="Times New Roman" w:hAnsi="Bookman Old Style" w:cs="Times New Roman"/>
          <w:b/>
          <w:bCs/>
          <w:sz w:val="24"/>
          <w:szCs w:val="24"/>
          <w:lang w:eastAsia="pt-BR"/>
        </w:rPr>
        <w:t>12 (doze) meses</w:t>
      </w:r>
      <w:r w:rsidRPr="00AC1C56">
        <w:rPr>
          <w:rFonts w:ascii="Bookman Old Style" w:eastAsia="Times New Roman" w:hAnsi="Bookman Old Style" w:cs="Times New Roman"/>
          <w:sz w:val="24"/>
          <w:szCs w:val="24"/>
          <w:lang w:eastAsia="pt-BR"/>
        </w:rPr>
        <w:t>, contados do recebimento definitivo, salvo quando prazo superior estiver expressamente previsto na especificação do respectivo item ou for oferecido pelo fabricante ou fornecedor.</w:t>
      </w:r>
    </w:p>
    <w:p w14:paraId="2061D26E"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4.6.2.</w:t>
      </w:r>
      <w:r w:rsidRPr="00AC1C56">
        <w:rPr>
          <w:rFonts w:ascii="Bookman Old Style" w:eastAsia="Times New Roman" w:hAnsi="Bookman Old Style" w:cs="Times New Roman"/>
          <w:sz w:val="24"/>
          <w:szCs w:val="24"/>
          <w:lang w:eastAsia="pt-BR"/>
        </w:rPr>
        <w:t xml:space="preserve"> Durante o período de garantia, os defeitos de fabricação e demais ocorrências abrangidas deverão ser </w:t>
      </w:r>
      <w:proofErr w:type="gramStart"/>
      <w:r w:rsidRPr="00AC1C56">
        <w:rPr>
          <w:rFonts w:ascii="Bookman Old Style" w:eastAsia="Times New Roman" w:hAnsi="Bookman Old Style" w:cs="Times New Roman"/>
          <w:sz w:val="24"/>
          <w:szCs w:val="24"/>
          <w:lang w:eastAsia="pt-BR"/>
        </w:rPr>
        <w:t>solucionados</w:t>
      </w:r>
      <w:proofErr w:type="gramEnd"/>
      <w:r w:rsidRPr="00AC1C56">
        <w:rPr>
          <w:rFonts w:ascii="Bookman Old Style" w:eastAsia="Times New Roman" w:hAnsi="Bookman Old Style" w:cs="Times New Roman"/>
          <w:sz w:val="24"/>
          <w:szCs w:val="24"/>
          <w:lang w:eastAsia="pt-BR"/>
        </w:rPr>
        <w:t xml:space="preserve"> </w:t>
      </w:r>
      <w:r w:rsidRPr="00AC1C56">
        <w:rPr>
          <w:rFonts w:ascii="Bookman Old Style" w:eastAsia="Times New Roman" w:hAnsi="Bookman Old Style" w:cs="Times New Roman"/>
          <w:b/>
          <w:bCs/>
          <w:sz w:val="24"/>
          <w:szCs w:val="24"/>
          <w:lang w:eastAsia="pt-BR"/>
        </w:rPr>
        <w:t>sem ônus adicional para a Administração</w:t>
      </w:r>
      <w:r w:rsidRPr="00AC1C56">
        <w:rPr>
          <w:rFonts w:ascii="Bookman Old Style" w:eastAsia="Times New Roman" w:hAnsi="Bookman Old Style" w:cs="Times New Roman"/>
          <w:sz w:val="24"/>
          <w:szCs w:val="24"/>
          <w:lang w:eastAsia="pt-BR"/>
        </w:rPr>
        <w:t>, incluindo peças, componentes, mão de obra, transporte e deslocamentos necessários ao atendimento, conforme as condições da garantia aplicável.</w:t>
      </w:r>
    </w:p>
    <w:p w14:paraId="63D27DB5"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4.6.3.</w:t>
      </w:r>
      <w:r w:rsidRPr="00AC1C56">
        <w:rPr>
          <w:rFonts w:ascii="Bookman Old Style" w:eastAsia="Times New Roman" w:hAnsi="Bookman Old Style" w:cs="Times New Roman"/>
          <w:sz w:val="24"/>
          <w:szCs w:val="24"/>
          <w:lang w:eastAsia="pt-BR"/>
        </w:rPr>
        <w:t xml:space="preserve"> Quando o equipamento apresentar defeito abrangido pela garantia e não for possível sua adequada reparação, deverá ser promovida sua </w:t>
      </w:r>
      <w:r w:rsidRPr="00AC1C56">
        <w:rPr>
          <w:rFonts w:ascii="Bookman Old Style" w:eastAsia="Times New Roman" w:hAnsi="Bookman Old Style" w:cs="Times New Roman"/>
          <w:b/>
          <w:bCs/>
          <w:sz w:val="24"/>
          <w:szCs w:val="24"/>
          <w:lang w:eastAsia="pt-BR"/>
        </w:rPr>
        <w:t>substituição por equipamento novo, de características iguais, equivalentes ou superiores</w:t>
      </w:r>
      <w:r w:rsidRPr="00AC1C56">
        <w:rPr>
          <w:rFonts w:ascii="Bookman Old Style" w:eastAsia="Times New Roman" w:hAnsi="Bookman Old Style" w:cs="Times New Roman"/>
          <w:sz w:val="24"/>
          <w:szCs w:val="24"/>
          <w:lang w:eastAsia="pt-BR"/>
        </w:rPr>
        <w:t>, sem custos adicionais para a Câmara Municipal.</w:t>
      </w:r>
    </w:p>
    <w:p w14:paraId="1D2D67FD"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4.6.4.</w:t>
      </w:r>
      <w:r w:rsidRPr="00AC1C56">
        <w:rPr>
          <w:rFonts w:ascii="Bookman Old Style" w:eastAsia="Times New Roman" w:hAnsi="Bookman Old Style" w:cs="Times New Roman"/>
          <w:sz w:val="24"/>
          <w:szCs w:val="24"/>
          <w:lang w:eastAsia="pt-BR"/>
        </w:rPr>
        <w:t xml:space="preserve"> O equipamento fornecido em substituição deverá atender integralmente às especificações mínimas estabelecidas neste Termo de Referência e ser entregue em condições de pleno funcionamento.</w:t>
      </w:r>
    </w:p>
    <w:p w14:paraId="71FB2994" w14:textId="77777777" w:rsidR="00AC1C56" w:rsidRPr="00AC1C56" w:rsidRDefault="00AC1C56" w:rsidP="00AC1C56">
      <w:pPr>
        <w:spacing w:after="0"/>
        <w:jc w:val="both"/>
        <w:rPr>
          <w:rFonts w:ascii="Bookman Old Style" w:eastAsia="Times New Roman" w:hAnsi="Bookman Old Style" w:cs="Times New Roman"/>
          <w:sz w:val="24"/>
          <w:szCs w:val="24"/>
          <w:lang w:eastAsia="pt-BR"/>
        </w:rPr>
      </w:pPr>
      <w:r w:rsidRPr="00AC1C56">
        <w:rPr>
          <w:rFonts w:ascii="Bookman Old Style" w:eastAsia="Times New Roman" w:hAnsi="Bookman Old Style" w:cs="Times New Roman"/>
          <w:b/>
          <w:bCs/>
          <w:sz w:val="24"/>
          <w:szCs w:val="24"/>
          <w:lang w:eastAsia="pt-BR"/>
        </w:rPr>
        <w:t>4.6.5.</w:t>
      </w:r>
      <w:r w:rsidRPr="00AC1C56">
        <w:rPr>
          <w:rFonts w:ascii="Bookman Old Style" w:eastAsia="Times New Roman" w:hAnsi="Bookman Old Style" w:cs="Times New Roman"/>
          <w:sz w:val="24"/>
          <w:szCs w:val="24"/>
          <w:lang w:eastAsia="pt-BR"/>
        </w:rPr>
        <w:t xml:space="preserve"> A substituição integral de equipamento durante a garantia deverá ser formalmente registrada, aplicando-se ao bem substituto as condições de garantia previstas na legislação e nos instrumentos da contratação.</w:t>
      </w:r>
    </w:p>
    <w:p w14:paraId="4B76F658" w14:textId="77777777" w:rsidR="00AC1C56" w:rsidRPr="00AC1C56" w:rsidRDefault="00AC1C56" w:rsidP="00AC1C56">
      <w:pPr>
        <w:spacing w:after="0"/>
        <w:contextualSpacing/>
        <w:jc w:val="both"/>
        <w:rPr>
          <w:rFonts w:ascii="Bookman Old Style" w:eastAsia="MS Mincho" w:hAnsi="Bookman Old Style" w:cs="Calibri"/>
          <w:sz w:val="24"/>
          <w:szCs w:val="24"/>
        </w:rPr>
      </w:pPr>
    </w:p>
    <w:p w14:paraId="2DD5773F" w14:textId="77777777" w:rsidR="00AC1C56" w:rsidRPr="00AC1C56" w:rsidRDefault="00AC1C56" w:rsidP="00AC1C56">
      <w:pPr>
        <w:shd w:val="clear" w:color="auto" w:fill="D9D9D9"/>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5. MODELO DE GESTÃO DO CONTRATO (art. 6º, XXIII, alínea “f” da Lei nº 14.133/21)</w:t>
      </w:r>
    </w:p>
    <w:p w14:paraId="714C673A"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lastRenderedPageBreak/>
        <w:t>5.1.</w:t>
      </w:r>
      <w:r w:rsidRPr="00AC1C56">
        <w:rPr>
          <w:rFonts w:ascii="Bookman Old Style" w:eastAsia="MS Mincho" w:hAnsi="Bookman Old Style" w:cs="Calibri"/>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1B2116E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5.2.</w:t>
      </w:r>
      <w:r w:rsidRPr="00AC1C56">
        <w:rPr>
          <w:rFonts w:ascii="Bookman Old Style" w:eastAsia="MS Mincho" w:hAnsi="Bookman Old Style" w:cs="Calibri"/>
          <w:sz w:val="24"/>
          <w:szCs w:val="24"/>
        </w:rPr>
        <w:t xml:space="preserve"> Em caso de impedimento, ordem de paralisação ou suspensão do contrato, o cronograma de execução será prorrogado automaticamente pelo tempo correspondente, anotadas tais circunstâncias mediante simples </w:t>
      </w:r>
      <w:proofErr w:type="spellStart"/>
      <w:r w:rsidRPr="00AC1C56">
        <w:rPr>
          <w:rFonts w:ascii="Bookman Old Style" w:eastAsia="MS Mincho" w:hAnsi="Bookman Old Style" w:cs="Calibri"/>
          <w:sz w:val="24"/>
          <w:szCs w:val="24"/>
        </w:rPr>
        <w:t>apostilamento</w:t>
      </w:r>
      <w:proofErr w:type="spellEnd"/>
      <w:r w:rsidRPr="00AC1C56">
        <w:rPr>
          <w:rFonts w:ascii="Bookman Old Style" w:eastAsia="MS Mincho" w:hAnsi="Bookman Old Style" w:cs="Calibri"/>
          <w:sz w:val="24"/>
          <w:szCs w:val="24"/>
        </w:rPr>
        <w:t>.</w:t>
      </w:r>
    </w:p>
    <w:p w14:paraId="5F77847C"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5.3.</w:t>
      </w:r>
      <w:r w:rsidRPr="00AC1C56">
        <w:rPr>
          <w:rFonts w:ascii="Bookman Old Style" w:eastAsia="MS Mincho" w:hAnsi="Bookman Old Style" w:cs="Calibri"/>
          <w:sz w:val="24"/>
          <w:szCs w:val="24"/>
        </w:rPr>
        <w:t xml:space="preserve"> As comunicações entre o órgão ou entidade e a contratada devem ser realizadas por escrito sempre que o ato exigir tal formalidade, admitindo-se o uso de mensagem eletrônica para esse fim.</w:t>
      </w:r>
    </w:p>
    <w:p w14:paraId="07228595"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5.4.</w:t>
      </w:r>
      <w:r w:rsidRPr="00AC1C56">
        <w:rPr>
          <w:rFonts w:ascii="Bookman Old Style" w:eastAsia="MS Mincho" w:hAnsi="Bookman Old Style" w:cs="Calibri"/>
          <w:sz w:val="24"/>
          <w:szCs w:val="24"/>
        </w:rPr>
        <w:t xml:space="preserve"> O órgão ou entidade poderá convocar representante da empresa para adoção de providências que devam ser cumpridas de imediato.</w:t>
      </w:r>
    </w:p>
    <w:p w14:paraId="526B5442"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5.5.</w:t>
      </w:r>
      <w:r w:rsidRPr="00AC1C56">
        <w:rPr>
          <w:rFonts w:ascii="Bookman Old Style" w:eastAsia="MS Mincho" w:hAnsi="Bookman Old Style" w:cs="Calibri"/>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8C4B7A"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5.6. Da Fiscalização</w:t>
      </w:r>
    </w:p>
    <w:p w14:paraId="73388FE9"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5.6.1</w:t>
      </w:r>
      <w:r w:rsidRPr="00AC1C56">
        <w:rPr>
          <w:rFonts w:ascii="Bookman Old Style" w:eastAsia="MS Mincho" w:hAnsi="Bookman Old Style" w:cs="Calibri"/>
          <w:sz w:val="24"/>
          <w:szCs w:val="24"/>
        </w:rPr>
        <w:t xml:space="preserve"> A execução do contrato deverá ser acompanhada e fiscalizada </w:t>
      </w:r>
      <w:proofErr w:type="gramStart"/>
      <w:r w:rsidRPr="00AC1C56">
        <w:rPr>
          <w:rFonts w:ascii="Bookman Old Style" w:eastAsia="MS Mincho" w:hAnsi="Bookman Old Style" w:cs="Calibri"/>
          <w:sz w:val="24"/>
          <w:szCs w:val="24"/>
        </w:rPr>
        <w:t>pelo(</w:t>
      </w:r>
      <w:proofErr w:type="gramEnd"/>
      <w:r w:rsidRPr="00AC1C56">
        <w:rPr>
          <w:rFonts w:ascii="Bookman Old Style" w:eastAsia="MS Mincho" w:hAnsi="Bookman Old Style" w:cs="Calibri"/>
          <w:sz w:val="24"/>
          <w:szCs w:val="24"/>
        </w:rPr>
        <w:t>s) fiscal(</w:t>
      </w:r>
      <w:proofErr w:type="spellStart"/>
      <w:r w:rsidRPr="00AC1C56">
        <w:rPr>
          <w:rFonts w:ascii="Bookman Old Style" w:eastAsia="MS Mincho" w:hAnsi="Bookman Old Style" w:cs="Calibri"/>
          <w:sz w:val="24"/>
          <w:szCs w:val="24"/>
        </w:rPr>
        <w:t>is</w:t>
      </w:r>
      <w:proofErr w:type="spellEnd"/>
      <w:r w:rsidRPr="00AC1C56">
        <w:rPr>
          <w:rFonts w:ascii="Bookman Old Style" w:eastAsia="MS Mincho" w:hAnsi="Bookman Old Style" w:cs="Calibri"/>
          <w:sz w:val="24"/>
          <w:szCs w:val="24"/>
        </w:rPr>
        <w:t>) do contrato, ou pelos respectivos substitutos (</w:t>
      </w:r>
      <w:hyperlink r:id="rId13" w:anchor="art117">
        <w:r w:rsidRPr="00AC1C56">
          <w:rPr>
            <w:rFonts w:ascii="Bookman Old Style" w:eastAsia="MS Mincho" w:hAnsi="Bookman Old Style" w:cs="Calibri"/>
            <w:color w:val="0000FF"/>
            <w:sz w:val="24"/>
            <w:szCs w:val="24"/>
            <w:u w:val="single"/>
          </w:rPr>
          <w:t>Lei nº 14.133, de 2021, art. 117, caput</w:t>
        </w:r>
      </w:hyperlink>
      <w:r w:rsidRPr="00AC1C56">
        <w:rPr>
          <w:rFonts w:ascii="Bookman Old Style" w:eastAsia="MS Mincho" w:hAnsi="Bookman Old Style" w:cs="Calibri"/>
          <w:sz w:val="24"/>
          <w:szCs w:val="24"/>
        </w:rPr>
        <w:t>).</w:t>
      </w:r>
    </w:p>
    <w:p w14:paraId="5BF5E2F1"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5.7. Fiscalização Técnica</w:t>
      </w:r>
    </w:p>
    <w:p w14:paraId="031016CA"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5.7.1</w:t>
      </w:r>
      <w:r w:rsidRPr="00AC1C56">
        <w:rPr>
          <w:rFonts w:ascii="Bookman Old Style" w:eastAsia="MS Mincho" w:hAnsi="Bookman Old Style" w:cs="Calibri"/>
          <w:sz w:val="24"/>
          <w:szCs w:val="24"/>
        </w:rPr>
        <w:t xml:space="preserve"> O fiscal técnico do contrato acompanhará a execução do contrato, para que sejam cumpridas todas as condições estabelecidas, de modo a assegurar os melhores resultados para a Administração. </w:t>
      </w:r>
    </w:p>
    <w:p w14:paraId="1B46F1B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5.7.2</w:t>
      </w:r>
      <w:r w:rsidRPr="00AC1C56">
        <w:rPr>
          <w:rFonts w:ascii="Bookman Old Style" w:eastAsia="MS Mincho" w:hAnsi="Bookman Old Style" w:cs="Calibri"/>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r w:rsidRPr="00AC1C56">
          <w:rPr>
            <w:rFonts w:ascii="Bookman Old Style" w:eastAsia="MS Mincho" w:hAnsi="Bookman Old Style" w:cs="Calibri"/>
            <w:color w:val="0000FF"/>
            <w:sz w:val="24"/>
            <w:szCs w:val="24"/>
            <w:u w:val="single"/>
          </w:rPr>
          <w:t>Lei nº 14.133, de 2021, art. 117, §1º</w:t>
        </w:r>
      </w:hyperlink>
      <w:r w:rsidRPr="00AC1C56">
        <w:rPr>
          <w:rFonts w:ascii="Bookman Old Style" w:eastAsia="MS Mincho" w:hAnsi="Bookman Old Style" w:cs="Calibri"/>
          <w:sz w:val="24"/>
          <w:szCs w:val="24"/>
        </w:rPr>
        <w:t xml:space="preserve">) </w:t>
      </w:r>
    </w:p>
    <w:p w14:paraId="0BB2D086"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 xml:space="preserve">5.7.3 </w:t>
      </w:r>
      <w:r w:rsidRPr="00AC1C56">
        <w:rPr>
          <w:rFonts w:ascii="Bookman Old Style" w:eastAsia="MS Mincho" w:hAnsi="Bookman Old Style" w:cs="Calibri"/>
          <w:sz w:val="24"/>
          <w:szCs w:val="24"/>
        </w:rPr>
        <w:t>Identificada</w:t>
      </w:r>
      <w:proofErr w:type="gramEnd"/>
      <w:r w:rsidRPr="00AC1C56">
        <w:rPr>
          <w:rFonts w:ascii="Bookman Old Style" w:eastAsia="MS Mincho" w:hAnsi="Bookman Old Style" w:cs="Calibri"/>
          <w:sz w:val="24"/>
          <w:szCs w:val="24"/>
        </w:rPr>
        <w:t xml:space="preserve"> qualquer inexatidão ou irregularidade, o fiscal técnico do contrato emitirá notificações para a correção da execução do contrato, determinando prazo para a correção. </w:t>
      </w:r>
    </w:p>
    <w:p w14:paraId="65F65827"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5.7.4</w:t>
      </w:r>
      <w:r w:rsidRPr="00AC1C56">
        <w:rPr>
          <w:rFonts w:ascii="Bookman Old Style" w:eastAsia="MS Mincho" w:hAnsi="Bookman Old Style" w:cs="Calibri"/>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36A0C834"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5.7.5</w:t>
      </w:r>
      <w:r w:rsidRPr="00AC1C56">
        <w:rPr>
          <w:rFonts w:ascii="Bookman Old Style" w:eastAsia="MS Mincho" w:hAnsi="Bookman Old Style" w:cs="Calibri"/>
          <w:sz w:val="24"/>
          <w:szCs w:val="24"/>
        </w:rPr>
        <w:t xml:space="preserve"> No</w:t>
      </w:r>
      <w:proofErr w:type="gramEnd"/>
      <w:r w:rsidRPr="00AC1C56">
        <w:rPr>
          <w:rFonts w:ascii="Bookman Old Style" w:eastAsia="MS Mincho" w:hAnsi="Bookman Old Style" w:cs="Calibri"/>
          <w:sz w:val="24"/>
          <w:szCs w:val="24"/>
        </w:rPr>
        <w:t xml:space="preserve"> caso de ocorrências que possam inviabilizar a execução do contrato nas datas aprazadas, o fiscal técnico do contrato comunicará o fato imediatamente ao gestor do contrato. </w:t>
      </w:r>
    </w:p>
    <w:p w14:paraId="512D4C48"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5.7.6</w:t>
      </w:r>
      <w:r w:rsidRPr="00AC1C56">
        <w:rPr>
          <w:rFonts w:ascii="Bookman Old Style" w:eastAsia="MS Mincho" w:hAnsi="Bookman Old Style" w:cs="Calibri"/>
          <w:sz w:val="24"/>
          <w:szCs w:val="24"/>
        </w:rPr>
        <w:t xml:space="preserve"> O fiscal técnico do contrato comunicará ao gestor do contrato, em tempo hábil, o término do contrato sob sua responsabilidade, com vistas à renovação tempestiva ou à prorrogação contratual.</w:t>
      </w:r>
    </w:p>
    <w:p w14:paraId="51D43461" w14:textId="77777777" w:rsidR="00AC1C56" w:rsidRPr="00AC1C56" w:rsidRDefault="00AC1C56" w:rsidP="00AC1C56">
      <w:pPr>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lastRenderedPageBreak/>
        <w:t>5.8. Fiscalização Administrativa</w:t>
      </w:r>
    </w:p>
    <w:p w14:paraId="54EA5F5A"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5.8.1</w:t>
      </w:r>
      <w:r w:rsidRPr="00AC1C56">
        <w:rPr>
          <w:rFonts w:ascii="Bookman Old Style" w:eastAsia="MS Mincho" w:hAnsi="Bookman Old Style" w:cs="Calibri"/>
          <w:sz w:val="24"/>
          <w:szCs w:val="24"/>
        </w:rPr>
        <w:t xml:space="preserve"> O fiscal administrativo do contrato verificará a manutenção das condições de habilitação da contratada, acompanhará o empenho, o pagamento, as garantias, as glosas e a formalização de </w:t>
      </w:r>
      <w:proofErr w:type="spellStart"/>
      <w:r w:rsidRPr="00AC1C56">
        <w:rPr>
          <w:rFonts w:ascii="Bookman Old Style" w:eastAsia="MS Mincho" w:hAnsi="Bookman Old Style" w:cs="Calibri"/>
          <w:sz w:val="24"/>
          <w:szCs w:val="24"/>
        </w:rPr>
        <w:t>apostilamento</w:t>
      </w:r>
      <w:proofErr w:type="spellEnd"/>
      <w:r w:rsidRPr="00AC1C56">
        <w:rPr>
          <w:rFonts w:ascii="Bookman Old Style" w:eastAsia="MS Mincho" w:hAnsi="Bookman Old Style" w:cs="Calibri"/>
          <w:sz w:val="24"/>
          <w:szCs w:val="24"/>
        </w:rPr>
        <w:t xml:space="preserve"> e termos aditivos, solicitando quaisquer documentos comprobatórios pertinentes, caso necessário.</w:t>
      </w:r>
    </w:p>
    <w:p w14:paraId="3E58F209"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5.8.2.</w:t>
      </w:r>
      <w:r w:rsidRPr="00AC1C56">
        <w:rPr>
          <w:rFonts w:ascii="Bookman Old Style" w:eastAsia="MS Mincho" w:hAnsi="Bookman Old Style" w:cs="Calibri"/>
          <w:sz w:val="24"/>
          <w:szCs w:val="24"/>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754A2426"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5.9. Gestor do Contrato</w:t>
      </w:r>
    </w:p>
    <w:p w14:paraId="3859C0B0"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5.9.1</w:t>
      </w:r>
      <w:r w:rsidRPr="00AC1C56">
        <w:rPr>
          <w:rFonts w:ascii="Bookman Old Style" w:eastAsia="MS Mincho" w:hAnsi="Bookman Old Style" w:cs="Calibri"/>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641F594"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5.9.2</w:t>
      </w:r>
      <w:r w:rsidRPr="00AC1C56">
        <w:rPr>
          <w:rFonts w:ascii="Bookman Old Style" w:eastAsia="MS Mincho" w:hAnsi="Bookman Old Style" w:cs="Calibri"/>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B772036"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5.9.3</w:t>
      </w:r>
      <w:r w:rsidRPr="00AC1C56">
        <w:rPr>
          <w:rFonts w:ascii="Bookman Old Style" w:eastAsia="MS Mincho" w:hAnsi="Bookman Old Style" w:cs="Calibri"/>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41B6B3D"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5.9.4</w:t>
      </w:r>
      <w:r w:rsidRPr="00AC1C56">
        <w:rPr>
          <w:rFonts w:ascii="Bookman Old Style" w:eastAsia="MS Mincho" w:hAnsi="Bookman Old Style" w:cs="Calibri"/>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AEE092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5.9.5</w:t>
      </w:r>
      <w:r w:rsidRPr="00AC1C56">
        <w:rPr>
          <w:rFonts w:ascii="Bookman Old Style" w:eastAsia="MS Mincho" w:hAnsi="Bookman Old Style" w:cs="Calibri"/>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8E12E7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5.9.6</w:t>
      </w:r>
      <w:r w:rsidRPr="00AC1C56">
        <w:rPr>
          <w:rFonts w:ascii="Bookman Old Style" w:eastAsia="MS Mincho" w:hAnsi="Bookman Old Style" w:cs="Calibri"/>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1C1B379"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5.9.7</w:t>
      </w:r>
      <w:r w:rsidRPr="00AC1C56">
        <w:rPr>
          <w:rFonts w:ascii="Bookman Old Style" w:eastAsia="MS Mincho" w:hAnsi="Bookman Old Style" w:cs="Calibri"/>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2F0F142E" w14:textId="77777777" w:rsidR="00AC1C56" w:rsidRPr="00AC1C56" w:rsidRDefault="00AC1C56" w:rsidP="00AC1C56">
      <w:pPr>
        <w:contextualSpacing/>
        <w:rPr>
          <w:rFonts w:ascii="Bookman Old Style" w:eastAsia="MS Mincho" w:hAnsi="Bookman Old Style" w:cs="Calibri"/>
          <w:sz w:val="24"/>
          <w:szCs w:val="24"/>
        </w:rPr>
      </w:pPr>
    </w:p>
    <w:p w14:paraId="7085FFDA" w14:textId="77777777" w:rsidR="00AC1C56" w:rsidRPr="00AC1C56" w:rsidRDefault="00AC1C56" w:rsidP="00AC1C56">
      <w:pPr>
        <w:shd w:val="clear" w:color="auto" w:fill="D9D9D9"/>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lastRenderedPageBreak/>
        <w:t>6. CRITÉRIOS DE MEDIÇÃO E DE PAGAMENTO (art. 6º, XXIII, alínea “g” da Lei nº 14.133/21)</w:t>
      </w:r>
    </w:p>
    <w:p w14:paraId="5FB5318C" w14:textId="77777777" w:rsidR="00AC1C56" w:rsidRPr="00AC1C56" w:rsidRDefault="00AC1C56" w:rsidP="00AC1C56">
      <w:pPr>
        <w:spacing w:after="0" w:line="240" w:lineRule="auto"/>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6.1 Do Recebimento</w:t>
      </w:r>
    </w:p>
    <w:p w14:paraId="453AC2AB"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6.1.1</w:t>
      </w:r>
      <w:r w:rsidRPr="00AC1C56">
        <w:rPr>
          <w:rFonts w:ascii="Bookman Old Style" w:eastAsia="MS Mincho" w:hAnsi="Bookman Old Style" w:cs="Calibri"/>
          <w:sz w:val="24"/>
          <w:szCs w:val="24"/>
        </w:rPr>
        <w:t xml:space="preserve"> Os</w:t>
      </w:r>
      <w:proofErr w:type="gramEnd"/>
      <w:r w:rsidRPr="00AC1C56">
        <w:rPr>
          <w:rFonts w:ascii="Bookman Old Style" w:eastAsia="MS Mincho" w:hAnsi="Bookman Old Style" w:cs="Calibri"/>
          <w:sz w:val="24"/>
          <w:szCs w:val="24"/>
        </w:rPr>
        <w:t xml:space="preserve"> objetos deste contrato serão dados como recebido conforme:</w:t>
      </w:r>
    </w:p>
    <w:p w14:paraId="7A4AE8CB"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6.1.2</w:t>
      </w:r>
      <w:r w:rsidRPr="00AC1C56">
        <w:rPr>
          <w:rFonts w:ascii="Bookman Old Style" w:eastAsia="MS Mincho" w:hAnsi="Bookman Old Style" w:cs="Calibri"/>
          <w:sz w:val="24"/>
          <w:szCs w:val="24"/>
        </w:rPr>
        <w:t xml:space="preserve"> Os</w:t>
      </w:r>
      <w:proofErr w:type="gramEnd"/>
      <w:r w:rsidRPr="00AC1C56">
        <w:rPr>
          <w:rFonts w:ascii="Bookman Old Style" w:eastAsia="MS Mincho" w:hAnsi="Bookman Old Style" w:cs="Calibri"/>
          <w:sz w:val="24"/>
          <w:szCs w:val="24"/>
        </w:rPr>
        <w:t xml:space="preserve"> bens ou serviços serão </w:t>
      </w:r>
      <w:r w:rsidRPr="00AC1C56">
        <w:rPr>
          <w:rFonts w:ascii="Bookman Old Style" w:eastAsia="MS Mincho" w:hAnsi="Bookman Old Style" w:cs="Calibri"/>
          <w:b/>
          <w:bCs/>
          <w:sz w:val="24"/>
          <w:szCs w:val="24"/>
        </w:rPr>
        <w:t xml:space="preserve">recebidos </w:t>
      </w:r>
      <w:proofErr w:type="spellStart"/>
      <w:r w:rsidRPr="00AC1C56">
        <w:rPr>
          <w:rFonts w:ascii="Bookman Old Style" w:eastAsia="MS Mincho" w:hAnsi="Bookman Old Style" w:cs="Calibri"/>
          <w:b/>
          <w:bCs/>
          <w:sz w:val="24"/>
          <w:szCs w:val="24"/>
        </w:rPr>
        <w:t>Provisóriamente</w:t>
      </w:r>
      <w:proofErr w:type="spellEnd"/>
      <w:r w:rsidRPr="00AC1C56">
        <w:rPr>
          <w:rFonts w:ascii="Bookman Old Style" w:eastAsia="MS Mincho" w:hAnsi="Bookman Old Style" w:cs="Calibri"/>
          <w:sz w:val="24"/>
          <w:szCs w:val="24"/>
        </w:rPr>
        <w:t xml:space="preserve"> a partir da data da entrega do objeto solicitado, o fiscal do Contrato, responsável pelo recebimento, terá um prazo de 05 (cinco) dias úteis para conferência da Nota Fiscal, e da conformidade dos serviços com as especificações contidas no termo de referência, bem como verificar a conformidade com o solicitado na Nota de Empenho. Caso ocorram divergências entre os serviços solicitados e o entregue, o Fiscal do Contrato deverá rejeitá-lo e solicitar a reposição num prazo máximo de 10 (dez) dias contados do recebimento da notificação formal pela CONTRATADA, às suas custas e sem prejuízos a CONTRATANTE. (Art. 140, I, </w:t>
      </w:r>
      <w:proofErr w:type="gramStart"/>
      <w:r w:rsidRPr="00AC1C56">
        <w:rPr>
          <w:rFonts w:ascii="Bookman Old Style" w:eastAsia="MS Mincho" w:hAnsi="Bookman Old Style" w:cs="Calibri"/>
          <w:sz w:val="24"/>
          <w:szCs w:val="24"/>
        </w:rPr>
        <w:t>a ,</w:t>
      </w:r>
      <w:proofErr w:type="gramEnd"/>
      <w:r w:rsidRPr="00AC1C56">
        <w:rPr>
          <w:rFonts w:ascii="Bookman Old Style" w:eastAsia="MS Mincho" w:hAnsi="Bookman Old Style" w:cs="Calibri"/>
          <w:sz w:val="24"/>
          <w:szCs w:val="24"/>
        </w:rPr>
        <w:t xml:space="preserve"> da Lei nº 14.133, de 2021).</w:t>
      </w:r>
    </w:p>
    <w:p w14:paraId="26D1A94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6.1.3</w:t>
      </w:r>
      <w:r w:rsidRPr="00AC1C56">
        <w:rPr>
          <w:rFonts w:ascii="Bookman Old Style" w:eastAsia="MS Mincho" w:hAnsi="Bookman Old Style" w:cs="Calibri"/>
          <w:sz w:val="24"/>
          <w:szCs w:val="24"/>
        </w:rPr>
        <w:t xml:space="preserve"> O prazo da disposição acima será contado do recebimento de comunicação de cobrança oriunda do contratado com a comprovação da prestação dos serviços a que se referem a parcela a ser paga.</w:t>
      </w:r>
    </w:p>
    <w:p w14:paraId="54591563"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6.1.4</w:t>
      </w:r>
      <w:r w:rsidRPr="00AC1C56">
        <w:rPr>
          <w:rFonts w:ascii="Bookman Old Style" w:eastAsia="MS Mincho" w:hAnsi="Bookman Old Style" w:cs="Calibri"/>
          <w:sz w:val="24"/>
          <w:szCs w:val="24"/>
        </w:rPr>
        <w:t xml:space="preserve"> O fiscal técnico do contrato realizará o recebimento provisório do objeto do contrato mediante termo detalhado que comprove o cumprimento das exigências de caráter técnico. </w:t>
      </w:r>
    </w:p>
    <w:p w14:paraId="7896610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6.1.5</w:t>
      </w:r>
      <w:r w:rsidRPr="00AC1C56">
        <w:rPr>
          <w:rFonts w:ascii="Bookman Old Style" w:eastAsia="MS Mincho" w:hAnsi="Bookman Old Style" w:cs="Calibri"/>
          <w:sz w:val="24"/>
          <w:szCs w:val="24"/>
        </w:rPr>
        <w:t xml:space="preserve"> O fiscal administrativo do contrato realizará o recebimento provisório do objeto do contrato mediante termo detalhado que comprove o cumprimento das exigências de caráter administrativo. </w:t>
      </w:r>
    </w:p>
    <w:p w14:paraId="3C168472"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6.1.6</w:t>
      </w:r>
      <w:r w:rsidRPr="00AC1C56">
        <w:rPr>
          <w:rFonts w:ascii="Bookman Old Style" w:eastAsia="MS Mincho" w:hAnsi="Bookman Old Style" w:cs="Calibri"/>
          <w:sz w:val="24"/>
          <w:szCs w:val="24"/>
        </w:rPr>
        <w:t xml:space="preserve"> Para</w:t>
      </w:r>
      <w:proofErr w:type="gramEnd"/>
      <w:r w:rsidRPr="00AC1C56">
        <w:rPr>
          <w:rFonts w:ascii="Bookman Old Style" w:eastAsia="MS Mincho" w:hAnsi="Bookman Old Style" w:cs="Calibri"/>
          <w:sz w:val="24"/>
          <w:szCs w:val="24"/>
        </w:rPr>
        <w:t xml:space="preserve">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6E3D6F7"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6.1.7</w:t>
      </w:r>
      <w:r w:rsidRPr="00AC1C56">
        <w:rPr>
          <w:rFonts w:ascii="Bookman Old Style" w:eastAsia="MS Mincho" w:hAnsi="Bookman Old Style" w:cs="Calibri"/>
          <w:sz w:val="24"/>
          <w:szCs w:val="24"/>
        </w:rPr>
        <w:t xml:space="preserve"> Será</w:t>
      </w:r>
      <w:proofErr w:type="gramEnd"/>
      <w:r w:rsidRPr="00AC1C56">
        <w:rPr>
          <w:rFonts w:ascii="Bookman Old Style" w:eastAsia="MS Mincho" w:hAnsi="Bookman Old Style" w:cs="Calibri"/>
          <w:sz w:val="24"/>
          <w:szCs w:val="24"/>
        </w:rPr>
        <w:t xml:space="preserve"> considerado como ocorrido o recebimento provisório com a entrega do termo detalhado ou, em havendo mais de um a ser feito, com a entrega do último;</w:t>
      </w:r>
    </w:p>
    <w:p w14:paraId="2DBA9B7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6.1.8</w:t>
      </w:r>
      <w:r w:rsidRPr="00AC1C56">
        <w:rPr>
          <w:rFonts w:ascii="Bookman Old Style" w:eastAsia="MS Mincho" w:hAnsi="Bookman Old Style" w:cs="Calibri"/>
          <w:sz w:val="24"/>
          <w:szCs w:val="24"/>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AEC21D7"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6.1.9</w:t>
      </w:r>
      <w:r w:rsidRPr="00AC1C56">
        <w:rPr>
          <w:rFonts w:ascii="Bookman Old Style" w:eastAsia="MS Mincho" w:hAnsi="Bookman Old Style" w:cs="Calibri"/>
          <w:sz w:val="24"/>
          <w:szCs w:val="24"/>
        </w:rPr>
        <w:t xml:space="preserve"> A fiscalização não efetuará o ateste da última e/ou única medição de serviços até que sejam sanadas todas as eventuais pendências que possam vir a ser apontadas no Recebimento Provisório. (Art. 119 c/</w:t>
      </w:r>
      <w:proofErr w:type="gramStart"/>
      <w:r w:rsidRPr="00AC1C56">
        <w:rPr>
          <w:rFonts w:ascii="Bookman Old Style" w:eastAsia="MS Mincho" w:hAnsi="Bookman Old Style" w:cs="Calibri"/>
          <w:sz w:val="24"/>
          <w:szCs w:val="24"/>
        </w:rPr>
        <w:t>c</w:t>
      </w:r>
      <w:proofErr w:type="gramEnd"/>
      <w:r w:rsidRPr="00AC1C56">
        <w:rPr>
          <w:rFonts w:ascii="Bookman Old Style" w:eastAsia="MS Mincho" w:hAnsi="Bookman Old Style" w:cs="Calibri"/>
          <w:sz w:val="24"/>
          <w:szCs w:val="24"/>
        </w:rPr>
        <w:t xml:space="preserve"> art. 140 da Lei nº 14133, de 2021)</w:t>
      </w:r>
    </w:p>
    <w:p w14:paraId="7FDB129D"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6.1.10</w:t>
      </w:r>
      <w:r w:rsidRPr="00AC1C56">
        <w:rPr>
          <w:rFonts w:ascii="Bookman Old Style" w:eastAsia="MS Mincho" w:hAnsi="Bookman Old Style" w:cs="Calibri"/>
          <w:sz w:val="24"/>
          <w:szCs w:val="24"/>
        </w:rPr>
        <w:t xml:space="preserve"> O recebimento provisório também ficará sujeito, quando cabível, à conclusão de todos os testes de campo e à entrega dos Manuais e Instruções exigíveis.</w:t>
      </w:r>
    </w:p>
    <w:p w14:paraId="12660541"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lastRenderedPageBreak/>
        <w:t>6.1.11</w:t>
      </w:r>
      <w:r w:rsidRPr="00AC1C56">
        <w:rPr>
          <w:rFonts w:ascii="Bookman Old Style" w:eastAsia="MS Mincho" w:hAnsi="Bookman Old Style" w:cs="Calibri"/>
          <w:sz w:val="24"/>
          <w:szCs w:val="24"/>
        </w:rPr>
        <w:t xml:space="preserve"> Os</w:t>
      </w:r>
      <w:proofErr w:type="gramEnd"/>
      <w:r w:rsidRPr="00AC1C56">
        <w:rPr>
          <w:rFonts w:ascii="Bookman Old Style" w:eastAsia="MS Mincho" w:hAnsi="Bookman Old Style" w:cs="Calibri"/>
          <w:sz w:val="24"/>
          <w:szCs w:val="24"/>
        </w:rPr>
        <w:t xml:space="preserve"> serviços poderão ser rejeitados, no todo ou em parte, quando em desacordo com as especificações constantes neste Termo de Referência e na proposta, sem prejuízo da aplicação das penalidades.</w:t>
      </w:r>
    </w:p>
    <w:p w14:paraId="6EE43799"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6.1.12</w:t>
      </w:r>
      <w:r w:rsidRPr="00AC1C56">
        <w:rPr>
          <w:rFonts w:ascii="Bookman Old Style" w:eastAsia="MS Mincho" w:hAnsi="Bookman Old Style" w:cs="Calibri"/>
          <w:sz w:val="24"/>
          <w:szCs w:val="24"/>
        </w:rPr>
        <w:t xml:space="preserve"> Quando</w:t>
      </w:r>
      <w:proofErr w:type="gramEnd"/>
      <w:r w:rsidRPr="00AC1C56">
        <w:rPr>
          <w:rFonts w:ascii="Bookman Old Style" w:eastAsia="MS Mincho" w:hAnsi="Bookman Old Style" w:cs="Calibri"/>
          <w:sz w:val="24"/>
          <w:szCs w:val="24"/>
        </w:rPr>
        <w:t xml:space="preserve">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435D022"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6.1.13</w:t>
      </w:r>
      <w:r w:rsidRPr="00AC1C56">
        <w:rPr>
          <w:rFonts w:ascii="Bookman Old Style" w:eastAsia="MS Mincho" w:hAnsi="Bookman Old Style" w:cs="Calibri"/>
          <w:sz w:val="24"/>
          <w:szCs w:val="24"/>
        </w:rPr>
        <w:t xml:space="preserve"> As</w:t>
      </w:r>
      <w:proofErr w:type="gramEnd"/>
      <w:r w:rsidRPr="00AC1C56">
        <w:rPr>
          <w:rFonts w:ascii="Bookman Old Style" w:eastAsia="MS Mincho" w:hAnsi="Bookman Old Style" w:cs="Calibri"/>
          <w:sz w:val="24"/>
          <w:szCs w:val="24"/>
        </w:rPr>
        <w:t xml:space="preserve"> mercadorias serão </w:t>
      </w:r>
      <w:r w:rsidRPr="00AC1C56">
        <w:rPr>
          <w:rFonts w:ascii="Bookman Old Style" w:eastAsia="MS Mincho" w:hAnsi="Bookman Old Style" w:cs="Calibri"/>
          <w:b/>
          <w:bCs/>
          <w:sz w:val="24"/>
          <w:szCs w:val="24"/>
        </w:rPr>
        <w:t>recebidas definitivamente</w:t>
      </w:r>
      <w:r w:rsidRPr="00AC1C56">
        <w:rPr>
          <w:rFonts w:ascii="Bookman Old Style" w:eastAsia="MS Mincho" w:hAnsi="Bookman Old Style" w:cs="Calibri"/>
          <w:sz w:val="24"/>
          <w:szCs w:val="24"/>
        </w:rPr>
        <w:t xml:space="preserv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F7E8363"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6.1.14</w:t>
      </w:r>
      <w:r w:rsidRPr="00AC1C56">
        <w:rPr>
          <w:rFonts w:ascii="Bookman Old Style" w:eastAsia="MS Mincho" w:hAnsi="Bookman Old Style" w:cs="Calibri"/>
          <w:sz w:val="24"/>
          <w:szCs w:val="24"/>
        </w:rPr>
        <w:t xml:space="preserve"> No</w:t>
      </w:r>
      <w:proofErr w:type="gramEnd"/>
      <w:r w:rsidRPr="00AC1C56">
        <w:rPr>
          <w:rFonts w:ascii="Bookman Old Style" w:eastAsia="MS Mincho" w:hAnsi="Bookman Old Style" w:cs="Calibri"/>
          <w:sz w:val="24"/>
          <w:szCs w:val="24"/>
        </w:rPr>
        <w:t xml:space="preserve">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13836168"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6.1.15</w:t>
      </w:r>
      <w:r w:rsidRPr="00AC1C56">
        <w:rPr>
          <w:rFonts w:ascii="Bookman Old Style" w:eastAsia="MS Mincho" w:hAnsi="Bookman Old Style" w:cs="Calibri"/>
          <w:sz w:val="24"/>
          <w:szCs w:val="24"/>
        </w:rPr>
        <w:t xml:space="preserve"> Nenhum</w:t>
      </w:r>
      <w:proofErr w:type="gramEnd"/>
      <w:r w:rsidRPr="00AC1C56">
        <w:rPr>
          <w:rFonts w:ascii="Bookman Old Style" w:eastAsia="MS Mincho" w:hAnsi="Bookman Old Style" w:cs="Calibri"/>
          <w:sz w:val="24"/>
          <w:szCs w:val="24"/>
        </w:rPr>
        <w:t xml:space="preserve"> prazo de recebimento ocorrerá enquanto pendente a solução, pelo contratado, de inconsistências verificadas na execução do objeto ou no instrumento de cobrança.</w:t>
      </w:r>
    </w:p>
    <w:p w14:paraId="323C9099"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6.1.16</w:t>
      </w:r>
      <w:r w:rsidRPr="00AC1C56">
        <w:rPr>
          <w:rFonts w:ascii="Bookman Old Style" w:eastAsia="MS Mincho" w:hAnsi="Bookman Old Style" w:cs="Calibri"/>
          <w:sz w:val="24"/>
          <w:szCs w:val="24"/>
        </w:rPr>
        <w:t xml:space="preserve"> O recebimento provisório ou definitivo não excluirá a responsabilidade civil pela solidez e pela segurança do serviço nem a responsabilidade ético-profissional pela perfeita execução do contrato.</w:t>
      </w:r>
    </w:p>
    <w:p w14:paraId="588411CD"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6.2 Liquidação</w:t>
      </w:r>
    </w:p>
    <w:p w14:paraId="5DABC59B"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6.2.1</w:t>
      </w:r>
      <w:r w:rsidRPr="00AC1C56">
        <w:rPr>
          <w:rFonts w:ascii="Bookman Old Style" w:eastAsia="MS Mincho" w:hAnsi="Bookman Old Style" w:cs="Calibri"/>
          <w:sz w:val="24"/>
          <w:szCs w:val="24"/>
        </w:rPr>
        <w:t xml:space="preserve"> Recebida a Nota Fiscal ou documento de cobrança equivalente, correrá o prazo de 10 (dez) dias úteis para fins de liquidação, na forma desta seção, prorrogáveis por igual período.</w:t>
      </w:r>
    </w:p>
    <w:p w14:paraId="21C8A6E0"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6.2.2</w:t>
      </w:r>
      <w:r w:rsidRPr="00AC1C56">
        <w:rPr>
          <w:rFonts w:ascii="Bookman Old Style" w:eastAsia="MS Mincho" w:hAnsi="Bookman Old Style" w:cs="Calibri"/>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15" w:anchor="art75">
        <w:r w:rsidRPr="00AC1C56">
          <w:rPr>
            <w:rFonts w:ascii="Bookman Old Style" w:eastAsia="MS Mincho" w:hAnsi="Bookman Old Style" w:cs="Calibri"/>
            <w:color w:val="0000FF"/>
            <w:sz w:val="24"/>
            <w:szCs w:val="24"/>
            <w:u w:val="single"/>
          </w:rPr>
          <w:t>inciso II do art. 75 da Lei nº 14.133, de 2021</w:t>
        </w:r>
      </w:hyperlink>
      <w:r w:rsidRPr="00AC1C56">
        <w:rPr>
          <w:rFonts w:ascii="Bookman Old Style" w:eastAsia="MS Mincho" w:hAnsi="Bookman Old Style" w:cs="Calibri"/>
          <w:sz w:val="24"/>
          <w:szCs w:val="24"/>
        </w:rPr>
        <w:t>.</w:t>
      </w:r>
    </w:p>
    <w:p w14:paraId="29B69181"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6.2.3</w:t>
      </w:r>
      <w:r w:rsidRPr="00AC1C56">
        <w:rPr>
          <w:rFonts w:ascii="Bookman Old Style" w:eastAsia="MS Mincho" w:hAnsi="Bookman Old Style" w:cs="Calibri"/>
          <w:sz w:val="24"/>
          <w:szCs w:val="24"/>
        </w:rPr>
        <w:t xml:space="preserve"> Para</w:t>
      </w:r>
      <w:proofErr w:type="gramEnd"/>
      <w:r w:rsidRPr="00AC1C56">
        <w:rPr>
          <w:rFonts w:ascii="Bookman Old Style" w:eastAsia="MS Mincho" w:hAnsi="Bookman Old Style" w:cs="Calibri"/>
          <w:sz w:val="24"/>
          <w:szCs w:val="24"/>
        </w:rPr>
        <w:t xml:space="preserve"> fins de liquidação, o setor competente deverá verificar se a nota fiscal ou instrumento de cobrança equivalente apresentado expressa os elementos necessários e essenciais do documento, tais como: </w:t>
      </w:r>
    </w:p>
    <w:p w14:paraId="5BF8C932"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6.2.3.1</w:t>
      </w:r>
      <w:r w:rsidRPr="00AC1C56">
        <w:rPr>
          <w:rFonts w:ascii="Bookman Old Style" w:eastAsia="MS Mincho" w:hAnsi="Bookman Old Style" w:cs="Calibri"/>
          <w:sz w:val="24"/>
          <w:szCs w:val="24"/>
        </w:rPr>
        <w:t xml:space="preserve"> o prazo de validade;</w:t>
      </w:r>
    </w:p>
    <w:p w14:paraId="724B5A01"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6.2.3.2</w:t>
      </w:r>
      <w:r w:rsidRPr="00AC1C56">
        <w:rPr>
          <w:rFonts w:ascii="Bookman Old Style" w:eastAsia="MS Mincho" w:hAnsi="Bookman Old Style" w:cs="Calibri"/>
          <w:sz w:val="24"/>
          <w:szCs w:val="24"/>
        </w:rPr>
        <w:t xml:space="preserve"> a data da emissão; </w:t>
      </w:r>
    </w:p>
    <w:p w14:paraId="4FC8C635"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6.2.3.3</w:t>
      </w:r>
      <w:r w:rsidRPr="00AC1C56">
        <w:rPr>
          <w:rFonts w:ascii="Bookman Old Style" w:eastAsia="MS Mincho" w:hAnsi="Bookman Old Style" w:cs="Calibri"/>
          <w:sz w:val="24"/>
          <w:szCs w:val="24"/>
        </w:rPr>
        <w:t xml:space="preserve"> os dados do contrato e do órgão contratante; </w:t>
      </w:r>
    </w:p>
    <w:p w14:paraId="6468C42E"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6.2.3.4</w:t>
      </w:r>
      <w:r w:rsidRPr="00AC1C56">
        <w:rPr>
          <w:rFonts w:ascii="Bookman Old Style" w:eastAsia="MS Mincho" w:hAnsi="Bookman Old Style" w:cs="Calibri"/>
          <w:sz w:val="24"/>
          <w:szCs w:val="24"/>
        </w:rPr>
        <w:t xml:space="preserve"> o período respectivo de execução do contrato; </w:t>
      </w:r>
    </w:p>
    <w:p w14:paraId="223B0C41"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6.2.3.5</w:t>
      </w:r>
      <w:r w:rsidRPr="00AC1C56">
        <w:rPr>
          <w:rFonts w:ascii="Bookman Old Style" w:eastAsia="MS Mincho" w:hAnsi="Bookman Old Style" w:cs="Calibri"/>
          <w:sz w:val="24"/>
          <w:szCs w:val="24"/>
        </w:rPr>
        <w:t xml:space="preserve"> o valor a pagar; e </w:t>
      </w:r>
    </w:p>
    <w:p w14:paraId="4E51D089"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6.2.3.6</w:t>
      </w:r>
      <w:r w:rsidRPr="00AC1C56">
        <w:rPr>
          <w:rFonts w:ascii="Bookman Old Style" w:eastAsia="MS Mincho" w:hAnsi="Bookman Old Style" w:cs="Calibri"/>
          <w:sz w:val="24"/>
          <w:szCs w:val="24"/>
        </w:rPr>
        <w:t xml:space="preserve"> eventual destaque do valor de retenções tributárias cabíveis.</w:t>
      </w:r>
    </w:p>
    <w:p w14:paraId="33B9F714"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lastRenderedPageBreak/>
        <w:t>6.2.4</w:t>
      </w:r>
      <w:r w:rsidRPr="00AC1C56">
        <w:rPr>
          <w:rFonts w:ascii="Bookman Old Style" w:eastAsia="MS Mincho" w:hAnsi="Bookman Old Style" w:cs="Calibri"/>
          <w:sz w:val="24"/>
          <w:szCs w:val="24"/>
        </w:rPr>
        <w:t xml:space="preserve"> Havendo</w:t>
      </w:r>
      <w:proofErr w:type="gramEnd"/>
      <w:r w:rsidRPr="00AC1C56">
        <w:rPr>
          <w:rFonts w:ascii="Bookman Old Style" w:eastAsia="MS Mincho" w:hAnsi="Bookman Old Style" w:cs="Calibri"/>
          <w:sz w:val="24"/>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04895E8"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6.2.5</w:t>
      </w:r>
      <w:r w:rsidRPr="00AC1C56">
        <w:rPr>
          <w:rFonts w:ascii="Bookman Old Style" w:eastAsia="MS Mincho" w:hAnsi="Bookman Old Style" w:cs="Calibri"/>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AC1C56">
        <w:rPr>
          <w:rFonts w:ascii="Bookman Old Style" w:eastAsia="MS Mincho" w:hAnsi="Bookman Old Style" w:cs="Calibri"/>
          <w:color w:val="0000FF"/>
          <w:sz w:val="24"/>
          <w:szCs w:val="24"/>
          <w:u w:val="single"/>
        </w:rPr>
        <w:t>art. 68 da Lei nº 14.133, de 2021.</w:t>
      </w:r>
    </w:p>
    <w:p w14:paraId="7BAB9E60"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6.2.6</w:t>
      </w:r>
      <w:r w:rsidRPr="00AC1C56">
        <w:rPr>
          <w:rFonts w:ascii="Bookman Old Style" w:eastAsia="MS Mincho" w:hAnsi="Bookman Old Style" w:cs="Calibri"/>
          <w:sz w:val="24"/>
          <w:szCs w:val="24"/>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1E7B274"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6.2.7</w:t>
      </w:r>
      <w:r w:rsidRPr="00AC1C56">
        <w:rPr>
          <w:rFonts w:ascii="Bookman Old Style" w:eastAsia="MS Mincho" w:hAnsi="Bookman Old Style" w:cs="Calibri"/>
          <w:sz w:val="24"/>
          <w:szCs w:val="24"/>
        </w:rPr>
        <w:t xml:space="preserve"> Constatando-se</w:t>
      </w:r>
      <w:proofErr w:type="gramEnd"/>
      <w:r w:rsidRPr="00AC1C56">
        <w:rPr>
          <w:rFonts w:ascii="Bookman Old Style" w:eastAsia="MS Mincho" w:hAnsi="Bookman Old Style" w:cs="Calibri"/>
          <w:sz w:val="24"/>
          <w:szCs w:val="24"/>
        </w:rPr>
        <w:t>,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B5CB75"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6.2.8</w:t>
      </w:r>
      <w:r w:rsidRPr="00AC1C56">
        <w:rPr>
          <w:rFonts w:ascii="Bookman Old Style" w:eastAsia="MS Mincho" w:hAnsi="Bookman Old Style" w:cs="Calibri"/>
          <w:sz w:val="24"/>
          <w:szCs w:val="24"/>
        </w:rPr>
        <w:t xml:space="preserve"> Não</w:t>
      </w:r>
      <w:proofErr w:type="gramEnd"/>
      <w:r w:rsidRPr="00AC1C56">
        <w:rPr>
          <w:rFonts w:ascii="Bookman Old Style" w:eastAsia="MS Mincho" w:hAnsi="Bookman Old Style" w:cs="Calibri"/>
          <w:sz w:val="24"/>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4B0DA4"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6.2.9</w:t>
      </w:r>
      <w:r w:rsidRPr="00AC1C56">
        <w:rPr>
          <w:rFonts w:ascii="Bookman Old Style" w:eastAsia="MS Mincho" w:hAnsi="Bookman Old Style" w:cs="Calibri"/>
          <w:sz w:val="24"/>
          <w:szCs w:val="24"/>
        </w:rPr>
        <w:t xml:space="preserve"> Persistindo</w:t>
      </w:r>
      <w:proofErr w:type="gramEnd"/>
      <w:r w:rsidRPr="00AC1C56">
        <w:rPr>
          <w:rFonts w:ascii="Bookman Old Style" w:eastAsia="MS Mincho" w:hAnsi="Bookman Old Style" w:cs="Calibri"/>
          <w:sz w:val="24"/>
          <w:szCs w:val="24"/>
        </w:rPr>
        <w:t xml:space="preserve"> a irregularidade, o contratante deverá adotar as medidas necessárias à rescisão contratual nos autos do processo administrativo correspondente, assegurada ao contratado a ampla defesa. </w:t>
      </w:r>
    </w:p>
    <w:p w14:paraId="5F5717A8"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6.2.10</w:t>
      </w:r>
      <w:r w:rsidRPr="00AC1C56">
        <w:rPr>
          <w:rFonts w:ascii="Bookman Old Style" w:eastAsia="MS Mincho" w:hAnsi="Bookman Old Style" w:cs="Calibri"/>
          <w:sz w:val="24"/>
          <w:szCs w:val="24"/>
        </w:rPr>
        <w:t xml:space="preserve"> Havendo</w:t>
      </w:r>
      <w:proofErr w:type="gramEnd"/>
      <w:r w:rsidRPr="00AC1C56">
        <w:rPr>
          <w:rFonts w:ascii="Bookman Old Style" w:eastAsia="MS Mincho" w:hAnsi="Bookman Old Style" w:cs="Calibri"/>
          <w:sz w:val="24"/>
          <w:szCs w:val="24"/>
        </w:rPr>
        <w:t xml:space="preserve"> a efetiva execução do objeto, os pagamentos serão realizados normalmente, até que se decida pela rescisão do contrato, caso o contratado não regularize sua situação junto ao SICAF.  </w:t>
      </w:r>
    </w:p>
    <w:p w14:paraId="2B336206"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6.3 Prazo de pagamento</w:t>
      </w:r>
    </w:p>
    <w:p w14:paraId="6D44396C"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6.3.1</w:t>
      </w:r>
      <w:r w:rsidRPr="00AC1C56">
        <w:rPr>
          <w:rFonts w:ascii="Bookman Old Style" w:eastAsia="MS Mincho" w:hAnsi="Bookman Old Style" w:cs="Calibri"/>
          <w:sz w:val="24"/>
          <w:szCs w:val="24"/>
        </w:rPr>
        <w:t xml:space="preserve"> O pagamento será efetuado no prazo máximo de até 10 (dez) dias úteis, contados da finalização da liquidação da despesa, conforme seção anterior.</w:t>
      </w:r>
    </w:p>
    <w:p w14:paraId="6D5BDBBE"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6.4 Forma de pagamento</w:t>
      </w:r>
    </w:p>
    <w:p w14:paraId="7809FD6F" w14:textId="77777777" w:rsidR="00AC1C56" w:rsidRPr="00AC1C56" w:rsidRDefault="00AC1C56" w:rsidP="00AC1C56">
      <w:pPr>
        <w:spacing w:after="0" w:line="240" w:lineRule="auto"/>
        <w:contextualSpacing/>
        <w:jc w:val="both"/>
        <w:rPr>
          <w:rFonts w:ascii="Bookman Old Style" w:eastAsia="MS Mincho" w:hAnsi="Bookman Old Style" w:cs="Calibri"/>
          <w:b/>
          <w:bCs/>
          <w:sz w:val="24"/>
          <w:szCs w:val="24"/>
        </w:rPr>
      </w:pPr>
      <w:proofErr w:type="gramStart"/>
      <w:r w:rsidRPr="00AC1C56">
        <w:rPr>
          <w:rFonts w:ascii="Bookman Old Style" w:eastAsia="MS Mincho" w:hAnsi="Bookman Old Style" w:cs="Times New Roman"/>
          <w:b/>
          <w:sz w:val="24"/>
          <w:szCs w:val="24"/>
          <w:lang w:eastAsia="pt-BR"/>
        </w:rPr>
        <w:t>6.4.1</w:t>
      </w:r>
      <w:r w:rsidRPr="00AC1C56">
        <w:rPr>
          <w:rFonts w:ascii="Bookman Old Style" w:eastAsia="MS Mincho" w:hAnsi="Bookman Old Style" w:cs="Times New Roman"/>
          <w:sz w:val="24"/>
          <w:szCs w:val="24"/>
          <w:lang w:eastAsia="pt-BR"/>
        </w:rPr>
        <w:t xml:space="preserve"> </w:t>
      </w:r>
      <w:r w:rsidRPr="00AC1C56">
        <w:rPr>
          <w:rFonts w:ascii="Bookman Old Style" w:eastAsia="MS Mincho" w:hAnsi="Bookman Old Style" w:cs="Times New Roman"/>
          <w:sz w:val="24"/>
          <w:szCs w:val="24"/>
          <w:lang w:val="x-none" w:eastAsia="pt-BR"/>
        </w:rPr>
        <w:t>Os</w:t>
      </w:r>
      <w:proofErr w:type="gramEnd"/>
      <w:r w:rsidRPr="00AC1C56">
        <w:rPr>
          <w:rFonts w:ascii="Bookman Old Style" w:eastAsia="MS Mincho" w:hAnsi="Bookman Old Style" w:cs="Times New Roman"/>
          <w:sz w:val="24"/>
          <w:szCs w:val="24"/>
          <w:lang w:val="x-none" w:eastAsia="pt-BR"/>
        </w:rPr>
        <w:t xml:space="preserve"> pagamentos serão realizados pela Contratante </w:t>
      </w:r>
      <w:r w:rsidRPr="00AC1C56">
        <w:rPr>
          <w:rFonts w:ascii="Bookman Old Style" w:eastAsia="MS Mincho" w:hAnsi="Bookman Old Style" w:cs="Times New Roman"/>
          <w:sz w:val="24"/>
          <w:szCs w:val="24"/>
          <w:lang w:eastAsia="pt-BR"/>
        </w:rPr>
        <w:t>de acordo com a entrada da Nota Fiscal em até 30 (trinta) dias.</w:t>
      </w:r>
    </w:p>
    <w:p w14:paraId="324C7D7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6.4.2</w:t>
      </w:r>
      <w:r w:rsidRPr="00AC1C56">
        <w:rPr>
          <w:rFonts w:ascii="Bookman Old Style" w:eastAsia="MS Mincho" w:hAnsi="Bookman Old Style" w:cs="Calibri"/>
          <w:sz w:val="24"/>
          <w:szCs w:val="24"/>
        </w:rPr>
        <w:t xml:space="preserve"> O pagamento será realizado por meio de ordem bancária, para crédito em banco, agência e conta corrente indicados pelo contratado.</w:t>
      </w:r>
    </w:p>
    <w:p w14:paraId="3B75241B"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t>Será considerada data do pagamento o dia em que constar como emitida a ordem bancária para pagamento.</w:t>
      </w:r>
    </w:p>
    <w:p w14:paraId="17F6E14C"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6.4.3</w:t>
      </w:r>
      <w:r w:rsidRPr="00AC1C56">
        <w:rPr>
          <w:rFonts w:ascii="Bookman Old Style" w:eastAsia="MS Mincho" w:hAnsi="Bookman Old Style" w:cs="Calibri"/>
          <w:sz w:val="24"/>
          <w:szCs w:val="24"/>
        </w:rPr>
        <w:t xml:space="preserve"> Quando do pagamento, será efetuada a retenção tributária prevista na legislação aplicável.</w:t>
      </w:r>
    </w:p>
    <w:p w14:paraId="752DF10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sz w:val="24"/>
          <w:szCs w:val="24"/>
        </w:rPr>
        <w:lastRenderedPageBreak/>
        <w:t>Independentemente do percentual de tributo inserido na planilha, quando houver, serão retidos na fonte, quando da realização do pagamento, os percentuais estabelecidos na legislação vigente.</w:t>
      </w:r>
    </w:p>
    <w:p w14:paraId="7E83AFBE"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6.4.4</w:t>
      </w:r>
      <w:r w:rsidRPr="00AC1C56">
        <w:rPr>
          <w:rFonts w:ascii="Bookman Old Style" w:eastAsia="MS Mincho" w:hAnsi="Bookman Old Style" w:cs="Calibri"/>
          <w:sz w:val="24"/>
          <w:szCs w:val="24"/>
        </w:rPr>
        <w:t xml:space="preserve"> O contratado regularmente optante pelo Simples Nacional, nos termos da </w:t>
      </w:r>
      <w:hyperlink r:id="rId16">
        <w:r w:rsidRPr="00AC1C56">
          <w:rPr>
            <w:rFonts w:ascii="Bookman Old Style" w:eastAsia="MS Mincho" w:hAnsi="Bookman Old Style" w:cs="Calibri"/>
            <w:color w:val="0000FF"/>
            <w:sz w:val="24"/>
            <w:szCs w:val="24"/>
            <w:u w:val="single"/>
          </w:rPr>
          <w:t>Lei Complementar nº 123, de 2006</w:t>
        </w:r>
      </w:hyperlink>
      <w:r w:rsidRPr="00AC1C56">
        <w:rPr>
          <w:rFonts w:ascii="Bookman Old Style" w:eastAsia="MS Mincho" w:hAnsi="Bookman Old Style"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F9F9F2" w14:textId="77777777" w:rsidR="00AC1C56" w:rsidRPr="00AC1C56" w:rsidRDefault="00AC1C56" w:rsidP="00AC1C56">
      <w:pPr>
        <w:contextualSpacing/>
        <w:jc w:val="both"/>
        <w:rPr>
          <w:rFonts w:ascii="Bookman Old Style" w:eastAsia="MS Mincho" w:hAnsi="Bookman Old Style" w:cs="Calibri"/>
          <w:sz w:val="24"/>
          <w:szCs w:val="24"/>
        </w:rPr>
      </w:pPr>
    </w:p>
    <w:p w14:paraId="3CF67E60" w14:textId="77777777" w:rsidR="00AC1C56" w:rsidRPr="00AC1C56" w:rsidRDefault="00AC1C56" w:rsidP="00AC1C56">
      <w:pPr>
        <w:shd w:val="clear" w:color="auto" w:fill="D9D9D9"/>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 FORMA E CRITÉRIOS DE SELEÇÃO DO FORNECEDOR (art. 6º, XXIII, alínea “h” da Lei nº 14.133/21)</w:t>
      </w:r>
    </w:p>
    <w:p w14:paraId="575AEAF6"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7.1 Da Procedimento/modalidade e critério de julgamento</w:t>
      </w:r>
    </w:p>
    <w:p w14:paraId="55F4C126"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7.1.1</w:t>
      </w:r>
      <w:r w:rsidRPr="00AC1C56">
        <w:rPr>
          <w:rFonts w:ascii="Bookman Old Style" w:eastAsia="MS Mincho" w:hAnsi="Bookman Old Style" w:cs="Calibri"/>
          <w:sz w:val="24"/>
          <w:szCs w:val="24"/>
        </w:rPr>
        <w:t xml:space="preserve"> O fornecedor será selecionado por meio da realização de procedimento de DISPENSA DE LICITAÇÃO, sob a forma FÍSICA, com adoção do critério de julgamento pelo MENOR PREÇO POR LOTE.</w:t>
      </w:r>
    </w:p>
    <w:p w14:paraId="29A2AA38"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7.2 Do Regime de execução</w:t>
      </w:r>
    </w:p>
    <w:p w14:paraId="6068F0E5"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7.2.1</w:t>
      </w:r>
      <w:r w:rsidRPr="00AC1C56">
        <w:rPr>
          <w:rFonts w:ascii="Bookman Old Style" w:eastAsia="MS Mincho" w:hAnsi="Bookman Old Style" w:cs="Calibri"/>
          <w:sz w:val="24"/>
          <w:szCs w:val="24"/>
        </w:rPr>
        <w:t xml:space="preserve"> O regime de execução do contrato será empreitado por preço global e o pagamento corresponderá à medição dos serviços efetivamente executados.</w:t>
      </w:r>
    </w:p>
    <w:p w14:paraId="34EE7721"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7.3 Exigências de habilitação</w:t>
      </w:r>
    </w:p>
    <w:p w14:paraId="3B5D0315"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7.3.1</w:t>
      </w:r>
      <w:r w:rsidRPr="00AC1C56">
        <w:rPr>
          <w:rFonts w:ascii="Bookman Old Style" w:eastAsia="MS Mincho" w:hAnsi="Bookman Old Style" w:cs="Calibri"/>
          <w:sz w:val="24"/>
          <w:szCs w:val="24"/>
        </w:rPr>
        <w:t xml:space="preserve"> Para</w:t>
      </w:r>
      <w:proofErr w:type="gramEnd"/>
      <w:r w:rsidRPr="00AC1C56">
        <w:rPr>
          <w:rFonts w:ascii="Bookman Old Style" w:eastAsia="MS Mincho" w:hAnsi="Bookman Old Style" w:cs="Calibri"/>
          <w:sz w:val="24"/>
          <w:szCs w:val="24"/>
        </w:rPr>
        <w:t xml:space="preserve"> fins de habilitação, deverá o licitante comprovar os seguintes requisitos:</w:t>
      </w:r>
    </w:p>
    <w:p w14:paraId="7A4C0B27"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 xml:space="preserve">7.4 Habilitação jurídica (Art. 66, Lei 14.133/21) </w:t>
      </w:r>
    </w:p>
    <w:p w14:paraId="5254BECB"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7.4.1</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Pessoa física</w:t>
      </w:r>
      <w:r w:rsidRPr="00AC1C56">
        <w:rPr>
          <w:rFonts w:ascii="Bookman Old Style" w:eastAsia="MS Mincho" w:hAnsi="Bookman Old Style" w:cs="Calibri"/>
          <w:sz w:val="24"/>
          <w:szCs w:val="24"/>
        </w:rPr>
        <w:t>: cédula de identidade (RG) ou documento equivalente que, por força de lei, tenha validade para fins de identificação em todo o território nacional;</w:t>
      </w:r>
    </w:p>
    <w:p w14:paraId="182853AE"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7.4.2</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Empresário individual</w:t>
      </w:r>
      <w:r w:rsidRPr="00AC1C56">
        <w:rPr>
          <w:rFonts w:ascii="Bookman Old Style" w:eastAsia="MS Mincho" w:hAnsi="Bookman Old Style" w:cs="Calibri"/>
          <w:sz w:val="24"/>
          <w:szCs w:val="24"/>
        </w:rPr>
        <w:t xml:space="preserve">: inscrição no Registro Público de Empresas Mercantis, a cargo da Junta Comercial da respectiva sede; </w:t>
      </w:r>
    </w:p>
    <w:p w14:paraId="5E1EFD32"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7.4.3</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Microempreendedor Individual - MEI</w:t>
      </w:r>
      <w:r w:rsidRPr="00AC1C56">
        <w:rPr>
          <w:rFonts w:ascii="Bookman Old Style" w:eastAsia="MS Mincho" w:hAnsi="Bookman Old Style" w:cs="Calibri"/>
          <w:sz w:val="24"/>
          <w:szCs w:val="24"/>
        </w:rPr>
        <w:t xml:space="preserve">: Certificado da Condição de Microempreendedor Individual - CCMEI, cuja aceitação ficará condicionada à verificação da autenticidade no sítio </w:t>
      </w:r>
      <w:hyperlink r:id="rId17">
        <w:r w:rsidRPr="00AC1C56">
          <w:rPr>
            <w:rFonts w:ascii="Bookman Old Style" w:eastAsia="MS Mincho" w:hAnsi="Bookman Old Style" w:cs="Calibri"/>
            <w:color w:val="0000FF"/>
            <w:sz w:val="24"/>
            <w:szCs w:val="24"/>
            <w:u w:val="single"/>
          </w:rPr>
          <w:t>https://www.gov.br/empresas-e-negocios/pt-br/empreendedor</w:t>
        </w:r>
      </w:hyperlink>
      <w:r w:rsidRPr="00AC1C56">
        <w:rPr>
          <w:rFonts w:ascii="Bookman Old Style" w:eastAsia="MS Mincho" w:hAnsi="Bookman Old Style" w:cs="Calibri"/>
          <w:sz w:val="24"/>
          <w:szCs w:val="24"/>
        </w:rPr>
        <w:t xml:space="preserve">; </w:t>
      </w:r>
    </w:p>
    <w:p w14:paraId="65E44FD6"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7.4.4</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Sociedade empresária, sociedade limitada unipessoal – SLU</w:t>
      </w:r>
      <w:r w:rsidRPr="00AC1C56">
        <w:rPr>
          <w:rFonts w:ascii="Bookman Old Style" w:eastAsia="MS Mincho" w:hAnsi="Bookman Old Style" w:cs="Calibri"/>
          <w:sz w:val="24"/>
          <w:szCs w:val="24"/>
        </w:rPr>
        <w:t>: inscrição do ato constitutivo, estatuto ou contrato social no Registro Público de Empresas Mercantis, a cargo da Junta Comercial da respectiva sede, acompanhada de documento comprobatório de seus administradores;</w:t>
      </w:r>
    </w:p>
    <w:p w14:paraId="02D7BB6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7.4.5</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Sociedade empresária estrangeira</w:t>
      </w:r>
      <w:r w:rsidRPr="00AC1C56">
        <w:rPr>
          <w:rFonts w:ascii="Bookman Old Style" w:eastAsia="MS Mincho" w:hAnsi="Bookman Old Style"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sidRPr="00AC1C56">
          <w:rPr>
            <w:rFonts w:ascii="Bookman Old Style" w:eastAsia="MS Mincho" w:hAnsi="Bookman Old Style" w:cs="Calibri"/>
            <w:color w:val="0000FF"/>
            <w:sz w:val="24"/>
            <w:szCs w:val="24"/>
            <w:u w:val="single"/>
          </w:rPr>
          <w:t>Normativa DREI/ME n.º 77, de 18 de março de 2020</w:t>
        </w:r>
      </w:hyperlink>
      <w:r w:rsidRPr="00AC1C56">
        <w:rPr>
          <w:rFonts w:ascii="Bookman Old Style" w:eastAsia="MS Mincho" w:hAnsi="Bookman Old Style" w:cs="Calibri"/>
          <w:sz w:val="24"/>
          <w:szCs w:val="24"/>
        </w:rPr>
        <w:t>.</w:t>
      </w:r>
    </w:p>
    <w:p w14:paraId="293E3A03"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lastRenderedPageBreak/>
        <w:t>7.4.6</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Sociedade simples</w:t>
      </w:r>
      <w:r w:rsidRPr="00AC1C56">
        <w:rPr>
          <w:rFonts w:ascii="Bookman Old Style" w:eastAsia="MS Mincho" w:hAnsi="Bookman Old Style" w:cs="Calibri"/>
          <w:sz w:val="24"/>
          <w:szCs w:val="24"/>
        </w:rPr>
        <w:t>: inscrição do ato constitutivo no Registro Civil de Pessoas Jurídicas do local de sua sede, acompanhada de documento comprobatório de seus administradores;</w:t>
      </w:r>
    </w:p>
    <w:p w14:paraId="534450C5"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7.4.7</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Filial, sucursal ou agência de sociedade simples ou empresária</w:t>
      </w:r>
      <w:r w:rsidRPr="00AC1C56">
        <w:rPr>
          <w:rFonts w:ascii="Bookman Old Style" w:eastAsia="MS Mincho" w:hAnsi="Bookman Old Style" w:cs="Calibri"/>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DB7193"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7.4.8</w:t>
      </w:r>
      <w:r w:rsidRPr="00AC1C56">
        <w:rPr>
          <w:rFonts w:ascii="Bookman Old Style" w:eastAsia="MS Mincho" w:hAnsi="Bookman Old Style" w:cs="Calibri"/>
          <w:sz w:val="24"/>
          <w:szCs w:val="24"/>
        </w:rPr>
        <w:t xml:space="preserve"> </w:t>
      </w:r>
      <w:r w:rsidRPr="00AC1C56">
        <w:rPr>
          <w:rFonts w:ascii="Bookman Old Style" w:eastAsia="MS Mincho" w:hAnsi="Bookman Old Style" w:cs="Calibri"/>
          <w:b/>
          <w:bCs/>
          <w:sz w:val="24"/>
          <w:szCs w:val="24"/>
        </w:rPr>
        <w:t>Sociedade cooperativa</w:t>
      </w:r>
      <w:r w:rsidRPr="00AC1C56">
        <w:rPr>
          <w:rFonts w:ascii="Bookman Old Style" w:eastAsia="MS Mincho" w:hAnsi="Bookman Old Style"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r w:rsidRPr="00AC1C56">
          <w:rPr>
            <w:rFonts w:ascii="Bookman Old Style" w:eastAsia="MS Mincho" w:hAnsi="Bookman Old Style" w:cs="Calibri"/>
            <w:color w:val="0000FF"/>
            <w:sz w:val="24"/>
            <w:szCs w:val="24"/>
            <w:u w:val="single"/>
          </w:rPr>
          <w:t>art. 107 da Lei nº 5.764, de 16 de dezembro 1971</w:t>
        </w:r>
      </w:hyperlink>
      <w:r w:rsidRPr="00AC1C56">
        <w:rPr>
          <w:rFonts w:ascii="Bookman Old Style" w:eastAsia="MS Mincho" w:hAnsi="Bookman Old Style" w:cs="Calibri"/>
          <w:sz w:val="24"/>
          <w:szCs w:val="24"/>
        </w:rPr>
        <w:t>.</w:t>
      </w:r>
    </w:p>
    <w:p w14:paraId="43A116B4"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7.4.9</w:t>
      </w:r>
      <w:r w:rsidRPr="00AC1C56">
        <w:rPr>
          <w:rFonts w:ascii="Bookman Old Style" w:eastAsia="MS Mincho" w:hAnsi="Bookman Old Style" w:cs="Calibri"/>
          <w:sz w:val="24"/>
          <w:szCs w:val="24"/>
        </w:rPr>
        <w:t xml:space="preserve"> Os</w:t>
      </w:r>
      <w:proofErr w:type="gramEnd"/>
      <w:r w:rsidRPr="00AC1C56">
        <w:rPr>
          <w:rFonts w:ascii="Bookman Old Style" w:eastAsia="MS Mincho" w:hAnsi="Bookman Old Style" w:cs="Calibri"/>
          <w:sz w:val="24"/>
          <w:szCs w:val="24"/>
        </w:rPr>
        <w:t xml:space="preserve"> documentos apresentados deverão estar acompanhados de todas as alterações ou da consolidação respectiva</w:t>
      </w:r>
    </w:p>
    <w:p w14:paraId="15F0CC70"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7.5 Habilitação fiscal, social e trabalhista (Art. 68, Lei 14.133/21)</w:t>
      </w:r>
    </w:p>
    <w:p w14:paraId="51DF9E62"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7.5.1</w:t>
      </w:r>
      <w:r w:rsidRPr="00AC1C56">
        <w:rPr>
          <w:rFonts w:ascii="Bookman Old Style" w:eastAsia="MS Mincho" w:hAnsi="Bookman Old Style" w:cs="Calibri"/>
          <w:sz w:val="24"/>
          <w:szCs w:val="24"/>
        </w:rPr>
        <w:t xml:space="preserve"> Prova de inscrição no Cadastro Nacional de Pessoas Jurídicas ou no Cadastro de Pessoas Físicas, conforme o caso;</w:t>
      </w:r>
    </w:p>
    <w:p w14:paraId="0ACBEA33"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7.5.2</w:t>
      </w:r>
      <w:r w:rsidRPr="00AC1C56">
        <w:rPr>
          <w:rFonts w:ascii="Bookman Old Style" w:eastAsia="MS Mincho" w:hAnsi="Bookman Old Style" w:cs="Calibri"/>
          <w:sz w:val="24"/>
          <w:szCs w:val="24"/>
        </w:rPr>
        <w:t xml:space="preserve">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E45CC6"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7.5.3</w:t>
      </w:r>
      <w:r w:rsidRPr="00AC1C56">
        <w:rPr>
          <w:rFonts w:ascii="Bookman Old Style" w:eastAsia="MS Mincho" w:hAnsi="Bookman Old Style" w:cs="Calibri"/>
          <w:sz w:val="24"/>
          <w:szCs w:val="24"/>
        </w:rPr>
        <w:t xml:space="preserve"> Prova de regularidade com o Fundo de Garantia do Tempo de Serviço (FGTS);</w:t>
      </w:r>
    </w:p>
    <w:p w14:paraId="12C80541"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7.5.4</w:t>
      </w:r>
      <w:r w:rsidRPr="00AC1C56">
        <w:rPr>
          <w:rFonts w:ascii="Bookman Old Style" w:eastAsia="MS Mincho" w:hAnsi="Bookman Old Style" w:cs="Calibri"/>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7E429E"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7.5.5</w:t>
      </w:r>
      <w:r w:rsidRPr="00AC1C56">
        <w:rPr>
          <w:rFonts w:ascii="Bookman Old Style" w:eastAsia="MS Mincho" w:hAnsi="Bookman Old Style" w:cs="Calibri"/>
          <w:sz w:val="24"/>
          <w:szCs w:val="24"/>
        </w:rPr>
        <w:t xml:space="preserve"> Prova de inscrição no cadastro de contribuintes municipal relativo ao domicílio ou sede do fornecedor, pertinente ao seu ramo de atividade e compatível com o objeto contratual; </w:t>
      </w:r>
    </w:p>
    <w:p w14:paraId="6CCE5D1F"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7.5.6</w:t>
      </w:r>
      <w:r w:rsidRPr="00AC1C56">
        <w:rPr>
          <w:rFonts w:ascii="Bookman Old Style" w:eastAsia="MS Mincho" w:hAnsi="Bookman Old Style" w:cs="Calibri"/>
          <w:sz w:val="24"/>
          <w:szCs w:val="24"/>
        </w:rPr>
        <w:t xml:space="preserve"> Prova de regularidade com a Fazenda Municipal do domicílio ou sede do fornecedor, relativa à atividade em cujo exercício contrata ou concorre;</w:t>
      </w:r>
    </w:p>
    <w:p w14:paraId="43D7512B"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7.5.7</w:t>
      </w:r>
      <w:r w:rsidRPr="00AC1C56">
        <w:rPr>
          <w:rFonts w:ascii="Bookman Old Style" w:eastAsia="MS Mincho" w:hAnsi="Bookman Old Style" w:cs="Calibri"/>
          <w:sz w:val="24"/>
          <w:szCs w:val="24"/>
        </w:rPr>
        <w:t xml:space="preserve"> Prova de regularidade com a Fazenda Estadual do domicílio ou sede do fornecedor, relativa à atividade em cujo exercício contrata ou concorre.</w:t>
      </w:r>
    </w:p>
    <w:p w14:paraId="3651AF78"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7.5.8</w:t>
      </w:r>
      <w:r w:rsidRPr="00AC1C56">
        <w:rPr>
          <w:rFonts w:ascii="Bookman Old Style" w:eastAsia="MS Mincho" w:hAnsi="Bookman Old Style" w:cs="Calibri"/>
          <w:sz w:val="24"/>
          <w:szCs w:val="24"/>
        </w:rPr>
        <w:t xml:space="preserve"> Declaração de cumprimento do disposto </w:t>
      </w:r>
      <w:r w:rsidRPr="00AC1C56">
        <w:rPr>
          <w:rFonts w:ascii="Tahoma" w:eastAsia="MS Mincho" w:hAnsi="Tahoma" w:cs="Tahoma"/>
          <w:sz w:val="24"/>
          <w:szCs w:val="24"/>
        </w:rPr>
        <w:t>﻿</w:t>
      </w:r>
      <w:r w:rsidRPr="00AC1C56">
        <w:rPr>
          <w:rFonts w:ascii="Bookman Old Style" w:eastAsia="MS Mincho" w:hAnsi="Bookman Old Style" w:cs="Calibri"/>
          <w:sz w:val="24"/>
          <w:szCs w:val="24"/>
        </w:rPr>
        <w:t>no inciso XXXIII do art. 7</w:t>
      </w:r>
      <w:r w:rsidRPr="00AC1C56">
        <w:rPr>
          <w:rFonts w:ascii="Bookman Old Style" w:eastAsia="MS Mincho" w:hAnsi="Bookman Old Style" w:cs="Bookman Old Style"/>
          <w:sz w:val="24"/>
          <w:szCs w:val="24"/>
        </w:rPr>
        <w:t>º</w:t>
      </w:r>
      <w:r w:rsidRPr="00AC1C56">
        <w:rPr>
          <w:rFonts w:ascii="Bookman Old Style" w:eastAsia="MS Mincho" w:hAnsi="Bookman Old Style" w:cs="Calibri"/>
          <w:sz w:val="24"/>
          <w:szCs w:val="24"/>
        </w:rPr>
        <w:t xml:space="preserve"> da Constitui</w:t>
      </w:r>
      <w:r w:rsidRPr="00AC1C56">
        <w:rPr>
          <w:rFonts w:ascii="Bookman Old Style" w:eastAsia="MS Mincho" w:hAnsi="Bookman Old Style" w:cs="Bookman Old Style"/>
          <w:sz w:val="24"/>
          <w:szCs w:val="24"/>
        </w:rPr>
        <w:t>çã</w:t>
      </w:r>
      <w:r w:rsidRPr="00AC1C56">
        <w:rPr>
          <w:rFonts w:ascii="Bookman Old Style" w:eastAsia="MS Mincho" w:hAnsi="Bookman Old Style" w:cs="Calibri"/>
          <w:sz w:val="24"/>
          <w:szCs w:val="24"/>
        </w:rPr>
        <w:t>o Federal.</w:t>
      </w:r>
    </w:p>
    <w:p w14:paraId="76C5680E"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7.5.9</w:t>
      </w:r>
      <w:r w:rsidRPr="00AC1C56">
        <w:rPr>
          <w:rFonts w:ascii="Bookman Old Style" w:eastAsia="MS Mincho" w:hAnsi="Bookman Old Style" w:cs="Calibri"/>
          <w:sz w:val="24"/>
          <w:szCs w:val="24"/>
        </w:rPr>
        <w:t xml:space="preserve">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E35DCA5"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lastRenderedPageBreak/>
        <w:t>7.5.10</w:t>
      </w:r>
      <w:r w:rsidRPr="00AC1C56">
        <w:rPr>
          <w:rFonts w:ascii="Bookman Old Style" w:eastAsia="MS Mincho" w:hAnsi="Bookman Old Style" w:cs="Calibri"/>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5E6DA6" w14:textId="77777777" w:rsidR="00AC1C56" w:rsidRPr="00AC1C56" w:rsidRDefault="00AC1C56" w:rsidP="00AC1C56">
      <w:pPr>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7.6 Requisitos contratuais</w:t>
      </w:r>
    </w:p>
    <w:p w14:paraId="18A14CA1"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7.6.1</w:t>
      </w:r>
      <w:r w:rsidRPr="00AC1C56">
        <w:rPr>
          <w:rFonts w:ascii="Bookman Old Style" w:eastAsia="MS Mincho" w:hAnsi="Bookman Old Style" w:cs="Calibri"/>
          <w:sz w:val="24"/>
          <w:szCs w:val="24"/>
        </w:rPr>
        <w:t xml:space="preserve"> Previamente</w:t>
      </w:r>
      <w:proofErr w:type="gramEnd"/>
      <w:r w:rsidRPr="00AC1C56">
        <w:rPr>
          <w:rFonts w:ascii="Bookman Old Style" w:eastAsia="MS Mincho" w:hAnsi="Bookman Old Style" w:cs="Calibri"/>
          <w:sz w:val="24"/>
          <w:szCs w:val="24"/>
        </w:rPr>
        <w:t xml:space="preserve"> à celebração do contrato, a Administração verificará o eventual descumprimento das condições para contratação, especialmente quanto à existência de sanção que a impeça, mediante a consulta a cadastros informativos oficiais, tais como:  </w:t>
      </w:r>
    </w:p>
    <w:p w14:paraId="7F056F5C"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7.6.1.1</w:t>
      </w:r>
      <w:r w:rsidRPr="00AC1C56">
        <w:rPr>
          <w:rFonts w:ascii="Bookman Old Style" w:eastAsia="MS Mincho" w:hAnsi="Bookman Old Style" w:cs="Calibri"/>
          <w:sz w:val="24"/>
          <w:szCs w:val="24"/>
        </w:rPr>
        <w:t xml:space="preserve"> SICAF;  </w:t>
      </w:r>
    </w:p>
    <w:p w14:paraId="0E8E2971"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7.6.1.2</w:t>
      </w:r>
      <w:r w:rsidRPr="00AC1C56">
        <w:rPr>
          <w:rFonts w:ascii="Bookman Old Style" w:eastAsia="MS Mincho" w:hAnsi="Bookman Old Style" w:cs="Calibri"/>
          <w:sz w:val="24"/>
          <w:szCs w:val="24"/>
        </w:rPr>
        <w:t xml:space="preserve"> Cadastro Nacional de Empresas Inidôneas e Suspensas - CEIS, mantido pela Controladoria-Geral da União (https://certidoes.cgu.gov.br/); e</w:t>
      </w:r>
    </w:p>
    <w:p w14:paraId="7ED881D4" w14:textId="77777777" w:rsidR="00AC1C56" w:rsidRPr="00AC1C56" w:rsidRDefault="00AC1C56" w:rsidP="00AC1C56">
      <w:pPr>
        <w:ind w:left="708"/>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7.6.1.3</w:t>
      </w:r>
      <w:r w:rsidRPr="00AC1C56">
        <w:rPr>
          <w:rFonts w:ascii="Bookman Old Style" w:eastAsia="MS Mincho" w:hAnsi="Bookman Old Style" w:cs="Calibri"/>
          <w:sz w:val="24"/>
          <w:szCs w:val="24"/>
        </w:rPr>
        <w:t xml:space="preserve"> Cadastro Nacional de Empresas Punidas – CNEP, mantido pela Controladoria-Geral da União (</w:t>
      </w:r>
      <w:hyperlink r:id="rId20" w:history="1">
        <w:r w:rsidRPr="00AC1C56">
          <w:rPr>
            <w:rFonts w:ascii="Bookman Old Style" w:eastAsia="MS Mincho" w:hAnsi="Bookman Old Style" w:cs="Calibri"/>
            <w:color w:val="0000FF"/>
            <w:sz w:val="24"/>
            <w:szCs w:val="24"/>
            <w:u w:val="single"/>
          </w:rPr>
          <w:t>https://www.portaltransparencia.gov.br/sancoes/cnep</w:t>
        </w:r>
      </w:hyperlink>
      <w:r w:rsidRPr="00AC1C56">
        <w:rPr>
          <w:rFonts w:ascii="Bookman Old Style" w:eastAsia="MS Mincho" w:hAnsi="Bookman Old Style" w:cs="Calibri"/>
          <w:sz w:val="24"/>
          <w:szCs w:val="24"/>
        </w:rPr>
        <w:t>)</w:t>
      </w:r>
    </w:p>
    <w:p w14:paraId="52F9A18B"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7.6.2</w:t>
      </w:r>
      <w:r w:rsidRPr="00AC1C56">
        <w:rPr>
          <w:rFonts w:ascii="Bookman Old Style" w:eastAsia="MS Mincho" w:hAnsi="Bookman Old Style" w:cs="Calibri"/>
          <w:sz w:val="24"/>
          <w:szCs w:val="24"/>
        </w:rP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DB73154"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7.6.3</w:t>
      </w:r>
      <w:r w:rsidRPr="00AC1C56">
        <w:rPr>
          <w:rFonts w:ascii="Bookman Old Style" w:eastAsia="MS Mincho" w:hAnsi="Bookman Old Style" w:cs="Calibri"/>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07EC4992"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7.6.4</w:t>
      </w:r>
      <w:r w:rsidRPr="00AC1C56">
        <w:rPr>
          <w:rFonts w:ascii="Bookman Old Style" w:eastAsia="MS Mincho" w:hAnsi="Bookman Old Style" w:cs="Calibri"/>
          <w:sz w:val="24"/>
          <w:szCs w:val="24"/>
        </w:rPr>
        <w:t xml:space="preserve"> A tentativa de burla será verificada por meio dos vínculos societários, linhas de fornecimento similares, dentre outros.</w:t>
      </w:r>
    </w:p>
    <w:p w14:paraId="0ECF28A7"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7.6.5</w:t>
      </w:r>
      <w:r w:rsidRPr="00AC1C56">
        <w:rPr>
          <w:rFonts w:ascii="Bookman Old Style" w:eastAsia="MS Mincho" w:hAnsi="Bookman Old Style" w:cs="Calibri"/>
          <w:sz w:val="24"/>
          <w:szCs w:val="24"/>
        </w:rPr>
        <w:t xml:space="preserve"> Caso atendidas as condições para contratação, a habilitação do fornecedor será verificada por meio do SICAF, nos documentos por ele abrangidos.</w:t>
      </w:r>
    </w:p>
    <w:p w14:paraId="3C575480"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7.6.6</w:t>
      </w:r>
      <w:r w:rsidRPr="00AC1C56">
        <w:rPr>
          <w:rFonts w:ascii="Bookman Old Style" w:eastAsia="MS Mincho" w:hAnsi="Bookman Old Style" w:cs="Calibri"/>
          <w:sz w:val="24"/>
          <w:szCs w:val="24"/>
        </w:rPr>
        <w:t xml:space="preserve"> É</w:t>
      </w:r>
      <w:proofErr w:type="gramEnd"/>
      <w:r w:rsidRPr="00AC1C56">
        <w:rPr>
          <w:rFonts w:ascii="Bookman Old Style" w:eastAsia="MS Mincho" w:hAnsi="Bookman Old Style" w:cs="Calibri"/>
          <w:sz w:val="24"/>
          <w:szCs w:val="24"/>
        </w:rPr>
        <w:t xml:space="preserve"> dever do fornecedor manter atualizada a respectiva documentação constante do SICAF, ou encaminhar, quando solicitado pela Administração, a respectiva documentação atualizada.</w:t>
      </w:r>
    </w:p>
    <w:p w14:paraId="7D51976D"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7.6.7</w:t>
      </w:r>
      <w:r w:rsidRPr="00AC1C56">
        <w:rPr>
          <w:rFonts w:ascii="Bookman Old Style" w:eastAsia="MS Mincho" w:hAnsi="Bookman Old Style" w:cs="Calibri"/>
          <w:sz w:val="24"/>
          <w:szCs w:val="24"/>
        </w:rPr>
        <w:t xml:space="preserve"> Não</w:t>
      </w:r>
      <w:proofErr w:type="gramEnd"/>
      <w:r w:rsidRPr="00AC1C56">
        <w:rPr>
          <w:rFonts w:ascii="Bookman Old Style" w:eastAsia="MS Mincho" w:hAnsi="Bookman Old Style" w:cs="Calibri"/>
          <w:sz w:val="24"/>
          <w:szCs w:val="24"/>
        </w:rPr>
        <w:t xml:space="preserve"> serão aceitos documentos de habilitação com indicação de CNPJ/CPF diferentes, salvo aqueles legalmente permitidos.</w:t>
      </w:r>
    </w:p>
    <w:p w14:paraId="3E2B2423"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7.6.8</w:t>
      </w:r>
      <w:r w:rsidRPr="00AC1C56">
        <w:rPr>
          <w:rFonts w:ascii="Bookman Old Style" w:eastAsia="MS Mincho" w:hAnsi="Bookman Old Style" w:cs="Calibri"/>
          <w:sz w:val="24"/>
          <w:szCs w:val="24"/>
        </w:rPr>
        <w:t xml:space="preserve"> Se</w:t>
      </w:r>
      <w:proofErr w:type="gramEnd"/>
      <w:r w:rsidRPr="00AC1C56">
        <w:rPr>
          <w:rFonts w:ascii="Bookman Old Style" w:eastAsia="MS Mincho" w:hAnsi="Bookman Old Style" w:cs="Calibri"/>
          <w:sz w:val="24"/>
          <w:szCs w:val="24"/>
        </w:rPr>
        <w:t xml:space="preserv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8163027" w14:textId="77777777" w:rsidR="00AC1C56" w:rsidRPr="00AC1C56" w:rsidRDefault="00AC1C56" w:rsidP="00AC1C56">
      <w:pPr>
        <w:contextualSpacing/>
        <w:jc w:val="both"/>
        <w:rPr>
          <w:rFonts w:ascii="Bookman Old Style" w:eastAsia="MS Mincho" w:hAnsi="Bookman Old Style" w:cs="Calibri"/>
          <w:sz w:val="24"/>
          <w:szCs w:val="24"/>
        </w:rPr>
      </w:pPr>
      <w:proofErr w:type="gramStart"/>
      <w:r w:rsidRPr="00AC1C56">
        <w:rPr>
          <w:rFonts w:ascii="Bookman Old Style" w:eastAsia="MS Mincho" w:hAnsi="Bookman Old Style" w:cs="Calibri"/>
          <w:b/>
          <w:sz w:val="24"/>
          <w:szCs w:val="24"/>
        </w:rPr>
        <w:t>7.6.9</w:t>
      </w:r>
      <w:r w:rsidRPr="00AC1C56">
        <w:rPr>
          <w:rFonts w:ascii="Bookman Old Style" w:eastAsia="MS Mincho" w:hAnsi="Bookman Old Style" w:cs="Calibri"/>
          <w:sz w:val="24"/>
          <w:szCs w:val="24"/>
        </w:rPr>
        <w:t xml:space="preserve"> Serão</w:t>
      </w:r>
      <w:proofErr w:type="gramEnd"/>
      <w:r w:rsidRPr="00AC1C56">
        <w:rPr>
          <w:rFonts w:ascii="Bookman Old Style" w:eastAsia="MS Mincho" w:hAnsi="Bookman Old Style" w:cs="Calibri"/>
          <w:sz w:val="24"/>
          <w:szCs w:val="24"/>
        </w:rPr>
        <w:t xml:space="preserve"> aceitos registros de CNPJ de fornecedor matriz e filial com diferenças de números de documentos pertinentes ao CND e ao CRF/FGTS, quando for comprovada a centralização do recolhimento dessas contribuições.</w:t>
      </w:r>
    </w:p>
    <w:p w14:paraId="26420F0D" w14:textId="77777777" w:rsidR="00AC1C56" w:rsidRPr="00AC1C56" w:rsidRDefault="00AC1C56" w:rsidP="00AC1C56">
      <w:pPr>
        <w:contextualSpacing/>
        <w:jc w:val="both"/>
        <w:rPr>
          <w:rFonts w:ascii="Bookman Old Style" w:eastAsia="MS Mincho" w:hAnsi="Bookman Old Style" w:cs="Calibri"/>
          <w:sz w:val="24"/>
          <w:szCs w:val="24"/>
        </w:rPr>
      </w:pPr>
    </w:p>
    <w:p w14:paraId="4F48391E" w14:textId="77777777" w:rsidR="00AC1C56" w:rsidRPr="00AC1C56" w:rsidRDefault="00AC1C56" w:rsidP="00AC1C56">
      <w:pPr>
        <w:shd w:val="clear" w:color="auto" w:fill="D9D9D9"/>
        <w:contextualSpacing/>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8. ADEQUAÇÃO ORÇAMENTÁRIA (art. 6º, XXIII, alínea “j” da Lei nº 14.133/21)</w:t>
      </w:r>
    </w:p>
    <w:p w14:paraId="20C4141C"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8.1.</w:t>
      </w:r>
      <w:r w:rsidRPr="00AC1C56">
        <w:rPr>
          <w:rFonts w:ascii="Bookman Old Style" w:eastAsia="MS Mincho" w:hAnsi="Bookman Old Style" w:cs="Calibri"/>
          <w:sz w:val="24"/>
          <w:szCs w:val="24"/>
        </w:rPr>
        <w:t xml:space="preserve"> As despesas decorrentes da presente contratação correrão à conta de recursos específicos consignados no Orçamento do Poder Legislativo Municipal de Terra Rica/PR</w:t>
      </w:r>
    </w:p>
    <w:p w14:paraId="1D443257" w14:textId="77777777" w:rsidR="00AC1C56" w:rsidRPr="00AC1C56" w:rsidRDefault="00AC1C56" w:rsidP="00AC1C56">
      <w:pPr>
        <w:contextualSpacing/>
        <w:rPr>
          <w:rFonts w:ascii="Bookman Old Style" w:eastAsia="MS Mincho" w:hAnsi="Bookman Old Style" w:cs="Calibri"/>
          <w:sz w:val="24"/>
          <w:szCs w:val="24"/>
        </w:rPr>
      </w:pPr>
      <w:r w:rsidRPr="00AC1C56">
        <w:rPr>
          <w:rFonts w:ascii="Bookman Old Style" w:eastAsia="MS Mincho" w:hAnsi="Bookman Old Style" w:cs="Calibri"/>
          <w:b/>
          <w:sz w:val="24"/>
          <w:szCs w:val="24"/>
        </w:rPr>
        <w:t>8.2.</w:t>
      </w:r>
      <w:r w:rsidRPr="00AC1C56">
        <w:rPr>
          <w:rFonts w:ascii="Bookman Old Style" w:eastAsia="MS Mincho" w:hAnsi="Bookman Old Style" w:cs="Calibri"/>
          <w:sz w:val="24"/>
          <w:szCs w:val="24"/>
        </w:rPr>
        <w:t xml:space="preserve"> A contratação será atendida pela seguinte dotação:</w:t>
      </w:r>
    </w:p>
    <w:p w14:paraId="5C4C07F9" w14:textId="77777777" w:rsidR="00AC1C56" w:rsidRPr="00AC1C56" w:rsidRDefault="00AC1C56" w:rsidP="00AC1C56">
      <w:pPr>
        <w:contextualSpacing/>
        <w:rPr>
          <w:rFonts w:ascii="Bookman Old Style" w:eastAsia="MS Mincho" w:hAnsi="Bookman Old Style" w:cs="Calibri"/>
          <w:sz w:val="24"/>
          <w:szCs w:val="24"/>
        </w:rPr>
      </w:pPr>
    </w:p>
    <w:p w14:paraId="6BDAC986" w14:textId="77777777" w:rsidR="00AC1C56" w:rsidRPr="00AC1C56" w:rsidRDefault="00AC1C56" w:rsidP="00AC1C56">
      <w:pPr>
        <w:spacing w:before="1"/>
        <w:contextualSpacing/>
        <w:jc w:val="both"/>
        <w:rPr>
          <w:rFonts w:ascii="Bookman Old Style" w:eastAsia="MS Mincho" w:hAnsi="Bookman Old Style" w:cs="Calibri"/>
          <w:b/>
          <w:bCs/>
          <w:sz w:val="24"/>
          <w:szCs w:val="24"/>
        </w:rPr>
      </w:pPr>
      <w:r w:rsidRPr="00AC1C56">
        <w:rPr>
          <w:rFonts w:ascii="Bookman Old Style" w:eastAsia="MS Mincho" w:hAnsi="Bookman Old Style" w:cs="Calibri"/>
          <w:b/>
          <w:bCs/>
          <w:sz w:val="24"/>
          <w:szCs w:val="24"/>
        </w:rPr>
        <w:t>0018 01.001.01.031.0001.2.001.4.4.90.52.00.00 EQUIPAMENTOS E MATERIAL PERMANENTE       FONTE 1001</w:t>
      </w:r>
    </w:p>
    <w:p w14:paraId="4372135D" w14:textId="77777777" w:rsidR="00AC1C56" w:rsidRPr="00AC1C56" w:rsidRDefault="00AC1C56" w:rsidP="00AC1C56">
      <w:pPr>
        <w:spacing w:before="1"/>
        <w:contextualSpacing/>
        <w:jc w:val="both"/>
        <w:rPr>
          <w:rFonts w:ascii="Bookman Old Style" w:eastAsia="MS Mincho" w:hAnsi="Bookman Old Style" w:cs="Calibri"/>
          <w:b/>
          <w:bCs/>
          <w:sz w:val="24"/>
          <w:szCs w:val="24"/>
        </w:rPr>
      </w:pPr>
    </w:p>
    <w:p w14:paraId="0A5DB007" w14:textId="77777777" w:rsidR="00AC1C56" w:rsidRPr="00AC1C56" w:rsidRDefault="00AC1C56" w:rsidP="00AC1C56">
      <w:pPr>
        <w:contextualSpacing/>
        <w:jc w:val="both"/>
        <w:rPr>
          <w:rFonts w:ascii="Bookman Old Style" w:eastAsia="MS Mincho" w:hAnsi="Bookman Old Style" w:cs="Calibri"/>
          <w:sz w:val="24"/>
          <w:szCs w:val="24"/>
        </w:rPr>
      </w:pPr>
      <w:r w:rsidRPr="00AC1C56">
        <w:rPr>
          <w:rFonts w:ascii="Bookman Old Style" w:eastAsia="MS Mincho" w:hAnsi="Bookman Old Style" w:cs="Calibri"/>
          <w:b/>
          <w:sz w:val="24"/>
          <w:szCs w:val="24"/>
        </w:rPr>
        <w:t>8.3.</w:t>
      </w:r>
      <w:r w:rsidRPr="00AC1C56">
        <w:rPr>
          <w:rFonts w:ascii="Bookman Old Style" w:eastAsia="MS Mincho" w:hAnsi="Bookman Old Style" w:cs="Calibri"/>
          <w:sz w:val="24"/>
          <w:szCs w:val="24"/>
        </w:rPr>
        <w:t xml:space="preserve"> A dotação relativa aos exercícios financeiros subsequentes será indicada após aprovação da Lei Orçamentária respectiva e liberação dos créditos correspondentes, mediante </w:t>
      </w:r>
      <w:proofErr w:type="spellStart"/>
      <w:r w:rsidRPr="00AC1C56">
        <w:rPr>
          <w:rFonts w:ascii="Bookman Old Style" w:eastAsia="MS Mincho" w:hAnsi="Bookman Old Style" w:cs="Calibri"/>
          <w:sz w:val="24"/>
          <w:szCs w:val="24"/>
        </w:rPr>
        <w:t>apostilamento</w:t>
      </w:r>
      <w:proofErr w:type="spellEnd"/>
      <w:r w:rsidRPr="00AC1C56">
        <w:rPr>
          <w:rFonts w:ascii="Bookman Old Style" w:eastAsia="MS Mincho" w:hAnsi="Bookman Old Style" w:cs="Calibri"/>
          <w:sz w:val="24"/>
          <w:szCs w:val="24"/>
        </w:rPr>
        <w:t>.</w:t>
      </w:r>
    </w:p>
    <w:p w14:paraId="4736BCD5" w14:textId="77777777" w:rsidR="00AC1C56" w:rsidRPr="00AC1C56" w:rsidRDefault="00AC1C56" w:rsidP="00AC1C56">
      <w:pPr>
        <w:contextualSpacing/>
        <w:jc w:val="center"/>
        <w:rPr>
          <w:rFonts w:ascii="Bookman Old Style" w:eastAsia="MS Mincho" w:hAnsi="Bookman Old Style" w:cs="Calibri"/>
          <w:sz w:val="24"/>
          <w:szCs w:val="24"/>
        </w:rPr>
      </w:pPr>
    </w:p>
    <w:p w14:paraId="19F70B60" w14:textId="16CF11BE" w:rsidR="00AC1C56" w:rsidRPr="00AC1C56" w:rsidRDefault="00C7590F" w:rsidP="00AC1C56">
      <w:pPr>
        <w:contextualSpacing/>
        <w:jc w:val="center"/>
        <w:rPr>
          <w:rFonts w:ascii="Bookman Old Style" w:eastAsia="MS Mincho" w:hAnsi="Bookman Old Style" w:cs="Calibri"/>
          <w:sz w:val="24"/>
          <w:szCs w:val="24"/>
        </w:rPr>
      </w:pPr>
      <w:r>
        <w:rPr>
          <w:rFonts w:ascii="Bookman Old Style" w:eastAsia="MS Mincho" w:hAnsi="Bookman Old Style" w:cs="Calibri"/>
          <w:sz w:val="24"/>
          <w:szCs w:val="24"/>
        </w:rPr>
        <w:t>Terra Rica/PR, 07</w:t>
      </w:r>
      <w:r w:rsidR="00AC1C56" w:rsidRPr="00AC1C56">
        <w:rPr>
          <w:rFonts w:ascii="Bookman Old Style" w:eastAsia="MS Mincho" w:hAnsi="Bookman Old Style" w:cs="Calibri"/>
          <w:sz w:val="24"/>
          <w:szCs w:val="24"/>
        </w:rPr>
        <w:t xml:space="preserve"> de outubro de 2026.</w:t>
      </w:r>
    </w:p>
    <w:p w14:paraId="357C2D1B" w14:textId="77777777" w:rsidR="00AC1C56" w:rsidRPr="00AC1C56" w:rsidRDefault="00AC1C56" w:rsidP="00AC1C56">
      <w:pPr>
        <w:spacing w:before="120" w:after="120" w:line="240" w:lineRule="auto"/>
        <w:contextualSpacing/>
        <w:jc w:val="both"/>
        <w:rPr>
          <w:rFonts w:ascii="Bookman Old Style" w:eastAsia="Times New Roman" w:hAnsi="Bookman Old Style" w:cs="Calibri"/>
          <w:color w:val="000000"/>
          <w:sz w:val="24"/>
          <w:szCs w:val="24"/>
          <w:lang w:eastAsia="pt-BR"/>
        </w:rPr>
      </w:pPr>
    </w:p>
    <w:p w14:paraId="77DB265E" w14:textId="77777777" w:rsidR="00AC1C56" w:rsidRPr="00AC1C56" w:rsidRDefault="00AC1C56" w:rsidP="00AC1C56">
      <w:pPr>
        <w:ind w:left="357"/>
        <w:contextualSpacing/>
        <w:jc w:val="center"/>
        <w:rPr>
          <w:rFonts w:ascii="Bookman Old Style" w:eastAsia="Arial" w:hAnsi="Bookman Old Style" w:cs="Calibri"/>
          <w:sz w:val="24"/>
          <w:szCs w:val="24"/>
        </w:rPr>
      </w:pPr>
      <w:r w:rsidRPr="00AC1C56">
        <w:rPr>
          <w:rFonts w:ascii="Bookman Old Style" w:eastAsia="Arial" w:hAnsi="Bookman Old Style" w:cs="Calibri"/>
          <w:sz w:val="24"/>
          <w:szCs w:val="24"/>
        </w:rPr>
        <w:t>__________________________________</w:t>
      </w:r>
    </w:p>
    <w:p w14:paraId="2D5BE1E1" w14:textId="77777777" w:rsidR="00AC1C56" w:rsidRPr="00AC1C56" w:rsidRDefault="00AC1C56" w:rsidP="00AC1C56">
      <w:pPr>
        <w:ind w:left="426"/>
        <w:contextualSpacing/>
        <w:jc w:val="center"/>
        <w:rPr>
          <w:rFonts w:ascii="Bookman Old Style" w:eastAsia="MS Mincho" w:hAnsi="Bookman Old Style" w:cs="Calibri"/>
          <w:bCs/>
          <w:sz w:val="24"/>
          <w:szCs w:val="24"/>
        </w:rPr>
      </w:pPr>
      <w:r w:rsidRPr="00AC1C56">
        <w:rPr>
          <w:rFonts w:ascii="Bookman Old Style" w:eastAsia="MS Mincho" w:hAnsi="Bookman Old Style" w:cs="Calibri"/>
          <w:bCs/>
          <w:sz w:val="24"/>
          <w:szCs w:val="24"/>
        </w:rPr>
        <w:t>PAULO HENRIQUE DE SOUZA PADOVINI</w:t>
      </w:r>
    </w:p>
    <w:p w14:paraId="38F546C9" w14:textId="77777777" w:rsidR="00AC1C56" w:rsidRPr="00AC1C56" w:rsidRDefault="00AC1C56" w:rsidP="00AC1C56">
      <w:pPr>
        <w:contextualSpacing/>
        <w:jc w:val="center"/>
        <w:rPr>
          <w:rFonts w:ascii="Bookman Old Style" w:eastAsia="Arial" w:hAnsi="Bookman Old Style" w:cs="Calibri"/>
          <w:b/>
          <w:sz w:val="24"/>
          <w:szCs w:val="24"/>
        </w:rPr>
      </w:pPr>
      <w:r w:rsidRPr="00AC1C56">
        <w:rPr>
          <w:rFonts w:ascii="Bookman Old Style" w:eastAsia="Arial" w:hAnsi="Bookman Old Style" w:cs="Calibri"/>
          <w:b/>
          <w:sz w:val="24"/>
          <w:szCs w:val="24"/>
        </w:rPr>
        <w:t>Agente de Contratação</w:t>
      </w:r>
    </w:p>
    <w:p w14:paraId="34A962E3" w14:textId="77777777" w:rsidR="00AC1C56" w:rsidRPr="00AC1C56" w:rsidRDefault="00AC1C56" w:rsidP="00AC1C56">
      <w:pPr>
        <w:spacing w:after="0" w:line="240" w:lineRule="auto"/>
        <w:rPr>
          <w:rFonts w:ascii="Bookman Old Style" w:eastAsia="MS Mincho" w:hAnsi="Bookman Old Style" w:cstheme="minorHAnsi"/>
          <w:b/>
          <w:bCs/>
          <w:color w:val="000000" w:themeColor="text1"/>
          <w:sz w:val="24"/>
          <w:szCs w:val="24"/>
        </w:rPr>
      </w:pPr>
      <w:r w:rsidRPr="00AC1C56">
        <w:rPr>
          <w:rFonts w:ascii="Bookman Old Style" w:eastAsia="MS Mincho" w:hAnsi="Bookman Old Style" w:cstheme="minorHAnsi"/>
          <w:b/>
          <w:bCs/>
          <w:color w:val="000000" w:themeColor="text1"/>
          <w:sz w:val="24"/>
          <w:szCs w:val="24"/>
        </w:rPr>
        <w:br w:type="page"/>
      </w:r>
    </w:p>
    <w:p w14:paraId="61437E72" w14:textId="77777777" w:rsidR="00AC1C56" w:rsidRPr="00AC1C56" w:rsidRDefault="00AC1C56" w:rsidP="00AC1C56">
      <w:pPr>
        <w:tabs>
          <w:tab w:val="left" w:pos="9781"/>
        </w:tabs>
        <w:ind w:right="-567"/>
        <w:jc w:val="center"/>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lastRenderedPageBreak/>
        <w:t>ANEXO III</w:t>
      </w:r>
    </w:p>
    <w:p w14:paraId="7556CF66" w14:textId="77777777" w:rsidR="00AC1C56" w:rsidRPr="00AC1C56" w:rsidRDefault="00AC1C56" w:rsidP="00AC1C56">
      <w:pPr>
        <w:tabs>
          <w:tab w:val="left" w:pos="9781"/>
        </w:tabs>
        <w:ind w:right="-567"/>
        <w:jc w:val="center"/>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 xml:space="preserve">MODELO DE PROPOSTA DE PREÇOS </w:t>
      </w:r>
    </w:p>
    <w:tbl>
      <w:tblPr>
        <w:tblW w:w="11395" w:type="dxa"/>
        <w:jc w:val="center"/>
        <w:tblCellMar>
          <w:left w:w="70" w:type="dxa"/>
          <w:right w:w="70" w:type="dxa"/>
        </w:tblCellMar>
        <w:tblLook w:val="04A0" w:firstRow="1" w:lastRow="0" w:firstColumn="1" w:lastColumn="0" w:noHBand="0" w:noVBand="1"/>
      </w:tblPr>
      <w:tblGrid>
        <w:gridCol w:w="765"/>
        <w:gridCol w:w="81"/>
        <w:gridCol w:w="3386"/>
        <w:gridCol w:w="80"/>
        <w:gridCol w:w="928"/>
        <w:gridCol w:w="299"/>
        <w:gridCol w:w="1280"/>
        <w:gridCol w:w="189"/>
        <w:gridCol w:w="1272"/>
        <w:gridCol w:w="1461"/>
        <w:gridCol w:w="193"/>
        <w:gridCol w:w="1461"/>
      </w:tblGrid>
      <w:tr w:rsidR="00AC1C56" w:rsidRPr="00AC1C56" w14:paraId="513735D3" w14:textId="77777777" w:rsidTr="00384905">
        <w:trPr>
          <w:gridBefore w:val="2"/>
          <w:gridAfter w:val="1"/>
          <w:wBefore w:w="846" w:type="dxa"/>
          <w:wAfter w:w="1461" w:type="dxa"/>
          <w:trHeight w:val="227"/>
          <w:jc w:val="center"/>
        </w:trPr>
        <w:tc>
          <w:tcPr>
            <w:tcW w:w="9088" w:type="dxa"/>
            <w:gridSpan w:val="9"/>
            <w:tcBorders>
              <w:top w:val="single" w:sz="4" w:space="0" w:color="auto"/>
              <w:left w:val="single" w:sz="4" w:space="0" w:color="auto"/>
              <w:bottom w:val="nil"/>
              <w:right w:val="single" w:sz="4" w:space="0" w:color="000000"/>
            </w:tcBorders>
            <w:shd w:val="clear" w:color="auto" w:fill="auto"/>
            <w:vAlign w:val="center"/>
            <w:hideMark/>
          </w:tcPr>
          <w:p w14:paraId="1E5F8327"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p>
        </w:tc>
      </w:tr>
      <w:tr w:rsidR="00AC1C56" w:rsidRPr="00AC1C56" w14:paraId="27377570" w14:textId="77777777" w:rsidTr="00384905">
        <w:trPr>
          <w:gridBefore w:val="2"/>
          <w:gridAfter w:val="1"/>
          <w:wBefore w:w="846" w:type="dxa"/>
          <w:wAfter w:w="1461" w:type="dxa"/>
          <w:trHeight w:val="283"/>
          <w:jc w:val="center"/>
        </w:trPr>
        <w:tc>
          <w:tcPr>
            <w:tcW w:w="9088" w:type="dxa"/>
            <w:gridSpan w:val="9"/>
            <w:tcBorders>
              <w:top w:val="nil"/>
              <w:left w:val="single" w:sz="4" w:space="0" w:color="000000"/>
              <w:bottom w:val="single" w:sz="4" w:space="0" w:color="000000"/>
              <w:right w:val="single" w:sz="4" w:space="0" w:color="000000"/>
            </w:tcBorders>
            <w:shd w:val="clear" w:color="auto" w:fill="auto"/>
            <w:vAlign w:val="center"/>
            <w:hideMark/>
          </w:tcPr>
          <w:p w14:paraId="4E18C481" w14:textId="77777777" w:rsidR="00AC1C56" w:rsidRPr="00AC1C56" w:rsidRDefault="00AC1C56" w:rsidP="00AC1C56">
            <w:pPr>
              <w:spacing w:after="0" w:line="240" w:lineRule="auto"/>
              <w:ind w:right="-567"/>
              <w:rPr>
                <w:rFonts w:ascii="Bookman Old Style" w:eastAsia="Times New Roman" w:hAnsi="Bookman Old Style" w:cstheme="minorHAnsi"/>
                <w:b/>
                <w:bCs/>
                <w:color w:val="000000"/>
                <w:sz w:val="24"/>
                <w:szCs w:val="24"/>
              </w:rPr>
            </w:pPr>
            <w:r w:rsidRPr="00AC1C56">
              <w:rPr>
                <w:rFonts w:ascii="Bookman Old Style" w:eastAsia="Times New Roman" w:hAnsi="Bookman Old Style" w:cstheme="minorHAnsi"/>
                <w:b/>
                <w:bCs/>
                <w:color w:val="000000"/>
                <w:sz w:val="24"/>
                <w:szCs w:val="24"/>
              </w:rPr>
              <w:t>ÓRGÃO: CÂMARA MUNICIPAL DE TERRA RICA</w:t>
            </w:r>
          </w:p>
        </w:tc>
      </w:tr>
      <w:tr w:rsidR="00AC1C56" w:rsidRPr="00AC1C56" w14:paraId="62411BCE" w14:textId="77777777" w:rsidTr="00384905">
        <w:trPr>
          <w:gridBefore w:val="2"/>
          <w:gridAfter w:val="1"/>
          <w:wBefore w:w="846" w:type="dxa"/>
          <w:wAfter w:w="1461" w:type="dxa"/>
          <w:trHeight w:val="227"/>
          <w:jc w:val="center"/>
        </w:trPr>
        <w:tc>
          <w:tcPr>
            <w:tcW w:w="4394" w:type="dxa"/>
            <w:gridSpan w:val="3"/>
            <w:tcBorders>
              <w:top w:val="nil"/>
              <w:left w:val="single" w:sz="4" w:space="0" w:color="000000"/>
              <w:right w:val="single" w:sz="4" w:space="0" w:color="000000"/>
            </w:tcBorders>
            <w:shd w:val="clear" w:color="auto" w:fill="auto"/>
            <w:vAlign w:val="center"/>
          </w:tcPr>
          <w:p w14:paraId="15A104BC" w14:textId="77777777" w:rsidR="00AC1C56" w:rsidRPr="00AC1C56" w:rsidRDefault="00AC1C56" w:rsidP="00AC1C56">
            <w:pPr>
              <w:spacing w:after="0" w:line="240" w:lineRule="auto"/>
              <w:ind w:right="-567"/>
              <w:jc w:val="both"/>
              <w:rPr>
                <w:rFonts w:ascii="Bookman Old Style" w:eastAsia="Times New Roman" w:hAnsi="Bookman Old Style" w:cstheme="minorHAnsi"/>
                <w:bCs/>
                <w:color w:val="000000"/>
                <w:sz w:val="24"/>
                <w:szCs w:val="24"/>
              </w:rPr>
            </w:pPr>
            <w:r w:rsidRPr="00AC1C56">
              <w:rPr>
                <w:rFonts w:ascii="Bookman Old Style" w:eastAsia="Times New Roman" w:hAnsi="Bookman Old Style" w:cstheme="minorHAnsi"/>
                <w:bCs/>
                <w:color w:val="000000"/>
                <w:sz w:val="24"/>
                <w:szCs w:val="24"/>
              </w:rPr>
              <w:t>PROCESSO ADMINISTRATIVO Nº:</w:t>
            </w:r>
          </w:p>
        </w:tc>
        <w:tc>
          <w:tcPr>
            <w:tcW w:w="4694" w:type="dxa"/>
            <w:gridSpan w:val="6"/>
            <w:tcBorders>
              <w:top w:val="nil"/>
              <w:left w:val="single" w:sz="4" w:space="0" w:color="000000"/>
              <w:right w:val="single" w:sz="4" w:space="0" w:color="000000"/>
            </w:tcBorders>
            <w:shd w:val="clear" w:color="auto" w:fill="auto"/>
            <w:vAlign w:val="center"/>
          </w:tcPr>
          <w:p w14:paraId="5D3F58DE" w14:textId="77777777" w:rsidR="00AC1C56" w:rsidRPr="00AC1C56" w:rsidRDefault="00AC1C56" w:rsidP="00AC1C56">
            <w:pPr>
              <w:spacing w:after="0" w:line="240" w:lineRule="auto"/>
              <w:ind w:right="-567"/>
              <w:rPr>
                <w:rFonts w:ascii="Bookman Old Style" w:eastAsia="Times New Roman" w:hAnsi="Bookman Old Style" w:cstheme="minorHAnsi"/>
                <w:bCs/>
                <w:color w:val="000000"/>
                <w:sz w:val="24"/>
                <w:szCs w:val="24"/>
              </w:rPr>
            </w:pPr>
            <w:r w:rsidRPr="00AC1C56">
              <w:rPr>
                <w:rFonts w:ascii="Bookman Old Style" w:eastAsia="Times New Roman" w:hAnsi="Bookman Old Style" w:cstheme="minorHAnsi"/>
                <w:bCs/>
                <w:color w:val="000000"/>
                <w:sz w:val="24"/>
                <w:szCs w:val="24"/>
              </w:rPr>
              <w:t>DISPENSA FÍSICA Nº</w:t>
            </w:r>
          </w:p>
        </w:tc>
      </w:tr>
      <w:tr w:rsidR="00AC1C56" w:rsidRPr="00AC1C56" w14:paraId="6A359270" w14:textId="77777777" w:rsidTr="00384905">
        <w:trPr>
          <w:gridBefore w:val="2"/>
          <w:gridAfter w:val="1"/>
          <w:wBefore w:w="846" w:type="dxa"/>
          <w:wAfter w:w="1461" w:type="dxa"/>
          <w:trHeight w:val="340"/>
          <w:jc w:val="center"/>
        </w:trPr>
        <w:tc>
          <w:tcPr>
            <w:tcW w:w="4394" w:type="dxa"/>
            <w:gridSpan w:val="3"/>
            <w:tcBorders>
              <w:top w:val="nil"/>
              <w:left w:val="single" w:sz="4" w:space="0" w:color="000000"/>
              <w:bottom w:val="single" w:sz="4" w:space="0" w:color="000000"/>
              <w:right w:val="single" w:sz="4" w:space="0" w:color="000000"/>
            </w:tcBorders>
            <w:shd w:val="clear" w:color="auto" w:fill="auto"/>
            <w:vAlign w:val="center"/>
          </w:tcPr>
          <w:p w14:paraId="76D4A1E6" w14:textId="77777777" w:rsidR="00AC1C56" w:rsidRPr="00AC1C56" w:rsidRDefault="00AC1C56" w:rsidP="00AC1C56">
            <w:pPr>
              <w:spacing w:after="0" w:line="240" w:lineRule="auto"/>
              <w:ind w:right="-567"/>
              <w:jc w:val="both"/>
              <w:rPr>
                <w:rFonts w:ascii="Bookman Old Style" w:eastAsia="Times New Roman" w:hAnsi="Bookman Old Style" w:cstheme="minorHAnsi"/>
                <w:b/>
                <w:bCs/>
                <w:color w:val="000000"/>
                <w:sz w:val="24"/>
                <w:szCs w:val="24"/>
              </w:rPr>
            </w:pPr>
            <w:r w:rsidRPr="00AC1C56">
              <w:rPr>
                <w:rFonts w:ascii="Bookman Old Style" w:eastAsia="Times New Roman" w:hAnsi="Bookman Old Style" w:cstheme="minorHAnsi"/>
                <w:b/>
                <w:bCs/>
                <w:color w:val="000000"/>
                <w:sz w:val="24"/>
                <w:szCs w:val="24"/>
              </w:rPr>
              <w:t>013/2026</w:t>
            </w:r>
          </w:p>
        </w:tc>
        <w:tc>
          <w:tcPr>
            <w:tcW w:w="4694" w:type="dxa"/>
            <w:gridSpan w:val="6"/>
            <w:tcBorders>
              <w:top w:val="nil"/>
              <w:left w:val="single" w:sz="4" w:space="0" w:color="000000"/>
              <w:bottom w:val="single" w:sz="4" w:space="0" w:color="000000"/>
              <w:right w:val="single" w:sz="4" w:space="0" w:color="000000"/>
            </w:tcBorders>
            <w:shd w:val="clear" w:color="auto" w:fill="auto"/>
            <w:vAlign w:val="center"/>
          </w:tcPr>
          <w:p w14:paraId="5653DC41" w14:textId="77777777" w:rsidR="00AC1C56" w:rsidRPr="00AC1C56" w:rsidRDefault="00AC1C56" w:rsidP="00AC1C56">
            <w:pPr>
              <w:spacing w:after="0" w:line="240" w:lineRule="auto"/>
              <w:ind w:right="-567"/>
              <w:rPr>
                <w:rFonts w:ascii="Bookman Old Style" w:eastAsia="Times New Roman" w:hAnsi="Bookman Old Style" w:cstheme="minorHAnsi"/>
                <w:b/>
                <w:bCs/>
                <w:color w:val="000000"/>
                <w:sz w:val="24"/>
                <w:szCs w:val="24"/>
              </w:rPr>
            </w:pPr>
            <w:r w:rsidRPr="00AC1C56">
              <w:rPr>
                <w:rFonts w:ascii="Bookman Old Style" w:eastAsia="Times New Roman" w:hAnsi="Bookman Old Style" w:cstheme="minorHAnsi"/>
                <w:b/>
                <w:bCs/>
                <w:color w:val="000000"/>
                <w:sz w:val="24"/>
                <w:szCs w:val="24"/>
              </w:rPr>
              <w:t>007/2026</w:t>
            </w:r>
          </w:p>
        </w:tc>
      </w:tr>
      <w:tr w:rsidR="00AC1C56" w:rsidRPr="00AC1C56" w14:paraId="1426156C" w14:textId="77777777" w:rsidTr="00384905">
        <w:trPr>
          <w:gridBefore w:val="2"/>
          <w:gridAfter w:val="1"/>
          <w:wBefore w:w="846" w:type="dxa"/>
          <w:wAfter w:w="1461" w:type="dxa"/>
          <w:trHeight w:val="340"/>
          <w:jc w:val="center"/>
        </w:trPr>
        <w:tc>
          <w:tcPr>
            <w:tcW w:w="4394" w:type="dxa"/>
            <w:gridSpan w:val="3"/>
            <w:tcBorders>
              <w:top w:val="nil"/>
              <w:left w:val="single" w:sz="4" w:space="0" w:color="000000"/>
              <w:bottom w:val="single" w:sz="4" w:space="0" w:color="000000"/>
              <w:right w:val="single" w:sz="4" w:space="0" w:color="000000"/>
            </w:tcBorders>
            <w:shd w:val="clear" w:color="auto" w:fill="auto"/>
            <w:vAlign w:val="center"/>
          </w:tcPr>
          <w:p w14:paraId="243FB0F3" w14:textId="77777777" w:rsidR="00AC1C56" w:rsidRPr="00AC1C56" w:rsidRDefault="00AC1C56" w:rsidP="00AC1C56">
            <w:pPr>
              <w:spacing w:after="0" w:line="240" w:lineRule="auto"/>
              <w:ind w:right="-567"/>
              <w:rPr>
                <w:rFonts w:ascii="Bookman Old Style" w:eastAsia="Times New Roman" w:hAnsi="Bookman Old Style" w:cstheme="minorHAnsi"/>
                <w:bCs/>
                <w:color w:val="000000"/>
                <w:sz w:val="24"/>
                <w:szCs w:val="24"/>
              </w:rPr>
            </w:pPr>
            <w:r w:rsidRPr="00AC1C56">
              <w:rPr>
                <w:rFonts w:ascii="Bookman Old Style" w:eastAsia="Times New Roman" w:hAnsi="Bookman Old Style" w:cstheme="minorHAnsi"/>
                <w:bCs/>
                <w:color w:val="000000"/>
                <w:sz w:val="24"/>
                <w:szCs w:val="24"/>
              </w:rPr>
              <w:t>TIPO DE JULGAMENTO:</w:t>
            </w:r>
          </w:p>
        </w:tc>
        <w:tc>
          <w:tcPr>
            <w:tcW w:w="4694" w:type="dxa"/>
            <w:gridSpan w:val="6"/>
            <w:tcBorders>
              <w:top w:val="nil"/>
              <w:left w:val="single" w:sz="4" w:space="0" w:color="000000"/>
              <w:bottom w:val="single" w:sz="4" w:space="0" w:color="000000"/>
              <w:right w:val="single" w:sz="4" w:space="0" w:color="000000"/>
            </w:tcBorders>
            <w:shd w:val="clear" w:color="auto" w:fill="auto"/>
            <w:vAlign w:val="center"/>
          </w:tcPr>
          <w:p w14:paraId="3A742116" w14:textId="77777777" w:rsidR="00AC1C56" w:rsidRPr="00AC1C56" w:rsidRDefault="00AC1C56" w:rsidP="00AC1C56">
            <w:pPr>
              <w:spacing w:after="0" w:line="240" w:lineRule="auto"/>
              <w:ind w:right="-567"/>
              <w:rPr>
                <w:rFonts w:ascii="Bookman Old Style" w:eastAsia="Times New Roman" w:hAnsi="Bookman Old Style" w:cstheme="minorHAnsi"/>
                <w:bCs/>
                <w:color w:val="FF0000"/>
                <w:sz w:val="24"/>
                <w:szCs w:val="24"/>
              </w:rPr>
            </w:pPr>
            <w:r w:rsidRPr="00AC1C56">
              <w:rPr>
                <w:rFonts w:ascii="Bookman Old Style" w:eastAsia="Times New Roman" w:hAnsi="Bookman Old Style" w:cstheme="minorHAnsi"/>
                <w:bCs/>
                <w:sz w:val="24"/>
                <w:szCs w:val="24"/>
              </w:rPr>
              <w:t>MENOR PREÇO POR LOTE</w:t>
            </w:r>
          </w:p>
        </w:tc>
      </w:tr>
      <w:tr w:rsidR="00AC1C56" w:rsidRPr="00AC1C56" w14:paraId="69553D77" w14:textId="77777777" w:rsidTr="00384905">
        <w:trPr>
          <w:gridBefore w:val="2"/>
          <w:gridAfter w:val="1"/>
          <w:wBefore w:w="846" w:type="dxa"/>
          <w:wAfter w:w="1461" w:type="dxa"/>
          <w:trHeight w:val="227"/>
          <w:jc w:val="center"/>
        </w:trPr>
        <w:tc>
          <w:tcPr>
            <w:tcW w:w="6162" w:type="dxa"/>
            <w:gridSpan w:val="6"/>
            <w:tcBorders>
              <w:top w:val="single" w:sz="4" w:space="0" w:color="auto"/>
              <w:left w:val="single" w:sz="4" w:space="0" w:color="auto"/>
              <w:bottom w:val="nil"/>
              <w:right w:val="nil"/>
            </w:tcBorders>
            <w:shd w:val="clear" w:color="auto" w:fill="auto"/>
            <w:vAlign w:val="center"/>
            <w:hideMark/>
          </w:tcPr>
          <w:p w14:paraId="14108E34"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RAZÃO SOCIAL:</w:t>
            </w:r>
          </w:p>
        </w:tc>
        <w:tc>
          <w:tcPr>
            <w:tcW w:w="2926" w:type="dxa"/>
            <w:gridSpan w:val="3"/>
            <w:tcBorders>
              <w:top w:val="single" w:sz="4" w:space="0" w:color="auto"/>
              <w:left w:val="single" w:sz="4" w:space="0" w:color="auto"/>
              <w:bottom w:val="nil"/>
              <w:right w:val="single" w:sz="4" w:space="0" w:color="000000"/>
            </w:tcBorders>
            <w:shd w:val="clear" w:color="auto" w:fill="auto"/>
            <w:vAlign w:val="center"/>
            <w:hideMark/>
          </w:tcPr>
          <w:p w14:paraId="5A2C1CAF"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CNPJ/CPF:</w:t>
            </w:r>
          </w:p>
        </w:tc>
      </w:tr>
      <w:tr w:rsidR="00AC1C56" w:rsidRPr="00AC1C56" w14:paraId="65002366" w14:textId="77777777" w:rsidTr="00384905">
        <w:trPr>
          <w:gridBefore w:val="2"/>
          <w:gridAfter w:val="1"/>
          <w:wBefore w:w="846" w:type="dxa"/>
          <w:wAfter w:w="1461" w:type="dxa"/>
          <w:trHeight w:val="340"/>
          <w:jc w:val="center"/>
        </w:trPr>
        <w:tc>
          <w:tcPr>
            <w:tcW w:w="6162" w:type="dxa"/>
            <w:gridSpan w:val="6"/>
            <w:tcBorders>
              <w:top w:val="nil"/>
              <w:left w:val="single" w:sz="4" w:space="0" w:color="auto"/>
              <w:bottom w:val="single" w:sz="4" w:space="0" w:color="auto"/>
              <w:right w:val="nil"/>
            </w:tcBorders>
            <w:shd w:val="clear" w:color="auto" w:fill="auto"/>
            <w:vAlign w:val="center"/>
            <w:hideMark/>
          </w:tcPr>
          <w:p w14:paraId="0623DA8C"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p>
        </w:tc>
        <w:tc>
          <w:tcPr>
            <w:tcW w:w="2926" w:type="dxa"/>
            <w:gridSpan w:val="3"/>
            <w:tcBorders>
              <w:top w:val="nil"/>
              <w:left w:val="single" w:sz="4" w:space="0" w:color="auto"/>
              <w:bottom w:val="single" w:sz="4" w:space="0" w:color="auto"/>
              <w:right w:val="single" w:sz="4" w:space="0" w:color="000000"/>
            </w:tcBorders>
            <w:shd w:val="clear" w:color="auto" w:fill="auto"/>
            <w:vAlign w:val="center"/>
            <w:hideMark/>
          </w:tcPr>
          <w:p w14:paraId="2883D7F2"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r w:rsidRPr="00AC1C56">
              <w:rPr>
                <w:rFonts w:ascii="Bookman Old Style" w:eastAsia="Times New Roman" w:hAnsi="Bookman Old Style" w:cstheme="minorHAnsi"/>
                <w:b/>
                <w:bCs/>
                <w:sz w:val="24"/>
                <w:szCs w:val="24"/>
              </w:rPr>
              <w:t> </w:t>
            </w:r>
          </w:p>
        </w:tc>
      </w:tr>
      <w:tr w:rsidR="00AC1C56" w:rsidRPr="00AC1C56" w14:paraId="22A2D595" w14:textId="77777777" w:rsidTr="00384905">
        <w:trPr>
          <w:gridBefore w:val="2"/>
          <w:gridAfter w:val="1"/>
          <w:wBefore w:w="846" w:type="dxa"/>
          <w:wAfter w:w="1461" w:type="dxa"/>
          <w:trHeight w:val="227"/>
          <w:jc w:val="center"/>
        </w:trPr>
        <w:tc>
          <w:tcPr>
            <w:tcW w:w="4693" w:type="dxa"/>
            <w:gridSpan w:val="4"/>
            <w:tcBorders>
              <w:top w:val="single" w:sz="4" w:space="0" w:color="auto"/>
              <w:left w:val="single" w:sz="4" w:space="0" w:color="auto"/>
              <w:bottom w:val="nil"/>
              <w:right w:val="single" w:sz="4" w:space="0" w:color="000000"/>
            </w:tcBorders>
            <w:shd w:val="clear" w:color="auto" w:fill="auto"/>
            <w:vAlign w:val="center"/>
            <w:hideMark/>
          </w:tcPr>
          <w:p w14:paraId="515ADAA4"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ENDEREÇO:</w:t>
            </w:r>
          </w:p>
        </w:tc>
        <w:tc>
          <w:tcPr>
            <w:tcW w:w="4395" w:type="dxa"/>
            <w:gridSpan w:val="5"/>
            <w:tcBorders>
              <w:top w:val="single" w:sz="4" w:space="0" w:color="auto"/>
              <w:left w:val="nil"/>
              <w:bottom w:val="nil"/>
              <w:right w:val="single" w:sz="4" w:space="0" w:color="000000"/>
            </w:tcBorders>
            <w:shd w:val="clear" w:color="auto" w:fill="auto"/>
            <w:vAlign w:val="center"/>
            <w:hideMark/>
          </w:tcPr>
          <w:p w14:paraId="2582B692"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BAIRRO:</w:t>
            </w:r>
          </w:p>
        </w:tc>
      </w:tr>
      <w:tr w:rsidR="00AC1C56" w:rsidRPr="00AC1C56" w14:paraId="79207712" w14:textId="77777777" w:rsidTr="00384905">
        <w:trPr>
          <w:gridBefore w:val="2"/>
          <w:gridAfter w:val="1"/>
          <w:wBefore w:w="846" w:type="dxa"/>
          <w:wAfter w:w="1461" w:type="dxa"/>
          <w:trHeight w:val="340"/>
          <w:jc w:val="center"/>
        </w:trPr>
        <w:tc>
          <w:tcPr>
            <w:tcW w:w="4693" w:type="dxa"/>
            <w:gridSpan w:val="4"/>
            <w:tcBorders>
              <w:top w:val="nil"/>
              <w:left w:val="single" w:sz="4" w:space="0" w:color="auto"/>
              <w:bottom w:val="single" w:sz="4" w:space="0" w:color="auto"/>
              <w:right w:val="single" w:sz="4" w:space="0" w:color="000000"/>
            </w:tcBorders>
            <w:shd w:val="clear" w:color="auto" w:fill="auto"/>
            <w:vAlign w:val="center"/>
            <w:hideMark/>
          </w:tcPr>
          <w:p w14:paraId="5BE88719"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p>
        </w:tc>
        <w:tc>
          <w:tcPr>
            <w:tcW w:w="4395" w:type="dxa"/>
            <w:gridSpan w:val="5"/>
            <w:tcBorders>
              <w:top w:val="nil"/>
              <w:left w:val="nil"/>
              <w:bottom w:val="single" w:sz="4" w:space="0" w:color="auto"/>
              <w:right w:val="single" w:sz="4" w:space="0" w:color="000000"/>
            </w:tcBorders>
            <w:shd w:val="clear" w:color="auto" w:fill="auto"/>
            <w:vAlign w:val="center"/>
            <w:hideMark/>
          </w:tcPr>
          <w:p w14:paraId="0293BF59"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p>
        </w:tc>
      </w:tr>
      <w:tr w:rsidR="00AC1C56" w:rsidRPr="00AC1C56" w14:paraId="437B8A8D" w14:textId="77777777" w:rsidTr="00384905">
        <w:trPr>
          <w:gridBefore w:val="2"/>
          <w:gridAfter w:val="1"/>
          <w:wBefore w:w="846" w:type="dxa"/>
          <w:wAfter w:w="1461" w:type="dxa"/>
          <w:trHeight w:val="227"/>
          <w:jc w:val="center"/>
        </w:trPr>
        <w:tc>
          <w:tcPr>
            <w:tcW w:w="3466" w:type="dxa"/>
            <w:gridSpan w:val="2"/>
            <w:tcBorders>
              <w:top w:val="single" w:sz="4" w:space="0" w:color="auto"/>
              <w:left w:val="single" w:sz="4" w:space="0" w:color="auto"/>
              <w:bottom w:val="nil"/>
              <w:right w:val="single" w:sz="4" w:space="0" w:color="000000"/>
            </w:tcBorders>
            <w:shd w:val="clear" w:color="auto" w:fill="auto"/>
            <w:vAlign w:val="center"/>
            <w:hideMark/>
          </w:tcPr>
          <w:p w14:paraId="6D84E127"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CIDADE/UF:</w:t>
            </w:r>
          </w:p>
        </w:tc>
        <w:tc>
          <w:tcPr>
            <w:tcW w:w="2696" w:type="dxa"/>
            <w:gridSpan w:val="4"/>
            <w:tcBorders>
              <w:top w:val="single" w:sz="4" w:space="0" w:color="auto"/>
              <w:left w:val="nil"/>
              <w:bottom w:val="nil"/>
              <w:right w:val="single" w:sz="4" w:space="0" w:color="000000"/>
            </w:tcBorders>
            <w:shd w:val="clear" w:color="auto" w:fill="auto"/>
            <w:vAlign w:val="center"/>
            <w:hideMark/>
          </w:tcPr>
          <w:p w14:paraId="1DBE906D"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CEP:</w:t>
            </w:r>
          </w:p>
        </w:tc>
        <w:tc>
          <w:tcPr>
            <w:tcW w:w="2926" w:type="dxa"/>
            <w:gridSpan w:val="3"/>
            <w:tcBorders>
              <w:top w:val="single" w:sz="4" w:space="0" w:color="auto"/>
              <w:left w:val="nil"/>
              <w:bottom w:val="nil"/>
              <w:right w:val="single" w:sz="4" w:space="0" w:color="000000"/>
            </w:tcBorders>
            <w:shd w:val="clear" w:color="auto" w:fill="auto"/>
            <w:vAlign w:val="center"/>
            <w:hideMark/>
          </w:tcPr>
          <w:p w14:paraId="32B777CC"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TELEFONE:</w:t>
            </w:r>
          </w:p>
        </w:tc>
      </w:tr>
      <w:tr w:rsidR="00AC1C56" w:rsidRPr="00AC1C56" w14:paraId="483A46FA" w14:textId="77777777" w:rsidTr="00384905">
        <w:trPr>
          <w:gridBefore w:val="2"/>
          <w:gridAfter w:val="1"/>
          <w:wBefore w:w="846" w:type="dxa"/>
          <w:wAfter w:w="1461" w:type="dxa"/>
          <w:trHeight w:val="340"/>
          <w:jc w:val="center"/>
        </w:trPr>
        <w:tc>
          <w:tcPr>
            <w:tcW w:w="3466" w:type="dxa"/>
            <w:gridSpan w:val="2"/>
            <w:tcBorders>
              <w:top w:val="nil"/>
              <w:left w:val="single" w:sz="4" w:space="0" w:color="auto"/>
              <w:bottom w:val="single" w:sz="4" w:space="0" w:color="auto"/>
              <w:right w:val="single" w:sz="4" w:space="0" w:color="000000"/>
            </w:tcBorders>
            <w:shd w:val="clear" w:color="auto" w:fill="auto"/>
            <w:vAlign w:val="center"/>
            <w:hideMark/>
          </w:tcPr>
          <w:p w14:paraId="757F1AF6"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p>
        </w:tc>
        <w:tc>
          <w:tcPr>
            <w:tcW w:w="2696" w:type="dxa"/>
            <w:gridSpan w:val="4"/>
            <w:tcBorders>
              <w:top w:val="nil"/>
              <w:left w:val="nil"/>
              <w:bottom w:val="single" w:sz="4" w:space="0" w:color="auto"/>
              <w:right w:val="single" w:sz="4" w:space="0" w:color="000000"/>
            </w:tcBorders>
            <w:shd w:val="clear" w:color="auto" w:fill="auto"/>
            <w:vAlign w:val="center"/>
            <w:hideMark/>
          </w:tcPr>
          <w:p w14:paraId="283A441B"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r w:rsidRPr="00AC1C56">
              <w:rPr>
                <w:rFonts w:ascii="Bookman Old Style" w:eastAsia="Times New Roman" w:hAnsi="Bookman Old Style" w:cstheme="minorHAnsi"/>
                <w:b/>
                <w:bCs/>
                <w:sz w:val="24"/>
                <w:szCs w:val="24"/>
              </w:rPr>
              <w:t> </w:t>
            </w:r>
          </w:p>
        </w:tc>
        <w:tc>
          <w:tcPr>
            <w:tcW w:w="2926" w:type="dxa"/>
            <w:gridSpan w:val="3"/>
            <w:tcBorders>
              <w:top w:val="nil"/>
              <w:left w:val="nil"/>
              <w:bottom w:val="single" w:sz="4" w:space="0" w:color="auto"/>
              <w:right w:val="single" w:sz="4" w:space="0" w:color="000000"/>
            </w:tcBorders>
            <w:shd w:val="clear" w:color="auto" w:fill="auto"/>
            <w:vAlign w:val="center"/>
            <w:hideMark/>
          </w:tcPr>
          <w:p w14:paraId="5E5399A5"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r w:rsidRPr="00AC1C56">
              <w:rPr>
                <w:rFonts w:ascii="Bookman Old Style" w:eastAsia="Times New Roman" w:hAnsi="Bookman Old Style" w:cstheme="minorHAnsi"/>
                <w:b/>
                <w:bCs/>
                <w:sz w:val="24"/>
                <w:szCs w:val="24"/>
              </w:rPr>
              <w:t> </w:t>
            </w:r>
          </w:p>
        </w:tc>
      </w:tr>
      <w:tr w:rsidR="00AC1C56" w:rsidRPr="00AC1C56" w14:paraId="5D268938" w14:textId="77777777" w:rsidTr="00384905">
        <w:trPr>
          <w:gridBefore w:val="2"/>
          <w:gridAfter w:val="1"/>
          <w:wBefore w:w="846" w:type="dxa"/>
          <w:wAfter w:w="1461" w:type="dxa"/>
          <w:trHeight w:val="227"/>
          <w:jc w:val="center"/>
        </w:trPr>
        <w:tc>
          <w:tcPr>
            <w:tcW w:w="6162" w:type="dxa"/>
            <w:gridSpan w:val="6"/>
            <w:tcBorders>
              <w:top w:val="single" w:sz="4" w:space="0" w:color="auto"/>
              <w:left w:val="single" w:sz="4" w:space="0" w:color="auto"/>
              <w:right w:val="single" w:sz="4" w:space="0" w:color="auto"/>
            </w:tcBorders>
            <w:shd w:val="clear" w:color="auto" w:fill="auto"/>
            <w:vAlign w:val="center"/>
          </w:tcPr>
          <w:p w14:paraId="7EC1BE35"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REPRESENTANTE LEGAL:</w:t>
            </w:r>
          </w:p>
        </w:tc>
        <w:tc>
          <w:tcPr>
            <w:tcW w:w="2926" w:type="dxa"/>
            <w:gridSpan w:val="3"/>
            <w:tcBorders>
              <w:top w:val="single" w:sz="4" w:space="0" w:color="auto"/>
              <w:left w:val="single" w:sz="4" w:space="0" w:color="auto"/>
              <w:right w:val="single" w:sz="4" w:space="0" w:color="auto"/>
            </w:tcBorders>
            <w:shd w:val="clear" w:color="auto" w:fill="auto"/>
            <w:vAlign w:val="center"/>
          </w:tcPr>
          <w:p w14:paraId="69AAEBD7"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CPF:</w:t>
            </w:r>
          </w:p>
        </w:tc>
      </w:tr>
      <w:tr w:rsidR="00AC1C56" w:rsidRPr="00AC1C56" w14:paraId="4C360206" w14:textId="77777777" w:rsidTr="00384905">
        <w:trPr>
          <w:gridBefore w:val="2"/>
          <w:gridAfter w:val="1"/>
          <w:wBefore w:w="846" w:type="dxa"/>
          <w:wAfter w:w="1461" w:type="dxa"/>
          <w:trHeight w:val="340"/>
          <w:jc w:val="center"/>
        </w:trPr>
        <w:tc>
          <w:tcPr>
            <w:tcW w:w="6162" w:type="dxa"/>
            <w:gridSpan w:val="6"/>
            <w:tcBorders>
              <w:left w:val="single" w:sz="4" w:space="0" w:color="auto"/>
              <w:bottom w:val="single" w:sz="4" w:space="0" w:color="auto"/>
              <w:right w:val="single" w:sz="4" w:space="0" w:color="000000"/>
            </w:tcBorders>
            <w:shd w:val="clear" w:color="auto" w:fill="auto"/>
            <w:vAlign w:val="center"/>
          </w:tcPr>
          <w:p w14:paraId="2A6B1BB0" w14:textId="77777777" w:rsidR="00AC1C56" w:rsidRPr="00AC1C56" w:rsidRDefault="00AC1C56" w:rsidP="00AC1C56">
            <w:pPr>
              <w:spacing w:after="0" w:line="240" w:lineRule="auto"/>
              <w:ind w:right="-567"/>
              <w:jc w:val="center"/>
              <w:rPr>
                <w:rFonts w:ascii="Bookman Old Style" w:eastAsia="Times New Roman" w:hAnsi="Bookman Old Style" w:cstheme="minorHAnsi"/>
                <w:b/>
                <w:sz w:val="24"/>
                <w:szCs w:val="24"/>
              </w:rPr>
            </w:pPr>
          </w:p>
        </w:tc>
        <w:tc>
          <w:tcPr>
            <w:tcW w:w="2926" w:type="dxa"/>
            <w:gridSpan w:val="3"/>
            <w:tcBorders>
              <w:left w:val="nil"/>
              <w:bottom w:val="single" w:sz="4" w:space="0" w:color="auto"/>
              <w:right w:val="single" w:sz="4" w:space="0" w:color="000000"/>
            </w:tcBorders>
            <w:shd w:val="clear" w:color="auto" w:fill="auto"/>
            <w:vAlign w:val="center"/>
          </w:tcPr>
          <w:p w14:paraId="6A11E974"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 xml:space="preserve"> </w:t>
            </w:r>
          </w:p>
        </w:tc>
      </w:tr>
      <w:tr w:rsidR="00AC1C56" w:rsidRPr="00AC1C56" w14:paraId="4C55E1EC" w14:textId="77777777" w:rsidTr="00384905">
        <w:trPr>
          <w:gridBefore w:val="2"/>
          <w:gridAfter w:val="1"/>
          <w:wBefore w:w="846" w:type="dxa"/>
          <w:wAfter w:w="1461" w:type="dxa"/>
          <w:trHeight w:val="227"/>
          <w:jc w:val="center"/>
        </w:trPr>
        <w:tc>
          <w:tcPr>
            <w:tcW w:w="3466" w:type="dxa"/>
            <w:gridSpan w:val="2"/>
            <w:tcBorders>
              <w:top w:val="nil"/>
              <w:left w:val="single" w:sz="4" w:space="0" w:color="auto"/>
              <w:bottom w:val="nil"/>
              <w:right w:val="nil"/>
            </w:tcBorders>
            <w:shd w:val="clear" w:color="auto" w:fill="auto"/>
            <w:vAlign w:val="center"/>
          </w:tcPr>
          <w:p w14:paraId="4EF875D2"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 xml:space="preserve">RG: </w:t>
            </w:r>
          </w:p>
        </w:tc>
        <w:tc>
          <w:tcPr>
            <w:tcW w:w="5622" w:type="dxa"/>
            <w:gridSpan w:val="7"/>
            <w:tcBorders>
              <w:top w:val="single" w:sz="4" w:space="0" w:color="auto"/>
              <w:left w:val="single" w:sz="4" w:space="0" w:color="auto"/>
              <w:bottom w:val="nil"/>
              <w:right w:val="single" w:sz="4" w:space="0" w:color="000000"/>
            </w:tcBorders>
            <w:shd w:val="clear" w:color="auto" w:fill="auto"/>
            <w:vAlign w:val="center"/>
          </w:tcPr>
          <w:p w14:paraId="2CCCEABB" w14:textId="77777777" w:rsidR="00AC1C56" w:rsidRPr="00AC1C56" w:rsidRDefault="00AC1C56" w:rsidP="00AC1C56">
            <w:pPr>
              <w:spacing w:after="0" w:line="240" w:lineRule="auto"/>
              <w:ind w:right="-567"/>
              <w:rPr>
                <w:rFonts w:ascii="Bookman Old Style" w:eastAsia="Times New Roman" w:hAnsi="Bookman Old Style" w:cstheme="minorHAnsi"/>
                <w:sz w:val="24"/>
                <w:szCs w:val="24"/>
              </w:rPr>
            </w:pPr>
            <w:r w:rsidRPr="00AC1C56">
              <w:rPr>
                <w:rFonts w:ascii="Bookman Old Style" w:eastAsia="Times New Roman" w:hAnsi="Bookman Old Style" w:cstheme="minorHAnsi"/>
                <w:sz w:val="24"/>
                <w:szCs w:val="24"/>
              </w:rPr>
              <w:t>E-mail:</w:t>
            </w:r>
          </w:p>
        </w:tc>
      </w:tr>
      <w:tr w:rsidR="00AC1C56" w:rsidRPr="00AC1C56" w14:paraId="5107F4DF" w14:textId="77777777" w:rsidTr="00384905">
        <w:trPr>
          <w:gridBefore w:val="2"/>
          <w:gridAfter w:val="1"/>
          <w:wBefore w:w="846" w:type="dxa"/>
          <w:wAfter w:w="1461" w:type="dxa"/>
          <w:trHeight w:val="340"/>
          <w:jc w:val="center"/>
        </w:trPr>
        <w:tc>
          <w:tcPr>
            <w:tcW w:w="3466" w:type="dxa"/>
            <w:gridSpan w:val="2"/>
            <w:tcBorders>
              <w:top w:val="nil"/>
              <w:left w:val="single" w:sz="4" w:space="0" w:color="auto"/>
              <w:bottom w:val="single" w:sz="4" w:space="0" w:color="auto"/>
              <w:right w:val="nil"/>
            </w:tcBorders>
            <w:shd w:val="clear" w:color="auto" w:fill="auto"/>
            <w:vAlign w:val="center"/>
          </w:tcPr>
          <w:p w14:paraId="15C8FA59" w14:textId="77777777" w:rsidR="00AC1C56" w:rsidRPr="00AC1C56" w:rsidRDefault="00AC1C56" w:rsidP="00AC1C56">
            <w:pPr>
              <w:spacing w:after="0" w:line="240" w:lineRule="auto"/>
              <w:ind w:right="-567"/>
              <w:jc w:val="center"/>
              <w:rPr>
                <w:rFonts w:ascii="Bookman Old Style" w:eastAsia="Times New Roman" w:hAnsi="Bookman Old Style" w:cstheme="minorHAnsi"/>
                <w:b/>
                <w:sz w:val="24"/>
                <w:szCs w:val="24"/>
              </w:rPr>
            </w:pPr>
          </w:p>
        </w:tc>
        <w:tc>
          <w:tcPr>
            <w:tcW w:w="5622" w:type="dxa"/>
            <w:gridSpan w:val="7"/>
            <w:tcBorders>
              <w:top w:val="nil"/>
              <w:left w:val="single" w:sz="4" w:space="0" w:color="auto"/>
              <w:bottom w:val="single" w:sz="4" w:space="0" w:color="auto"/>
              <w:right w:val="single" w:sz="4" w:space="0" w:color="000000"/>
            </w:tcBorders>
            <w:shd w:val="clear" w:color="auto" w:fill="auto"/>
            <w:vAlign w:val="center"/>
          </w:tcPr>
          <w:p w14:paraId="5A38D31D" w14:textId="77777777" w:rsidR="00AC1C56" w:rsidRPr="00AC1C56" w:rsidRDefault="00AC1C56" w:rsidP="00AC1C56">
            <w:pPr>
              <w:spacing w:after="0" w:line="240" w:lineRule="auto"/>
              <w:ind w:right="-567"/>
              <w:jc w:val="center"/>
              <w:rPr>
                <w:rFonts w:ascii="Bookman Old Style" w:eastAsia="Times New Roman" w:hAnsi="Bookman Old Style" w:cstheme="minorHAnsi"/>
                <w:b/>
                <w:bCs/>
                <w:sz w:val="24"/>
                <w:szCs w:val="24"/>
              </w:rPr>
            </w:pPr>
          </w:p>
        </w:tc>
      </w:tr>
      <w:tr w:rsidR="00AC1C56" w:rsidRPr="00AC1C56" w14:paraId="660BE71F" w14:textId="77777777" w:rsidTr="00384905">
        <w:trPr>
          <w:trHeight w:val="454"/>
          <w:jc w:val="center"/>
        </w:trPr>
        <w:tc>
          <w:tcPr>
            <w:tcW w:w="1139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949FA16"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PROPOSTA:</w:t>
            </w:r>
          </w:p>
        </w:tc>
      </w:tr>
      <w:tr w:rsidR="00AC1C56" w:rsidRPr="00AC1C56" w14:paraId="4CC7267E" w14:textId="77777777" w:rsidTr="00384905">
        <w:trPr>
          <w:trHeight w:val="454"/>
          <w:jc w:val="center"/>
        </w:trPr>
        <w:tc>
          <w:tcPr>
            <w:tcW w:w="1139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1AE74E3"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01: NOTEBOOK</w:t>
            </w:r>
          </w:p>
        </w:tc>
      </w:tr>
      <w:tr w:rsidR="00AC1C56" w:rsidRPr="00AC1C56" w14:paraId="6DA7F1AD"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C9DB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gridSpan w:val="2"/>
            <w:tcBorders>
              <w:top w:val="single" w:sz="4" w:space="0" w:color="auto"/>
              <w:left w:val="nil"/>
              <w:bottom w:val="single" w:sz="4" w:space="0" w:color="auto"/>
              <w:right w:val="single" w:sz="4" w:space="0" w:color="auto"/>
            </w:tcBorders>
            <w:shd w:val="clear" w:color="auto" w:fill="auto"/>
            <w:vAlign w:val="center"/>
            <w:hideMark/>
          </w:tcPr>
          <w:p w14:paraId="57DA7B0C"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gridSpan w:val="3"/>
            <w:tcBorders>
              <w:top w:val="single" w:sz="4" w:space="0" w:color="auto"/>
              <w:left w:val="nil"/>
              <w:bottom w:val="single" w:sz="4" w:space="0" w:color="auto"/>
              <w:right w:val="single" w:sz="4" w:space="0" w:color="auto"/>
            </w:tcBorders>
            <w:shd w:val="clear" w:color="auto" w:fill="auto"/>
            <w:vAlign w:val="center"/>
            <w:hideMark/>
          </w:tcPr>
          <w:p w14:paraId="73AF5CD7"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29898A0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gridSpan w:val="2"/>
            <w:tcBorders>
              <w:top w:val="single" w:sz="4" w:space="0" w:color="auto"/>
              <w:left w:val="nil"/>
              <w:bottom w:val="single" w:sz="4" w:space="0" w:color="auto"/>
              <w:right w:val="single" w:sz="4" w:space="0" w:color="auto"/>
            </w:tcBorders>
            <w:vAlign w:val="center"/>
          </w:tcPr>
          <w:p w14:paraId="1C8049C4"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AB248"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gridSpan w:val="2"/>
            <w:tcBorders>
              <w:top w:val="single" w:sz="4" w:space="0" w:color="auto"/>
              <w:left w:val="nil"/>
              <w:bottom w:val="single" w:sz="4" w:space="0" w:color="auto"/>
              <w:right w:val="single" w:sz="4" w:space="0" w:color="auto"/>
            </w:tcBorders>
            <w:shd w:val="clear" w:color="auto" w:fill="auto"/>
            <w:vAlign w:val="center"/>
            <w:hideMark/>
          </w:tcPr>
          <w:p w14:paraId="49B631F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5CB01118"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5EEF6571"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gridSpan w:val="2"/>
            <w:tcBorders>
              <w:top w:val="single" w:sz="4" w:space="0" w:color="auto"/>
              <w:left w:val="single" w:sz="4" w:space="0" w:color="auto"/>
              <w:bottom w:val="single" w:sz="4" w:space="0" w:color="auto"/>
              <w:right w:val="single" w:sz="4" w:space="0" w:color="auto"/>
            </w:tcBorders>
          </w:tcPr>
          <w:p w14:paraId="211399F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NOTEBOOK</w:t>
            </w:r>
          </w:p>
          <w:p w14:paraId="08063A27"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Notebook novo, sem uso anterior, em linha de fabricação, destinado à utilização em atividades administrativas e institucionais, devendo possuir, no mínimo, as seguintes características: Processador: arquitetura de 64 bits, com no mínimo 10 (dez) núcleos físicos e 12 (doze) threads, memória cache de no mínimo 12 MB e frequência máxima em modo turbo de, no mínimo, 5,0 GHz, ou processador de desempenho equivalente ou superior, comprovável mediante documentação técnica oficial do fabricante; </w:t>
            </w:r>
            <w:r w:rsidRPr="00AC1C56">
              <w:rPr>
                <w:rFonts w:ascii="Bookman Old Style" w:eastAsia="Calibri" w:hAnsi="Bookman Old Style" w:cs="Calibri"/>
                <w:sz w:val="24"/>
                <w:szCs w:val="24"/>
                <w:lang w:val="pt-PT"/>
              </w:rPr>
              <w:lastRenderedPageBreak/>
              <w:t xml:space="preserve">Memória RAM: mínimo de 16 GB, padrão DDR4 com frequência mínima de 3.200 MT/s, DDR5 ou tecnologia superior, admitida configuração em um ou mais módulos, desde que atendida a capacidade mínima especificada; Armazenamento: unidade de estado sólido (SSD) com capacidade mínima de 1 TB, preferencialmente padrão M.2 NVMe ou tecnologia de desempenho equivalente ou superior; Placa gráfica: solução gráfica dedicada, com memória própria de vídeo de no mínimo 2 GB, padrão GDDR6 ou superior, compatível com DirectX 12 ou superior e adequada à reprodução, edição e processamento de conteúdos gráficos e audiovisuais; Tela: integrada ao equipamento, com tamanho mínimo de 15 polegadas, tecnologia LED, LCD ou superior, resolução mínima Full HD (1920 × 1080 pixels); Sistema operacional: Windows 11 Pro, 64 bits, original, devidamente licenciado e ativado, em idioma português do Brasil, instalado de fábrica ou fornecido juntamente com o equipamento, acompanhado da respectiva licença digital, devendo possuir compatibilidade com TPM 2.0, UEFI e inicialização segura (Secure Boot); Conectividade sem fio: </w:t>
            </w:r>
            <w:r w:rsidRPr="00AC1C56">
              <w:rPr>
                <w:rFonts w:ascii="Bookman Old Style" w:eastAsia="Calibri" w:hAnsi="Bookman Old Style" w:cs="Calibri"/>
                <w:sz w:val="24"/>
                <w:szCs w:val="24"/>
                <w:lang w:val="pt-PT"/>
              </w:rPr>
              <w:lastRenderedPageBreak/>
              <w:t xml:space="preserve">interface de rede sem fio compatível com padrão Wi-Fi 6 (IEEE 802.11ax) ou superior, com tecnologia 2x2 ou superior, e Bluetooth integrado; Conexões e interfaces: deverá possuir, no mínimo: 01 (uma) porta HDMI; 01 (uma) porta USB Tipo-A padrão USB 3.2 ou superior; 01 (uma) porta USB Tipo-C padrão USB 3.2 ou superior; 01 (uma) porta USB Tipo-A adicional, padrão USB 2.0 ou superior; 01 (um) conector combinado para fone de ouvido e microfone (headset); conexão própria para alimentação/carregamento do equipamento ou carregamento por USB-C, conforme projeto do fabricante. Webcam: integrada, com resolução mínima HD 720p, acompanhada de microfone digital integrado; Áudio: alto-falantes e microfone integrados ao equipamento; Bateria: integrada ou removível, de íons de lítio ou tecnologia equivalente/superior, dimensionada pelo fabricante para o equipamento e com capacidade mínima de 40 Wh; Alimentação: fonte/carregador original ou homologado pelo fabricante, compatível com a tensão elétrica utilizada no Brasil, acompanhada de cabo de alimentação e todos os acessórios indispensáveis ao </w:t>
            </w:r>
            <w:r w:rsidRPr="00AC1C56">
              <w:rPr>
                <w:rFonts w:ascii="Bookman Old Style" w:eastAsia="Calibri" w:hAnsi="Bookman Old Style" w:cs="Calibri"/>
                <w:sz w:val="24"/>
                <w:szCs w:val="24"/>
                <w:lang w:val="pt-PT"/>
              </w:rPr>
              <w:lastRenderedPageBreak/>
              <w:t>funcionamento; Teclado: padrão ABNT2 ou configuração compatível com português do Brasil, integrado ao equipamento; Touchpad: integrado, com suporte às funções usuais de apontamento e navegação; Garantia: garantia mínima de 12 (doze) meses, contados do recebimento definitivo do equipamento, prestada pelo fabricante, fornecedor ou rede de assistência técnica autorizada; Condições gerais: o equipamento deverá ser fornecido novo, sem uso anterior, não recondicionado, não remanufaturado e em linha normal de produção/comercialização, acompanhado de todos os acessórios necessários ao seu perfeito funcionamento.</w:t>
            </w:r>
          </w:p>
          <w:p w14:paraId="71F19E17"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5D4AD3D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Serão aceitos equipamentos de qualquer fabricante, desde que atendam integralmente ou superem as especificações técnicas mínimas estabelecidas, não sendo admitida a exigência de marca ou modelo específico. Eventuais referências a tecnologias, padrões ou características de equipamentos existentes no mercado possuem caráter exclusivamente técnico e de definição de desempenho mínimo, admitindo-se soluções equivalentes ou superiores, mediante comprovação por </w:t>
            </w:r>
            <w:r w:rsidRPr="00AC1C56">
              <w:rPr>
                <w:rFonts w:ascii="Bookman Old Style" w:eastAsia="Calibri" w:hAnsi="Bookman Old Style" w:cs="Calibri"/>
                <w:sz w:val="24"/>
                <w:szCs w:val="24"/>
                <w:lang w:val="pt-PT"/>
              </w:rPr>
              <w:lastRenderedPageBreak/>
              <w:t>documentação oficial do fabricante.</w:t>
            </w:r>
          </w:p>
          <w:p w14:paraId="1AAD9FC5"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11D7190B"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O equipamento deverá ser entregue novo, devidamente montado, instalado e configurado,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307" w:type="dxa"/>
            <w:gridSpan w:val="3"/>
            <w:tcBorders>
              <w:top w:val="single" w:sz="4" w:space="0" w:color="auto"/>
              <w:left w:val="single" w:sz="4" w:space="0" w:color="auto"/>
              <w:bottom w:val="single" w:sz="4" w:space="0" w:color="auto"/>
              <w:right w:val="single" w:sz="4" w:space="0" w:color="auto"/>
            </w:tcBorders>
          </w:tcPr>
          <w:p w14:paraId="03E8719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075BA43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02</w:t>
            </w:r>
          </w:p>
        </w:tc>
        <w:tc>
          <w:tcPr>
            <w:tcW w:w="1461" w:type="dxa"/>
            <w:gridSpan w:val="2"/>
            <w:tcBorders>
              <w:top w:val="nil"/>
              <w:left w:val="single" w:sz="4" w:space="0" w:color="auto"/>
              <w:bottom w:val="single" w:sz="4" w:space="0" w:color="auto"/>
              <w:right w:val="single" w:sz="4" w:space="0" w:color="auto"/>
            </w:tcBorders>
          </w:tcPr>
          <w:p w14:paraId="61B6FE49"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4446147B"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gridSpan w:val="2"/>
            <w:tcBorders>
              <w:top w:val="nil"/>
              <w:left w:val="nil"/>
              <w:bottom w:val="single" w:sz="4" w:space="0" w:color="000000"/>
              <w:right w:val="single" w:sz="4" w:space="0" w:color="auto"/>
            </w:tcBorders>
            <w:shd w:val="clear" w:color="auto" w:fill="auto"/>
          </w:tcPr>
          <w:p w14:paraId="4F8C83FB"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0EBD0A09" w14:textId="77777777" w:rsidTr="00384905">
        <w:trPr>
          <w:trHeight w:val="283"/>
          <w:jc w:val="center"/>
        </w:trPr>
        <w:tc>
          <w:tcPr>
            <w:tcW w:w="9741" w:type="dxa"/>
            <w:gridSpan w:val="10"/>
            <w:tcBorders>
              <w:top w:val="nil"/>
              <w:left w:val="single" w:sz="4" w:space="0" w:color="000000"/>
              <w:bottom w:val="single" w:sz="4" w:space="0" w:color="000000"/>
              <w:right w:val="single" w:sz="4" w:space="0" w:color="auto"/>
            </w:tcBorders>
            <w:shd w:val="clear" w:color="auto" w:fill="auto"/>
            <w:vAlign w:val="center"/>
          </w:tcPr>
          <w:p w14:paraId="698CA88C"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01</w:t>
            </w:r>
          </w:p>
        </w:tc>
        <w:tc>
          <w:tcPr>
            <w:tcW w:w="1654" w:type="dxa"/>
            <w:gridSpan w:val="2"/>
            <w:tcBorders>
              <w:top w:val="nil"/>
              <w:left w:val="nil"/>
              <w:bottom w:val="single" w:sz="4" w:space="0" w:color="000000"/>
              <w:right w:val="single" w:sz="4" w:space="0" w:color="auto"/>
            </w:tcBorders>
            <w:shd w:val="clear" w:color="auto" w:fill="auto"/>
            <w:vAlign w:val="center"/>
          </w:tcPr>
          <w:p w14:paraId="542AF31A"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0536A9BB"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0BDA0D2B"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1A0FBA"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02: IMPRESSORA MULTIFUNCIONAL A LASER MONOCROMÁTICA</w:t>
            </w:r>
          </w:p>
        </w:tc>
      </w:tr>
      <w:tr w:rsidR="00AC1C56" w:rsidRPr="00AC1C56" w14:paraId="6FE7F8C3"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37DFB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458F73E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2B5E7D1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2F1FE8C"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78BF323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6AE17"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67818C1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733B0A65"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313F49B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63FB316A"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IMPRESSORA MULTIFUNCIONAL A LASER MONOCROMÁTICA</w:t>
            </w:r>
          </w:p>
          <w:p w14:paraId="36A3A41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Impressora multifuncional monocromática, nova e sem uso anterior, destinada à utilização em atividades administrativas e institucionais, com funções integradas de impressão, cópia e digitalização, devendo possuir, no mínimo, as seguintes características: Funções: impressão, cópia e digitalização (scanner), integradas em um único equipamento; Tecnologia de impressão: laser monocromática ou tecnologia </w:t>
            </w:r>
            <w:r w:rsidRPr="00AC1C56">
              <w:rPr>
                <w:rFonts w:ascii="Bookman Old Style" w:eastAsia="Calibri" w:hAnsi="Bookman Old Style" w:cs="Calibri"/>
                <w:sz w:val="24"/>
                <w:szCs w:val="24"/>
                <w:lang w:val="pt-PT"/>
              </w:rPr>
              <w:lastRenderedPageBreak/>
              <w:t xml:space="preserve">equivalente/superior; Velocidade de impressão: mínima de 38 páginas por minuto (ppm) em papel tamanho A4; Resolução de impressão: mínima de 1.200 × 1.200 dpi, ou qualidade de impressão equivalente/superior; Impressão frente e verso: automática (duplex), sem necessidade de intervenção manual do usuário; Scanner: integrado e colorido, adequado à digitalização de documentos administrativos; Resolução óptica do scanner: mínima de 600 × 600 dpi; Alimentador automático de documentos (ADF): capacidade mínima de 50 folhas, permitindo a digitalização e/ou cópia sequencial de documentos com múltiplas páginas; Digitalização frente e verso: automática ou por mecanismo compatível com a operação do equipamento, quando disponibilizada pelo fabricante; Copiadora: integrada, permitindo, no mínimo, funções de ampliação e redução de documentos; Ampliação e redução: faixa mínima compreendendo 25% a 400%, admitidas faixas superiores; Bandeja principal de entrada: capacidade mínima de 250 folhas; Bandeja ou alimentador multiuso: capacidade mínima de 50 folhas, destinada à </w:t>
            </w:r>
            <w:r w:rsidRPr="00AC1C56">
              <w:rPr>
                <w:rFonts w:ascii="Bookman Old Style" w:eastAsia="Calibri" w:hAnsi="Bookman Old Style" w:cs="Calibri"/>
                <w:sz w:val="24"/>
                <w:szCs w:val="24"/>
                <w:lang w:val="pt-PT"/>
              </w:rPr>
              <w:lastRenderedPageBreak/>
              <w:t xml:space="preserve">alimentação de diferentes tipos, formatos ou gramaturas de papel; Bandeja de saída: capacidade mínima de 150 folhas; Formatos de papel: compatível, no mínimo, com A4, A5, A6, Carta e Ofício, além de outros formatos eventualmente suportados pelo equipamento; Gramatura: capacidade para utilização de papéis de diferentes gramaturas, incluindo papel comum, observados os limites estabelecidos pelo fabricante; Conectividade USB: possuir, no mínimo, 01 (uma) interface USB 2.0 ou superior, para conexão direta a computador; Conectividade de rede: possuir interface Ethernet integrada, padrão 10/100 Mbps ou superior, com conector RJ-45, permitindo o compartilhamento e utilização do equipamento em rede local; Memória: capacidade dimensionada pelo fabricante e suficiente para execução adequada das funções e velocidade especificadas; Volume mensal recomendado: adequado ao uso administrativo e institucional, com volume recomendado pelo fabricante de, no mínimo, 5.000 páginas/mês; Ciclo máximo mensal: capacidade de, no mínimo, 50.000 páginas/mês, ou superior; Painel de controle: integrado </w:t>
            </w:r>
            <w:r w:rsidRPr="00AC1C56">
              <w:rPr>
                <w:rFonts w:ascii="Bookman Old Style" w:eastAsia="Calibri" w:hAnsi="Bookman Old Style" w:cs="Calibri"/>
                <w:sz w:val="24"/>
                <w:szCs w:val="24"/>
                <w:lang w:val="pt-PT"/>
              </w:rPr>
              <w:lastRenderedPageBreak/>
              <w:t xml:space="preserve">ao equipamento, com visor e comandos que permitam acesso, operação e configuração das principais funções; Compatibilidade: possuir drivers e softwares compatíveis com Windows 11 de 64 bits, ou versão mais recente do sistema operacional utilizada pela Administração; Alimentação elétrica: compatível com a rede elétrica de 127 V, admitindo-se equipamento bivolt automático, acompanhado de cabo de alimentação e/ou fonte necessária ao funcionamento; Suprimento inicial: deverá ser fornecido com toner inicial e demais consumíveis indispensáveis à sua imediata utilização, originais do fabricante ou fornecidos de fábrica com o equipamento; Acessórios: deverão acompanhar o equipamento todos os cabos, fontes, componentes, acessórios e demais itens indispensáveis à instalação e ao pleno funcionamento; Garantia: mínima de 12 (doze) meses, contados do recebimento definitivo do equipamento, prestada pelo fabricante, fornecedor ou rede de assistência técnica autorizada; Condição: equipamento novo, sem uso anterior, não recondicionado e não remanufaturado, em linha normal de produção/comercialização e fornecido em embalagem </w:t>
            </w:r>
            <w:r w:rsidRPr="00AC1C56">
              <w:rPr>
                <w:rFonts w:ascii="Bookman Old Style" w:eastAsia="Calibri" w:hAnsi="Bookman Old Style" w:cs="Calibri"/>
                <w:sz w:val="24"/>
                <w:szCs w:val="24"/>
                <w:lang w:val="pt-PT"/>
              </w:rPr>
              <w:lastRenderedPageBreak/>
              <w:t>original ou adequada à sua proteção.</w:t>
            </w:r>
          </w:p>
          <w:p w14:paraId="3EDB1ED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773AC3B7"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O equipamento poderá ser de qualquer fabricante, desde que atenda integralmente ou supere as especificações técnicas mínimas estabelecidas, não sendo exigida marca ou modelo específico.</w:t>
            </w:r>
          </w:p>
          <w:p w14:paraId="24734ABA"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7606962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As características técnicas estabelecidas destinam-se exclusivamente à definição do padrão mínimo de desempenho, produtividade, qualidade, capacidade, funcionalidade e compatibilidade necessário ao atendimento das necessidades da Administração, sendo admitidos equipamentos com características equivalentes ou superiores, desde que devidamente comprovadas por catálogo, ficha técnica ou documentação oficial do fabricante.</w:t>
            </w:r>
          </w:p>
          <w:p w14:paraId="75BBA5DE"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3AD722F8"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A proposta deverá indicar expressamente a marca e o modelo do equipamento ofertado, possibilitando à Administração verificar sua conformidade com as especificações técnicas mínimas estabelecidas.</w:t>
            </w:r>
          </w:p>
          <w:p w14:paraId="6A655E88"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4DE86A76"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 xml:space="preserve">O equipamento deverá ser entregue novo, devidamente instalado e configurado nas dependências da Câmara Municipal de Terra Rica/PR, </w:t>
            </w:r>
            <w:r w:rsidRPr="00AC1C56">
              <w:rPr>
                <w:rFonts w:ascii="Bookman Old Style" w:eastAsia="Calibri" w:hAnsi="Bookman Old Style" w:cs="Calibri"/>
                <w:sz w:val="24"/>
                <w:szCs w:val="24"/>
                <w:lang w:val="pt-PT"/>
              </w:rPr>
              <w:lastRenderedPageBreak/>
              <w:t>incluindo instalação dos respectivos drivers e softwares, conexão à rede local e/ou computador indicado pela Administração, configuração das funções de impressão, cópia e digitalização e realização dos respectivos testes de funcionamento, devendo ser entregue em plenas condições de funcionamento e pronto para uso, incluindo todos os serviços, mão de obra, cabos, conexões, acessórios e demais procedimentos necessários, sem custos adicionais para a Administração.</w:t>
            </w:r>
          </w:p>
        </w:tc>
        <w:tc>
          <w:tcPr>
            <w:tcW w:w="1307" w:type="dxa"/>
            <w:tcBorders>
              <w:top w:val="single" w:sz="4" w:space="0" w:color="auto"/>
              <w:left w:val="single" w:sz="4" w:space="0" w:color="auto"/>
              <w:bottom w:val="single" w:sz="4" w:space="0" w:color="auto"/>
              <w:right w:val="single" w:sz="4" w:space="0" w:color="auto"/>
            </w:tcBorders>
          </w:tcPr>
          <w:p w14:paraId="68490FA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55EA4AE4"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01</w:t>
            </w:r>
          </w:p>
        </w:tc>
        <w:tc>
          <w:tcPr>
            <w:tcW w:w="1461" w:type="dxa"/>
            <w:tcBorders>
              <w:top w:val="nil"/>
              <w:left w:val="single" w:sz="4" w:space="0" w:color="auto"/>
              <w:bottom w:val="single" w:sz="4" w:space="0" w:color="auto"/>
              <w:right w:val="single" w:sz="4" w:space="0" w:color="auto"/>
            </w:tcBorders>
          </w:tcPr>
          <w:p w14:paraId="1847E2C6"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18D38685"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05DC65D3"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10E656C9"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3B0AAE1E"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02</w:t>
            </w:r>
          </w:p>
        </w:tc>
        <w:tc>
          <w:tcPr>
            <w:tcW w:w="1654" w:type="dxa"/>
            <w:tcBorders>
              <w:top w:val="nil"/>
              <w:left w:val="nil"/>
              <w:bottom w:val="single" w:sz="4" w:space="0" w:color="000000"/>
              <w:right w:val="single" w:sz="4" w:space="0" w:color="auto"/>
            </w:tcBorders>
            <w:shd w:val="clear" w:color="auto" w:fill="auto"/>
            <w:vAlign w:val="center"/>
          </w:tcPr>
          <w:p w14:paraId="23C67E41"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6F9C2852"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74C3CCD1"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C3C0AF"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03: IMPRESSORA MULTIFUNCIONAL A LASER</w:t>
            </w:r>
          </w:p>
        </w:tc>
      </w:tr>
      <w:tr w:rsidR="00AC1C56" w:rsidRPr="00AC1C56" w14:paraId="10EA5AEE"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956690"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7C8C66DE"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31535A9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5C659B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056BE68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74287"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553FF01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06AC052A"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09AF154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1CCF52AE"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IMPRESSORA MULTIFUNCIONAL A LASER</w:t>
            </w:r>
          </w:p>
          <w:p w14:paraId="58A39E8C"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Impressora multifuncional monocromática, com tecnologia de impressão a laser ou tecnologia equivalente/superior, nova e sem uso anterior, destinada às atividades administrativas e institucionais, devendo possuir, no mínimo, as seguintes características: Funções: impressão, cópia e digitalização (scanner), integradas em um único equipamento; Tipo de impressão: monocromática; Tecnologia: laser ou tecnologia </w:t>
            </w:r>
            <w:r w:rsidRPr="00AC1C56">
              <w:rPr>
                <w:rFonts w:ascii="Bookman Old Style" w:eastAsia="Calibri" w:hAnsi="Bookman Old Style" w:cs="Calibri"/>
                <w:sz w:val="24"/>
                <w:szCs w:val="24"/>
                <w:lang w:val="pt-PT"/>
              </w:rPr>
              <w:lastRenderedPageBreak/>
              <w:t xml:space="preserve">equivalente/superior; Velocidade de impressão: mínima de 30 páginas por minuto (ppm) em papel tamanho A4; Resolução de impressão: mínima de 600 × 600 dpi; Impressão frente e verso: automática (duplex); Scanner: integrado, colorido, com resolução óptica mínima de 600 × 600 dpi; Copiadora: integrada, com funções de ampliação e redução; Alimentador automático de documentos (ADF): capacidade mínima para 35 folhas, permitindo digitalização e cópia de documentos com múltiplas páginas; Bandeja de entrada: capacidade mínima de 150 folhas; Formatos de papel: compatível, no mínimo, com papel A4, A5, A6, Carta e Ofício, observadas as limitações próprias de cada bandeja ou alimentador; Conectividade: no mínimo 01 (uma) interface USB, para conexão direta a computador; Conectividade de rede: interface Ethernet e/ou Wi-Fi integrada, permitindo o compartilhamento do equipamento em rede; Compatibilidade: compatível com sistemas operacionais Windows atualmente suportados pelo fabricante; Painel de controle: integrado ao equipamento, permitindo acesso e configuração das principais funções; Memória: capacidade compatível com as funções e </w:t>
            </w:r>
            <w:r w:rsidRPr="00AC1C56">
              <w:rPr>
                <w:rFonts w:ascii="Bookman Old Style" w:eastAsia="Calibri" w:hAnsi="Bookman Old Style" w:cs="Calibri"/>
                <w:sz w:val="24"/>
                <w:szCs w:val="24"/>
                <w:lang w:val="pt-PT"/>
              </w:rPr>
              <w:lastRenderedPageBreak/>
              <w:t>velocidade especificadas, dimensionada pelo fabricante para o funcionamento adequado do equipamento; Ciclo mensal: recomendado pelo fabricante para utilização compatível com ambiente administrativo; Alimentação elétrica: compatível com a rede elétrica local, acompanhada de cabo de alimentação; Suprimento: deverá ser fornecida com cartucho de toner inicial, original do fabricante ou fornecido de fábrica, permitindo a imediata utilização do equipamento; Acessórios: deverão acompanhar o equipamento todos os cabos, fontes, acessórios e demais componentes indispensáveis à sua instalação e funcionamento; Garantia: mínima de 12 (doze) meses, contados do recebimento definitivo do equipamento, prestada pelo fabricante, fornecedor ou rede de assistência técnica autorizada; Condição: equipamento novo, sem uso anterior, não recondicionado e não remanufaturado, fornecido em embalagem original ou adequada à sua proteção.</w:t>
            </w:r>
          </w:p>
          <w:p w14:paraId="180649B0"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44459CD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O equipamento poderá ser de qualquer fabricante, desde que atenda integralmente ou supere as especificações técnicas mínimas estabelecidas, não </w:t>
            </w:r>
            <w:r w:rsidRPr="00AC1C56">
              <w:rPr>
                <w:rFonts w:ascii="Bookman Old Style" w:eastAsia="Calibri" w:hAnsi="Bookman Old Style" w:cs="Calibri"/>
                <w:sz w:val="24"/>
                <w:szCs w:val="24"/>
                <w:lang w:val="pt-PT"/>
              </w:rPr>
              <w:lastRenderedPageBreak/>
              <w:t>sendo exigida marca ou modelo específico.</w:t>
            </w:r>
          </w:p>
          <w:p w14:paraId="3D9E848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054FE1A7"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Eventuais características técnicas indicadas destinam-se exclusivamente à definição do padrão mínimo de desempenho, qualidade, funcionalidade e compatibilidade necessário ao atendimento da Administração, sendo admitidos equipamentos com características equivalentes ou superiores, mediante comprovação por catálogo, ficha técnica ou documentação oficial do fabricante.</w:t>
            </w:r>
          </w:p>
        </w:tc>
        <w:tc>
          <w:tcPr>
            <w:tcW w:w="1307" w:type="dxa"/>
            <w:tcBorders>
              <w:top w:val="single" w:sz="4" w:space="0" w:color="auto"/>
              <w:left w:val="single" w:sz="4" w:space="0" w:color="auto"/>
              <w:bottom w:val="single" w:sz="4" w:space="0" w:color="auto"/>
              <w:right w:val="single" w:sz="4" w:space="0" w:color="auto"/>
            </w:tcBorders>
          </w:tcPr>
          <w:p w14:paraId="649081A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16CA060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02</w:t>
            </w:r>
          </w:p>
        </w:tc>
        <w:tc>
          <w:tcPr>
            <w:tcW w:w="1461" w:type="dxa"/>
            <w:tcBorders>
              <w:top w:val="nil"/>
              <w:left w:val="single" w:sz="4" w:space="0" w:color="auto"/>
              <w:bottom w:val="single" w:sz="4" w:space="0" w:color="auto"/>
              <w:right w:val="single" w:sz="4" w:space="0" w:color="auto"/>
            </w:tcBorders>
          </w:tcPr>
          <w:p w14:paraId="5F55529E"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674F53B5"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694B3E90"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4B179664"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104ED07C"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03</w:t>
            </w:r>
          </w:p>
        </w:tc>
        <w:tc>
          <w:tcPr>
            <w:tcW w:w="1654" w:type="dxa"/>
            <w:tcBorders>
              <w:top w:val="nil"/>
              <w:left w:val="nil"/>
              <w:bottom w:val="single" w:sz="4" w:space="0" w:color="000000"/>
              <w:right w:val="single" w:sz="4" w:space="0" w:color="auto"/>
            </w:tcBorders>
            <w:shd w:val="clear" w:color="auto" w:fill="auto"/>
            <w:vAlign w:val="center"/>
          </w:tcPr>
          <w:p w14:paraId="3AA0EFAD"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62F14C4C"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p w14:paraId="5E08F4DF" w14:textId="77777777" w:rsidR="00AC1C56" w:rsidRPr="00AC1C56" w:rsidRDefault="00AC1C56" w:rsidP="00AC1C56">
      <w:pPr>
        <w:spacing w:after="0" w:line="240" w:lineRule="auto"/>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br w:type="page"/>
      </w: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57C99326"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A6F31E"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lastRenderedPageBreak/>
              <w:t>Lote 04: MONITOR 24”</w:t>
            </w:r>
          </w:p>
        </w:tc>
      </w:tr>
      <w:tr w:rsidR="00AC1C56" w:rsidRPr="00AC1C56" w14:paraId="79C42728"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EFD0E"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1EDF03A4"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6C9B604D"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1FCA4CE1"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2EF4249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2C67F4"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2D9CF73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4E33E7A4"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751F1C3E"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458B7A53"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MONITOR 24”</w:t>
            </w:r>
          </w:p>
          <w:p w14:paraId="12E0891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Monitor de vídeo, novo e sem uso anterior, destinado à utilização em atividades administrativas e institucionais, devendo possuir, no mínimo, as seguintes características: Tamanho da tela: mínimo de 23,8 polegadas, comercialmente classificado como 24 polegadas; Formato da tela: plana; Tecnologia do painel: IPS, VA ou tecnologia equivalente/superior, desde que proporcione adequada qualidade de imagem e ângulo de visualização; Resolução nativa: mínima Full HD (1920 × 1080 pixels); Proporção de tela: 16:9; Taxa de atualização: mínima de 100 Hz; Brilho: mínimo de 250 cd/m²; Contraste: mínimo de 1.000:1; Tempo de resposta: máximo de 8 ms; Ângulo de visão: mínimo de 178° na horizontal e 178° na vertical, ou equivalente; Reprodução de cores: capacidade mínima de 16,7 milhões de cores; Conectividade: possuir, no mínimo, 01 (uma) entrada HDMI; Recursos de conforto visual: possuir tecnologia de redução de cintilação da tela (Flicker Free ou equivalente) e recurso para redução da emissão de luz azul, ou tecnologias equivalentes; Ajustes de imagem: permitir </w:t>
            </w:r>
            <w:r w:rsidRPr="00AC1C56">
              <w:rPr>
                <w:rFonts w:ascii="Bookman Old Style" w:eastAsia="Calibri" w:hAnsi="Bookman Old Style" w:cs="Calibri"/>
                <w:sz w:val="24"/>
                <w:szCs w:val="24"/>
                <w:lang w:val="pt-PT"/>
              </w:rPr>
              <w:lastRenderedPageBreak/>
              <w:t>ajustes de brilho, contraste e demais configurações básicas de imagem; Suporte/base: deverá acompanhar base original ou compatível com o equipamento, proporcionando estabilidade adequada para utilização sobre mesa; Compatibilidade com suporte: possuir sistema de fixação padrão VESA ou equivalente, permitindo sua instalação em suporte articulado para monitor; Alimentação: bivolt automático ou compatível com tensão de 100 a 240 V, acompanhada de fonte e/ou cabo de alimentação, conforme aplicável; Cor predominante: preta ou tonalidade escura equivalente; Acessórios: deverá acompanhar, no mínimo, cabo de alimentação e cabo HDMI, compatíveis com o equipamento, além dos demais acessórios indispensáveis ao seu funcionamento; Garantia: mínima de 12 (doze) meses, contados do recebimento definitivo do equipamento, prestada pelo fabricante, fornecedor ou rede de assistência técnica autorizada;</w:t>
            </w:r>
          </w:p>
          <w:p w14:paraId="4AF8D18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468B50DB"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Condição: equipamento novo, sem uso anterior, não recondicionado e não remanufaturado, em linha </w:t>
            </w:r>
            <w:r w:rsidRPr="00AC1C56">
              <w:rPr>
                <w:rFonts w:ascii="Bookman Old Style" w:eastAsia="Calibri" w:hAnsi="Bookman Old Style" w:cs="Calibri"/>
                <w:sz w:val="24"/>
                <w:szCs w:val="24"/>
                <w:lang w:val="pt-PT"/>
              </w:rPr>
              <w:lastRenderedPageBreak/>
              <w:t>normal de produção/comercialização.</w:t>
            </w:r>
          </w:p>
          <w:p w14:paraId="69A9C47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30E2DA14"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O equipamento poderá ser de qualquer fabricante, desde que atenda integralmente ou supere as especificações técnicas mínimas estabelecidas, não sendo exigida marca ou modelo específico.</w:t>
            </w:r>
          </w:p>
          <w:p w14:paraId="09D50ABC"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4D097D20"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As características técnicas estabelecidas destinam-se exclusivamente à definição do padrão mínimo de qualidade, desempenho, funcionalidade, ergonomia e compatibilidade necessário ao atendimento das necessidades da Administração, sendo admitidos equipamentos com características equivalentes ou superiores, desde que comprovadas mediante catálogo, ficha técnica ou documentação oficial do fabricante.</w:t>
            </w:r>
          </w:p>
          <w:p w14:paraId="001222A0"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52C6FA1D"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A proposta deverá indicar expressamente a marca e o modelo do equipamento ofertado, possibilitando à Administração verificar sua conformidade com as especificações técnicas mínimas estabelecidas.</w:t>
            </w:r>
          </w:p>
        </w:tc>
        <w:tc>
          <w:tcPr>
            <w:tcW w:w="1307" w:type="dxa"/>
            <w:tcBorders>
              <w:top w:val="single" w:sz="4" w:space="0" w:color="auto"/>
              <w:left w:val="single" w:sz="4" w:space="0" w:color="auto"/>
              <w:bottom w:val="single" w:sz="4" w:space="0" w:color="auto"/>
              <w:right w:val="single" w:sz="4" w:space="0" w:color="auto"/>
            </w:tcBorders>
          </w:tcPr>
          <w:p w14:paraId="367607E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6919D01A"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06</w:t>
            </w:r>
          </w:p>
        </w:tc>
        <w:tc>
          <w:tcPr>
            <w:tcW w:w="1461" w:type="dxa"/>
            <w:tcBorders>
              <w:top w:val="nil"/>
              <w:left w:val="single" w:sz="4" w:space="0" w:color="auto"/>
              <w:bottom w:val="single" w:sz="4" w:space="0" w:color="auto"/>
              <w:right w:val="single" w:sz="4" w:space="0" w:color="auto"/>
            </w:tcBorders>
          </w:tcPr>
          <w:p w14:paraId="1E517593"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3618531B"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5E391051"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3D87A54D"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384A4DDA"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04</w:t>
            </w:r>
          </w:p>
        </w:tc>
        <w:tc>
          <w:tcPr>
            <w:tcW w:w="1654" w:type="dxa"/>
            <w:tcBorders>
              <w:top w:val="nil"/>
              <w:left w:val="nil"/>
              <w:bottom w:val="single" w:sz="4" w:space="0" w:color="000000"/>
              <w:right w:val="single" w:sz="4" w:space="0" w:color="auto"/>
            </w:tcBorders>
            <w:shd w:val="clear" w:color="auto" w:fill="auto"/>
            <w:vAlign w:val="center"/>
          </w:tcPr>
          <w:p w14:paraId="159984C8"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17DD611A"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76858A41"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E2EC07"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05: MICROCOMPUTADOR COMPLETO</w:t>
            </w:r>
          </w:p>
        </w:tc>
      </w:tr>
      <w:tr w:rsidR="00AC1C56" w:rsidRPr="00AC1C56" w14:paraId="1CFE35F5"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5C4EA"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6A30350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566F164C"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EB749C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589583B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C225B"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4FEEF37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55C9A3FF"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5F68ADCD"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4DE07B5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MICROCOMPUTADOR COMPLETO</w:t>
            </w:r>
          </w:p>
          <w:p w14:paraId="37E8D20F"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lastRenderedPageBreak/>
              <w:t xml:space="preserve">Microcomputador tipo desktop, completo, novo e sem uso anterior, destinado à execução de atividades administrativas e institucionais, devendo possuir, no mínimo, as seguintes características: Processador: arquitetura de 64 bits, com no mínimo 8 (oito) núcleos físicos e 12 (doze) threads, memória cache de no mínimo 12 MB, frequência máxima em modo turbo de, no mínimo, 4,5 GHz, ou processador de desempenho equivalente ou superior, comprovável mediante documentação técnica oficial do fabricante; Memória RAM: mínimo de 16 GB, padrão DDR4 com frequência mínima de 3.200 MT/s, DDR5 ou tecnologia superior; Armazenamento: unidade de estado sólido (SSD) com capacidade mínima de 1 TB, padrão M.2 NVMe, ou tecnologia de desempenho equivalente ou superior; Placa-mãe: compatível com todos os componentes ofertados, com suporte integral ao processador, memória, armazenamento e demais dispositivos especificados, não sendo admitida exigência de fabricante ou marca específica; Rede: interface de rede Ethernet integrada, com velocidade mínima de 10/100/1000 Mbps (Gigabit Ethernet) e conector RJ-45; Áudio: interface de áudio integrada, </w:t>
            </w:r>
            <w:r w:rsidRPr="00AC1C56">
              <w:rPr>
                <w:rFonts w:ascii="Bookman Old Style" w:eastAsia="Calibri" w:hAnsi="Bookman Old Style" w:cs="Calibri"/>
                <w:sz w:val="24"/>
                <w:szCs w:val="24"/>
                <w:lang w:val="pt-PT"/>
              </w:rPr>
              <w:lastRenderedPageBreak/>
              <w:t xml:space="preserve">com conexões compatíveis para utilização de caixas de som, fones de ouvido e/ou microfone; Vídeo: solução gráfica integrada ao processador ou dedicada, com capacidade para resolução mínima Full HD (1920 × 1080 pixels) e saída digital de vídeo HDMI e/ou DisplayPort; Portas USB: mínimo de 08 (oito) portas USB, sendo pelo menos 04 (quatro) portas padrão USB 3.0/3.2 ou superior, devendo possuir portas acessíveis na parte frontal do gabinete para conexão de dispositivos; Fonte de alimentação: padrão ATX ou compatível com o gabinete, com potência dimensionada pelo fabricante/montador para suportar adequadamente todos os componentes instalados, com margem operacional de segurança e compatível com a rede elétrica local; Gabinete: padrão compatível com os componentes internos, na cor preta ou tonalidade escura equivalente, com sistema adequado de ventilação e refrigeração; Sistema operacional: Windows 11 Pro, 64 bits, original, devidamente licenciado e ativado, em idioma português do Brasil, acompanhado da respectiva licença digital, devendo o equipamento possuir compatibilidade com TPM 2.0, UEFI e Secure Boot; </w:t>
            </w:r>
            <w:r w:rsidRPr="00AC1C56">
              <w:rPr>
                <w:rFonts w:ascii="Bookman Old Style" w:eastAsia="Calibri" w:hAnsi="Bookman Old Style" w:cs="Calibri"/>
                <w:sz w:val="24"/>
                <w:szCs w:val="24"/>
                <w:lang w:val="pt-PT"/>
              </w:rPr>
              <w:lastRenderedPageBreak/>
              <w:t>Teclado: padrão ABNT2, conexão USB ou tecnologia equivalente, na cor preta ou tonalidade escura; Mouse: óptico, com no mínimo 02 botões e botão de rolagem (scroll), conexão USB ou tecnologia equivalente, na cor preta ou tonalidade escura; Caixas de som: conjunto de caixas de som compatível com o equipamento, alimentado por USB ou fonte própria, com conexão de áudio compatível, na cor preta ou tonalidade escura; Cabos e acessórios: deverão acompanhar o equipamento todos os cabos, fontes, adaptadores e demais acessórios indispensáveis à instalação e ao pleno funcionamento; Garantia: mínima de 12 (doze) meses, contados do recebimento definitivo do equipamento, abrangendo os componentes que integram o microcomputador; Condição: todos os componentes deverão ser novos, sem uso anterior, não recondicionados e não remanufaturados, devendo ser integralmente compatíveis entre si.</w:t>
            </w:r>
          </w:p>
          <w:p w14:paraId="79CF634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2420DF8F"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O microcomputador e seus componentes poderão ser de qualquer fabricante, desde que atendam integralmente ou superem as especificações técnicas mínimas estabelecidas, não sendo exigidas marcas </w:t>
            </w:r>
            <w:r w:rsidRPr="00AC1C56">
              <w:rPr>
                <w:rFonts w:ascii="Bookman Old Style" w:eastAsia="Calibri" w:hAnsi="Bookman Old Style" w:cs="Calibri"/>
                <w:sz w:val="24"/>
                <w:szCs w:val="24"/>
                <w:lang w:val="pt-PT"/>
              </w:rPr>
              <w:lastRenderedPageBreak/>
              <w:t>específicas de processador, placa-mãe ou demais componentes.</w:t>
            </w:r>
          </w:p>
          <w:p w14:paraId="1C2D2421"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0ACFBBCA"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Eventuais referências a tecnologias, padrões, capacidades ou características destinam-se exclusivamente à definição do padrão mínimo de desempenho, qualidade, funcionalidade e compatibilidade necessário ao atendimento da Administração, admitindo-se soluções tecnicamente equivalentes ou superiores, desde que comprovadas por catálogo, ficha técnica ou documentação oficial do fabricante.</w:t>
            </w:r>
          </w:p>
          <w:p w14:paraId="5E63F7E4"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3C29D8EB"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O equipamento deverá ser entregue novo, devidamente montados, instalados e configurados,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307" w:type="dxa"/>
            <w:tcBorders>
              <w:top w:val="single" w:sz="4" w:space="0" w:color="auto"/>
              <w:left w:val="single" w:sz="4" w:space="0" w:color="auto"/>
              <w:bottom w:val="single" w:sz="4" w:space="0" w:color="auto"/>
              <w:right w:val="single" w:sz="4" w:space="0" w:color="auto"/>
            </w:tcBorders>
          </w:tcPr>
          <w:p w14:paraId="2C73893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6763AE4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05</w:t>
            </w:r>
          </w:p>
        </w:tc>
        <w:tc>
          <w:tcPr>
            <w:tcW w:w="1461" w:type="dxa"/>
            <w:tcBorders>
              <w:top w:val="nil"/>
              <w:left w:val="single" w:sz="4" w:space="0" w:color="auto"/>
              <w:bottom w:val="single" w:sz="4" w:space="0" w:color="auto"/>
              <w:right w:val="single" w:sz="4" w:space="0" w:color="auto"/>
            </w:tcBorders>
          </w:tcPr>
          <w:p w14:paraId="76222645"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172319A8"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389C0DC9"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1C3F9F63"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33A54E85"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05</w:t>
            </w:r>
          </w:p>
        </w:tc>
        <w:tc>
          <w:tcPr>
            <w:tcW w:w="1654" w:type="dxa"/>
            <w:tcBorders>
              <w:top w:val="nil"/>
              <w:left w:val="nil"/>
              <w:bottom w:val="single" w:sz="4" w:space="0" w:color="000000"/>
              <w:right w:val="single" w:sz="4" w:space="0" w:color="auto"/>
            </w:tcBorders>
            <w:shd w:val="clear" w:color="auto" w:fill="auto"/>
            <w:vAlign w:val="center"/>
          </w:tcPr>
          <w:p w14:paraId="67C218D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4FD2640B"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32554A28"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54D3FC"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06: SUPORTE ARTICULADO DUPLO DE MESA PARA MONITORES</w:t>
            </w:r>
          </w:p>
        </w:tc>
      </w:tr>
      <w:tr w:rsidR="00AC1C56" w:rsidRPr="00AC1C56" w14:paraId="28A794B1"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AB1A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6E4F2F2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6ED2092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AB5C00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7993F86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D3B9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5CD313B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43CBB256"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40001BE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01</w:t>
            </w:r>
          </w:p>
        </w:tc>
        <w:tc>
          <w:tcPr>
            <w:tcW w:w="3467" w:type="dxa"/>
            <w:tcBorders>
              <w:top w:val="single" w:sz="4" w:space="0" w:color="auto"/>
              <w:left w:val="single" w:sz="4" w:space="0" w:color="auto"/>
              <w:bottom w:val="single" w:sz="4" w:space="0" w:color="auto"/>
              <w:right w:val="single" w:sz="4" w:space="0" w:color="auto"/>
            </w:tcBorders>
          </w:tcPr>
          <w:p w14:paraId="5F3B18F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SUPORTE ARTICULADO DUPLO DE MESA PARA MONITORES</w:t>
            </w:r>
          </w:p>
          <w:p w14:paraId="793A012A"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Suporte articulado duplo de mesa para monitores, novo e sem uso anterior, destinado à instalação de 02 (dois) monitores simultaneamente, proporcionando ajuste ergonômico, organização e otimização do espaço das estações de trabalho, devendo possuir, no mínimo, as seguintes características: Capacidade: suporte para instalação simultânea de 02 (dois) monitores; Compatibilidade de tamanho: adequado para monitores com telas de, no mínimo, 17 a 32 polegadas, devendo ser plenamente compatível com os monitores de 24 polegadas a serem utilizados pela Administração; Capacidade de carga: suportar, no mínimo, 8 kg por braço/monitor, ou capacidade superior; Padrão de fixação dos monitores: compatível, no mínimo, com os padrões VESA 75 × 75 mm e 100 × 100 mm; Tipo: suporte de mesa com 02 (dois) braços articulados independentes, permitindo o posicionamento individual de cada monitor; Sistema de movimentação: mecanismo por mola a gás, pistão a gás, mola mecânica ou tecnologia equivalente/superior, que permita movimentação e </w:t>
            </w:r>
            <w:r w:rsidRPr="00AC1C56">
              <w:rPr>
                <w:rFonts w:ascii="Bookman Old Style" w:eastAsia="Calibri" w:hAnsi="Bookman Old Style" w:cs="Calibri"/>
                <w:sz w:val="24"/>
                <w:szCs w:val="24"/>
                <w:lang w:val="pt-PT"/>
              </w:rPr>
              <w:lastRenderedPageBreak/>
              <w:t xml:space="preserve">regulagem dos monitores de maneira estável e segura; Ajuste de altura: regulagem individual da altura dos monitores, possibilitando sua adequação à posição de trabalho do usuário; Inclinação: permitir ajuste de inclinação vertical dos monitores; Rotação lateral: permitir movimentação horizontal dos braços e ajuste do ângulo de visualização; Rotação da tela: permitir alteração da orientação do monitor entre as posições horizontal (paisagem) e vertical (retrato); Articulação: braços com múltiplos pontos de articulação, permitindo aproximação, afastamento e reposicionamento independente dos monitores; Fixação à mesa: sistema de fixação por morsa/presilha de pressão (tipo C-Clamp) e/ou fixação através de furo na mesa (grommet), devendo proporcionar estabilidade e segurança durante a utilização; Organização de cabos: possuir sistema, presilhas, canaletas ou dispositivo equivalente para organização e direcionamento dos cabos dos monitores; Estrutura: confeccionada em material metálico, aço, alumínio ou material de resistência equivalente, adequado à sustentação da carga especificada; Cor predominante: preta ou </w:t>
            </w:r>
            <w:r w:rsidRPr="00AC1C56">
              <w:rPr>
                <w:rFonts w:ascii="Bookman Old Style" w:eastAsia="Calibri" w:hAnsi="Bookman Old Style" w:cs="Calibri"/>
                <w:sz w:val="24"/>
                <w:szCs w:val="24"/>
                <w:lang w:val="pt-PT"/>
              </w:rPr>
              <w:lastRenderedPageBreak/>
              <w:t>tonalidade escura equivalente; Instalação: deverá permitir instalação segura em mesa ou bancada compatível, sem comprometer a estabilidade dos equipamentos; Acessórios: deverá acompanhar todos os parafusos, porcas, arruelas, adaptadores, elementos de fixação, ferramentas específicas e demais acessórios necessários à montagem e instalação completa do suporte e dos monitores; Manual: deverá acompanhar manual ou instruções de montagem e utilização, em meio físico ou digital; Garantia: mínima de 12 (doze) meses, contados do recebimento definitivo, prestada pelo fabricante, fornecedor ou assistência técnica responsável; Condição: produto novo, sem uso anterior, não recondicionado e não remanufaturado, fornecido em embalagem original ou adequada à sua proteção durante o transporte.</w:t>
            </w:r>
          </w:p>
          <w:p w14:paraId="414B9A00"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0C5FC1A7"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O produto poderá ser de qualquer fabricante, desde que atenda integralmente ou supere as especificações técnicas mínimas estabelecidas, não sendo exigida marca ou modelo específico.</w:t>
            </w:r>
          </w:p>
          <w:p w14:paraId="5094DA5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798A128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As características técnicas estabelecidas destinam-se exclusivamente à definição </w:t>
            </w:r>
            <w:r w:rsidRPr="00AC1C56">
              <w:rPr>
                <w:rFonts w:ascii="Bookman Old Style" w:eastAsia="Calibri" w:hAnsi="Bookman Old Style" w:cs="Calibri"/>
                <w:sz w:val="24"/>
                <w:szCs w:val="24"/>
                <w:lang w:val="pt-PT"/>
              </w:rPr>
              <w:lastRenderedPageBreak/>
              <w:t>do padrão mínimo de qualidade, resistência, segurança, funcionalidade, ergonomia e compatibilidade necessário ao atendimento das necessidades da Administração, sendo admitidos produtos com características equivalentes ou superiores, mediante comprovação por catálogo, ficha técnica ou documentação oficial do fabricante.</w:t>
            </w:r>
          </w:p>
          <w:p w14:paraId="40F6933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4E7AD00B"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A proposta deverá indicar expressamente a marca e o modelo do suporte ofertado, possibilitando à Administração verificar sua conformidade com as especificações técnicas mínimas estabelecidas.</w:t>
            </w:r>
          </w:p>
        </w:tc>
        <w:tc>
          <w:tcPr>
            <w:tcW w:w="1307" w:type="dxa"/>
            <w:tcBorders>
              <w:top w:val="single" w:sz="4" w:space="0" w:color="auto"/>
              <w:left w:val="single" w:sz="4" w:space="0" w:color="auto"/>
              <w:bottom w:val="single" w:sz="4" w:space="0" w:color="auto"/>
              <w:right w:val="single" w:sz="4" w:space="0" w:color="auto"/>
            </w:tcBorders>
          </w:tcPr>
          <w:p w14:paraId="588C03C5"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0E798B3D"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06</w:t>
            </w:r>
          </w:p>
        </w:tc>
        <w:tc>
          <w:tcPr>
            <w:tcW w:w="1461" w:type="dxa"/>
            <w:tcBorders>
              <w:top w:val="nil"/>
              <w:left w:val="single" w:sz="4" w:space="0" w:color="auto"/>
              <w:bottom w:val="single" w:sz="4" w:space="0" w:color="auto"/>
              <w:right w:val="single" w:sz="4" w:space="0" w:color="auto"/>
            </w:tcBorders>
          </w:tcPr>
          <w:p w14:paraId="67DF6180"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7FAC4A22"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0FA4E401"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6B0F650A"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78855B04"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06</w:t>
            </w:r>
          </w:p>
        </w:tc>
        <w:tc>
          <w:tcPr>
            <w:tcW w:w="1654" w:type="dxa"/>
            <w:tcBorders>
              <w:top w:val="nil"/>
              <w:left w:val="nil"/>
              <w:bottom w:val="single" w:sz="4" w:space="0" w:color="000000"/>
              <w:right w:val="single" w:sz="4" w:space="0" w:color="auto"/>
            </w:tcBorders>
            <w:shd w:val="clear" w:color="auto" w:fill="auto"/>
            <w:vAlign w:val="center"/>
          </w:tcPr>
          <w:p w14:paraId="2F019720"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48A4163C"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48D20BB6"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F5E153"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07: SCANNER DE DOCUMENTOS COM ALIMENTADOR AUTOMÁTICO</w:t>
            </w:r>
          </w:p>
        </w:tc>
      </w:tr>
      <w:tr w:rsidR="00AC1C56" w:rsidRPr="00AC1C56" w14:paraId="1F32076F"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827CC"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62BB9F6A"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52DF8B5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4F1364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14BD6D43"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1560C8"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492EB06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588F6DE9"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5D53E0A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75DE2A6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SCANNER DE DOCUMENTOS COM ALIMENTADOR AUTOMÁTICO</w:t>
            </w:r>
          </w:p>
          <w:p w14:paraId="670D930C"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Scanner de documentos de mesa, novo e sem uso anterior, destinado à digitalização de documentos administrativos, processos, ofícios, contratos e demais documentos da Câmara Municipal, devendo possuir, no mínimo, as seguintes características: Tipo: scanner de documentos de mesa com alimentador automático de documentos </w:t>
            </w:r>
            <w:r w:rsidRPr="00AC1C56">
              <w:rPr>
                <w:rFonts w:ascii="Bookman Old Style" w:eastAsia="Calibri" w:hAnsi="Bookman Old Style" w:cs="Calibri"/>
                <w:sz w:val="24"/>
                <w:szCs w:val="24"/>
                <w:lang w:val="pt-PT"/>
              </w:rPr>
              <w:lastRenderedPageBreak/>
              <w:t xml:space="preserve">(ADF); Digitalização: colorida, escala de cinza e preto e branco; Digitalização frente e verso: automática em uma única passagem (duplex); Velocidade de digitalização: mínima de 30 páginas por minuto (ppm) em modo simplex e 60 imagens por minuto (ipm) em modo duplex, considerando documentos tamanho A4; Resolução óptica: mínima de 600 dpi; Alimentador automático de documentos (ADF): capacidade mínima de 50 folhas, admitindo-se capacidade superior; Tamanho de documentos: compatível, no mínimo, com documentos nos formatos A4, A5 e A6, além de documentos de tamanhos variados dentro dos limites suportados pelo equipamento; Detecção de alimentação múltipla: deverá possuir recurso destinado à identificação de alimentação simultânea de duas ou mais folhas, por tecnologia ultrassônica ou solução tecnicamente equivalente; Alimentação de documentos: deverá permitir a digitalização de documentos de diferentes gramaturas e tamanhos, observados os limites estabelecidos pelo fabricante; Conectividade: interface USB 3.0, USB 3.1, USB 3.2 ou superior, acompanhada do respectivo cabo de conexão, quando </w:t>
            </w:r>
            <w:r w:rsidRPr="00AC1C56">
              <w:rPr>
                <w:rFonts w:ascii="Bookman Old Style" w:eastAsia="Calibri" w:hAnsi="Bookman Old Style" w:cs="Calibri"/>
                <w:sz w:val="24"/>
                <w:szCs w:val="24"/>
                <w:lang w:val="pt-PT"/>
              </w:rPr>
              <w:lastRenderedPageBreak/>
              <w:t xml:space="preserve">necessário; Compatibilidade: compatível com Windows 11 de 64 bits; Drivers: deverá disponibilizar, no mínimo, driver TWAIN e/ou WIA, permitindo sua utilização com aplicações de digitalização compatíveis; Formatos de saída: permitir a geração de arquivos, no mínimo, nos formatos PDF e JPEG, diretamente ou por meio do software fornecido com o equipamento; Recursos de processamento de imagem: deverá possuir recursos de ajuste automático ou manual de imagem, contemplando funções como correção de inclinação, rotação, recorte automático, ajuste de brilho e contraste e remoção de páginas em branco, por meio do equipamento, driver ou software fornecido; Volume de trabalho: adequado à utilização em ambiente administrativo, com capacidade recomendada pelo fabricante de, no mínimo, 3.000 páginas por dia; Painel ou comandos de operação: deverá possuir botões, teclas ou controles que permitam iniciar e/ou gerenciar as principais funções de digitalização; Software: deverá acompanhar ou disponibilizar gratuitamente software e drivers necessários à digitalização, configuração e gerenciamento do </w:t>
            </w:r>
            <w:r w:rsidRPr="00AC1C56">
              <w:rPr>
                <w:rFonts w:ascii="Bookman Old Style" w:eastAsia="Calibri" w:hAnsi="Bookman Old Style" w:cs="Calibri"/>
                <w:sz w:val="24"/>
                <w:szCs w:val="24"/>
                <w:lang w:val="pt-PT"/>
              </w:rPr>
              <w:lastRenderedPageBreak/>
              <w:t>equipamento; Alimentação elétrica: compatível com a rede elétrica utilizada no local de instalação, acompanhada de fonte e/ou cabo de alimentação necessários ao funcionamento; Acessórios: deverão acompanhar o equipamento todos os cabos, fontes, adaptadores e demais acessórios indispensáveis ao seu pleno funcionamento; Garantia: mínima de 12 (doze) meses, contados do recebimento definitivo do equipamento; Condição: equipamento novo, sem uso anterior, não recondicionado e não remanufaturado.</w:t>
            </w:r>
          </w:p>
          <w:p w14:paraId="0ECF2747"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3C228232"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O scanner poderá ser de qualquer fabricante, desde que atenda integralmente ou supere as especificações técnicas mínimas estabelecidas, não sendo exigida marca ou modelo específico.</w:t>
            </w:r>
          </w:p>
          <w:p w14:paraId="12E982DF"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234E5C29"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t xml:space="preserve">As características estabelecidas destinam-se exclusivamente à definição do padrão mínimo de desempenho, qualidade, produtividade, funcionalidade e compatibilidade necessário ao atendimento da Administração, sendo admitidos equipamentos com características equivalentes ou superiores, mediante comprovação por catálogo, ficha técnica ou </w:t>
            </w:r>
            <w:r w:rsidRPr="00AC1C56">
              <w:rPr>
                <w:rFonts w:ascii="Bookman Old Style" w:eastAsia="Calibri" w:hAnsi="Bookman Old Style" w:cs="Calibri"/>
                <w:sz w:val="24"/>
                <w:szCs w:val="24"/>
                <w:lang w:val="pt-PT"/>
              </w:rPr>
              <w:lastRenderedPageBreak/>
              <w:t>documentação oficial do fabricante.</w:t>
            </w:r>
          </w:p>
        </w:tc>
        <w:tc>
          <w:tcPr>
            <w:tcW w:w="1307" w:type="dxa"/>
            <w:tcBorders>
              <w:top w:val="single" w:sz="4" w:space="0" w:color="auto"/>
              <w:left w:val="single" w:sz="4" w:space="0" w:color="auto"/>
              <w:bottom w:val="single" w:sz="4" w:space="0" w:color="auto"/>
              <w:right w:val="single" w:sz="4" w:space="0" w:color="auto"/>
            </w:tcBorders>
          </w:tcPr>
          <w:p w14:paraId="10325EC0"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776994A8"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02</w:t>
            </w:r>
          </w:p>
        </w:tc>
        <w:tc>
          <w:tcPr>
            <w:tcW w:w="1461" w:type="dxa"/>
            <w:tcBorders>
              <w:top w:val="nil"/>
              <w:left w:val="single" w:sz="4" w:space="0" w:color="auto"/>
              <w:bottom w:val="single" w:sz="4" w:space="0" w:color="auto"/>
              <w:right w:val="single" w:sz="4" w:space="0" w:color="auto"/>
            </w:tcBorders>
          </w:tcPr>
          <w:p w14:paraId="2878F7FB"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43CE10E8"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536B5B03"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158127EA"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11786C19"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07</w:t>
            </w:r>
          </w:p>
        </w:tc>
        <w:tc>
          <w:tcPr>
            <w:tcW w:w="1654" w:type="dxa"/>
            <w:tcBorders>
              <w:top w:val="nil"/>
              <w:left w:val="nil"/>
              <w:bottom w:val="single" w:sz="4" w:space="0" w:color="000000"/>
              <w:right w:val="single" w:sz="4" w:space="0" w:color="auto"/>
            </w:tcBorders>
            <w:shd w:val="clear" w:color="auto" w:fill="auto"/>
            <w:vAlign w:val="center"/>
          </w:tcPr>
          <w:p w14:paraId="53D7B680"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16E50690"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AC1C56" w:rsidRPr="00AC1C56" w14:paraId="1A9E878F"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3991E2" w14:textId="77777777" w:rsidR="00AC1C56" w:rsidRPr="00AC1C56" w:rsidRDefault="00AC1C56" w:rsidP="00AC1C56">
            <w:pPr>
              <w:spacing w:after="0" w:line="240" w:lineRule="auto"/>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Lote 08: SERVIÇO DE FORMATAÇÃO E INSTALAÇÃO DE COMPUTADORES</w:t>
            </w:r>
          </w:p>
        </w:tc>
      </w:tr>
      <w:tr w:rsidR="00AC1C56" w:rsidRPr="00AC1C56" w14:paraId="60EB9BEA"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3478C"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349CB474"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7AC3A3DF"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3E72AB22"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501BFA6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27DC9"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49807A96"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VALOR TOTAL</w:t>
            </w:r>
          </w:p>
        </w:tc>
      </w:tr>
      <w:tr w:rsidR="00AC1C56" w:rsidRPr="00AC1C56" w14:paraId="077B64A4"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49C94E87"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4AD667CF"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SERVIÇO DE FORMATAÇÃO E INSTALAÇÃO DE COMPUTADORES</w:t>
            </w:r>
          </w:p>
          <w:p w14:paraId="1E595714"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Prestação de serviços técnicos especializados de formatação e instalação de computadores, destinados às atividades administrativas e institucionais da Câmara Municipal, compreendendo os procedimentos necessários para reinstalação de equipamentos existentes e instalação dos equipamentos nos respectivos locais de utilização, conforme demanda da Administração. O serviço deverá compreender, quando aplicável, no mínimo: Formatação de computadores existentes, incluindo preparação da unidade de armazenamento para reinstalação do sistema; Instalação do sistema operacional Windows nos equipamentos submetidos à formatação, em versão compatível com o equipamento, mediante utilização de licença válida disponibilizada pela Administração; Instalação </w:t>
            </w:r>
            <w:r w:rsidRPr="00AC1C56">
              <w:rPr>
                <w:rFonts w:ascii="Bookman Old Style" w:eastAsia="Calibri" w:hAnsi="Bookman Old Style" w:cs="Calibri"/>
                <w:sz w:val="24"/>
                <w:szCs w:val="24"/>
                <w:lang w:val="pt-PT"/>
              </w:rPr>
              <w:lastRenderedPageBreak/>
              <w:t xml:space="preserve">das atualizações necessárias do sistema operacional nos computadores submetidos à formatação; Instalação e atualização dos drivers necessários ao correto funcionamento dos computadores submetidos à formatação; Instalação física dos computadores e equipamentos nos locais indicados pela Administração; Conexão e instalação de monitor, teclado, mouse, caixas de som, impressoras, scanners e demais periféricos, conforme a necessidade de cada posto de trabalho; Conexão dos equipamentos à rede local, por meio de Ethernet e/ou Wi-Fi, conforme infraestrutura existente; Configuração de acesso à internet e aos recursos compartilhados da rede interna da Câmara Municipal; Instalação dos computadores e periféricos nas respectivas estações de trabalho, incluindo a conexão e organização básica dos cabos; Instalação de softwares específicos utilizados pela Câmara Municipal, quando necessária, desde que os respectivos instaladores, licenças e credenciais sejam disponibilizados pela Administração; Instalação de aplicativos necessários às atividades administrativas nos equipamentos submetidos à formatação, </w:t>
            </w:r>
            <w:r w:rsidRPr="00AC1C56">
              <w:rPr>
                <w:rFonts w:ascii="Bookman Old Style" w:eastAsia="Calibri" w:hAnsi="Bookman Old Style" w:cs="Calibri"/>
                <w:sz w:val="24"/>
                <w:szCs w:val="24"/>
                <w:lang w:val="pt-PT"/>
              </w:rPr>
              <w:lastRenderedPageBreak/>
              <w:t>desde que sejam gratuitos, devidamente licenciados ou tenham suas respectivas licenças disponibilizadas pela Administração; Configuração de pastas, unidades e recursos compartilhados em rede, quando existentes e necessários; Realização de backup dos arquivos existentes antes da formatação, quando solicitado pela Administração e tecnicamente possível; Restauração dos arquivos previamente copiados após a conclusão da formatação, quando aplicável; Migração de arquivos e documentos de computadores anteriormente utilizados para os novos equipamentos, quando solicitada pela Administração e tecnicamente possível; Realização de testes de funcionamento dos equipamentos após a instalação, incluindo, conforme aplicável, rede, acesso à internet, monitor, teclado, mouse, áudio, impressoras, scanners e demais periféricos; Verificação final do serviço, deixando os equipamentos devidamente instalados nos respectivos locais de trabalho e em condições de utilização.</w:t>
            </w:r>
          </w:p>
          <w:p w14:paraId="646E5CC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78EB09B3"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 xml:space="preserve">Não integra o presente item a montagem ou a </w:t>
            </w:r>
            <w:r w:rsidRPr="00AC1C56">
              <w:rPr>
                <w:rFonts w:ascii="Bookman Old Style" w:eastAsia="Calibri" w:hAnsi="Bookman Old Style" w:cs="Calibri"/>
                <w:sz w:val="24"/>
                <w:szCs w:val="24"/>
                <w:lang w:val="pt-PT"/>
              </w:rPr>
              <w:lastRenderedPageBreak/>
              <w:t>configuração inicial dos equipamentos novos quando tais serviços já estiverem incluídos no fornecimento dos respectivos equipamentos, evitando-se duplicidade de serviços e custos para a Administração.</w:t>
            </w:r>
          </w:p>
          <w:p w14:paraId="6BE00113"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0B962938"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Todos os serviços deverão ser executados por profissional capacitado, observando as boas práticas de tecnologia da informação, segurança da informação e proteção dos dados existentes nos equipamentos.</w:t>
            </w:r>
          </w:p>
          <w:p w14:paraId="1AB811CD"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228FB1C0"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A contratada deverá preservar a confidencialidade e a integridade das informações eventualmente acessadas durante a execução dos serviços, sendo vedada a cópia, utilização, divulgação ou compartilhamento não autorizado de documentos, arquivos, credenciais ou quaisquer dados pertencentes à Administração.</w:t>
            </w:r>
          </w:p>
          <w:p w14:paraId="7DA2E924"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6DD6F479"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r w:rsidRPr="00AC1C56">
              <w:rPr>
                <w:rFonts w:ascii="Bookman Old Style" w:eastAsia="Calibri" w:hAnsi="Bookman Old Style" w:cs="Calibri"/>
                <w:sz w:val="24"/>
                <w:szCs w:val="24"/>
                <w:lang w:val="pt-PT"/>
              </w:rPr>
              <w:t>A instalação de sistemas operacionais, aplicativos e demais softwares deverá observar as respectivas condições de licenciamento, sendo vedada a utilização de softwares sem licença válida ou obtidos por meios irregulares.</w:t>
            </w:r>
          </w:p>
          <w:p w14:paraId="6A6DC376" w14:textId="77777777" w:rsidR="00AC1C56" w:rsidRPr="00AC1C56" w:rsidRDefault="00AC1C56" w:rsidP="00AC1C56">
            <w:pPr>
              <w:spacing w:after="0" w:line="240" w:lineRule="auto"/>
              <w:jc w:val="both"/>
              <w:rPr>
                <w:rFonts w:ascii="Bookman Old Style" w:eastAsia="Calibri" w:hAnsi="Bookman Old Style" w:cs="Calibri"/>
                <w:sz w:val="24"/>
                <w:szCs w:val="24"/>
                <w:lang w:val="pt-PT"/>
              </w:rPr>
            </w:pPr>
          </w:p>
          <w:p w14:paraId="0FF0694D" w14:textId="77777777" w:rsidR="00AC1C56" w:rsidRPr="00AC1C56" w:rsidRDefault="00AC1C56" w:rsidP="00AC1C56">
            <w:pPr>
              <w:spacing w:after="0" w:line="240" w:lineRule="auto"/>
              <w:jc w:val="both"/>
              <w:rPr>
                <w:rFonts w:ascii="Bookman Old Style" w:eastAsia="MS Mincho" w:hAnsi="Bookman Old Style" w:cstheme="minorHAnsi"/>
                <w:sz w:val="24"/>
                <w:szCs w:val="24"/>
              </w:rPr>
            </w:pPr>
            <w:r w:rsidRPr="00AC1C56">
              <w:rPr>
                <w:rFonts w:ascii="Bookman Old Style" w:eastAsia="Calibri" w:hAnsi="Bookman Old Style" w:cs="Calibri"/>
                <w:sz w:val="24"/>
                <w:szCs w:val="24"/>
                <w:lang w:val="pt-PT"/>
              </w:rPr>
              <w:lastRenderedPageBreak/>
              <w:t>O valor proposto deverá compreender toda a mão de obra, deslocamentos, ferramentas e demais recursos necessários à execução completa dos serviços, não sendo admitida cobrança adicional, salvo por serviços ou materiais não previstos no objeto e previamente autorizados pela Administração</w:t>
            </w:r>
          </w:p>
        </w:tc>
        <w:tc>
          <w:tcPr>
            <w:tcW w:w="1307" w:type="dxa"/>
            <w:tcBorders>
              <w:top w:val="single" w:sz="4" w:space="0" w:color="auto"/>
              <w:left w:val="single" w:sz="4" w:space="0" w:color="auto"/>
              <w:bottom w:val="single" w:sz="4" w:space="0" w:color="auto"/>
              <w:right w:val="single" w:sz="4" w:space="0" w:color="auto"/>
            </w:tcBorders>
          </w:tcPr>
          <w:p w14:paraId="150463E0"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lastRenderedPageBreak/>
              <w:t>Serv.</w:t>
            </w:r>
          </w:p>
        </w:tc>
        <w:tc>
          <w:tcPr>
            <w:tcW w:w="1280" w:type="dxa"/>
            <w:tcBorders>
              <w:top w:val="single" w:sz="4" w:space="0" w:color="auto"/>
              <w:left w:val="single" w:sz="4" w:space="0" w:color="auto"/>
              <w:bottom w:val="single" w:sz="4" w:space="0" w:color="auto"/>
              <w:right w:val="single" w:sz="4" w:space="0" w:color="auto"/>
            </w:tcBorders>
          </w:tcPr>
          <w:p w14:paraId="647844FD"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r w:rsidRPr="00AC1C56">
              <w:rPr>
                <w:rFonts w:ascii="Bookman Old Style" w:eastAsia="SimSun" w:hAnsi="Bookman Old Style" w:cs="Calibri"/>
                <w:color w:val="000000"/>
                <w:kern w:val="3"/>
                <w:sz w:val="24"/>
                <w:szCs w:val="24"/>
                <w:lang w:eastAsia="zh-CN" w:bidi="hi-IN"/>
              </w:rPr>
              <w:t>05</w:t>
            </w:r>
          </w:p>
        </w:tc>
        <w:tc>
          <w:tcPr>
            <w:tcW w:w="1461" w:type="dxa"/>
            <w:tcBorders>
              <w:top w:val="nil"/>
              <w:left w:val="single" w:sz="4" w:space="0" w:color="auto"/>
              <w:bottom w:val="single" w:sz="4" w:space="0" w:color="auto"/>
              <w:right w:val="single" w:sz="4" w:space="0" w:color="auto"/>
            </w:tcBorders>
          </w:tcPr>
          <w:p w14:paraId="74FB9C16"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739FF3B2"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tcPr>
          <w:p w14:paraId="5A54EFAB"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p>
        </w:tc>
      </w:tr>
      <w:tr w:rsidR="00AC1C56" w:rsidRPr="00AC1C56" w14:paraId="58AAEC7A"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23D0A22D" w14:textId="77777777" w:rsidR="00AC1C56" w:rsidRPr="00AC1C56" w:rsidRDefault="00AC1C56" w:rsidP="00AC1C56">
            <w:pPr>
              <w:spacing w:after="0" w:line="240" w:lineRule="auto"/>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lastRenderedPageBreak/>
              <w:t>VALOR TOTAL DO LOTE 08</w:t>
            </w:r>
          </w:p>
        </w:tc>
        <w:tc>
          <w:tcPr>
            <w:tcW w:w="1654" w:type="dxa"/>
            <w:tcBorders>
              <w:top w:val="nil"/>
              <w:left w:val="nil"/>
              <w:bottom w:val="single" w:sz="4" w:space="0" w:color="000000"/>
              <w:right w:val="single" w:sz="4" w:space="0" w:color="auto"/>
            </w:tcBorders>
            <w:shd w:val="clear" w:color="auto" w:fill="auto"/>
            <w:vAlign w:val="center"/>
          </w:tcPr>
          <w:p w14:paraId="15EA4D7A" w14:textId="77777777" w:rsidR="00AC1C56" w:rsidRPr="00AC1C56" w:rsidRDefault="00AC1C56" w:rsidP="00AC1C56">
            <w:pPr>
              <w:spacing w:after="0" w:line="240" w:lineRule="auto"/>
              <w:jc w:val="center"/>
              <w:rPr>
                <w:rFonts w:ascii="Bookman Old Style" w:eastAsia="MS Mincho" w:hAnsi="Bookman Old Style" w:cstheme="minorHAnsi"/>
                <w:sz w:val="24"/>
                <w:szCs w:val="24"/>
              </w:rPr>
            </w:pPr>
          </w:p>
        </w:tc>
      </w:tr>
    </w:tbl>
    <w:p w14:paraId="303EF623"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p w14:paraId="7A75732E"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i/>
          <w:iCs/>
          <w:sz w:val="24"/>
          <w:szCs w:val="24"/>
        </w:rPr>
      </w:pPr>
      <w:r w:rsidRPr="00AC1C56">
        <w:rPr>
          <w:rFonts w:ascii="Bookman Old Style" w:eastAsia="MS Mincho" w:hAnsi="Bookman Old Style" w:cstheme="minorHAnsi"/>
          <w:sz w:val="24"/>
          <w:szCs w:val="24"/>
        </w:rPr>
        <w:t xml:space="preserve">O prazo de validade da proposta é de ____ (___________) dias corridos. </w:t>
      </w:r>
    </w:p>
    <w:p w14:paraId="06D09D15" w14:textId="77777777" w:rsidR="00AC1C56" w:rsidRPr="00AC1C56" w:rsidRDefault="00AC1C56" w:rsidP="00AC1C56">
      <w:pPr>
        <w:overflowPunct w:val="0"/>
        <w:autoSpaceDE w:val="0"/>
        <w:autoSpaceDN w:val="0"/>
        <w:adjustRightInd w:val="0"/>
        <w:ind w:right="-567"/>
        <w:jc w:val="both"/>
        <w:textAlignment w:val="baseline"/>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Nome do banco indicado para o pagamento: ___________</w:t>
      </w:r>
      <w:proofErr w:type="gramStart"/>
      <w:r w:rsidRPr="00AC1C56">
        <w:rPr>
          <w:rFonts w:ascii="Bookman Old Style" w:eastAsia="MS Mincho" w:hAnsi="Bookman Old Style" w:cstheme="minorHAnsi"/>
          <w:sz w:val="24"/>
          <w:szCs w:val="24"/>
        </w:rPr>
        <w:t xml:space="preserve">_,   </w:t>
      </w:r>
      <w:proofErr w:type="gramEnd"/>
      <w:r w:rsidRPr="00AC1C56">
        <w:rPr>
          <w:rFonts w:ascii="Bookman Old Style" w:eastAsia="MS Mincho" w:hAnsi="Bookman Old Style" w:cstheme="minorHAnsi"/>
          <w:sz w:val="24"/>
          <w:szCs w:val="24"/>
        </w:rPr>
        <w:t xml:space="preserve">   Agência: _____________,     Conta Corrente: ______________ .</w:t>
      </w:r>
    </w:p>
    <w:p w14:paraId="0C26DB5D" w14:textId="77777777" w:rsidR="00AC1C56" w:rsidRPr="00AC1C56" w:rsidRDefault="00AC1C56" w:rsidP="00AC1C56">
      <w:pPr>
        <w:overflowPunct w:val="0"/>
        <w:autoSpaceDE w:val="0"/>
        <w:autoSpaceDN w:val="0"/>
        <w:adjustRightInd w:val="0"/>
        <w:ind w:right="-567"/>
        <w:jc w:val="both"/>
        <w:textAlignment w:val="baseline"/>
        <w:rPr>
          <w:rFonts w:ascii="Bookman Old Style" w:eastAsia="Helvetica" w:hAnsi="Bookman Old Style" w:cstheme="minorHAnsi"/>
          <w:sz w:val="24"/>
          <w:szCs w:val="24"/>
        </w:rPr>
      </w:pPr>
      <w:r w:rsidRPr="00AC1C56">
        <w:rPr>
          <w:rFonts w:ascii="Bookman Old Style" w:eastAsia="Helvetica" w:hAnsi="Bookman Old Style" w:cstheme="minorHAnsi"/>
          <w:sz w:val="24"/>
          <w:szCs w:val="24"/>
        </w:rPr>
        <w:t>Prazo de entrega/execução: _____ dias úteis, contados do recebimento da Autorização de Fornecimento/Ordem de Serviços.</w:t>
      </w:r>
    </w:p>
    <w:p w14:paraId="49BA431F" w14:textId="77777777" w:rsidR="00AC1C56" w:rsidRPr="00AC1C56" w:rsidRDefault="00AC1C56" w:rsidP="00AC1C56">
      <w:pPr>
        <w:overflowPunct w:val="0"/>
        <w:autoSpaceDE w:val="0"/>
        <w:autoSpaceDN w:val="0"/>
        <w:adjustRightInd w:val="0"/>
        <w:ind w:right="-567"/>
        <w:jc w:val="both"/>
        <w:textAlignment w:val="baseline"/>
        <w:rPr>
          <w:rFonts w:ascii="Bookman Old Style" w:eastAsia="Helvetica" w:hAnsi="Bookman Old Style" w:cstheme="minorHAnsi"/>
          <w:sz w:val="24"/>
          <w:szCs w:val="24"/>
        </w:rPr>
      </w:pPr>
      <w:r w:rsidRPr="00AC1C56">
        <w:rPr>
          <w:rFonts w:ascii="Bookman Old Style" w:eastAsia="Helvetica" w:hAnsi="Bookman Old Style" w:cstheme="minorHAnsi"/>
          <w:sz w:val="24"/>
          <w:szCs w:val="24"/>
        </w:rPr>
        <w:t>*Prazo de Garantia: _______ meses, contados da data de apresentação da proposta.</w:t>
      </w:r>
    </w:p>
    <w:p w14:paraId="09ADC8EB" w14:textId="77777777" w:rsidR="00AC1C56" w:rsidRPr="00AC1C56" w:rsidRDefault="00AC1C56" w:rsidP="00AC1C56">
      <w:pPr>
        <w:overflowPunct w:val="0"/>
        <w:autoSpaceDE w:val="0"/>
        <w:autoSpaceDN w:val="0"/>
        <w:adjustRightInd w:val="0"/>
        <w:ind w:right="-567"/>
        <w:jc w:val="both"/>
        <w:textAlignment w:val="baseline"/>
        <w:rPr>
          <w:rFonts w:ascii="Bookman Old Style" w:eastAsia="Helvetica" w:hAnsi="Bookman Old Style" w:cstheme="minorHAnsi"/>
          <w:i/>
          <w:color w:val="FF0000"/>
          <w:sz w:val="24"/>
          <w:szCs w:val="24"/>
        </w:rPr>
      </w:pPr>
      <w:r w:rsidRPr="00AC1C56">
        <w:rPr>
          <w:rFonts w:ascii="Bookman Old Style" w:eastAsia="Helvetica" w:hAnsi="Bookman Old Style" w:cstheme="minorHAnsi"/>
          <w:i/>
          <w:color w:val="FF0000"/>
          <w:sz w:val="24"/>
          <w:szCs w:val="24"/>
        </w:rPr>
        <w:t>*se couber diante das exigências da contratação do objeto.</w:t>
      </w:r>
    </w:p>
    <w:p w14:paraId="6B018BE0" w14:textId="77777777" w:rsidR="00AC1C56" w:rsidRPr="00AC1C56" w:rsidRDefault="00AC1C56" w:rsidP="00AC1C56">
      <w:pPr>
        <w:overflowPunct w:val="0"/>
        <w:autoSpaceDE w:val="0"/>
        <w:autoSpaceDN w:val="0"/>
        <w:adjustRightInd w:val="0"/>
        <w:ind w:right="-567"/>
        <w:jc w:val="both"/>
        <w:textAlignment w:val="baseline"/>
        <w:rPr>
          <w:rFonts w:ascii="Bookman Old Style" w:eastAsia="Times New Roman" w:hAnsi="Bookman Old Style" w:cstheme="minorHAnsi"/>
          <w:color w:val="000000"/>
          <w:sz w:val="24"/>
          <w:szCs w:val="24"/>
        </w:rPr>
      </w:pPr>
      <w:r w:rsidRPr="00AC1C56">
        <w:rPr>
          <w:rFonts w:ascii="Bookman Old Style" w:eastAsia="Times New Roman" w:hAnsi="Bookman Old Style" w:cstheme="minorHAnsi"/>
          <w:b/>
          <w:bCs/>
          <w:color w:val="000000"/>
          <w:sz w:val="24"/>
          <w:szCs w:val="24"/>
        </w:rPr>
        <w:t>Declaro</w:t>
      </w:r>
      <w:r w:rsidRPr="00AC1C56">
        <w:rPr>
          <w:rFonts w:ascii="Bookman Old Style" w:eastAsia="Times New Roman" w:hAnsi="Bookman Old Style" w:cstheme="minorHAnsi"/>
          <w:color w:val="000000"/>
          <w:sz w:val="24"/>
          <w:szCs w:val="24"/>
        </w:rPr>
        <w:t xml:space="preserve"> que examinei, conheço e me submeto a todas as condições expressas na </w:t>
      </w:r>
      <w:r w:rsidRPr="00AC1C56">
        <w:rPr>
          <w:rFonts w:ascii="Bookman Old Style" w:eastAsia="Times New Roman" w:hAnsi="Bookman Old Style" w:cstheme="minorHAnsi"/>
          <w:sz w:val="24"/>
          <w:szCs w:val="24"/>
        </w:rPr>
        <w:t>presente contratação direta, bem como verifiquei todas as especificações contidas,</w:t>
      </w:r>
      <w:r w:rsidRPr="00AC1C56">
        <w:rPr>
          <w:rFonts w:ascii="Bookman Old Style" w:eastAsia="Times New Roman" w:hAnsi="Bookman Old Style" w:cstheme="minorHAnsi"/>
          <w:color w:val="000000"/>
          <w:sz w:val="24"/>
          <w:szCs w:val="24"/>
        </w:rPr>
        <w:t xml:space="preserve"> não havendo quaisquer discrepâncias nas informações, nas condições de fornecimento e documentos que dele fazem parte. </w:t>
      </w:r>
    </w:p>
    <w:p w14:paraId="35600C88" w14:textId="77777777" w:rsidR="00AC1C56" w:rsidRPr="00AC1C56" w:rsidRDefault="00AC1C56" w:rsidP="00AC1C56">
      <w:pPr>
        <w:overflowPunct w:val="0"/>
        <w:autoSpaceDE w:val="0"/>
        <w:autoSpaceDN w:val="0"/>
        <w:adjustRightInd w:val="0"/>
        <w:ind w:right="-567"/>
        <w:jc w:val="both"/>
        <w:textAlignment w:val="baseline"/>
        <w:rPr>
          <w:rFonts w:ascii="Bookman Old Style" w:eastAsia="Times New Roman" w:hAnsi="Bookman Old Style" w:cstheme="minorHAnsi"/>
          <w:color w:val="000000"/>
          <w:sz w:val="24"/>
          <w:szCs w:val="24"/>
        </w:rPr>
      </w:pPr>
      <w:r w:rsidRPr="00AC1C56">
        <w:rPr>
          <w:rFonts w:ascii="Bookman Old Style" w:eastAsia="Helvetica" w:hAnsi="Bookman Old Style" w:cstheme="minorHAnsi"/>
          <w:b/>
          <w:bCs/>
          <w:sz w:val="24"/>
          <w:szCs w:val="24"/>
        </w:rPr>
        <w:t>Declaro</w:t>
      </w:r>
      <w:r w:rsidRPr="00AC1C56">
        <w:rPr>
          <w:rFonts w:ascii="Bookman Old Style" w:eastAsia="Helvetica" w:hAnsi="Bookman Old Style" w:cstheme="minorHAnsi"/>
          <w:sz w:val="24"/>
          <w:szCs w:val="24"/>
        </w:rPr>
        <w:t xml:space="preserve"> que o preço ofertado compreende a integralidade dos custos para atendimento dos direitos trabalhistas assegurados na Constituição Federal, nas leis trabalhistas, nas normas </w:t>
      </w:r>
      <w:proofErr w:type="spellStart"/>
      <w:r w:rsidRPr="00AC1C56">
        <w:rPr>
          <w:rFonts w:ascii="Bookman Old Style" w:eastAsia="Helvetica" w:hAnsi="Bookman Old Style" w:cstheme="minorHAnsi"/>
          <w:sz w:val="24"/>
          <w:szCs w:val="24"/>
        </w:rPr>
        <w:t>infralegais</w:t>
      </w:r>
      <w:proofErr w:type="spellEnd"/>
      <w:r w:rsidRPr="00AC1C56">
        <w:rPr>
          <w:rFonts w:ascii="Bookman Old Style" w:eastAsia="Helvetica" w:hAnsi="Bookman Old Style" w:cstheme="minorHAnsi"/>
          <w:sz w:val="24"/>
          <w:szCs w:val="24"/>
        </w:rPr>
        <w:t>, nas convenções coletivas de trabalho e nos termos de ajustamento de conduta vigentes.</w:t>
      </w:r>
    </w:p>
    <w:p w14:paraId="40CD967F" w14:textId="77777777" w:rsidR="00AC1C56" w:rsidRPr="00AC1C56" w:rsidRDefault="00AC1C56" w:rsidP="00AC1C56">
      <w:pPr>
        <w:overflowPunct w:val="0"/>
        <w:autoSpaceDE w:val="0"/>
        <w:autoSpaceDN w:val="0"/>
        <w:adjustRightInd w:val="0"/>
        <w:ind w:right="-567"/>
        <w:jc w:val="both"/>
        <w:textAlignment w:val="baseline"/>
        <w:rPr>
          <w:rFonts w:ascii="Bookman Old Style" w:eastAsia="Helvetica" w:hAnsi="Bookman Old Style" w:cstheme="minorHAnsi"/>
          <w:color w:val="FF0000"/>
          <w:sz w:val="24"/>
          <w:szCs w:val="24"/>
        </w:rPr>
      </w:pPr>
      <w:r w:rsidRPr="00AC1C56">
        <w:rPr>
          <w:rFonts w:ascii="Bookman Old Style" w:eastAsia="Times New Roman" w:hAnsi="Bookman Old Style" w:cstheme="minorHAnsi"/>
          <w:b/>
          <w:bCs/>
          <w:color w:val="000000"/>
          <w:sz w:val="24"/>
          <w:szCs w:val="24"/>
        </w:rPr>
        <w:t>Declaro</w:t>
      </w:r>
      <w:r w:rsidRPr="00AC1C56">
        <w:rPr>
          <w:rFonts w:ascii="Bookman Old Style" w:eastAsia="Times New Roman" w:hAnsi="Bookman Old Style" w:cstheme="minorHAnsi"/>
          <w:color w:val="000000"/>
          <w:sz w:val="24"/>
          <w:szCs w:val="24"/>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2A135EDA"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p>
    <w:p w14:paraId="442AAD6F"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r w:rsidRPr="00AC1C56">
        <w:rPr>
          <w:rFonts w:ascii="Bookman Old Style" w:eastAsia="Times New Roman" w:hAnsi="Bookman Old Style" w:cstheme="minorHAnsi"/>
          <w:color w:val="000000"/>
          <w:sz w:val="24"/>
          <w:szCs w:val="24"/>
          <w:lang w:eastAsia="pt-BR"/>
        </w:rPr>
        <w:t xml:space="preserve">   Local _ _ _ </w:t>
      </w:r>
      <w:proofErr w:type="gramStart"/>
      <w:r w:rsidRPr="00AC1C56">
        <w:rPr>
          <w:rFonts w:ascii="Bookman Old Style" w:eastAsia="Times New Roman" w:hAnsi="Bookman Old Style" w:cstheme="minorHAnsi"/>
          <w:color w:val="000000"/>
          <w:sz w:val="24"/>
          <w:szCs w:val="24"/>
          <w:lang w:eastAsia="pt-BR"/>
        </w:rPr>
        <w:t>_  de</w:t>
      </w:r>
      <w:proofErr w:type="gramEnd"/>
      <w:r w:rsidRPr="00AC1C56">
        <w:rPr>
          <w:rFonts w:ascii="Bookman Old Style" w:eastAsia="Times New Roman" w:hAnsi="Bookman Old Style" w:cstheme="minorHAnsi"/>
          <w:color w:val="000000"/>
          <w:sz w:val="24"/>
          <w:szCs w:val="24"/>
          <w:lang w:eastAsia="pt-BR"/>
        </w:rPr>
        <w:t> </w:t>
      </w:r>
      <w:r w:rsidRPr="00AC1C56">
        <w:rPr>
          <w:rFonts w:ascii="Bookman Old Style" w:eastAsia="Times New Roman" w:hAnsi="Bookman Old Style" w:cstheme="minorHAnsi"/>
          <w:color w:val="000000"/>
          <w:sz w:val="24"/>
          <w:szCs w:val="24"/>
          <w:u w:val="single"/>
          <w:lang w:eastAsia="pt-BR"/>
        </w:rPr>
        <w:t>                                          </w:t>
      </w:r>
      <w:r w:rsidRPr="00AC1C56">
        <w:rPr>
          <w:rFonts w:ascii="Bookman Old Style" w:eastAsia="Times New Roman" w:hAnsi="Bookman Old Style" w:cstheme="minorHAnsi"/>
          <w:color w:val="000000"/>
          <w:sz w:val="24"/>
          <w:szCs w:val="24"/>
          <w:lang w:eastAsia="pt-BR"/>
        </w:rPr>
        <w:t> </w:t>
      </w:r>
      <w:proofErr w:type="spellStart"/>
      <w:r w:rsidRPr="00AC1C56">
        <w:rPr>
          <w:rFonts w:ascii="Bookman Old Style" w:eastAsia="Times New Roman" w:hAnsi="Bookman Old Style" w:cstheme="minorHAnsi"/>
          <w:color w:val="000000"/>
          <w:sz w:val="24"/>
          <w:szCs w:val="24"/>
          <w:lang w:eastAsia="pt-BR"/>
        </w:rPr>
        <w:t>de</w:t>
      </w:r>
      <w:proofErr w:type="spellEnd"/>
      <w:r w:rsidRPr="00AC1C56">
        <w:rPr>
          <w:rFonts w:ascii="Bookman Old Style" w:eastAsia="Times New Roman" w:hAnsi="Bookman Old Style" w:cstheme="minorHAnsi"/>
          <w:color w:val="000000"/>
          <w:sz w:val="24"/>
          <w:szCs w:val="24"/>
          <w:lang w:eastAsia="pt-BR"/>
        </w:rPr>
        <w:t xml:space="preserve"> 2026.</w:t>
      </w:r>
    </w:p>
    <w:p w14:paraId="344C45CE"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r w:rsidRPr="00AC1C56">
        <w:rPr>
          <w:rFonts w:ascii="Bookman Old Style" w:eastAsia="Times New Roman" w:hAnsi="Bookman Old Style" w:cstheme="minorHAnsi"/>
          <w:color w:val="000000"/>
          <w:sz w:val="24"/>
          <w:szCs w:val="24"/>
          <w:lang w:eastAsia="pt-BR"/>
        </w:rPr>
        <w:t> </w:t>
      </w:r>
    </w:p>
    <w:p w14:paraId="6D1EB870"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p>
    <w:p w14:paraId="4E96A144"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p>
    <w:p w14:paraId="03B57BDB" w14:textId="77777777" w:rsidR="00AC1C56" w:rsidRPr="00AC1C56" w:rsidRDefault="00AC1C56" w:rsidP="00AC1C56">
      <w:pPr>
        <w:spacing w:after="0" w:line="240" w:lineRule="auto"/>
        <w:ind w:left="60" w:right="-567"/>
        <w:jc w:val="center"/>
        <w:rPr>
          <w:rFonts w:ascii="Bookman Old Style" w:eastAsia="Times New Roman" w:hAnsi="Bookman Old Style" w:cstheme="minorHAnsi"/>
          <w:color w:val="000000"/>
          <w:sz w:val="24"/>
          <w:szCs w:val="24"/>
          <w:lang w:eastAsia="pt-BR"/>
        </w:rPr>
      </w:pPr>
      <w:r w:rsidRPr="00AC1C56">
        <w:rPr>
          <w:rFonts w:ascii="Bookman Old Style" w:eastAsia="Times New Roman" w:hAnsi="Bookman Old Style" w:cstheme="minorHAnsi"/>
          <w:color w:val="000000"/>
          <w:sz w:val="24"/>
          <w:szCs w:val="24"/>
          <w:lang w:eastAsia="pt-BR"/>
        </w:rPr>
        <w:t>___________________________________</w:t>
      </w:r>
    </w:p>
    <w:p w14:paraId="645D4557" w14:textId="77777777" w:rsidR="00AC1C56" w:rsidRPr="00AC1C56" w:rsidRDefault="00AC1C56" w:rsidP="00AC1C56">
      <w:pPr>
        <w:spacing w:after="0" w:line="240" w:lineRule="auto"/>
        <w:ind w:left="60" w:right="-567"/>
        <w:jc w:val="center"/>
        <w:rPr>
          <w:rFonts w:ascii="Bookman Old Style" w:eastAsia="Times New Roman" w:hAnsi="Bookman Old Style" w:cstheme="minorHAnsi"/>
          <w:sz w:val="24"/>
          <w:szCs w:val="24"/>
          <w:lang w:eastAsia="pt-BR"/>
        </w:rPr>
      </w:pPr>
      <w:r w:rsidRPr="00AC1C56">
        <w:rPr>
          <w:rFonts w:ascii="Bookman Old Style" w:eastAsia="Times New Roman" w:hAnsi="Bookman Old Style" w:cstheme="minorHAnsi"/>
          <w:sz w:val="24"/>
          <w:szCs w:val="24"/>
          <w:lang w:eastAsia="pt-BR"/>
        </w:rPr>
        <w:t>Representante Legal</w:t>
      </w:r>
    </w:p>
    <w:p w14:paraId="693A1111" w14:textId="77777777" w:rsidR="00AC1C56" w:rsidRPr="00AC1C56" w:rsidRDefault="00AC1C56" w:rsidP="00AC1C56">
      <w:pPr>
        <w:spacing w:after="0" w:line="240" w:lineRule="auto"/>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br w:type="page"/>
      </w:r>
    </w:p>
    <w:p w14:paraId="73AD99AE" w14:textId="77777777" w:rsidR="00AC1C56" w:rsidRPr="00AC1C56" w:rsidRDefault="00AC1C56" w:rsidP="00AC1C56">
      <w:pPr>
        <w:spacing w:after="120"/>
        <w:rPr>
          <w:rFonts w:ascii="Bookman Old Style" w:eastAsia="MS Mincho" w:hAnsi="Bookman Old Style" w:cstheme="minorHAnsi"/>
          <w:b/>
          <w:sz w:val="24"/>
          <w:szCs w:val="24"/>
        </w:rPr>
      </w:pPr>
    </w:p>
    <w:p w14:paraId="65EDA69D" w14:textId="77777777" w:rsidR="00AC1C56" w:rsidRPr="00AC1C56" w:rsidRDefault="00AC1C56" w:rsidP="00AC1C56">
      <w:pPr>
        <w:spacing w:beforeLines="30" w:before="72" w:afterLines="30" w:after="72" w:line="240" w:lineRule="auto"/>
        <w:jc w:val="center"/>
        <w:rPr>
          <w:rFonts w:ascii="Bookman Old Style" w:eastAsiaTheme="majorEastAsia" w:hAnsi="Bookman Old Style" w:cstheme="minorHAnsi"/>
          <w:b/>
          <w:bCs/>
          <w:sz w:val="24"/>
          <w:szCs w:val="24"/>
        </w:rPr>
      </w:pPr>
      <w:r w:rsidRPr="00AC1C56">
        <w:rPr>
          <w:rFonts w:ascii="Bookman Old Style" w:eastAsia="MS Mincho" w:hAnsi="Bookman Old Style" w:cstheme="minorHAnsi"/>
          <w:b/>
          <w:bCs/>
          <w:sz w:val="24"/>
          <w:szCs w:val="24"/>
        </w:rPr>
        <w:t>ANEXO IV</w:t>
      </w:r>
    </w:p>
    <w:p w14:paraId="691DBF5B" w14:textId="77777777" w:rsidR="00AC1C56" w:rsidRPr="00AC1C56" w:rsidRDefault="00AC1C56" w:rsidP="00AC1C56">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C1C56">
        <w:rPr>
          <w:rFonts w:ascii="Bookman Old Style" w:eastAsiaTheme="majorEastAsia" w:hAnsi="Bookman Old Style" w:cstheme="minorHAnsi"/>
          <w:b/>
          <w:bCs/>
          <w:sz w:val="24"/>
          <w:szCs w:val="24"/>
        </w:rPr>
        <w:t>MODELO DE DECLARAÇÃO DE ENQUADRAMENTO ME EPP</w:t>
      </w:r>
    </w:p>
    <w:p w14:paraId="3542FC99"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65E13AB1"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0C959296"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612548C0"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b/>
          <w:sz w:val="24"/>
          <w:szCs w:val="24"/>
        </w:rPr>
      </w:pPr>
      <w:proofErr w:type="gramStart"/>
      <w:r w:rsidRPr="00AC1C56">
        <w:rPr>
          <w:rFonts w:ascii="Bookman Old Style" w:eastAsia="MS Mincho" w:hAnsi="Bookman Old Style" w:cstheme="minorHAnsi"/>
          <w:b/>
          <w:sz w:val="24"/>
          <w:szCs w:val="24"/>
        </w:rPr>
        <w:t>Dispensa Física</w:t>
      </w:r>
      <w:proofErr w:type="gramEnd"/>
      <w:r w:rsidRPr="00AC1C56">
        <w:rPr>
          <w:rFonts w:ascii="Bookman Old Style" w:eastAsia="MS Mincho" w:hAnsi="Bookman Old Style" w:cstheme="minorHAnsi"/>
          <w:b/>
          <w:sz w:val="24"/>
          <w:szCs w:val="24"/>
        </w:rPr>
        <w:t xml:space="preserve"> nº 007/2026</w:t>
      </w:r>
    </w:p>
    <w:p w14:paraId="6E64D9CB"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Processo Administrativo nº 013/2026</w:t>
      </w:r>
    </w:p>
    <w:p w14:paraId="2E043E1A"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p>
    <w:p w14:paraId="73CF40F0"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70FB1AB1"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Eu____________________________________, subscrito abaixo, DECLARO que a empresa (</w:t>
      </w:r>
      <w:r w:rsidRPr="00AC1C56">
        <w:rPr>
          <w:rFonts w:ascii="Bookman Old Style" w:eastAsia="MS Mincho" w:hAnsi="Bookman Old Style" w:cstheme="minorHAnsi"/>
          <w:color w:val="FF0000"/>
          <w:sz w:val="24"/>
          <w:szCs w:val="24"/>
        </w:rPr>
        <w:t>qualificação da empresa proponente</w:t>
      </w:r>
      <w:r w:rsidRPr="00AC1C56">
        <w:rPr>
          <w:rFonts w:ascii="Bookman Old Style" w:eastAsia="MS Mincho" w:hAnsi="Bookman Old Style" w:cstheme="minorHAnsi"/>
          <w:sz w:val="24"/>
          <w:szCs w:val="24"/>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123/2006, por estar contida no rol de beneficiários do artigo 3ª da referida Lei.</w:t>
      </w:r>
    </w:p>
    <w:p w14:paraId="6C3BDA88"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p>
    <w:p w14:paraId="4F3B7257"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369E52D7"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p>
    <w:p w14:paraId="72DCD6C6"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_________________ / ____, ____ de _________ </w:t>
      </w:r>
      <w:proofErr w:type="spellStart"/>
      <w:r w:rsidRPr="00AC1C56">
        <w:rPr>
          <w:rFonts w:ascii="Bookman Old Style" w:eastAsia="MS Mincho" w:hAnsi="Bookman Old Style" w:cstheme="minorHAnsi"/>
          <w:sz w:val="24"/>
          <w:szCs w:val="24"/>
        </w:rPr>
        <w:t>de</w:t>
      </w:r>
      <w:proofErr w:type="spellEnd"/>
      <w:r w:rsidRPr="00AC1C56">
        <w:rPr>
          <w:rFonts w:ascii="Bookman Old Style" w:eastAsia="MS Mincho" w:hAnsi="Bookman Old Style" w:cstheme="minorHAnsi"/>
          <w:sz w:val="24"/>
          <w:szCs w:val="24"/>
        </w:rPr>
        <w:t xml:space="preserve"> 2026.</w:t>
      </w:r>
    </w:p>
    <w:p w14:paraId="1D284D83"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p>
    <w:p w14:paraId="2E325D81"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p>
    <w:p w14:paraId="5D39D934"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_________________________________________</w:t>
      </w:r>
    </w:p>
    <w:p w14:paraId="0F4E9AB4"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Nome e Assinatura do representante legal</w:t>
      </w:r>
    </w:p>
    <w:p w14:paraId="559193B3" w14:textId="77777777" w:rsidR="00AC1C56" w:rsidRPr="00AC1C56" w:rsidRDefault="00AC1C56" w:rsidP="00AC1C56">
      <w:pPr>
        <w:spacing w:after="0" w:line="240" w:lineRule="auto"/>
        <w:rPr>
          <w:rFonts w:ascii="Bookman Old Style" w:eastAsia="MS Mincho" w:hAnsi="Bookman Old Style"/>
          <w:sz w:val="24"/>
          <w:szCs w:val="24"/>
        </w:rPr>
      </w:pPr>
      <w:r w:rsidRPr="00AC1C56">
        <w:rPr>
          <w:rFonts w:ascii="Bookman Old Style" w:eastAsia="MS Mincho" w:hAnsi="Bookman Old Style"/>
          <w:sz w:val="24"/>
          <w:szCs w:val="24"/>
        </w:rPr>
        <w:br w:type="page"/>
      </w:r>
    </w:p>
    <w:p w14:paraId="4CDC2F97" w14:textId="77777777" w:rsidR="00AC1C56" w:rsidRPr="00AC1C56" w:rsidRDefault="00AC1C56" w:rsidP="00AC1C56">
      <w:pPr>
        <w:rPr>
          <w:rFonts w:ascii="Bookman Old Style" w:eastAsia="MS Mincho" w:hAnsi="Bookman Old Style"/>
          <w:sz w:val="24"/>
          <w:szCs w:val="24"/>
        </w:rPr>
      </w:pPr>
    </w:p>
    <w:p w14:paraId="361A8D78" w14:textId="77777777" w:rsidR="00AC1C56" w:rsidRPr="00AC1C56" w:rsidRDefault="00AC1C56" w:rsidP="00AC1C56">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C1C56">
        <w:rPr>
          <w:rFonts w:ascii="Bookman Old Style" w:eastAsiaTheme="majorEastAsia" w:hAnsi="Bookman Old Style" w:cstheme="minorHAnsi"/>
          <w:b/>
          <w:bCs/>
          <w:sz w:val="24"/>
          <w:szCs w:val="24"/>
        </w:rPr>
        <w:t>ANEXO V</w:t>
      </w:r>
    </w:p>
    <w:p w14:paraId="33B217BA" w14:textId="77777777" w:rsidR="00AC1C56" w:rsidRPr="00AC1C56" w:rsidRDefault="00AC1C56" w:rsidP="00AC1C56">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C1C56">
        <w:rPr>
          <w:rFonts w:ascii="Bookman Old Style" w:eastAsiaTheme="majorEastAsia" w:hAnsi="Bookman Old Style" w:cstheme="minorHAnsi"/>
          <w:b/>
          <w:bCs/>
          <w:sz w:val="24"/>
          <w:szCs w:val="24"/>
        </w:rPr>
        <w:t>MODELO DE DECLARAÇÃO UNIFICADA</w:t>
      </w:r>
    </w:p>
    <w:p w14:paraId="5244F9F5"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3B361F78"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266214EA"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b/>
          <w:sz w:val="24"/>
          <w:szCs w:val="24"/>
        </w:rPr>
      </w:pPr>
      <w:proofErr w:type="gramStart"/>
      <w:r w:rsidRPr="00AC1C56">
        <w:rPr>
          <w:rFonts w:ascii="Bookman Old Style" w:eastAsia="MS Mincho" w:hAnsi="Bookman Old Style" w:cstheme="minorHAnsi"/>
          <w:b/>
          <w:sz w:val="24"/>
          <w:szCs w:val="24"/>
        </w:rPr>
        <w:t>Dispensa Física</w:t>
      </w:r>
      <w:proofErr w:type="gramEnd"/>
      <w:r w:rsidRPr="00AC1C56">
        <w:rPr>
          <w:rFonts w:ascii="Bookman Old Style" w:eastAsia="MS Mincho" w:hAnsi="Bookman Old Style" w:cstheme="minorHAnsi"/>
          <w:b/>
          <w:sz w:val="24"/>
          <w:szCs w:val="24"/>
        </w:rPr>
        <w:t xml:space="preserve"> nº 007/2026</w:t>
      </w:r>
    </w:p>
    <w:p w14:paraId="1BC91214"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Processo Administrativo nº 013/2026</w:t>
      </w:r>
    </w:p>
    <w:p w14:paraId="0BC73E2B" w14:textId="77777777" w:rsidR="00AC1C56" w:rsidRPr="00AC1C56" w:rsidRDefault="00AC1C56" w:rsidP="00AC1C56">
      <w:pPr>
        <w:spacing w:beforeLines="30" w:before="72" w:afterLines="30" w:after="72" w:line="240" w:lineRule="auto"/>
        <w:ind w:right="-567"/>
        <w:rPr>
          <w:rFonts w:ascii="Bookman Old Style" w:eastAsia="MS Mincho" w:hAnsi="Bookman Old Style" w:cstheme="minorHAnsi"/>
          <w:sz w:val="24"/>
          <w:szCs w:val="24"/>
        </w:rPr>
      </w:pPr>
    </w:p>
    <w:p w14:paraId="75A8B43C"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AC1C56">
        <w:rPr>
          <w:rFonts w:ascii="Bookman Old Style" w:eastAsia="MS Mincho" w:hAnsi="Bookman Old Style" w:cstheme="minorHAnsi"/>
          <w:b/>
          <w:sz w:val="24"/>
          <w:szCs w:val="24"/>
        </w:rPr>
        <w:t>da DISPENSA FÍSICA Nº 007/2026</w:t>
      </w:r>
      <w:r w:rsidRPr="00AC1C56">
        <w:rPr>
          <w:rFonts w:ascii="Bookman Old Style" w:eastAsia="MS Mincho" w:hAnsi="Bookman Old Style" w:cstheme="minorHAnsi"/>
          <w:sz w:val="24"/>
          <w:szCs w:val="24"/>
        </w:rPr>
        <w:t xml:space="preserve">, </w:t>
      </w:r>
      <w:r w:rsidRPr="00AC1C56">
        <w:rPr>
          <w:rFonts w:ascii="Bookman Old Style" w:eastAsia="MS Mincho" w:hAnsi="Bookman Old Style" w:cstheme="minorHAnsi"/>
          <w:b/>
          <w:sz w:val="24"/>
          <w:szCs w:val="24"/>
        </w:rPr>
        <w:t>DECLARA</w:t>
      </w:r>
      <w:r w:rsidRPr="00AC1C56">
        <w:rPr>
          <w:rFonts w:ascii="Bookman Old Style" w:eastAsia="MS Mincho" w:hAnsi="Bookman Old Style" w:cstheme="minorHAnsi"/>
          <w:sz w:val="24"/>
          <w:szCs w:val="24"/>
        </w:rPr>
        <w:t xml:space="preserve"> sob as penalidades cabíveis, que:</w:t>
      </w:r>
    </w:p>
    <w:p w14:paraId="64175FF9"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I -</w:t>
      </w:r>
      <w:r w:rsidRPr="00AC1C56">
        <w:rPr>
          <w:rFonts w:ascii="Bookman Old Style" w:eastAsia="MS Mincho" w:hAnsi="Bookman Old Style" w:cstheme="minorHAnsi"/>
          <w:sz w:val="24"/>
          <w:szCs w:val="24"/>
        </w:rPr>
        <w:t xml:space="preserve"> Atende aos requisitos de habilitação e responderá pela veracidade das informações prestadas, na forma da lei;</w:t>
      </w:r>
    </w:p>
    <w:p w14:paraId="6FC9CF29"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II -</w:t>
      </w:r>
      <w:r w:rsidRPr="00AC1C56">
        <w:rPr>
          <w:rFonts w:ascii="Bookman Old Style" w:eastAsia="MS Mincho" w:hAnsi="Bookman Old Style" w:cstheme="minorHAnsi"/>
          <w:sz w:val="24"/>
          <w:szCs w:val="24"/>
        </w:rPr>
        <w:t xml:space="preserve"> </w:t>
      </w:r>
      <w:proofErr w:type="gramStart"/>
      <w:r w:rsidRPr="00AC1C56">
        <w:rPr>
          <w:rFonts w:ascii="Bookman Old Style" w:eastAsia="MS Mincho" w:hAnsi="Bookman Old Style" w:cstheme="minorHAnsi"/>
          <w:sz w:val="24"/>
          <w:szCs w:val="24"/>
        </w:rPr>
        <w:t>não</w:t>
      </w:r>
      <w:proofErr w:type="gramEnd"/>
      <w:r w:rsidRPr="00AC1C56">
        <w:rPr>
          <w:rFonts w:ascii="Bookman Old Style" w:eastAsia="MS Mincho" w:hAnsi="Bookman Old Style" w:cstheme="minorHAnsi"/>
          <w:sz w:val="24"/>
          <w:szCs w:val="24"/>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2C1D53D4"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 xml:space="preserve">III - </w:t>
      </w:r>
      <w:r w:rsidRPr="00AC1C56">
        <w:rPr>
          <w:rFonts w:ascii="Bookman Old Style" w:eastAsia="MS Mincho" w:hAnsi="Bookman Old Style" w:cstheme="minorHAnsi"/>
          <w:sz w:val="24"/>
          <w:szCs w:val="24"/>
        </w:rPr>
        <w:t xml:space="preserve">conhece as especificações do objeto e os termos constantes neste Aviso e </w:t>
      </w:r>
      <w:proofErr w:type="gramStart"/>
      <w:r w:rsidRPr="00AC1C56">
        <w:rPr>
          <w:rFonts w:ascii="Bookman Old Style" w:eastAsia="MS Mincho" w:hAnsi="Bookman Old Style" w:cstheme="minorHAnsi"/>
          <w:sz w:val="24"/>
          <w:szCs w:val="24"/>
        </w:rPr>
        <w:t>seu(</w:t>
      </w:r>
      <w:proofErr w:type="gramEnd"/>
      <w:r w:rsidRPr="00AC1C56">
        <w:rPr>
          <w:rFonts w:ascii="Bookman Old Style" w:eastAsia="MS Mincho" w:hAnsi="Bookman Old Style" w:cstheme="minorHAnsi"/>
          <w:sz w:val="24"/>
          <w:szCs w:val="24"/>
        </w:rPr>
        <w:t>s) Anexos, e que, concorda com todos os termos constantes no mesmo e ainda, que possui todas as condições para atender e cumprir as exigências de fornecimento então contidas;</w:t>
      </w:r>
    </w:p>
    <w:p w14:paraId="7C25B046"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IV</w:t>
      </w:r>
      <w:r w:rsidRPr="00AC1C56">
        <w:rPr>
          <w:rFonts w:ascii="Bookman Old Style" w:eastAsia="MS Mincho" w:hAnsi="Bookman Old Style" w:cstheme="minorHAnsi"/>
          <w:sz w:val="24"/>
          <w:szCs w:val="24"/>
        </w:rPr>
        <w:t xml:space="preserve"> - na qualidade de Proponente do procedimento de Contratação Direta instaurado por este Município, </w:t>
      </w:r>
      <w:proofErr w:type="gramStart"/>
      <w:r w:rsidRPr="00AC1C56">
        <w:rPr>
          <w:rFonts w:ascii="Bookman Old Style" w:eastAsia="MS Mincho" w:hAnsi="Bookman Old Style" w:cstheme="minorHAnsi"/>
          <w:sz w:val="24"/>
          <w:szCs w:val="24"/>
        </w:rPr>
        <w:t>o(</w:t>
      </w:r>
      <w:proofErr w:type="gramEnd"/>
      <w:r w:rsidRPr="00AC1C56">
        <w:rPr>
          <w:rFonts w:ascii="Bookman Old Style" w:eastAsia="MS Mincho" w:hAnsi="Bookman Old Style" w:cstheme="minorHAnsi"/>
          <w:sz w:val="24"/>
          <w:szCs w:val="24"/>
        </w:rPr>
        <w:t xml:space="preserve">a) responsável legal da empresa é o(a) Sr.(a)................................................, Portador(a) do RG sob nº ................................................. </w:t>
      </w:r>
      <w:proofErr w:type="gramStart"/>
      <w:r w:rsidRPr="00AC1C56">
        <w:rPr>
          <w:rFonts w:ascii="Bookman Old Style" w:eastAsia="MS Mincho" w:hAnsi="Bookman Old Style" w:cstheme="minorHAnsi"/>
          <w:sz w:val="24"/>
          <w:szCs w:val="24"/>
        </w:rPr>
        <w:t>e</w:t>
      </w:r>
      <w:proofErr w:type="gramEnd"/>
      <w:r w:rsidRPr="00AC1C56">
        <w:rPr>
          <w:rFonts w:ascii="Bookman Old Style" w:eastAsia="MS Mincho" w:hAnsi="Bookman Old Style" w:cstheme="minorHAnsi"/>
          <w:sz w:val="24"/>
          <w:szCs w:val="24"/>
        </w:rPr>
        <w:t xml:space="preserve"> CPF nº ........................................................, cuja função/cargo é..................................................(sócio administrador/procurador/diretor/</w:t>
      </w:r>
      <w:proofErr w:type="spellStart"/>
      <w:r w:rsidRPr="00AC1C56">
        <w:rPr>
          <w:rFonts w:ascii="Bookman Old Style" w:eastAsia="MS Mincho" w:hAnsi="Bookman Old Style" w:cstheme="minorHAnsi"/>
          <w:sz w:val="24"/>
          <w:szCs w:val="24"/>
        </w:rPr>
        <w:t>etc</w:t>
      </w:r>
      <w:proofErr w:type="spellEnd"/>
      <w:r w:rsidRPr="00AC1C56">
        <w:rPr>
          <w:rFonts w:ascii="Bookman Old Style" w:eastAsia="MS Mincho" w:hAnsi="Bookman Old Style" w:cstheme="minorHAnsi"/>
          <w:sz w:val="24"/>
          <w:szCs w:val="24"/>
        </w:rPr>
        <w:t>), responsável pela assinatura do Contrato ou instrumento equivalente.</w:t>
      </w:r>
    </w:p>
    <w:p w14:paraId="4CE8597A" w14:textId="77777777" w:rsidR="00AC1C56" w:rsidRPr="00AC1C56" w:rsidRDefault="00AC1C56" w:rsidP="00AC1C56">
      <w:pPr>
        <w:spacing w:beforeLines="30" w:before="72" w:afterLines="30" w:after="72" w:line="240" w:lineRule="auto"/>
        <w:ind w:right="-567"/>
        <w:jc w:val="both"/>
        <w:rPr>
          <w:rFonts w:ascii="Bookman Old Style" w:eastAsia="Times New Roman" w:hAnsi="Bookman Old Style" w:cstheme="minorHAnsi"/>
          <w:sz w:val="24"/>
          <w:szCs w:val="24"/>
        </w:rPr>
      </w:pPr>
      <w:r w:rsidRPr="00AC1C56">
        <w:rPr>
          <w:rFonts w:ascii="Bookman Old Style" w:eastAsia="MS Mincho" w:hAnsi="Bookman Old Style" w:cstheme="minorHAnsi"/>
          <w:b/>
          <w:bCs/>
          <w:sz w:val="24"/>
          <w:szCs w:val="24"/>
        </w:rPr>
        <w:t>V -</w:t>
      </w:r>
      <w:r w:rsidRPr="00AC1C56">
        <w:rPr>
          <w:rFonts w:ascii="Bookman Old Style" w:eastAsia="MS Mincho" w:hAnsi="Bookman Old Style" w:cstheme="minorHAnsi"/>
          <w:sz w:val="24"/>
          <w:szCs w:val="24"/>
        </w:rPr>
        <w:t xml:space="preserve"> </w:t>
      </w:r>
      <w:proofErr w:type="gramStart"/>
      <w:r w:rsidRPr="00AC1C56">
        <w:rPr>
          <w:rFonts w:ascii="Bookman Old Style" w:eastAsia="MS Mincho" w:hAnsi="Bookman Old Style" w:cstheme="minorHAnsi"/>
          <w:sz w:val="24"/>
          <w:szCs w:val="24"/>
        </w:rPr>
        <w:t>não</w:t>
      </w:r>
      <w:proofErr w:type="gramEnd"/>
      <w:r w:rsidRPr="00AC1C56">
        <w:rPr>
          <w:rFonts w:ascii="Bookman Old Style" w:eastAsia="MS Mincho" w:hAnsi="Bookman Old Style" w:cstheme="minorHAnsi"/>
          <w:sz w:val="24"/>
          <w:szCs w:val="24"/>
        </w:rPr>
        <w:t xml:space="preserve"> mantém </w:t>
      </w:r>
      <w:r w:rsidRPr="00AC1C56">
        <w:rPr>
          <w:rFonts w:ascii="Bookman Old Style" w:eastAsia="Times New Roman" w:hAnsi="Bookman Old Style" w:cstheme="minorHAnsi"/>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BD7477"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VI -</w:t>
      </w:r>
      <w:r w:rsidRPr="00AC1C56">
        <w:rPr>
          <w:rFonts w:ascii="Bookman Old Style" w:eastAsia="MS Mincho" w:hAnsi="Bookman Old Style" w:cstheme="minorHAnsi"/>
          <w:sz w:val="24"/>
          <w:szCs w:val="24"/>
        </w:rPr>
        <w:t xml:space="preserve"> </w:t>
      </w:r>
      <w:proofErr w:type="gramStart"/>
      <w:r w:rsidRPr="00AC1C56">
        <w:rPr>
          <w:rFonts w:ascii="Bookman Old Style" w:eastAsia="MS Mincho" w:hAnsi="Bookman Old Style" w:cstheme="minorHAnsi"/>
          <w:sz w:val="24"/>
          <w:szCs w:val="24"/>
        </w:rPr>
        <w:t>cumpre</w:t>
      </w:r>
      <w:proofErr w:type="gramEnd"/>
      <w:r w:rsidRPr="00AC1C56">
        <w:rPr>
          <w:rFonts w:ascii="Bookman Old Style" w:eastAsia="MS Mincho" w:hAnsi="Bookman Old Style" w:cstheme="minorHAnsi"/>
          <w:sz w:val="24"/>
          <w:szCs w:val="24"/>
        </w:rPr>
        <w:t xml:space="preserve"> as exigências de reserva de cargos para pessoas com deficiência e para reabilitados da Previdência Social, previstas em lei e em outras normas específicas; </w:t>
      </w:r>
    </w:p>
    <w:p w14:paraId="6729B638"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VII -</w:t>
      </w:r>
      <w:r w:rsidRPr="00AC1C56">
        <w:rPr>
          <w:rFonts w:ascii="Bookman Old Style" w:eastAsia="MS Mincho" w:hAnsi="Bookman Old Style" w:cstheme="minorHAnsi"/>
          <w:sz w:val="24"/>
          <w:szCs w:val="24"/>
        </w:rPr>
        <w:t xml:space="preserve"> a proposta econômica compreende a integralidade dos custos para atendimento dos direitos trabalhistas assegurados na Constituição Federal, nas leis trabalhistas, nas normas </w:t>
      </w:r>
      <w:proofErr w:type="spellStart"/>
      <w:r w:rsidRPr="00AC1C56">
        <w:rPr>
          <w:rFonts w:ascii="Bookman Old Style" w:eastAsia="MS Mincho" w:hAnsi="Bookman Old Style" w:cstheme="minorHAnsi"/>
          <w:sz w:val="24"/>
          <w:szCs w:val="24"/>
        </w:rPr>
        <w:t>infralegais</w:t>
      </w:r>
      <w:proofErr w:type="spellEnd"/>
      <w:r w:rsidRPr="00AC1C56">
        <w:rPr>
          <w:rFonts w:ascii="Bookman Old Style" w:eastAsia="MS Mincho" w:hAnsi="Bookman Old Style" w:cstheme="minorHAnsi"/>
          <w:sz w:val="24"/>
          <w:szCs w:val="24"/>
        </w:rPr>
        <w:t>, nas convenções coletivas de trabalho e nos termos de ajustamento de conduta vigentes na data da entrega das propostas.</w:t>
      </w:r>
    </w:p>
    <w:p w14:paraId="46407D00"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lastRenderedPageBreak/>
        <w:t>VIII –</w:t>
      </w:r>
      <w:r w:rsidRPr="00AC1C56">
        <w:rPr>
          <w:rFonts w:ascii="Bookman Old Style" w:eastAsia="MS Mincho" w:hAnsi="Bookman Old Style" w:cstheme="minorHAnsi"/>
          <w:sz w:val="24"/>
          <w:szCs w:val="24"/>
        </w:rPr>
        <w:t xml:space="preserve"> o endereço correto, em caso de qualquer comunicação futura referente a este processo de contratação direta, bem como em caso de eventual contratação, </w:t>
      </w:r>
      <w:proofErr w:type="gramStart"/>
      <w:r w:rsidRPr="00AC1C56">
        <w:rPr>
          <w:rFonts w:ascii="Bookman Old Style" w:eastAsia="MS Mincho" w:hAnsi="Bookman Old Style" w:cstheme="minorHAnsi"/>
          <w:sz w:val="24"/>
          <w:szCs w:val="24"/>
        </w:rPr>
        <w:t>é:_</w:t>
      </w:r>
      <w:proofErr w:type="gramEnd"/>
      <w:r w:rsidRPr="00AC1C56">
        <w:rPr>
          <w:rFonts w:ascii="Bookman Old Style" w:eastAsia="MS Mincho" w:hAnsi="Bookman Old Style" w:cstheme="minorHAnsi"/>
          <w:sz w:val="24"/>
          <w:szCs w:val="24"/>
        </w:rPr>
        <w:t xml:space="preserve">_________________________________________________________________________ </w:t>
      </w:r>
    </w:p>
    <w:p w14:paraId="3308501A"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E-mail: </w:t>
      </w:r>
    </w:p>
    <w:p w14:paraId="60F5CCE3"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Telefone: </w:t>
      </w:r>
    </w:p>
    <w:p w14:paraId="50C1F954"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bCs/>
          <w:sz w:val="24"/>
          <w:szCs w:val="24"/>
        </w:rPr>
        <w:t>IX –</w:t>
      </w:r>
      <w:r w:rsidRPr="00AC1C56">
        <w:rPr>
          <w:rFonts w:ascii="Bookman Old Style" w:eastAsia="MS Mincho" w:hAnsi="Bookman Old Style" w:cstheme="minorHAnsi"/>
          <w:sz w:val="24"/>
          <w:szCs w:val="24"/>
        </w:rPr>
        <w:t xml:space="preserve"> Nomeia e constitui </w:t>
      </w:r>
      <w:proofErr w:type="gramStart"/>
      <w:r w:rsidRPr="00AC1C56">
        <w:rPr>
          <w:rFonts w:ascii="Bookman Old Style" w:eastAsia="MS Mincho" w:hAnsi="Bookman Old Style" w:cstheme="minorHAnsi"/>
          <w:sz w:val="24"/>
          <w:szCs w:val="24"/>
        </w:rPr>
        <w:t>o(</w:t>
      </w:r>
      <w:proofErr w:type="gramEnd"/>
      <w:r w:rsidRPr="00AC1C56">
        <w:rPr>
          <w:rFonts w:ascii="Bookman Old Style" w:eastAsia="MS Mincho" w:hAnsi="Bookman Old Style" w:cstheme="minorHAnsi"/>
          <w:sz w:val="24"/>
          <w:szCs w:val="24"/>
        </w:rPr>
        <w:t xml:space="preserve">a) senhor(a)........................................., portador(a) do CPF/MF sob n.º..................................., para ser o(a) </w:t>
      </w:r>
      <w:r w:rsidRPr="00AC1C56">
        <w:rPr>
          <w:rFonts w:ascii="Bookman Old Style" w:eastAsia="MS Mincho" w:hAnsi="Bookman Old Style" w:cstheme="minorHAnsi"/>
          <w:b/>
          <w:bCs/>
          <w:sz w:val="24"/>
          <w:szCs w:val="24"/>
        </w:rPr>
        <w:t>preposto</w:t>
      </w:r>
      <w:r w:rsidRPr="00AC1C56">
        <w:rPr>
          <w:rFonts w:ascii="Bookman Old Style" w:eastAsia="MS Mincho" w:hAnsi="Bookman Old Style" w:cstheme="minorHAnsi"/>
          <w:sz w:val="24"/>
          <w:szCs w:val="24"/>
        </w:rPr>
        <w:t xml:space="preserve"> responsável para acompanhar a execução do Contrato ou instrumento equivalente, e todos os atos necessários ao cumprimento das obrigações assumidas diante da participação neste instrumento convocatório e seus anexos.</w:t>
      </w:r>
    </w:p>
    <w:p w14:paraId="3C86F5B1"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sz w:val="24"/>
          <w:szCs w:val="24"/>
        </w:rPr>
        <w:t>X -</w:t>
      </w:r>
      <w:r w:rsidRPr="00AC1C56">
        <w:rPr>
          <w:rFonts w:ascii="Bookman Old Style" w:eastAsia="MS Mincho" w:hAnsi="Bookman Old Style" w:cstheme="minorHAnsi"/>
          <w:sz w:val="24"/>
          <w:szCs w:val="24"/>
        </w:rPr>
        <w:t xml:space="preserve"> </w:t>
      </w:r>
      <w:proofErr w:type="gramStart"/>
      <w:r w:rsidRPr="00AC1C56">
        <w:rPr>
          <w:rFonts w:ascii="Bookman Old Style" w:eastAsia="MS Mincho" w:hAnsi="Bookman Old Style" w:cstheme="minorHAnsi"/>
          <w:sz w:val="24"/>
          <w:szCs w:val="24"/>
        </w:rPr>
        <w:t>para</w:t>
      </w:r>
      <w:proofErr w:type="gramEnd"/>
      <w:r w:rsidRPr="00AC1C56">
        <w:rPr>
          <w:rFonts w:ascii="Bookman Old Style" w:eastAsia="MS Mincho" w:hAnsi="Bookman Old Style" w:cstheme="minorHAnsi"/>
          <w:sz w:val="24"/>
          <w:szCs w:val="24"/>
        </w:rPr>
        <w:t xml:space="preserve"> fins do disposto no inciso VI do art. 68 da Lei nº 14.133/21, não emprega menor de dezoito anos em trabalho noturno, perigoso ou insalubre e não emprega menor de dezesseis anos (inciso XXXIII do art. 7º da Constituição Federal).</w:t>
      </w:r>
    </w:p>
    <w:p w14:paraId="208C498A"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Ressalva: </w:t>
      </w:r>
      <w:proofErr w:type="gramStart"/>
      <w:r w:rsidRPr="00AC1C56">
        <w:rPr>
          <w:rFonts w:ascii="Bookman Old Style" w:eastAsia="MS Mincho" w:hAnsi="Bookman Old Style" w:cstheme="minorHAnsi"/>
          <w:sz w:val="24"/>
          <w:szCs w:val="24"/>
        </w:rPr>
        <w:t xml:space="preserve">(  </w:t>
      </w:r>
      <w:proofErr w:type="gramEnd"/>
      <w:r w:rsidRPr="00AC1C56">
        <w:rPr>
          <w:rFonts w:ascii="Bookman Old Style" w:eastAsia="MS Mincho" w:hAnsi="Bookman Old Style" w:cstheme="minorHAnsi"/>
          <w:sz w:val="24"/>
          <w:szCs w:val="24"/>
        </w:rPr>
        <w:t xml:space="preserve">  ) emprega menor, a partir de quatorze anos, na condição de aprendiz.</w:t>
      </w:r>
    </w:p>
    <w:p w14:paraId="40EDFC7D"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i/>
          <w:sz w:val="24"/>
          <w:szCs w:val="24"/>
        </w:rPr>
      </w:pPr>
      <w:r w:rsidRPr="00AC1C56">
        <w:rPr>
          <w:rFonts w:ascii="Bookman Old Style" w:eastAsia="MS Mincho" w:hAnsi="Bookman Old Style" w:cstheme="minorHAnsi"/>
          <w:i/>
          <w:sz w:val="24"/>
          <w:szCs w:val="24"/>
          <w:u w:val="single"/>
        </w:rPr>
        <w:t>Observação: em caso afirmativo, assinalar a ressalva acima</w:t>
      </w:r>
      <w:r w:rsidRPr="00AC1C56">
        <w:rPr>
          <w:rFonts w:ascii="Bookman Old Style" w:eastAsia="MS Mincho" w:hAnsi="Bookman Old Style" w:cstheme="minorHAnsi"/>
          <w:i/>
          <w:sz w:val="24"/>
          <w:szCs w:val="24"/>
        </w:rPr>
        <w:t>.</w:t>
      </w:r>
    </w:p>
    <w:p w14:paraId="04FC1A96" w14:textId="77777777" w:rsidR="00AC1C56" w:rsidRPr="00AC1C56" w:rsidRDefault="00AC1C56" w:rsidP="00AC1C56">
      <w:pPr>
        <w:spacing w:beforeLines="30" w:before="72" w:afterLines="30" w:after="72" w:line="240" w:lineRule="auto"/>
        <w:ind w:right="-567"/>
        <w:jc w:val="both"/>
        <w:rPr>
          <w:rFonts w:ascii="Bookman Old Style" w:eastAsia="MS Mincho" w:hAnsi="Bookman Old Style" w:cstheme="minorHAnsi"/>
          <w:sz w:val="24"/>
          <w:szCs w:val="24"/>
        </w:rPr>
      </w:pPr>
      <w:r w:rsidRPr="00AC1C56">
        <w:rPr>
          <w:rFonts w:ascii="Bookman Old Style" w:eastAsia="MS Mincho" w:hAnsi="Bookman Old Style" w:cstheme="minorHAnsi"/>
          <w:b/>
          <w:sz w:val="24"/>
          <w:szCs w:val="24"/>
        </w:rPr>
        <w:t xml:space="preserve">XI </w:t>
      </w:r>
      <w:r w:rsidRPr="00AC1C56">
        <w:rPr>
          <w:rFonts w:ascii="Bookman Old Style" w:eastAsia="MS Mincho" w:hAnsi="Bookman Old Style" w:cstheme="minorHAnsi"/>
          <w:sz w:val="24"/>
          <w:szCs w:val="24"/>
        </w:rPr>
        <w:t>– conhecimento acerca da disposição contida no artigo 155, VIII da Lei 14.133/2021, quanto a apresentação de declaração falsa.</w:t>
      </w:r>
    </w:p>
    <w:p w14:paraId="5694916E" w14:textId="77777777" w:rsidR="00AC1C56" w:rsidRPr="00AC1C56" w:rsidRDefault="00AC1C56" w:rsidP="00AC1C56">
      <w:pPr>
        <w:spacing w:beforeLines="30" w:before="72" w:afterLines="30" w:after="72" w:line="240" w:lineRule="auto"/>
        <w:ind w:right="-567"/>
        <w:jc w:val="right"/>
        <w:rPr>
          <w:rFonts w:ascii="Bookman Old Style" w:eastAsia="MS Mincho" w:hAnsi="Bookman Old Style" w:cstheme="minorHAnsi"/>
          <w:sz w:val="24"/>
          <w:szCs w:val="24"/>
        </w:rPr>
      </w:pPr>
    </w:p>
    <w:p w14:paraId="1C9C17DB" w14:textId="77777777" w:rsidR="00AC1C56" w:rsidRPr="00AC1C56" w:rsidRDefault="00AC1C56" w:rsidP="00AC1C56">
      <w:pPr>
        <w:spacing w:beforeLines="30" w:before="72" w:afterLines="30" w:after="72" w:line="240" w:lineRule="auto"/>
        <w:ind w:right="-567"/>
        <w:jc w:val="right"/>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 xml:space="preserve">_________________ / ____, ____ de _________ </w:t>
      </w:r>
      <w:proofErr w:type="spellStart"/>
      <w:r w:rsidRPr="00AC1C56">
        <w:rPr>
          <w:rFonts w:ascii="Bookman Old Style" w:eastAsia="MS Mincho" w:hAnsi="Bookman Old Style" w:cstheme="minorHAnsi"/>
          <w:sz w:val="24"/>
          <w:szCs w:val="24"/>
        </w:rPr>
        <w:t>de</w:t>
      </w:r>
      <w:proofErr w:type="spellEnd"/>
      <w:r w:rsidRPr="00AC1C56">
        <w:rPr>
          <w:rFonts w:ascii="Bookman Old Style" w:eastAsia="MS Mincho" w:hAnsi="Bookman Old Style" w:cstheme="minorHAnsi"/>
          <w:sz w:val="24"/>
          <w:szCs w:val="24"/>
        </w:rPr>
        <w:t xml:space="preserve"> 2026.</w:t>
      </w:r>
    </w:p>
    <w:p w14:paraId="2B4BFFCE" w14:textId="77777777" w:rsidR="00AC1C56" w:rsidRPr="00AC1C56" w:rsidRDefault="00AC1C56" w:rsidP="00AC1C56">
      <w:pPr>
        <w:spacing w:beforeLines="30" w:before="72" w:afterLines="30" w:after="72" w:line="240" w:lineRule="auto"/>
        <w:ind w:right="-567"/>
        <w:jc w:val="right"/>
        <w:rPr>
          <w:rFonts w:ascii="Bookman Old Style" w:eastAsia="MS Mincho" w:hAnsi="Bookman Old Style" w:cstheme="minorHAnsi"/>
          <w:sz w:val="24"/>
          <w:szCs w:val="24"/>
        </w:rPr>
      </w:pPr>
    </w:p>
    <w:p w14:paraId="1DA1541C"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sz w:val="24"/>
          <w:szCs w:val="24"/>
        </w:rPr>
      </w:pPr>
      <w:r w:rsidRPr="00AC1C56">
        <w:rPr>
          <w:rFonts w:ascii="Bookman Old Style" w:eastAsia="MS Mincho" w:hAnsi="Bookman Old Style" w:cstheme="minorHAnsi"/>
          <w:sz w:val="24"/>
          <w:szCs w:val="24"/>
        </w:rPr>
        <w:t>_________________________________________</w:t>
      </w:r>
    </w:p>
    <w:p w14:paraId="51247A95" w14:textId="77777777" w:rsidR="00AC1C56" w:rsidRPr="00AC1C56" w:rsidRDefault="00AC1C56" w:rsidP="00AC1C56">
      <w:pPr>
        <w:spacing w:beforeLines="30" w:before="72" w:afterLines="30" w:after="72" w:line="240" w:lineRule="auto"/>
        <w:ind w:right="-567"/>
        <w:jc w:val="center"/>
        <w:rPr>
          <w:rFonts w:ascii="Bookman Old Style" w:eastAsia="MS Mincho" w:hAnsi="Bookman Old Style" w:cstheme="minorHAnsi"/>
          <w:b/>
          <w:sz w:val="24"/>
          <w:szCs w:val="24"/>
        </w:rPr>
      </w:pPr>
      <w:r w:rsidRPr="00AC1C56">
        <w:rPr>
          <w:rFonts w:ascii="Bookman Old Style" w:eastAsia="MS Mincho" w:hAnsi="Bookman Old Style" w:cstheme="minorHAnsi"/>
          <w:b/>
          <w:sz w:val="24"/>
          <w:szCs w:val="24"/>
        </w:rPr>
        <w:t>Nome e Assinatura do representante legal</w:t>
      </w:r>
    </w:p>
    <w:p w14:paraId="4C639158" w14:textId="77777777" w:rsidR="005C161E" w:rsidRPr="00670E34" w:rsidRDefault="00AC1C56" w:rsidP="005C161E">
      <w:pPr>
        <w:spacing w:after="120"/>
        <w:jc w:val="center"/>
        <w:rPr>
          <w:rFonts w:ascii="Bookman Old Style" w:hAnsi="Bookman Old Style" w:cstheme="minorHAnsi"/>
          <w:b/>
          <w:sz w:val="24"/>
          <w:szCs w:val="24"/>
        </w:rPr>
      </w:pPr>
      <w:r w:rsidRPr="00AC1C56">
        <w:rPr>
          <w:rFonts w:ascii="Bookman Old Style" w:eastAsia="MS Mincho" w:hAnsi="Bookman Old Style" w:cstheme="minorHAnsi"/>
          <w:b/>
          <w:sz w:val="24"/>
          <w:szCs w:val="24"/>
        </w:rPr>
        <w:br w:type="page"/>
      </w:r>
    </w:p>
    <w:p w14:paraId="723A5CCD" w14:textId="77777777" w:rsidR="005C161E" w:rsidRDefault="005C161E" w:rsidP="005C161E">
      <w:pPr>
        <w:jc w:val="center"/>
        <w:rPr>
          <w:rFonts w:ascii="Bookman Old Style" w:hAnsi="Bookman Old Style" w:cstheme="minorHAnsi"/>
          <w:b/>
          <w:bCs/>
          <w:color w:val="000000"/>
          <w:sz w:val="24"/>
          <w:szCs w:val="24"/>
        </w:rPr>
      </w:pPr>
    </w:p>
    <w:p w14:paraId="22CBAD38" w14:textId="77777777" w:rsidR="005C161E" w:rsidRPr="00670E34" w:rsidRDefault="005C161E" w:rsidP="005C161E">
      <w:pPr>
        <w:jc w:val="center"/>
        <w:rPr>
          <w:rFonts w:ascii="Bookman Old Style" w:hAnsi="Bookman Old Style" w:cstheme="minorHAnsi"/>
          <w:b/>
          <w:bCs/>
          <w:color w:val="000000"/>
          <w:sz w:val="24"/>
          <w:szCs w:val="24"/>
        </w:rPr>
      </w:pPr>
      <w:r w:rsidRPr="00670E34">
        <w:rPr>
          <w:rFonts w:ascii="Bookman Old Style" w:hAnsi="Bookman Old Style" w:cstheme="minorHAnsi"/>
          <w:b/>
          <w:bCs/>
          <w:color w:val="000000"/>
          <w:sz w:val="24"/>
          <w:szCs w:val="24"/>
        </w:rPr>
        <w:t>ANEXO VI</w:t>
      </w:r>
    </w:p>
    <w:p w14:paraId="7AC1056C" w14:textId="77777777" w:rsidR="005C161E" w:rsidRPr="00670E34" w:rsidRDefault="005C161E" w:rsidP="005C161E">
      <w:pPr>
        <w:jc w:val="center"/>
        <w:rPr>
          <w:rFonts w:ascii="Bookman Old Style" w:hAnsi="Bookman Old Style" w:cstheme="minorHAnsi"/>
          <w:b/>
          <w:bCs/>
          <w:color w:val="000000"/>
          <w:sz w:val="24"/>
          <w:szCs w:val="24"/>
        </w:rPr>
      </w:pPr>
      <w:r w:rsidRPr="00670E34">
        <w:rPr>
          <w:rFonts w:ascii="Bookman Old Style" w:hAnsi="Bookman Old Style" w:cstheme="minorHAnsi"/>
          <w:b/>
          <w:bCs/>
          <w:color w:val="000000"/>
          <w:sz w:val="24"/>
          <w:szCs w:val="24"/>
        </w:rPr>
        <w:t>MODELO MINUTA DO CO</w:t>
      </w:r>
      <w:r>
        <w:rPr>
          <w:rFonts w:ascii="Bookman Old Style" w:hAnsi="Bookman Old Style" w:cstheme="minorHAnsi"/>
          <w:b/>
          <w:bCs/>
          <w:color w:val="000000"/>
          <w:sz w:val="24"/>
          <w:szCs w:val="24"/>
        </w:rPr>
        <w:t>N</w:t>
      </w:r>
      <w:r w:rsidRPr="00670E34">
        <w:rPr>
          <w:rFonts w:ascii="Bookman Old Style" w:hAnsi="Bookman Old Style" w:cstheme="minorHAnsi"/>
          <w:b/>
          <w:bCs/>
          <w:color w:val="000000"/>
          <w:sz w:val="24"/>
          <w:szCs w:val="24"/>
        </w:rPr>
        <w:t>TRATO</w:t>
      </w:r>
    </w:p>
    <w:p w14:paraId="59F9F665" w14:textId="77777777" w:rsidR="005C161E" w:rsidRPr="00670E34" w:rsidRDefault="005C161E" w:rsidP="005C161E">
      <w:pPr>
        <w:jc w:val="center"/>
        <w:rPr>
          <w:rFonts w:ascii="Bookman Old Style" w:hAnsi="Bookman Old Style" w:cstheme="minorHAnsi"/>
          <w:bCs/>
          <w:color w:val="000000"/>
          <w:sz w:val="24"/>
          <w:szCs w:val="24"/>
        </w:rPr>
      </w:pPr>
      <w:r w:rsidRPr="00670E34">
        <w:rPr>
          <w:rFonts w:ascii="Bookman Old Style" w:hAnsi="Bookman Old Style" w:cstheme="minorHAnsi"/>
          <w:color w:val="000000"/>
          <w:sz w:val="24"/>
          <w:szCs w:val="24"/>
        </w:rPr>
        <w:t>(Processo Administrativo n</w:t>
      </w:r>
      <w:r w:rsidRPr="00670E34">
        <w:rPr>
          <w:rFonts w:ascii="Bookman Old Style" w:hAnsi="Bookman Old Style" w:cstheme="minorHAnsi"/>
          <w:bCs/>
          <w:color w:val="000000"/>
          <w:sz w:val="24"/>
          <w:szCs w:val="24"/>
        </w:rPr>
        <w:t>° 0</w:t>
      </w:r>
      <w:r>
        <w:rPr>
          <w:rFonts w:ascii="Bookman Old Style" w:hAnsi="Bookman Old Style" w:cstheme="minorHAnsi"/>
          <w:bCs/>
          <w:color w:val="000000"/>
          <w:sz w:val="24"/>
          <w:szCs w:val="24"/>
        </w:rPr>
        <w:t>13</w:t>
      </w:r>
      <w:r w:rsidRPr="00670E34">
        <w:rPr>
          <w:rFonts w:ascii="Bookman Old Style" w:hAnsi="Bookman Old Style" w:cstheme="minorHAnsi"/>
          <w:bCs/>
          <w:color w:val="000000"/>
          <w:sz w:val="24"/>
          <w:szCs w:val="24"/>
        </w:rPr>
        <w:t>/202</w:t>
      </w:r>
      <w:r>
        <w:rPr>
          <w:rFonts w:ascii="Bookman Old Style" w:hAnsi="Bookman Old Style" w:cstheme="minorHAnsi"/>
          <w:bCs/>
          <w:color w:val="000000"/>
          <w:sz w:val="24"/>
          <w:szCs w:val="24"/>
        </w:rPr>
        <w:t>6</w:t>
      </w:r>
      <w:r w:rsidRPr="00670E34">
        <w:rPr>
          <w:rFonts w:ascii="Bookman Old Style" w:hAnsi="Bookman Old Style" w:cstheme="minorHAnsi"/>
          <w:bCs/>
          <w:color w:val="000000"/>
          <w:sz w:val="24"/>
          <w:szCs w:val="24"/>
        </w:rPr>
        <w:t>)</w:t>
      </w:r>
    </w:p>
    <w:p w14:paraId="656E6BC3" w14:textId="77777777" w:rsidR="005C161E" w:rsidRPr="00670E34" w:rsidRDefault="005C161E" w:rsidP="005C161E">
      <w:pPr>
        <w:pStyle w:val="Prembulo"/>
        <w:spacing w:before="0" w:after="0" w:line="240" w:lineRule="auto"/>
        <w:rPr>
          <w:rFonts w:ascii="Bookman Old Style" w:hAnsi="Bookman Old Style" w:cstheme="minorHAnsi"/>
          <w:bCs w:val="0"/>
          <w:sz w:val="24"/>
          <w:szCs w:val="24"/>
        </w:rPr>
      </w:pPr>
      <w:r w:rsidRPr="00670E34">
        <w:rPr>
          <w:rFonts w:ascii="Bookman Old Style" w:hAnsi="Bookman Old Style" w:cstheme="minorHAnsi"/>
          <w:bCs w:val="0"/>
          <w:sz w:val="24"/>
          <w:szCs w:val="24"/>
        </w:rPr>
        <w:t>CONTRATO ADMINISTRATIVO Nº ......../202</w:t>
      </w:r>
      <w:r>
        <w:rPr>
          <w:rFonts w:ascii="Bookman Old Style" w:hAnsi="Bookman Old Style" w:cstheme="minorHAnsi"/>
          <w:bCs w:val="0"/>
          <w:sz w:val="24"/>
          <w:szCs w:val="24"/>
        </w:rPr>
        <w:t>6</w:t>
      </w:r>
      <w:r w:rsidRPr="00670E34">
        <w:rPr>
          <w:rFonts w:ascii="Bookman Old Style" w:hAnsi="Bookman Old Style" w:cstheme="minorHAnsi"/>
          <w:bCs w:val="0"/>
          <w:sz w:val="24"/>
          <w:szCs w:val="24"/>
        </w:rPr>
        <w:t xml:space="preserve">, QUE FAZEM ENTRE SI A CÂMARA MUNICIPAL DE TERRA RICA, POR INTERMÉDIO DO (A) ......................................................... E .............................................................  </w:t>
      </w:r>
    </w:p>
    <w:p w14:paraId="58290755" w14:textId="77777777" w:rsidR="005C161E" w:rsidRPr="00670E34" w:rsidRDefault="005C161E" w:rsidP="005C161E">
      <w:pPr>
        <w:ind w:firstLine="1418"/>
        <w:jc w:val="both"/>
        <w:rPr>
          <w:rFonts w:ascii="Bookman Old Style" w:eastAsia="Arial" w:hAnsi="Bookman Old Style" w:cstheme="minorHAnsi"/>
          <w:sz w:val="24"/>
          <w:szCs w:val="24"/>
        </w:rPr>
      </w:pPr>
      <w:r w:rsidRPr="00670E34">
        <w:rPr>
          <w:rFonts w:ascii="Bookman Old Style" w:eastAsia="Arial" w:hAnsi="Bookman Old Style" w:cstheme="minorHAnsi"/>
          <w:b/>
          <w:bCs/>
          <w:color w:val="000000" w:themeColor="text1"/>
          <w:sz w:val="24"/>
          <w:szCs w:val="24"/>
        </w:rPr>
        <w:t>A CAMARA MUNICIPAL DE TERRA RICA</w:t>
      </w:r>
      <w:r w:rsidRPr="00670E34">
        <w:rPr>
          <w:rFonts w:ascii="Bookman Old Style" w:eastAsia="Arial" w:hAnsi="Bookman Old Style" w:cstheme="minorHAnsi"/>
          <w:sz w:val="24"/>
          <w:szCs w:val="24"/>
        </w:rPr>
        <w:t xml:space="preserve">, com sede na </w:t>
      </w:r>
      <w:r w:rsidRPr="00670E34">
        <w:rPr>
          <w:rFonts w:ascii="Bookman Old Style" w:eastAsia="Arial" w:hAnsi="Bookman Old Style" w:cstheme="minorHAnsi"/>
          <w:color w:val="000000" w:themeColor="text1"/>
          <w:sz w:val="24"/>
          <w:szCs w:val="24"/>
        </w:rPr>
        <w:t xml:space="preserve">Av. São Paulo, 1178 – 1º Andar, </w:t>
      </w:r>
      <w:r w:rsidRPr="00670E34">
        <w:rPr>
          <w:rFonts w:ascii="Bookman Old Style" w:eastAsia="Arial" w:hAnsi="Bookman Old Style" w:cstheme="minorHAnsi"/>
          <w:sz w:val="24"/>
          <w:szCs w:val="24"/>
        </w:rPr>
        <w:t xml:space="preserve">na cidade de </w:t>
      </w:r>
      <w:r w:rsidRPr="00670E34">
        <w:rPr>
          <w:rFonts w:ascii="Bookman Old Style" w:eastAsia="Arial" w:hAnsi="Bookman Old Style" w:cstheme="minorHAnsi"/>
          <w:color w:val="000000" w:themeColor="text1"/>
          <w:sz w:val="24"/>
          <w:szCs w:val="24"/>
        </w:rPr>
        <w:t>Terra Rica</w:t>
      </w:r>
      <w:r w:rsidRPr="00670E34">
        <w:rPr>
          <w:rFonts w:ascii="Bookman Old Style" w:eastAsia="Arial" w:hAnsi="Bookman Old Style" w:cstheme="minorHAnsi"/>
          <w:sz w:val="24"/>
          <w:szCs w:val="24"/>
        </w:rPr>
        <w:t xml:space="preserve">/Estado do Paraná, inscrita no CNPJ sob o nº </w:t>
      </w:r>
      <w:r w:rsidRPr="00670E34">
        <w:rPr>
          <w:rFonts w:ascii="Bookman Old Style" w:eastAsia="Arial" w:hAnsi="Bookman Old Style" w:cstheme="minorHAnsi"/>
          <w:color w:val="000000" w:themeColor="text1"/>
          <w:sz w:val="24"/>
          <w:szCs w:val="24"/>
        </w:rPr>
        <w:t>01.432.222/0001-46</w:t>
      </w:r>
      <w:r w:rsidRPr="00670E34">
        <w:rPr>
          <w:rFonts w:ascii="Bookman Old Style" w:eastAsia="Arial" w:hAnsi="Bookman Old Style" w:cstheme="minorHAnsi"/>
          <w:sz w:val="24"/>
          <w:szCs w:val="24"/>
        </w:rPr>
        <w:t>, neste ato representada pel</w:t>
      </w:r>
      <w:r>
        <w:rPr>
          <w:rFonts w:ascii="Bookman Old Style" w:eastAsia="Arial" w:hAnsi="Bookman Old Style" w:cstheme="minorHAnsi"/>
          <w:sz w:val="24"/>
          <w:szCs w:val="24"/>
        </w:rPr>
        <w:t>a</w:t>
      </w:r>
      <w:r w:rsidRPr="00670E34">
        <w:rPr>
          <w:rFonts w:ascii="Bookman Old Style" w:eastAsia="Arial" w:hAnsi="Bookman Old Style" w:cstheme="minorHAnsi"/>
          <w:sz w:val="24"/>
          <w:szCs w:val="24"/>
        </w:rPr>
        <w:t xml:space="preserve"> Presidente </w:t>
      </w:r>
      <w:r>
        <w:rPr>
          <w:rFonts w:ascii="Bookman Old Style" w:eastAsia="Arial" w:hAnsi="Bookman Old Style" w:cstheme="minorHAnsi"/>
          <w:b/>
          <w:bCs/>
          <w:color w:val="000000" w:themeColor="text1"/>
          <w:sz w:val="24"/>
          <w:szCs w:val="24"/>
        </w:rPr>
        <w:t>Alessandra Aparecida da Cruz</w:t>
      </w:r>
      <w:r w:rsidRPr="00670E34">
        <w:rPr>
          <w:rFonts w:ascii="Bookman Old Style" w:eastAsia="Arial" w:hAnsi="Bookman Old Style" w:cstheme="minorHAnsi"/>
          <w:sz w:val="24"/>
          <w:szCs w:val="24"/>
        </w:rPr>
        <w:t>, doravante denominado CONTRATANTE, e o</w:t>
      </w:r>
      <w:r w:rsidRPr="00670E34">
        <w:rPr>
          <w:rFonts w:ascii="Bookman Old Style" w:eastAsia="Arial" w:hAnsi="Bookman Old Style" w:cstheme="minorHAnsi"/>
          <w:color w:val="000000" w:themeColor="text1"/>
          <w:sz w:val="24"/>
          <w:szCs w:val="24"/>
        </w:rPr>
        <w:t xml:space="preserve">(a) .............................., inscrito(a) no CNPJ/MF sob o nº ............................, sediado(a) na ..................................., doravante designado CONTRATADO, neste ato representado(a) por .................................. (nome e função no contratado), conforme atos constitutivos da empresa </w:t>
      </w:r>
      <w:r w:rsidRPr="00670E34">
        <w:rPr>
          <w:rFonts w:ascii="Bookman Old Style" w:eastAsia="Arial" w:hAnsi="Bookman Old Style" w:cstheme="minorHAnsi"/>
          <w:b/>
          <w:bCs/>
          <w:color w:val="000000" w:themeColor="text1"/>
          <w:sz w:val="24"/>
          <w:szCs w:val="24"/>
        </w:rPr>
        <w:t>OU</w:t>
      </w:r>
      <w:r w:rsidRPr="00670E34">
        <w:rPr>
          <w:rFonts w:ascii="Bookman Old Style" w:eastAsia="Arial" w:hAnsi="Bookman Old Style" w:cstheme="minorHAnsi"/>
          <w:color w:val="000000" w:themeColor="text1"/>
          <w:sz w:val="24"/>
          <w:szCs w:val="24"/>
        </w:rPr>
        <w:t xml:space="preserve"> procuração apresentada nos autos</w:t>
      </w:r>
      <w:r w:rsidRPr="00670E34">
        <w:rPr>
          <w:rFonts w:ascii="Bookman Old Style" w:eastAsia="Arial" w:hAnsi="Bookman Old Style" w:cstheme="minorHAnsi"/>
          <w:i/>
          <w:iCs/>
          <w:color w:val="FF0000"/>
          <w:sz w:val="24"/>
          <w:szCs w:val="24"/>
        </w:rPr>
        <w:t xml:space="preserve">, </w:t>
      </w:r>
      <w:r w:rsidRPr="00670E34">
        <w:rPr>
          <w:rFonts w:ascii="Bookman Old Style" w:eastAsia="Arial" w:hAnsi="Bookman Old Style" w:cstheme="minorHAnsi"/>
          <w:sz w:val="24"/>
          <w:szCs w:val="24"/>
        </w:rPr>
        <w:t>tendo em vista o que consta no Processo nº 0</w:t>
      </w:r>
      <w:r>
        <w:rPr>
          <w:rFonts w:ascii="Bookman Old Style" w:eastAsia="Arial" w:hAnsi="Bookman Old Style" w:cstheme="minorHAnsi"/>
          <w:sz w:val="24"/>
          <w:szCs w:val="24"/>
        </w:rPr>
        <w:t>13</w:t>
      </w:r>
      <w:r w:rsidRPr="00670E34">
        <w:rPr>
          <w:rFonts w:ascii="Bookman Old Style" w:eastAsia="Arial" w:hAnsi="Bookman Old Style" w:cstheme="minorHAnsi"/>
          <w:sz w:val="24"/>
          <w:szCs w:val="24"/>
        </w:rPr>
        <w:t>/202</w:t>
      </w:r>
      <w:r>
        <w:rPr>
          <w:rFonts w:ascii="Bookman Old Style" w:eastAsia="Arial" w:hAnsi="Bookman Old Style" w:cstheme="minorHAnsi"/>
          <w:sz w:val="24"/>
          <w:szCs w:val="24"/>
        </w:rPr>
        <w:t>6</w:t>
      </w:r>
      <w:r w:rsidRPr="00670E34">
        <w:rPr>
          <w:rFonts w:ascii="Bookman Old Style" w:eastAsia="Arial" w:hAnsi="Bookman Old Style" w:cstheme="minorHAnsi"/>
          <w:color w:val="FF0000"/>
          <w:sz w:val="24"/>
          <w:szCs w:val="24"/>
        </w:rPr>
        <w:t xml:space="preserve"> </w:t>
      </w:r>
      <w:r w:rsidRPr="00670E34">
        <w:rPr>
          <w:rFonts w:ascii="Bookman Old Style" w:eastAsia="Arial" w:hAnsi="Bookman Old Style" w:cstheme="minorHAnsi"/>
          <w:sz w:val="24"/>
          <w:szCs w:val="24"/>
        </w:rPr>
        <w:t xml:space="preserve">e em observância às disposições da </w:t>
      </w:r>
      <w:hyperlink r:id="rId21" w:history="1">
        <w:r w:rsidRPr="00670E34">
          <w:rPr>
            <w:rStyle w:val="Hyperlink"/>
            <w:rFonts w:ascii="Bookman Old Style" w:eastAsia="Arial" w:hAnsi="Bookman Old Style" w:cstheme="minorHAnsi"/>
            <w:sz w:val="24"/>
            <w:szCs w:val="24"/>
          </w:rPr>
          <w:t>Lei nº 14.133, de 1º de abril de 2021</w:t>
        </w:r>
      </w:hyperlink>
      <w:r w:rsidRPr="00670E34">
        <w:rPr>
          <w:rFonts w:ascii="Bookman Old Style" w:eastAsia="Arial" w:hAnsi="Bookman Old Style" w:cstheme="minorHAnsi"/>
          <w:sz w:val="24"/>
          <w:szCs w:val="24"/>
        </w:rPr>
        <w:t xml:space="preserve">, e demais legislação aplicável, resolvem celebrar o presente Termo de Contrato, decorrente da </w:t>
      </w:r>
      <w:r w:rsidRPr="00670E34">
        <w:rPr>
          <w:rFonts w:ascii="Bookman Old Style" w:eastAsia="Arial" w:hAnsi="Bookman Old Style" w:cstheme="minorHAnsi"/>
          <w:b/>
          <w:bCs/>
          <w:sz w:val="24"/>
          <w:szCs w:val="24"/>
        </w:rPr>
        <w:t>DISPENSA DE LICITAÇÃO N. 00</w:t>
      </w:r>
      <w:r>
        <w:rPr>
          <w:rFonts w:ascii="Bookman Old Style" w:eastAsia="Arial" w:hAnsi="Bookman Old Style" w:cstheme="minorHAnsi"/>
          <w:b/>
          <w:bCs/>
          <w:sz w:val="24"/>
          <w:szCs w:val="24"/>
        </w:rPr>
        <w:t>7</w:t>
      </w:r>
      <w:r w:rsidRPr="00670E34">
        <w:rPr>
          <w:rFonts w:ascii="Bookman Old Style" w:eastAsia="Arial" w:hAnsi="Bookman Old Style" w:cstheme="minorHAnsi"/>
          <w:b/>
          <w:bCs/>
          <w:sz w:val="24"/>
          <w:szCs w:val="24"/>
        </w:rPr>
        <w:t>/202</w:t>
      </w:r>
      <w:r>
        <w:rPr>
          <w:rFonts w:ascii="Bookman Old Style" w:eastAsia="Arial" w:hAnsi="Bookman Old Style" w:cstheme="minorHAnsi"/>
          <w:b/>
          <w:bCs/>
          <w:sz w:val="24"/>
          <w:szCs w:val="24"/>
        </w:rPr>
        <w:t>6</w:t>
      </w:r>
      <w:r w:rsidRPr="00670E34">
        <w:rPr>
          <w:rFonts w:ascii="Bookman Old Style" w:eastAsia="Arial" w:hAnsi="Bookman Old Style" w:cstheme="minorHAnsi"/>
          <w:sz w:val="24"/>
          <w:szCs w:val="24"/>
        </w:rPr>
        <w:t xml:space="preserve"> mediante as cláusulas e condições a seguir enunciadas.</w:t>
      </w:r>
    </w:p>
    <w:p w14:paraId="390B2C82" w14:textId="77777777" w:rsidR="005C161E" w:rsidRPr="00670E34" w:rsidRDefault="005C161E" w:rsidP="00E15208">
      <w:pPr>
        <w:pStyle w:val="Nivel01"/>
        <w:numPr>
          <w:ilvl w:val="0"/>
          <w:numId w:val="5"/>
        </w:numPr>
        <w:ind w:left="555" w:hanging="555"/>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PRIMEIRA – OBJETO (</w:t>
      </w:r>
      <w:hyperlink r:id="rId22" w:anchor="art92" w:history="1">
        <w:r w:rsidRPr="00670E34">
          <w:rPr>
            <w:rStyle w:val="Hyperlink"/>
            <w:rFonts w:ascii="Bookman Old Style" w:hAnsi="Bookman Old Style" w:cstheme="minorHAnsi"/>
            <w:sz w:val="24"/>
            <w:szCs w:val="24"/>
          </w:rPr>
          <w:t>art. 92, I e II</w:t>
        </w:r>
      </w:hyperlink>
      <w:r w:rsidRPr="00670E34">
        <w:rPr>
          <w:rFonts w:ascii="Bookman Old Style" w:hAnsi="Bookman Old Style" w:cstheme="minorHAnsi"/>
          <w:sz w:val="24"/>
          <w:szCs w:val="24"/>
        </w:rPr>
        <w:t>)</w:t>
      </w:r>
    </w:p>
    <w:p w14:paraId="7CB74EE4" w14:textId="77777777" w:rsidR="005C161E" w:rsidRDefault="005C161E" w:rsidP="005C161E">
      <w:pPr>
        <w:pStyle w:val="Nivel2"/>
        <w:rPr>
          <w:rFonts w:ascii="Bookman Old Style" w:hAnsi="Bookman Old Style" w:cstheme="minorHAnsi"/>
          <w:sz w:val="24"/>
          <w:szCs w:val="24"/>
        </w:rPr>
      </w:pPr>
      <w:r w:rsidRPr="00670E34">
        <w:rPr>
          <w:rFonts w:ascii="Bookman Old Style" w:hAnsi="Bookman Old Style" w:cstheme="minorHAnsi"/>
          <w:sz w:val="24"/>
          <w:szCs w:val="24"/>
        </w:rPr>
        <w:t xml:space="preserve">O objeto do presente instrumento é a </w:t>
      </w:r>
      <w:r w:rsidRPr="00716EBD">
        <w:rPr>
          <w:rFonts w:ascii="Bookman Old Style" w:hAnsi="Bookman Old Style"/>
          <w:b/>
          <w:sz w:val="24"/>
          <w:szCs w:val="24"/>
        </w:rPr>
        <w:t>Aquisição de equipamentos de informática, compreendendo notebooks, impressoras multifuncionais a laser monocromática, monitores, microcomputadores completos, suportes articulados de mesa para monitores e scanners de documentos com alimentador automático, bem como contratação de serviços de formatação e instalação de computadores, destinados ao atendimento das necessidades administrativas e institucionais da Câmara Municipal de Terra Rica, Estado do Paraná, incluindo, quando aplicável, fornecimento de acessórios, cabos, montagem, instalação, configuração, testes e demais procedimentos necessários à completa operacionalização dos equipamentos, conforme quantidades, condições e especificações técnicas mínimas constantes no Termo d</w:t>
      </w:r>
      <w:r>
        <w:rPr>
          <w:rFonts w:ascii="Bookman Old Style" w:hAnsi="Bookman Old Style"/>
          <w:b/>
          <w:sz w:val="24"/>
          <w:szCs w:val="24"/>
        </w:rPr>
        <w:t>e Referência</w:t>
      </w:r>
      <w:r>
        <w:rPr>
          <w:rFonts w:ascii="Bookman Old Style" w:hAnsi="Bookman Old Style"/>
          <w:sz w:val="24"/>
          <w:szCs w:val="24"/>
        </w:rPr>
        <w:t>,</w:t>
      </w:r>
      <w:r w:rsidRPr="00784154">
        <w:rPr>
          <w:rFonts w:ascii="Bookman Old Style" w:hAnsi="Bookman Old Style" w:cstheme="minorHAnsi"/>
          <w:sz w:val="24"/>
          <w:szCs w:val="24"/>
        </w:rPr>
        <w:t xml:space="preserve"> nas co</w:t>
      </w:r>
      <w:r w:rsidRPr="00670E34">
        <w:rPr>
          <w:rFonts w:ascii="Bookman Old Style" w:hAnsi="Bookman Old Style" w:cstheme="minorHAnsi"/>
          <w:sz w:val="24"/>
          <w:szCs w:val="24"/>
        </w:rPr>
        <w:t>ndições estabelecidas no Termo de Referência.</w:t>
      </w:r>
    </w:p>
    <w:p w14:paraId="1F5A6E9A" w14:textId="77777777" w:rsidR="005C161E" w:rsidRPr="00670E34" w:rsidRDefault="005C161E" w:rsidP="005C161E">
      <w:pPr>
        <w:pStyle w:val="Nivel2"/>
        <w:numPr>
          <w:ilvl w:val="0"/>
          <w:numId w:val="0"/>
        </w:numPr>
        <w:spacing w:before="0" w:after="0" w:line="240" w:lineRule="auto"/>
        <w:rPr>
          <w:rFonts w:ascii="Bookman Old Style" w:hAnsi="Bookman Old Style" w:cstheme="minorHAnsi"/>
          <w:sz w:val="24"/>
          <w:szCs w:val="24"/>
        </w:rPr>
      </w:pPr>
    </w:p>
    <w:p w14:paraId="6B51C177"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Objeto da contratação:</w:t>
      </w: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244958C5"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A77E2EC"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01: NOTEBOOK</w:t>
            </w:r>
          </w:p>
        </w:tc>
      </w:tr>
      <w:tr w:rsidR="005C161E" w:rsidRPr="006A63BD" w14:paraId="6B142DA2"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F39A9"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lastRenderedPageBreak/>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0AB3D5C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301DBEF0"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032D023"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3867851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A7E6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6E812277"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0E324044"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00278A2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07ECB099"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NOTEBOOK</w:t>
            </w:r>
          </w:p>
          <w:p w14:paraId="1E3FA5AB"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Notebook novo, sem uso anterior, em linha de fabricação, destinado à utilização em atividades administrativas e institucionais, devendo possuir, no mínimo, as seguintes características: Processador: arquitetura de 64 bits, com no mínimo 10 (dez) núcleos físicos e 12 (doze) threads, memória cache de no mínimo 12 MB e frequência máxima em modo turbo de, no mínimo, 5,0 GHz, ou processador de desempenho equivalente ou superior, comprovável mediante documentação técnica oficial do fabricante; Memória RAM: mínimo de 16 GB, padrão DDR4 com frequência mínima de 3.200 MT/s, DDR5 ou tecnologia superior, admitida configuração em um ou mais módulos, desde que atendida a capacidade mínima especificada; Armazenamento: unidade de estado sólido (SSD) com capacidade mínima de 1 TB, preferencialmente padrão M.2 NVMe ou tecnologia de desempenho equivalente ou superior; Placa gráfica: solução gráfica dedicada, com memória própria de vídeo de no mínimo 2 GB, padrão GDDR6 ou superior, compatível com DirectX 12 ou superior e adequada à reprodução, edição e </w:t>
            </w:r>
            <w:r w:rsidRPr="006A63BD">
              <w:rPr>
                <w:rFonts w:ascii="Bookman Old Style" w:eastAsia="Calibri" w:hAnsi="Bookman Old Style" w:cs="Calibri"/>
                <w:sz w:val="24"/>
                <w:szCs w:val="24"/>
                <w:lang w:val="pt-PT"/>
              </w:rPr>
              <w:lastRenderedPageBreak/>
              <w:t xml:space="preserve">processamento de conteúdos gráficos e audiovisuais; Tela: integrada ao equipamento, com tamanho mínimo de 15 polegadas, tecnologia LED, LCD ou superior, resolução mínima Full HD (1920 × 1080 pixels); Sistema operacional: Windows 11 Pro, 64 bits, original, devidamente licenciado e ativado, em idioma português do Brasil, instalado de fábrica ou fornecido juntamente com o equipamento, acompanhado da respectiva licença digital, devendo possuir compatibilidade com TPM 2.0, UEFI e inicialização segura (Secure Boot); Conectividade sem fio: interface de rede sem fio compatível com padrão Wi-Fi 6 (IEEE 802.11ax) ou superior, com tecnologia 2x2 ou superior, e Bluetooth integrado; Conexões e interfaces: deverá possuir, no mínimo: 01 (uma) porta HDMI; 01 (uma) porta USB Tipo-A padrão USB 3.2 ou superior; 01 (uma) porta USB Tipo-C padrão USB 3.2 ou superior; 01 (uma) porta USB Tipo-A adicional, padrão USB 2.0 ou superior; 01 (um) conector combinado para fone de ouvido e microfone (headset); conexão própria para alimentação/carregamento do equipamento ou carregamento por USB-C, conforme projeto do </w:t>
            </w:r>
            <w:r w:rsidRPr="006A63BD">
              <w:rPr>
                <w:rFonts w:ascii="Bookman Old Style" w:eastAsia="Calibri" w:hAnsi="Bookman Old Style" w:cs="Calibri"/>
                <w:sz w:val="24"/>
                <w:szCs w:val="24"/>
                <w:lang w:val="pt-PT"/>
              </w:rPr>
              <w:lastRenderedPageBreak/>
              <w:t xml:space="preserve">fabricante. Webcam: integrada, com resolução mínima HD 720p, acompanhada de microfone digital integrado; Áudio: alto-falantes e microfone integrados ao equipamento; Bateria: integrada ou removível, de íons de lítio ou tecnologia equivalente/superior, dimensionada pelo fabricante para o equipamento e com capacidade mínima de 40 Wh; Alimentação: fonte/carregador original ou homologado pelo fabricante, compatível com a tensão elétrica utilizada no Brasil, acompanhada de cabo de alimentação e todos os acessórios indispensáveis ao funcionamento; Teclado: padrão ABNT2 ou configuração compatível com português do Brasil, integrado ao equipamento; Touchpad: integrado, com suporte às funções usuais de apontamento e navegação; Garantia: garantia mínima de 12 (doze) meses, contados do recebimento definitivo do equipamento, prestada pelo fabricante, fornecedor ou rede de assistência técnica autorizada; Condições gerais: o equipamento deverá ser fornecido novo, sem uso anterior, não recondicionado, não remanufaturado e em linha normal de produção/comercialização, </w:t>
            </w:r>
            <w:r w:rsidRPr="006A63BD">
              <w:rPr>
                <w:rFonts w:ascii="Bookman Old Style" w:eastAsia="Calibri" w:hAnsi="Bookman Old Style" w:cs="Calibri"/>
                <w:sz w:val="24"/>
                <w:szCs w:val="24"/>
                <w:lang w:val="pt-PT"/>
              </w:rPr>
              <w:lastRenderedPageBreak/>
              <w:t>acompanhado de todos os acessórios necessários ao seu perfeito funcionamento.</w:t>
            </w:r>
          </w:p>
          <w:p w14:paraId="0AC348F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00D1CFC8"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Serão aceitos equipamentos de qualquer fabricante, desde que atendam integralmente ou superem as especificações técnicas mínimas estabelecidas, não sendo admitida a exigência de marca ou modelo específico. Eventuais referências a tecnologias, padrões ou características de equipamentos existentes no mercado possuem caráter exclusivamente técnico e de definição de desempenho mínimo, admitindo-se soluções equivalentes ou superiores, mediante comprovação por documentação oficial do fabricante.</w:t>
            </w:r>
          </w:p>
          <w:p w14:paraId="0C1CEA6A"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4C598990"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O equipamento deverá ser entregue novo, devidamente montado, instalado e configurado,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307" w:type="dxa"/>
            <w:tcBorders>
              <w:top w:val="single" w:sz="4" w:space="0" w:color="auto"/>
              <w:left w:val="single" w:sz="4" w:space="0" w:color="auto"/>
              <w:bottom w:val="single" w:sz="4" w:space="0" w:color="auto"/>
              <w:right w:val="single" w:sz="4" w:space="0" w:color="auto"/>
            </w:tcBorders>
          </w:tcPr>
          <w:p w14:paraId="21FF249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542C89E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02</w:t>
            </w:r>
          </w:p>
        </w:tc>
        <w:tc>
          <w:tcPr>
            <w:tcW w:w="1461" w:type="dxa"/>
            <w:tcBorders>
              <w:top w:val="nil"/>
              <w:left w:val="single" w:sz="4" w:space="0" w:color="auto"/>
              <w:bottom w:val="single" w:sz="4" w:space="0" w:color="auto"/>
              <w:right w:val="single" w:sz="4" w:space="0" w:color="auto"/>
            </w:tcBorders>
          </w:tcPr>
          <w:p w14:paraId="4BB442B5"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5D6FEC06"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29BE8CF4"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2DDBB32D"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38D81917"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01</w:t>
            </w:r>
          </w:p>
        </w:tc>
        <w:tc>
          <w:tcPr>
            <w:tcW w:w="1654" w:type="dxa"/>
            <w:tcBorders>
              <w:top w:val="nil"/>
              <w:left w:val="nil"/>
              <w:bottom w:val="single" w:sz="4" w:space="0" w:color="000000"/>
              <w:right w:val="single" w:sz="4" w:space="0" w:color="auto"/>
            </w:tcBorders>
            <w:shd w:val="clear" w:color="auto" w:fill="auto"/>
            <w:vAlign w:val="center"/>
          </w:tcPr>
          <w:p w14:paraId="55475D86"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6075827D"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222C8D71"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1BD7A5"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02: IMPRESSORA MULTIFUNCIONAL A LASER MONOCROMÁTICA</w:t>
            </w:r>
          </w:p>
        </w:tc>
      </w:tr>
      <w:tr w:rsidR="005C161E" w:rsidRPr="006A63BD" w14:paraId="2FF06610"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AD9E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lastRenderedPageBreak/>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46C55E8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1CC97B47"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88B18C6"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0B4256CC"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8951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634D84E6"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61AA2476"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34884CF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6BFDF28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IMPRESSORA MULTIFUNCIONAL A LASER MONOCROMÁTICA</w:t>
            </w:r>
          </w:p>
          <w:p w14:paraId="084D16FC"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Impressora multifuncional monocromática, nova e sem uso anterior, destinada à utilização em atividades administrativas e institucionais, com funções integradas de impressão, cópia e digitalização, devendo possuir, no mínimo, as seguintes características: Funções: impressão, cópia e digitalização (scanner), integradas em um único equipamento; Tecnologia de impressão: laser monocromática ou tecnologia equivalente/superior; Velocidade de impressão: mínima de 38 páginas por minuto (ppm) em papel tamanho A4; Resolução de impressão: mínima de 1.200 × 1.200 dpi, ou qualidade de impressão equivalente/superior; Impressão frente e verso: automática (duplex), sem necessidade de intervenção manual do usuário; Scanner: integrado e colorido, adequado à digitalização de documentos administrativos; Resolução óptica do scanner: mínima de 600 × 600 dpi; Alimentador automático de documentos (ADF): capacidade mínima de 50 folhas, permitindo a </w:t>
            </w:r>
            <w:r w:rsidRPr="006A63BD">
              <w:rPr>
                <w:rFonts w:ascii="Bookman Old Style" w:eastAsia="Calibri" w:hAnsi="Bookman Old Style" w:cs="Calibri"/>
                <w:sz w:val="24"/>
                <w:szCs w:val="24"/>
                <w:lang w:val="pt-PT"/>
              </w:rPr>
              <w:lastRenderedPageBreak/>
              <w:t xml:space="preserve">digitalização e/ou cópia sequencial de documentos com múltiplas páginas; Digitalização frente e verso: automática ou por mecanismo compatível com a operação do equipamento, quando disponibilizada pelo fabricante; Copiadora: integrada, permitindo, no mínimo, funções de ampliação e redução de documentos; Ampliação e redução: faixa mínima compreendendo 25% a 400%, admitidas faixas superiores; Bandeja principal de entrada: capacidade mínima de 250 folhas; Bandeja ou alimentador multiuso: capacidade mínima de 50 folhas, destinada à alimentação de diferentes tipos, formatos ou gramaturas de papel; Bandeja de saída: capacidade mínima de 150 folhas; Formatos de papel: compatível, no mínimo, com A4, A5, A6, Carta e Ofício, além de outros formatos eventualmente suportados pelo equipamento; Gramatura: capacidade para utilização de papéis de diferentes gramaturas, incluindo papel comum, observados os limites estabelecidos pelo fabricante; Conectividade USB: possuir, no mínimo, 01 (uma) interface USB 2.0 ou superior, para conexão direta a computador; Conectividade de rede: </w:t>
            </w:r>
            <w:r w:rsidRPr="006A63BD">
              <w:rPr>
                <w:rFonts w:ascii="Bookman Old Style" w:eastAsia="Calibri" w:hAnsi="Bookman Old Style" w:cs="Calibri"/>
                <w:sz w:val="24"/>
                <w:szCs w:val="24"/>
                <w:lang w:val="pt-PT"/>
              </w:rPr>
              <w:lastRenderedPageBreak/>
              <w:t xml:space="preserve">possuir interface Ethernet integrada, padrão 10/100 Mbps ou superior, com conector RJ-45, permitindo o compartilhamento e utilização do equipamento em rede local; Memória: capacidade dimensionada pelo fabricante e suficiente para execução adequada das funções e velocidade especificadas; Volume mensal recomendado: adequado ao uso administrativo e institucional, com volume recomendado pelo fabricante de, no mínimo, 5.000 páginas/mês; Ciclo máximo mensal: capacidade de, no mínimo, 50.000 páginas/mês, ou superior; Painel de controle: integrado ao equipamento, com visor e comandos que permitam acesso, operação e configuração das principais funções; Compatibilidade: possuir drivers e softwares compatíveis com Windows 11 de 64 bits, ou versão mais recente do sistema operacional utilizada pela Administração; Alimentação elétrica: compatível com a rede elétrica de 127 V, admitindo-se equipamento bivolt automático, acompanhado de cabo de alimentação e/ou fonte necessária ao funcionamento; Suprimento inicial: deverá ser fornecido com toner inicial e demais consumíveis indispensáveis à sua imediata utilização, </w:t>
            </w:r>
            <w:r w:rsidRPr="006A63BD">
              <w:rPr>
                <w:rFonts w:ascii="Bookman Old Style" w:eastAsia="Calibri" w:hAnsi="Bookman Old Style" w:cs="Calibri"/>
                <w:sz w:val="24"/>
                <w:szCs w:val="24"/>
                <w:lang w:val="pt-PT"/>
              </w:rPr>
              <w:lastRenderedPageBreak/>
              <w:t>originais do fabricante ou fornecidos de fábrica com o equipamento; Acessórios: deverão acompanhar o equipamento todos os cabos, fontes, componentes, acessórios e demais itens indispensáveis à instalação e ao pleno funcionamento; Garantia: mínima de 12 (doze) meses, contados do recebimento definitivo do equipamento, prestada pelo fabricante, fornecedor ou rede de assistência técnica autorizada; Condição: equipamento novo, sem uso anterior, não recondicionado e não remanufaturado, em linha normal de produção/comercialização e fornecido em embalagem original ou adequada à sua proteção.</w:t>
            </w:r>
          </w:p>
          <w:p w14:paraId="1077660A"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4F9252B7"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O equipamento poderá ser de qualquer fabricante, desde que atenda integralmente ou supere as especificações técnicas mínimas estabelecidas, não sendo exigida marca ou modelo específico.</w:t>
            </w:r>
          </w:p>
          <w:p w14:paraId="3B7C2274"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24428C2B"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As características técnicas estabelecidas destinam-se exclusivamente à definição do padrão mínimo de desempenho, produtividade, qualidade, capacidade, funcionalidade e compatibilidade necessário ao atendimento das necessidades da Administração, sendo </w:t>
            </w:r>
            <w:r w:rsidRPr="006A63BD">
              <w:rPr>
                <w:rFonts w:ascii="Bookman Old Style" w:eastAsia="Calibri" w:hAnsi="Bookman Old Style" w:cs="Calibri"/>
                <w:sz w:val="24"/>
                <w:szCs w:val="24"/>
                <w:lang w:val="pt-PT"/>
              </w:rPr>
              <w:lastRenderedPageBreak/>
              <w:t>admitidos equipamentos com características equivalentes ou superiores, desde que devidamente comprovadas por catálogo, ficha técnica ou documentação oficial do fabricante.</w:t>
            </w:r>
          </w:p>
          <w:p w14:paraId="280800CD"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56136E45"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A proposta deverá indicar expressamente a marca e o modelo do equipamento ofertado, possibilitando à Administração verificar sua conformidade com as especificações técnicas mínimas estabelecidas.</w:t>
            </w:r>
          </w:p>
          <w:p w14:paraId="427A36F1"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659A8846"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O equipamento deverá ser entregue novo, devidamente instalado e configurado nas dependências da Câmara Municipal de Terra Rica/PR, incluindo instalação dos respectivos drivers e softwares, conexão à rede local e/ou computador indicado pela Administração, configuração das funções de impressão, cópia e digitalização e realização dos respectivos testes de funcionamento, devendo ser entregue em plenas condições de funcionamento e pronto para uso, incluindo todos os serviços, mão de obra, cabos, conexões, acessórios e demais procedimentos necessários, sem custos adicionais para a Administração.</w:t>
            </w:r>
          </w:p>
        </w:tc>
        <w:tc>
          <w:tcPr>
            <w:tcW w:w="1307" w:type="dxa"/>
            <w:tcBorders>
              <w:top w:val="single" w:sz="4" w:space="0" w:color="auto"/>
              <w:left w:val="single" w:sz="4" w:space="0" w:color="auto"/>
              <w:bottom w:val="single" w:sz="4" w:space="0" w:color="auto"/>
              <w:right w:val="single" w:sz="4" w:space="0" w:color="auto"/>
            </w:tcBorders>
          </w:tcPr>
          <w:p w14:paraId="746AE5A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43F84986"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01</w:t>
            </w:r>
          </w:p>
        </w:tc>
        <w:tc>
          <w:tcPr>
            <w:tcW w:w="1461" w:type="dxa"/>
            <w:tcBorders>
              <w:top w:val="nil"/>
              <w:left w:val="single" w:sz="4" w:space="0" w:color="auto"/>
              <w:bottom w:val="single" w:sz="4" w:space="0" w:color="auto"/>
              <w:right w:val="single" w:sz="4" w:space="0" w:color="auto"/>
            </w:tcBorders>
          </w:tcPr>
          <w:p w14:paraId="27297339"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7C360781"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3FCAC9BD"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43CDAFD2"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5745A3AC"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02</w:t>
            </w:r>
          </w:p>
        </w:tc>
        <w:tc>
          <w:tcPr>
            <w:tcW w:w="1654" w:type="dxa"/>
            <w:tcBorders>
              <w:top w:val="nil"/>
              <w:left w:val="nil"/>
              <w:bottom w:val="single" w:sz="4" w:space="0" w:color="000000"/>
              <w:right w:val="single" w:sz="4" w:space="0" w:color="auto"/>
            </w:tcBorders>
            <w:shd w:val="clear" w:color="auto" w:fill="auto"/>
            <w:vAlign w:val="center"/>
          </w:tcPr>
          <w:p w14:paraId="25A4F166"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44DED5FE"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0D0F42E0"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C44EC9"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lastRenderedPageBreak/>
              <w:t>Lote 03: IMPRESSORA MULTIFUNCIONAL A LASER</w:t>
            </w:r>
          </w:p>
        </w:tc>
      </w:tr>
      <w:tr w:rsidR="005C161E" w:rsidRPr="006A63BD" w14:paraId="63A15D21"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5344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1A33B51B"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4CB78574"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3787994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680FB5A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86304"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65BB75C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4D91F271"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407EAA0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564DD616"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IMPRESSORA MULTIFUNCIONAL A LASER</w:t>
            </w:r>
          </w:p>
          <w:p w14:paraId="031AFA63"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Impressora multifuncional monocromática, com tecnologia de impressão a laser ou tecnologia equivalente/superior, nova e sem uso anterior, destinada às atividades administrativas e institucionais, devendo possuir, no mínimo, as seguintes características: Funções: impressão, cópia e digitalização (scanner), integradas em um único equipamento; Tipo de impressão: monocromática; Tecnologia: laser ou tecnologia equivalente/superior; Velocidade de impressão: mínima de 30 páginas por minuto (ppm) em papel tamanho A4; Resolução de impressão: mínima de 600 × 600 dpi; Impressão frente e verso: automática (duplex); Scanner: integrado, colorido, com resolução óptica mínima de 600 × 600 dpi; Copiadora: integrada, com funções de ampliação e redução; Alimentador automático de documentos (ADF): capacidade mínima para 35 folhas, permitindo digitalização e cópia de documentos com múltiplas páginas; Bandeja de entrada: capacidade mínima de 150 folhas; Formatos de papel: compatível, no </w:t>
            </w:r>
            <w:r w:rsidRPr="006A63BD">
              <w:rPr>
                <w:rFonts w:ascii="Bookman Old Style" w:eastAsia="Calibri" w:hAnsi="Bookman Old Style" w:cs="Calibri"/>
                <w:sz w:val="24"/>
                <w:szCs w:val="24"/>
                <w:lang w:val="pt-PT"/>
              </w:rPr>
              <w:lastRenderedPageBreak/>
              <w:t xml:space="preserve">mínimo, com papel A4, A5, A6, Carta e Ofício, observadas as limitações próprias de cada bandeja ou alimentador; Conectividade: no mínimo 01 (uma) interface USB, para conexão direta a computador; Conectividade de rede: interface Ethernet e/ou Wi-Fi integrada, permitindo o compartilhamento do equipamento em rede; Compatibilidade: compatível com sistemas operacionais Windows atualmente suportados pelo fabricante; Painel de controle: integrado ao equipamento, permitindo acesso e configuração das principais funções; Memória: capacidade compatível com as funções e velocidade especificadas, dimensionada pelo fabricante para o funcionamento adequado do equipamento; Ciclo mensal: recomendado pelo fabricante para utilização compatível com ambiente administrativo; Alimentação elétrica: compatível com a rede elétrica local, acompanhada de cabo de alimentação; Suprimento: deverá ser fornecida com cartucho de toner inicial, original do fabricante ou fornecido de fábrica, permitindo a imediata utilização do equipamento; Acessórios: deverão acompanhar o equipamento todos os cabos, fontes, acessórios e demais </w:t>
            </w:r>
            <w:r w:rsidRPr="006A63BD">
              <w:rPr>
                <w:rFonts w:ascii="Bookman Old Style" w:eastAsia="Calibri" w:hAnsi="Bookman Old Style" w:cs="Calibri"/>
                <w:sz w:val="24"/>
                <w:szCs w:val="24"/>
                <w:lang w:val="pt-PT"/>
              </w:rPr>
              <w:lastRenderedPageBreak/>
              <w:t>componentes indispensáveis à sua instalação e funcionamento; Garantia: mínima de 12 (doze) meses, contados do recebimento definitivo do equipamento, prestada pelo fabricante, fornecedor ou rede de assistência técnica autorizada; Condição: equipamento novo, sem uso anterior, não recondicionado e não remanufaturado, fornecido em embalagem original ou adequada à sua proteção.</w:t>
            </w:r>
          </w:p>
          <w:p w14:paraId="3D046D2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6DDB3134"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O equipamento poderá ser de qualquer fabricante, desde que atenda integralmente ou supere as especificações técnicas mínimas estabelecidas, não sendo exigida marca ou modelo específico.</w:t>
            </w:r>
          </w:p>
          <w:p w14:paraId="0CFB7ACD"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26A2B4F5"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Eventuais características técnicas indicadas destinam-se exclusivamente à definição do padrão mínimo de desempenho, qualidade, funcionalidade e compatibilidade necessário ao atendimento da Administração, sendo admitidos equipamentos com características equivalentes ou superiores, mediante comprovação por catálogo, ficha técnica ou documentação oficial do fabricante.</w:t>
            </w:r>
          </w:p>
        </w:tc>
        <w:tc>
          <w:tcPr>
            <w:tcW w:w="1307" w:type="dxa"/>
            <w:tcBorders>
              <w:top w:val="single" w:sz="4" w:space="0" w:color="auto"/>
              <w:left w:val="single" w:sz="4" w:space="0" w:color="auto"/>
              <w:bottom w:val="single" w:sz="4" w:space="0" w:color="auto"/>
              <w:right w:val="single" w:sz="4" w:space="0" w:color="auto"/>
            </w:tcBorders>
          </w:tcPr>
          <w:p w14:paraId="4B04F47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182374C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02</w:t>
            </w:r>
          </w:p>
        </w:tc>
        <w:tc>
          <w:tcPr>
            <w:tcW w:w="1461" w:type="dxa"/>
            <w:tcBorders>
              <w:top w:val="nil"/>
              <w:left w:val="single" w:sz="4" w:space="0" w:color="auto"/>
              <w:bottom w:val="single" w:sz="4" w:space="0" w:color="auto"/>
              <w:right w:val="single" w:sz="4" w:space="0" w:color="auto"/>
            </w:tcBorders>
          </w:tcPr>
          <w:p w14:paraId="23443104"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0A1932CF"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03BEE633"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1806835B"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730EB090"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03</w:t>
            </w:r>
          </w:p>
        </w:tc>
        <w:tc>
          <w:tcPr>
            <w:tcW w:w="1654" w:type="dxa"/>
            <w:tcBorders>
              <w:top w:val="nil"/>
              <w:left w:val="nil"/>
              <w:bottom w:val="single" w:sz="4" w:space="0" w:color="000000"/>
              <w:right w:val="single" w:sz="4" w:space="0" w:color="auto"/>
            </w:tcBorders>
            <w:shd w:val="clear" w:color="auto" w:fill="auto"/>
            <w:vAlign w:val="center"/>
          </w:tcPr>
          <w:p w14:paraId="15988A83"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4CEA03A3" w14:textId="77777777" w:rsidR="005C161E" w:rsidRPr="006A63BD" w:rsidRDefault="005C161E" w:rsidP="005C161E">
      <w:pPr>
        <w:spacing w:after="0" w:line="240" w:lineRule="auto"/>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6739382F"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9A6C4A"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04: MONITOR 24”</w:t>
            </w:r>
          </w:p>
        </w:tc>
      </w:tr>
      <w:tr w:rsidR="005C161E" w:rsidRPr="006A63BD" w14:paraId="20332B36"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D531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lastRenderedPageBreak/>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7AD9886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0652923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28C0F844"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0E0114D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8F7D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5398990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72E34E69"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660D7AA6"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2E272FD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MONITOR 24”</w:t>
            </w:r>
          </w:p>
          <w:p w14:paraId="3061FB8E"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Monitor de vídeo, novo e sem uso anterior, destinado à utilização em atividades administrativas e institucionais, devendo possuir, no mínimo, as seguintes características: Tamanho da tela: mínimo de 23,8 polegadas, comercialmente classificado como 24 polegadas; Formato da tela: plana; Tecnologia do painel: IPS, VA ou tecnologia equivalente/superior, desde que proporcione adequada qualidade de imagem e ângulo de visualização; Resolução nativa: mínima Full HD (1920 × 1080 pixels); Proporção de tela: 16:9; Taxa de atualização: mínima de 100 Hz; Brilho: mínimo de 250 cd/m²; Contraste: mínimo de 1.000:1; Tempo de resposta: máximo de 8 ms; Ângulo de visão: mínimo de 178° na horizontal e 178° na vertical, ou equivalente; Reprodução de cores: capacidade mínima de 16,7 milhões de cores; Conectividade: possuir, no mínimo, 01 (uma) entrada HDMI; Recursos de conforto visual: possuir tecnologia de redução de cintilação da tela (Flicker Free ou equivalente) e recurso para redução da emissão de luz azul, ou tecnologias equivalentes; Ajustes de imagem: permitir ajustes de brilho, contraste </w:t>
            </w:r>
            <w:r w:rsidRPr="006A63BD">
              <w:rPr>
                <w:rFonts w:ascii="Bookman Old Style" w:eastAsia="Calibri" w:hAnsi="Bookman Old Style" w:cs="Calibri"/>
                <w:sz w:val="24"/>
                <w:szCs w:val="24"/>
                <w:lang w:val="pt-PT"/>
              </w:rPr>
              <w:lastRenderedPageBreak/>
              <w:t>e demais configurações básicas de imagem; Suporte/base: deverá acompanhar base original ou compatível com o equipamento, proporcionando estabilidade adequada para utilização sobre mesa; Compatibilidade com suporte: possuir sistema de fixação padrão VESA ou equivalente, permitindo sua instalação em suporte articulado para monitor; Alimentação: bivolt automático ou compatível com tensão de 100 a 240 V, acompanhada de fonte e/ou cabo de alimentação, conforme aplicável; Cor predominante: preta ou tonalidade escura equivalente; Acessórios: deverá acompanhar, no mínimo, cabo de alimentação e cabo HDMI, compatíveis com o equipamento, além dos demais acessórios indispensáveis ao seu funcionamento; Garantia: mínima de 12 (doze) meses, contados do recebimento definitivo do equipamento, prestada pelo fabricante, fornecedor ou rede de assistência técnica autorizada;</w:t>
            </w:r>
          </w:p>
          <w:p w14:paraId="39FC4AE2"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1ED180D8"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Condição: equipamento novo, sem uso anterior, não recondicionado e não remanufaturado, em linha normal de produção/comercialização.</w:t>
            </w:r>
          </w:p>
          <w:p w14:paraId="66488F8B"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08B7C6BA"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O equipamento poderá ser de qualquer fabricante, desde que atenda integralmente ou supere as especificações técnicas mínimas estabelecidas, não sendo exigida marca ou modelo específico.</w:t>
            </w:r>
          </w:p>
          <w:p w14:paraId="0D4F9162"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40891ED7"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As características técnicas estabelecidas destinam-se exclusivamente à definição do padrão mínimo de qualidade, desempenho, funcionalidade, ergonomia e compatibilidade necessário ao atendimento das necessidades da Administração, sendo admitidos equipamentos com características equivalentes ou superiores, desde que comprovadas mediante catálogo, ficha técnica ou documentação oficial do fabricante.</w:t>
            </w:r>
          </w:p>
          <w:p w14:paraId="6770E775"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716C6D09"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A proposta deverá indicar expressamente a marca e o modelo do equipamento ofertado, possibilitando à Administração verificar sua conformidade com as especificações técnicas mínimas estabelecidas.</w:t>
            </w:r>
          </w:p>
        </w:tc>
        <w:tc>
          <w:tcPr>
            <w:tcW w:w="1307" w:type="dxa"/>
            <w:tcBorders>
              <w:top w:val="single" w:sz="4" w:space="0" w:color="auto"/>
              <w:left w:val="single" w:sz="4" w:space="0" w:color="auto"/>
              <w:bottom w:val="single" w:sz="4" w:space="0" w:color="auto"/>
              <w:right w:val="single" w:sz="4" w:space="0" w:color="auto"/>
            </w:tcBorders>
          </w:tcPr>
          <w:p w14:paraId="679FE3E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7BF836C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06</w:t>
            </w:r>
          </w:p>
        </w:tc>
        <w:tc>
          <w:tcPr>
            <w:tcW w:w="1461" w:type="dxa"/>
            <w:tcBorders>
              <w:top w:val="nil"/>
              <w:left w:val="single" w:sz="4" w:space="0" w:color="auto"/>
              <w:bottom w:val="single" w:sz="4" w:space="0" w:color="auto"/>
              <w:right w:val="single" w:sz="4" w:space="0" w:color="auto"/>
            </w:tcBorders>
          </w:tcPr>
          <w:p w14:paraId="7C5AE3F5"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45E82284"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75810D2C"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39236DB0"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1544150C"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04</w:t>
            </w:r>
          </w:p>
        </w:tc>
        <w:tc>
          <w:tcPr>
            <w:tcW w:w="1654" w:type="dxa"/>
            <w:tcBorders>
              <w:top w:val="nil"/>
              <w:left w:val="nil"/>
              <w:bottom w:val="single" w:sz="4" w:space="0" w:color="000000"/>
              <w:right w:val="single" w:sz="4" w:space="0" w:color="auto"/>
            </w:tcBorders>
            <w:shd w:val="clear" w:color="auto" w:fill="auto"/>
            <w:vAlign w:val="center"/>
          </w:tcPr>
          <w:p w14:paraId="6FE82D6C"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1F33D0AE"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2DE7612F"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D97197"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05: MICROCOMPUTADOR COMPLETO</w:t>
            </w:r>
          </w:p>
        </w:tc>
      </w:tr>
      <w:tr w:rsidR="005C161E" w:rsidRPr="006A63BD" w14:paraId="7784C73A"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80BD0"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1E39E5D5"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2E32E9DB"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242495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7404F6E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0193C"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36550A9C"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4F76B1D8"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3BDC03F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0291EDEF"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MICROCOMPUTADOR COMPLETO</w:t>
            </w:r>
          </w:p>
          <w:p w14:paraId="3361A851"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Microcomputador tipo desktop, completo, novo e </w:t>
            </w:r>
            <w:r w:rsidRPr="006A63BD">
              <w:rPr>
                <w:rFonts w:ascii="Bookman Old Style" w:eastAsia="Calibri" w:hAnsi="Bookman Old Style" w:cs="Calibri"/>
                <w:sz w:val="24"/>
                <w:szCs w:val="24"/>
                <w:lang w:val="pt-PT"/>
              </w:rPr>
              <w:lastRenderedPageBreak/>
              <w:t xml:space="preserve">sem uso anterior, destinado à execução de atividades administrativas e institucionais, devendo possuir, no mínimo, as seguintes características: Processador: arquitetura de 64 bits, com no mínimo 8 (oito) núcleos físicos e 12 (doze) threads, memória cache de no mínimo 12 MB, frequência máxima em modo turbo de, no mínimo, 4,5 GHz, ou processador de desempenho equivalente ou superior, comprovável mediante documentação técnica oficial do fabricante; Memória RAM: mínimo de 16 GB, padrão DDR4 com frequência mínima de 3.200 MT/s, DDR5 ou tecnologia superior; Armazenamento: unidade de estado sólido (SSD) com capacidade mínima de 1 TB, padrão M.2 NVMe, ou tecnologia de desempenho equivalente ou superior; Placa-mãe: compatível com todos os componentes ofertados, com suporte integral ao processador, memória, armazenamento e demais dispositivos especificados, não sendo admitida exigência de fabricante ou marca específica; Rede: interface de rede Ethernet integrada, com velocidade mínima de 10/100/1000 Mbps (Gigabit Ethernet) e conector RJ-45; Áudio: interface de áudio integrada, com conexões compatíveis para utilização de caixas de </w:t>
            </w:r>
            <w:r w:rsidRPr="006A63BD">
              <w:rPr>
                <w:rFonts w:ascii="Bookman Old Style" w:eastAsia="Calibri" w:hAnsi="Bookman Old Style" w:cs="Calibri"/>
                <w:sz w:val="24"/>
                <w:szCs w:val="24"/>
                <w:lang w:val="pt-PT"/>
              </w:rPr>
              <w:lastRenderedPageBreak/>
              <w:t xml:space="preserve">som, fones de ouvido e/ou microfone; Vídeo: solução gráfica integrada ao processador ou dedicada, com capacidade para resolução mínima Full HD (1920 × 1080 pixels) e saída digital de vídeo HDMI e/ou DisplayPort; Portas USB: mínimo de 08 (oito) portas USB, sendo pelo menos 04 (quatro) portas padrão USB 3.0/3.2 ou superior, devendo possuir portas acessíveis na parte frontal do gabinete para conexão de dispositivos; Fonte de alimentação: padrão ATX ou compatível com o gabinete, com potência dimensionada pelo fabricante/montador para suportar adequadamente todos os componentes instalados, com margem operacional de segurança e compatível com a rede elétrica local; Gabinete: padrão compatível com os componentes internos, na cor preta ou tonalidade escura equivalente, com sistema adequado de ventilação e refrigeração; Sistema operacional: Windows 11 Pro, 64 bits, original, devidamente licenciado e ativado, em idioma português do Brasil, acompanhado da respectiva licença digital, devendo o equipamento possuir compatibilidade com TPM 2.0, UEFI e Secure Boot; Teclado: padrão ABNT2, conexão USB ou tecnologia </w:t>
            </w:r>
            <w:r w:rsidRPr="006A63BD">
              <w:rPr>
                <w:rFonts w:ascii="Bookman Old Style" w:eastAsia="Calibri" w:hAnsi="Bookman Old Style" w:cs="Calibri"/>
                <w:sz w:val="24"/>
                <w:szCs w:val="24"/>
                <w:lang w:val="pt-PT"/>
              </w:rPr>
              <w:lastRenderedPageBreak/>
              <w:t>equivalente, na cor preta ou tonalidade escura; Mouse: óptico, com no mínimo 02 botões e botão de rolagem (scroll), conexão USB ou tecnologia equivalente, na cor preta ou tonalidade escura; Caixas de som: conjunto de caixas de som compatível com o equipamento, alimentado por USB ou fonte própria, com conexão de áudio compatível, na cor preta ou tonalidade escura; Cabos e acessórios: deverão acompanhar o equipamento todos os cabos, fontes, adaptadores e demais acessórios indispensáveis à instalação e ao pleno funcionamento; Garantia: mínima de 12 (doze) meses, contados do recebimento definitivo do equipamento, abrangendo os componentes que integram o microcomputador; Condição: todos os componentes deverão ser novos, sem uso anterior, não recondicionados e não remanufaturados, devendo ser integralmente compatíveis entre si.</w:t>
            </w:r>
          </w:p>
          <w:p w14:paraId="4482F1A3"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6E7CCC42"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O microcomputador e seus componentes poderão ser de qualquer fabricante, desde que atendam integralmente ou superem as especificações técnicas mínimas estabelecidas, não sendo exigidas marcas específicas de processador, </w:t>
            </w:r>
            <w:r w:rsidRPr="006A63BD">
              <w:rPr>
                <w:rFonts w:ascii="Bookman Old Style" w:eastAsia="Calibri" w:hAnsi="Bookman Old Style" w:cs="Calibri"/>
                <w:sz w:val="24"/>
                <w:szCs w:val="24"/>
                <w:lang w:val="pt-PT"/>
              </w:rPr>
              <w:lastRenderedPageBreak/>
              <w:t>placa-mãe ou demais componentes.</w:t>
            </w:r>
          </w:p>
          <w:p w14:paraId="44B4FC35"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6E3C5D62"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Eventuais referências a tecnologias, padrões, capacidades ou características destinam-se exclusivamente à definição do padrão mínimo de desempenho, qualidade, funcionalidade e compatibilidade necessário ao atendimento da Administração, admitindo-se soluções tecnicamente equivalentes ou superiores, desde que comprovadas por catálogo, ficha técnica ou documentação oficial do fabricante.</w:t>
            </w:r>
          </w:p>
          <w:p w14:paraId="1CD77A88"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118465B0"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O equipamento deverá ser entregue novo, devidamente montados, instalados e configurados, em plenas condições de funcionamento e pronto para uso, nas dependências da Câmara Municipal de Terra Rica/PR, incluindo todos os serviços, mão de obra, cabos, conexões, acessórios e demais procedimentos necessários à sua completa operacionalização, sem custos adicionais para a Administração.</w:t>
            </w:r>
          </w:p>
        </w:tc>
        <w:tc>
          <w:tcPr>
            <w:tcW w:w="1307" w:type="dxa"/>
            <w:tcBorders>
              <w:top w:val="single" w:sz="4" w:space="0" w:color="auto"/>
              <w:left w:val="single" w:sz="4" w:space="0" w:color="auto"/>
              <w:bottom w:val="single" w:sz="4" w:space="0" w:color="auto"/>
              <w:right w:val="single" w:sz="4" w:space="0" w:color="auto"/>
            </w:tcBorders>
          </w:tcPr>
          <w:p w14:paraId="1F3DBFD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1EF59012"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05</w:t>
            </w:r>
          </w:p>
        </w:tc>
        <w:tc>
          <w:tcPr>
            <w:tcW w:w="1461" w:type="dxa"/>
            <w:tcBorders>
              <w:top w:val="nil"/>
              <w:left w:val="single" w:sz="4" w:space="0" w:color="auto"/>
              <w:bottom w:val="single" w:sz="4" w:space="0" w:color="auto"/>
              <w:right w:val="single" w:sz="4" w:space="0" w:color="auto"/>
            </w:tcBorders>
          </w:tcPr>
          <w:p w14:paraId="4DA4CAC5"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4603C54D"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19B4FDBB"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0253F96D"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17918D2E"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05</w:t>
            </w:r>
          </w:p>
        </w:tc>
        <w:tc>
          <w:tcPr>
            <w:tcW w:w="1654" w:type="dxa"/>
            <w:tcBorders>
              <w:top w:val="nil"/>
              <w:left w:val="nil"/>
              <w:bottom w:val="single" w:sz="4" w:space="0" w:color="000000"/>
              <w:right w:val="single" w:sz="4" w:space="0" w:color="auto"/>
            </w:tcBorders>
            <w:shd w:val="clear" w:color="auto" w:fill="auto"/>
            <w:vAlign w:val="center"/>
          </w:tcPr>
          <w:p w14:paraId="45E1CBCB"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6A94736E"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699DEB52"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1D42F0"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06: SUPORTE ARTICULADO DUPLO DE MESA PARA MONITORES</w:t>
            </w:r>
          </w:p>
        </w:tc>
      </w:tr>
      <w:tr w:rsidR="005C161E" w:rsidRPr="006A63BD" w14:paraId="706B3EC3"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98579"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07626740"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651FB22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C017874"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2F76B32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40E7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376D1FD7"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0D58C9DE"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5D53BFD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70F47964"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SUPORTE ARTICULADO DUPLO DE MESA PARA MONITORES</w:t>
            </w:r>
          </w:p>
          <w:p w14:paraId="6DE1F80C"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lastRenderedPageBreak/>
              <w:t xml:space="preserve">Suporte articulado duplo de mesa para monitores, novo e sem uso anterior, destinado à instalação de 02 (dois) monitores simultaneamente, proporcionando ajuste ergonômico, organização e otimização do espaço das estações de trabalho, devendo possuir, no mínimo, as seguintes características: Capacidade: suporte para instalação simultânea de 02 (dois) monitores; Compatibilidade de tamanho: adequado para monitores com telas de, no mínimo, 17 a 32 polegadas, devendo ser plenamente compatível com os monitores de 24 polegadas a serem utilizados pela Administração; Capacidade de carga: suportar, no mínimo, 8 kg por braço/monitor, ou capacidade superior; Padrão de fixação dos monitores: compatível, no mínimo, com os padrões VESA 75 × 75 mm e 100 × 100 mm; Tipo: suporte de mesa com 02 (dois) braços articulados independentes, permitindo o posicionamento individual de cada monitor; Sistema de movimentação: mecanismo por mola a gás, pistão a gás, mola mecânica ou tecnologia equivalente/superior, que permita movimentação e regulagem dos monitores de maneira estável e segura; Ajuste de altura: regulagem </w:t>
            </w:r>
            <w:r w:rsidRPr="006A63BD">
              <w:rPr>
                <w:rFonts w:ascii="Bookman Old Style" w:eastAsia="Calibri" w:hAnsi="Bookman Old Style" w:cs="Calibri"/>
                <w:sz w:val="24"/>
                <w:szCs w:val="24"/>
                <w:lang w:val="pt-PT"/>
              </w:rPr>
              <w:lastRenderedPageBreak/>
              <w:t xml:space="preserve">individual da altura dos monitores, possibilitando sua adequação à posição de trabalho do usuário; Inclinação: permitir ajuste de inclinação vertical dos monitores; Rotação lateral: permitir movimentação horizontal dos braços e ajuste do ângulo de visualização; Rotação da tela: permitir alteração da orientação do monitor entre as posições horizontal (paisagem) e vertical (retrato); Articulação: braços com múltiplos pontos de articulação, permitindo aproximação, afastamento e reposicionamento independente dos monitores; Fixação à mesa: sistema de fixação por morsa/presilha de pressão (tipo C-Clamp) e/ou fixação através de furo na mesa (grommet), devendo proporcionar estabilidade e segurança durante a utilização; Organização de cabos: possuir sistema, presilhas, canaletas ou dispositivo equivalente para organização e direcionamento dos cabos dos monitores; Estrutura: confeccionada em material metálico, aço, alumínio ou material de resistência equivalente, adequado à sustentação da carga especificada; Cor predominante: preta ou tonalidade escura equivalente; Instalação: deverá permitir instalação </w:t>
            </w:r>
            <w:r w:rsidRPr="006A63BD">
              <w:rPr>
                <w:rFonts w:ascii="Bookman Old Style" w:eastAsia="Calibri" w:hAnsi="Bookman Old Style" w:cs="Calibri"/>
                <w:sz w:val="24"/>
                <w:szCs w:val="24"/>
                <w:lang w:val="pt-PT"/>
              </w:rPr>
              <w:lastRenderedPageBreak/>
              <w:t>segura em mesa ou bancada compatível, sem comprometer a estabilidade dos equipamentos; Acessórios: deverá acompanhar todos os parafusos, porcas, arruelas, adaptadores, elementos de fixação, ferramentas específicas e demais acessórios necessários à montagem e instalação completa do suporte e dos monitores; Manual: deverá acompanhar manual ou instruções de montagem e utilização, em meio físico ou digital; Garantia: mínima de 12 (doze) meses, contados do recebimento definitivo, prestada pelo fabricante, fornecedor ou assistência técnica responsável; Condição: produto novo, sem uso anterior, não recondicionado e não remanufaturado, fornecido em embalagem original ou adequada à sua proteção durante o transporte.</w:t>
            </w:r>
          </w:p>
          <w:p w14:paraId="10F5D4FB"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41F854F6"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O produto poderá ser de qualquer fabricante, desde que atenda integralmente ou supere as especificações técnicas mínimas estabelecidas, não sendo exigida marca ou modelo específico.</w:t>
            </w:r>
          </w:p>
          <w:p w14:paraId="6EE0288C"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28807221"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As características técnicas estabelecidas destinam-se exclusivamente à definição do padrão mínimo de qualidade, resistência, segurança, funcionalidade, </w:t>
            </w:r>
            <w:r w:rsidRPr="006A63BD">
              <w:rPr>
                <w:rFonts w:ascii="Bookman Old Style" w:eastAsia="Calibri" w:hAnsi="Bookman Old Style" w:cs="Calibri"/>
                <w:sz w:val="24"/>
                <w:szCs w:val="24"/>
                <w:lang w:val="pt-PT"/>
              </w:rPr>
              <w:lastRenderedPageBreak/>
              <w:t>ergonomia e compatibilidade necessário ao atendimento das necessidades da Administração, sendo admitidos produtos com características equivalentes ou superiores, mediante comprovação por catálogo, ficha técnica ou documentação oficial do fabricante.</w:t>
            </w:r>
          </w:p>
          <w:p w14:paraId="62A72BC9"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4247A904"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A proposta deverá indicar expressamente a marca e o modelo do suporte ofertado, possibilitando à Administração verificar sua conformidade com as especificações técnicas mínimas estabelecidas.</w:t>
            </w:r>
          </w:p>
        </w:tc>
        <w:tc>
          <w:tcPr>
            <w:tcW w:w="1307" w:type="dxa"/>
            <w:tcBorders>
              <w:top w:val="single" w:sz="4" w:space="0" w:color="auto"/>
              <w:left w:val="single" w:sz="4" w:space="0" w:color="auto"/>
              <w:bottom w:val="single" w:sz="4" w:space="0" w:color="auto"/>
              <w:right w:val="single" w:sz="4" w:space="0" w:color="auto"/>
            </w:tcBorders>
          </w:tcPr>
          <w:p w14:paraId="522BE6F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7948ED9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06</w:t>
            </w:r>
          </w:p>
        </w:tc>
        <w:tc>
          <w:tcPr>
            <w:tcW w:w="1461" w:type="dxa"/>
            <w:tcBorders>
              <w:top w:val="nil"/>
              <w:left w:val="single" w:sz="4" w:space="0" w:color="auto"/>
              <w:bottom w:val="single" w:sz="4" w:space="0" w:color="auto"/>
              <w:right w:val="single" w:sz="4" w:space="0" w:color="auto"/>
            </w:tcBorders>
          </w:tcPr>
          <w:p w14:paraId="7DCED154"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024174E3"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242DD533"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15C81AAE"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224506F1"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06</w:t>
            </w:r>
          </w:p>
        </w:tc>
        <w:tc>
          <w:tcPr>
            <w:tcW w:w="1654" w:type="dxa"/>
            <w:tcBorders>
              <w:top w:val="nil"/>
              <w:left w:val="nil"/>
              <w:bottom w:val="single" w:sz="4" w:space="0" w:color="000000"/>
              <w:right w:val="single" w:sz="4" w:space="0" w:color="auto"/>
            </w:tcBorders>
            <w:shd w:val="clear" w:color="auto" w:fill="auto"/>
            <w:vAlign w:val="center"/>
          </w:tcPr>
          <w:p w14:paraId="4D28155B"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38B437CA"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7932085F"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CD0B29"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07: SCANNER DE DOCUMENTOS COM ALIMENTADOR AUTOMÁTICO</w:t>
            </w:r>
          </w:p>
        </w:tc>
      </w:tr>
      <w:tr w:rsidR="005C161E" w:rsidRPr="006A63BD" w14:paraId="1BE62C3C"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814A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0CBE2DE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76F3D6D3"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38549A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2B68306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61FA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6CA59D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12D1122B"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683BAF12"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54B824FF"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SCANNER DE DOCUMENTOS COM ALIMENTADOR AUTOMÁTICO</w:t>
            </w:r>
          </w:p>
          <w:p w14:paraId="37703436"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Scanner de documentos de mesa, novo e sem uso anterior, destinado à digitalização de documentos administrativos, processos, ofícios, contratos e demais documentos da Câmara Municipal, devendo possuir, no mínimo, as seguintes características: Tipo: scanner de documentos de mesa com alimentador automático de documentos (ADF); Digitalização: colorida, escala de cinza e preto e branco; Digitalização </w:t>
            </w:r>
            <w:r w:rsidRPr="006A63BD">
              <w:rPr>
                <w:rFonts w:ascii="Bookman Old Style" w:eastAsia="Calibri" w:hAnsi="Bookman Old Style" w:cs="Calibri"/>
                <w:sz w:val="24"/>
                <w:szCs w:val="24"/>
                <w:lang w:val="pt-PT"/>
              </w:rPr>
              <w:lastRenderedPageBreak/>
              <w:t xml:space="preserve">frente e verso: automática em uma única passagem (duplex); Velocidade de digitalização: mínima de 30 páginas por minuto (ppm) em modo simplex e 60 imagens por minuto (ipm) em modo duplex, considerando documentos tamanho A4; Resolução óptica: mínima de 600 dpi; Alimentador automático de documentos (ADF): capacidade mínima de 50 folhas, admitindo-se capacidade superior; Tamanho de documentos: compatível, no mínimo, com documentos nos formatos A4, A5 e A6, além de documentos de tamanhos variados dentro dos limites suportados pelo equipamento; Detecção de alimentação múltipla: deverá possuir recurso destinado à identificação de alimentação simultânea de duas ou mais folhas, por tecnologia ultrassônica ou solução tecnicamente equivalente; Alimentação de documentos: deverá permitir a digitalização de documentos de diferentes gramaturas e tamanhos, observados os limites estabelecidos pelo fabricante; Conectividade: interface USB 3.0, USB 3.1, USB 3.2 ou superior, acompanhada do respectivo cabo de conexão, quando necessário; Compatibilidade: compatível com Windows 11 de 64 bits; </w:t>
            </w:r>
            <w:r w:rsidRPr="006A63BD">
              <w:rPr>
                <w:rFonts w:ascii="Bookman Old Style" w:eastAsia="Calibri" w:hAnsi="Bookman Old Style" w:cs="Calibri"/>
                <w:sz w:val="24"/>
                <w:szCs w:val="24"/>
                <w:lang w:val="pt-PT"/>
              </w:rPr>
              <w:lastRenderedPageBreak/>
              <w:t xml:space="preserve">Drivers: deverá disponibilizar, no mínimo, driver TWAIN e/ou WIA, permitindo sua utilização com aplicações de digitalização compatíveis; Formatos de saída: permitir a geração de arquivos, no mínimo, nos formatos PDF e JPEG, diretamente ou por meio do software fornecido com o equipamento; Recursos de processamento de imagem: deverá possuir recursos de ajuste automático ou manual de imagem, contemplando funções como correção de inclinação, rotação, recorte automático, ajuste de brilho e contraste e remoção de páginas em branco, por meio do equipamento, driver ou software fornecido; Volume de trabalho: adequado à utilização em ambiente administrativo, com capacidade recomendada pelo fabricante de, no mínimo, 3.000 páginas por dia; Painel ou comandos de operação: deverá possuir botões, teclas ou controles que permitam iniciar e/ou gerenciar as principais funções de digitalização; Software: deverá acompanhar ou disponibilizar gratuitamente software e drivers necessários à digitalização, configuração e gerenciamento do equipamento; Alimentação elétrica: compatível com a rede elétrica utilizada no </w:t>
            </w:r>
            <w:r w:rsidRPr="006A63BD">
              <w:rPr>
                <w:rFonts w:ascii="Bookman Old Style" w:eastAsia="Calibri" w:hAnsi="Bookman Old Style" w:cs="Calibri"/>
                <w:sz w:val="24"/>
                <w:szCs w:val="24"/>
                <w:lang w:val="pt-PT"/>
              </w:rPr>
              <w:lastRenderedPageBreak/>
              <w:t>local de instalação, acompanhada de fonte e/ou cabo de alimentação necessários ao funcionamento; Acessórios: deverão acompanhar o equipamento todos os cabos, fontes, adaptadores e demais acessórios indispensáveis ao seu pleno funcionamento; Garantia: mínima de 12 (doze) meses, contados do recebimento definitivo do equipamento; Condição: equipamento novo, sem uso anterior, não recondicionado e não remanufaturado.</w:t>
            </w:r>
          </w:p>
          <w:p w14:paraId="668FD2D5"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36981FB4"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O scanner poderá ser de qualquer fabricante, desde que atenda integralmente ou supere as especificações técnicas mínimas estabelecidas, não sendo exigida marca ou modelo específico.</w:t>
            </w:r>
          </w:p>
          <w:p w14:paraId="05050C91"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2DBFD7CA"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As características estabelecidas destinam-se exclusivamente à definição do padrão mínimo de desempenho, qualidade, produtividade, funcionalidade e compatibilidade necessário ao atendimento da Administração, sendo admitidos equipamentos com características equivalentes ou superiores, mediante comprovação por catálogo, ficha técnica ou documentação oficial do fabricante.</w:t>
            </w:r>
          </w:p>
        </w:tc>
        <w:tc>
          <w:tcPr>
            <w:tcW w:w="1307" w:type="dxa"/>
            <w:tcBorders>
              <w:top w:val="single" w:sz="4" w:space="0" w:color="auto"/>
              <w:left w:val="single" w:sz="4" w:space="0" w:color="auto"/>
              <w:bottom w:val="single" w:sz="4" w:space="0" w:color="auto"/>
              <w:right w:val="single" w:sz="4" w:space="0" w:color="auto"/>
            </w:tcBorders>
          </w:tcPr>
          <w:p w14:paraId="33C6344E"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Unid.</w:t>
            </w:r>
          </w:p>
        </w:tc>
        <w:tc>
          <w:tcPr>
            <w:tcW w:w="1280" w:type="dxa"/>
            <w:tcBorders>
              <w:top w:val="single" w:sz="4" w:space="0" w:color="auto"/>
              <w:left w:val="single" w:sz="4" w:space="0" w:color="auto"/>
              <w:bottom w:val="single" w:sz="4" w:space="0" w:color="auto"/>
              <w:right w:val="single" w:sz="4" w:space="0" w:color="auto"/>
            </w:tcBorders>
          </w:tcPr>
          <w:p w14:paraId="55D1589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02</w:t>
            </w:r>
          </w:p>
        </w:tc>
        <w:tc>
          <w:tcPr>
            <w:tcW w:w="1461" w:type="dxa"/>
            <w:tcBorders>
              <w:top w:val="nil"/>
              <w:left w:val="single" w:sz="4" w:space="0" w:color="auto"/>
              <w:bottom w:val="single" w:sz="4" w:space="0" w:color="auto"/>
              <w:right w:val="single" w:sz="4" w:space="0" w:color="auto"/>
            </w:tcBorders>
          </w:tcPr>
          <w:p w14:paraId="5B40AB44"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5AF726B2"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56945015"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5EFB9051"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79B2BB9B"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07</w:t>
            </w:r>
          </w:p>
        </w:tc>
        <w:tc>
          <w:tcPr>
            <w:tcW w:w="1654" w:type="dxa"/>
            <w:tcBorders>
              <w:top w:val="nil"/>
              <w:left w:val="nil"/>
              <w:bottom w:val="single" w:sz="4" w:space="0" w:color="000000"/>
              <w:right w:val="single" w:sz="4" w:space="0" w:color="auto"/>
            </w:tcBorders>
            <w:shd w:val="clear" w:color="auto" w:fill="auto"/>
            <w:vAlign w:val="center"/>
          </w:tcPr>
          <w:p w14:paraId="58D42E28"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73DC60D1" w14:textId="77777777" w:rsidR="005C161E" w:rsidRPr="006A63BD" w:rsidRDefault="005C161E" w:rsidP="005C161E">
      <w:pPr>
        <w:overflowPunct w:val="0"/>
        <w:autoSpaceDE w:val="0"/>
        <w:autoSpaceDN w:val="0"/>
        <w:adjustRightInd w:val="0"/>
        <w:ind w:right="-567"/>
        <w:jc w:val="both"/>
        <w:textAlignment w:val="baseline"/>
        <w:rPr>
          <w:rFonts w:ascii="Bookman Old Style" w:hAnsi="Bookman Old Style" w:cs="Calibri"/>
          <w:sz w:val="24"/>
          <w:szCs w:val="24"/>
        </w:rPr>
      </w:pPr>
    </w:p>
    <w:tbl>
      <w:tblPr>
        <w:tblW w:w="11395" w:type="dxa"/>
        <w:jc w:val="center"/>
        <w:tblCellMar>
          <w:left w:w="70" w:type="dxa"/>
          <w:right w:w="70" w:type="dxa"/>
        </w:tblCellMar>
        <w:tblLook w:val="04A0" w:firstRow="1" w:lastRow="0" w:firstColumn="1" w:lastColumn="0" w:noHBand="0" w:noVBand="1"/>
      </w:tblPr>
      <w:tblGrid>
        <w:gridCol w:w="765"/>
        <w:gridCol w:w="3467"/>
        <w:gridCol w:w="1307"/>
        <w:gridCol w:w="1280"/>
        <w:gridCol w:w="1461"/>
        <w:gridCol w:w="1461"/>
        <w:gridCol w:w="1654"/>
      </w:tblGrid>
      <w:tr w:rsidR="005C161E" w:rsidRPr="006A63BD" w14:paraId="5A5E60CD" w14:textId="77777777" w:rsidTr="00384905">
        <w:trPr>
          <w:trHeight w:val="454"/>
          <w:jc w:val="center"/>
        </w:trPr>
        <w:tc>
          <w:tcPr>
            <w:tcW w:w="113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7B399E" w14:textId="77777777" w:rsidR="005C161E" w:rsidRPr="006A63BD" w:rsidRDefault="005C161E" w:rsidP="00384905">
            <w:pPr>
              <w:spacing w:after="0" w:line="240" w:lineRule="auto"/>
              <w:rPr>
                <w:rFonts w:ascii="Bookman Old Style" w:hAnsi="Bookman Old Style" w:cs="Calibri"/>
                <w:b/>
                <w:sz w:val="24"/>
                <w:szCs w:val="24"/>
              </w:rPr>
            </w:pPr>
            <w:r w:rsidRPr="006A63BD">
              <w:rPr>
                <w:rFonts w:ascii="Bookman Old Style" w:hAnsi="Bookman Old Style" w:cs="Calibri"/>
                <w:b/>
                <w:sz w:val="24"/>
                <w:szCs w:val="24"/>
              </w:rPr>
              <w:t>Lote 08: SERVIÇO DE FORMATAÇÃO E INSTALAÇÃO DE COMPUTADORES</w:t>
            </w:r>
          </w:p>
        </w:tc>
      </w:tr>
      <w:tr w:rsidR="005C161E" w:rsidRPr="006A63BD" w14:paraId="53D36F09" w14:textId="77777777" w:rsidTr="00384905">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482B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3507BC6A"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04D3F3D2"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523D7370"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QUANT.</w:t>
            </w:r>
          </w:p>
        </w:tc>
        <w:tc>
          <w:tcPr>
            <w:tcW w:w="1461" w:type="dxa"/>
            <w:tcBorders>
              <w:top w:val="single" w:sz="4" w:space="0" w:color="auto"/>
              <w:left w:val="nil"/>
              <w:bottom w:val="single" w:sz="4" w:space="0" w:color="auto"/>
              <w:right w:val="single" w:sz="4" w:space="0" w:color="auto"/>
            </w:tcBorders>
            <w:vAlign w:val="center"/>
          </w:tcPr>
          <w:p w14:paraId="1A8279B7"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MARCA</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415C8"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58446B41"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VALOR TOTAL</w:t>
            </w:r>
          </w:p>
        </w:tc>
      </w:tr>
      <w:tr w:rsidR="005C161E" w:rsidRPr="006A63BD" w14:paraId="7A9BCAAD" w14:textId="77777777" w:rsidTr="00384905">
        <w:trPr>
          <w:trHeight w:val="283"/>
          <w:jc w:val="center"/>
        </w:trPr>
        <w:tc>
          <w:tcPr>
            <w:tcW w:w="765" w:type="dxa"/>
            <w:tcBorders>
              <w:top w:val="nil"/>
              <w:left w:val="single" w:sz="4" w:space="0" w:color="000000"/>
              <w:bottom w:val="single" w:sz="4" w:space="0" w:color="000000"/>
              <w:right w:val="single" w:sz="4" w:space="0" w:color="auto"/>
            </w:tcBorders>
            <w:shd w:val="clear" w:color="auto" w:fill="auto"/>
          </w:tcPr>
          <w:p w14:paraId="71577E9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hAnsi="Bookman Old Style" w:cs="Calibr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44A13EC7"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SERVIÇO DE FORMATAÇÃO E INSTALAÇÃO DE COMPUTADORES</w:t>
            </w:r>
          </w:p>
          <w:p w14:paraId="78F227F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Prestação de serviços técnicos especializados de formatação e instalação de computadores, destinados às atividades administrativas e institucionais da Câmara Municipal, compreendendo os procedimentos necessários para reinstalação de equipamentos existentes e instalação dos equipamentos nos respectivos locais de utilização, conforme demanda da Administração. O serviço deverá compreender, quando aplicável, no mínimo: Formatação de computadores existentes, incluindo preparação da unidade de armazenamento para reinstalação do sistema; Instalação do sistema operacional Windows nos equipamentos submetidos à formatação, em versão compatível com o equipamento, mediante utilização de licença válida disponibilizada pela Administração; Instalação das atualizações necessárias do sistema operacional nos </w:t>
            </w:r>
            <w:r w:rsidRPr="006A63BD">
              <w:rPr>
                <w:rFonts w:ascii="Bookman Old Style" w:eastAsia="Calibri" w:hAnsi="Bookman Old Style" w:cs="Calibri"/>
                <w:sz w:val="24"/>
                <w:szCs w:val="24"/>
                <w:lang w:val="pt-PT"/>
              </w:rPr>
              <w:lastRenderedPageBreak/>
              <w:t xml:space="preserve">computadores submetidos à formatação; Instalação e atualização dos drivers necessários ao correto funcionamento dos computadores submetidos à formatação; Instalação física dos computadores e equipamentos nos locais indicados pela Administração; Conexão e instalação de monitor, teclado, mouse, caixas de som, impressoras, scanners e demais periféricos, conforme a necessidade de cada posto de trabalho; Conexão dos equipamentos à rede local, por meio de Ethernet e/ou Wi-Fi, conforme infraestrutura existente; Configuração de acesso à internet e aos recursos compartilhados da rede interna da Câmara Municipal; Instalação dos computadores e periféricos nas respectivas estações de trabalho, incluindo a conexão e organização básica dos cabos; Instalação de softwares específicos utilizados pela Câmara Municipal, quando necessária, desde que os respectivos instaladores, licenças e credenciais sejam disponibilizados pela Administração; Instalação de aplicativos necessários às atividades administrativas nos equipamentos submetidos à formatação, desde que sejam gratuitos, devidamente licenciados ou tenham suas respectivas </w:t>
            </w:r>
            <w:r w:rsidRPr="006A63BD">
              <w:rPr>
                <w:rFonts w:ascii="Bookman Old Style" w:eastAsia="Calibri" w:hAnsi="Bookman Old Style" w:cs="Calibri"/>
                <w:sz w:val="24"/>
                <w:szCs w:val="24"/>
                <w:lang w:val="pt-PT"/>
              </w:rPr>
              <w:lastRenderedPageBreak/>
              <w:t>licenças disponibilizadas pela Administração; Configuração de pastas, unidades e recursos compartilhados em rede, quando existentes e necessários; Realização de backup dos arquivos existentes antes da formatação, quando solicitado pela Administração e tecnicamente possível; Restauração dos arquivos previamente copiados após a conclusão da formatação, quando aplicável; Migração de arquivos e documentos de computadores anteriormente utilizados para os novos equipamentos, quando solicitada pela Administração e tecnicamente possível; Realização de testes de funcionamento dos equipamentos após a instalação, incluindo, conforme aplicável, rede, acesso à internet, monitor, teclado, mouse, áudio, impressoras, scanners e demais periféricos; Verificação final do serviço, deixando os equipamentos devidamente instalados nos respectivos locais de trabalho e em condições de utilização.</w:t>
            </w:r>
          </w:p>
          <w:p w14:paraId="7CF3259C"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16F6C297"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 xml:space="preserve">Não integra o presente item a montagem ou a configuração inicial dos equipamentos novos quando tais serviços já estiverem </w:t>
            </w:r>
            <w:r w:rsidRPr="006A63BD">
              <w:rPr>
                <w:rFonts w:ascii="Bookman Old Style" w:eastAsia="Calibri" w:hAnsi="Bookman Old Style" w:cs="Calibri"/>
                <w:sz w:val="24"/>
                <w:szCs w:val="24"/>
                <w:lang w:val="pt-PT"/>
              </w:rPr>
              <w:lastRenderedPageBreak/>
              <w:t>incluídos no fornecimento dos respectivos equipamentos, evitando-se duplicidade de serviços e custos para a Administração.</w:t>
            </w:r>
          </w:p>
          <w:p w14:paraId="1393EA82"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2C9833ED"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Todos os serviços deverão ser executados por profissional capacitado, observando as boas práticas de tecnologia da informação, segurança da informação e proteção dos dados existentes nos equipamentos.</w:t>
            </w:r>
          </w:p>
          <w:p w14:paraId="660CD580"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15677781"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A contratada deverá preservar a confidencialidade e a integridade das informações eventualmente acessadas durante a execução dos serviços, sendo vedada a cópia, utilização, divulgação ou compartilhamento não autorizado de documentos, arquivos, credenciais ou quaisquer dados pertencentes à Administração.</w:t>
            </w:r>
          </w:p>
          <w:p w14:paraId="3D6047D6"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31B0AA85"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r w:rsidRPr="006A63BD">
              <w:rPr>
                <w:rFonts w:ascii="Bookman Old Style" w:eastAsia="Calibri" w:hAnsi="Bookman Old Style" w:cs="Calibri"/>
                <w:sz w:val="24"/>
                <w:szCs w:val="24"/>
                <w:lang w:val="pt-PT"/>
              </w:rPr>
              <w:t>A instalação de sistemas operacionais, aplicativos e demais softwares deverá observar as respectivas condições de licenciamento, sendo vedada a utilização de softwares sem licença válida ou obtidos por meios irregulares.</w:t>
            </w:r>
          </w:p>
          <w:p w14:paraId="618A789F" w14:textId="77777777" w:rsidR="005C161E" w:rsidRPr="006A63BD" w:rsidRDefault="005C161E" w:rsidP="00384905">
            <w:pPr>
              <w:spacing w:after="0" w:line="240" w:lineRule="auto"/>
              <w:jc w:val="both"/>
              <w:rPr>
                <w:rFonts w:ascii="Bookman Old Style" w:eastAsia="Calibri" w:hAnsi="Bookman Old Style" w:cs="Calibri"/>
                <w:sz w:val="24"/>
                <w:szCs w:val="24"/>
                <w:lang w:val="pt-PT"/>
              </w:rPr>
            </w:pPr>
          </w:p>
          <w:p w14:paraId="18425078" w14:textId="77777777" w:rsidR="005C161E" w:rsidRPr="006A63BD" w:rsidRDefault="005C161E" w:rsidP="00384905">
            <w:pPr>
              <w:spacing w:after="0" w:line="240" w:lineRule="auto"/>
              <w:jc w:val="both"/>
              <w:rPr>
                <w:rFonts w:ascii="Bookman Old Style" w:hAnsi="Bookman Old Style" w:cs="Calibri"/>
                <w:sz w:val="24"/>
                <w:szCs w:val="24"/>
              </w:rPr>
            </w:pPr>
            <w:r w:rsidRPr="006A63BD">
              <w:rPr>
                <w:rFonts w:ascii="Bookman Old Style" w:eastAsia="Calibri" w:hAnsi="Bookman Old Style" w:cs="Calibri"/>
                <w:sz w:val="24"/>
                <w:szCs w:val="24"/>
                <w:lang w:val="pt-PT"/>
              </w:rPr>
              <w:t xml:space="preserve">O valor proposto deverá compreender toda a mão de obra, deslocamentos, ferramentas e demais </w:t>
            </w:r>
            <w:r w:rsidRPr="006A63BD">
              <w:rPr>
                <w:rFonts w:ascii="Bookman Old Style" w:eastAsia="Calibri" w:hAnsi="Bookman Old Style" w:cs="Calibri"/>
                <w:sz w:val="24"/>
                <w:szCs w:val="24"/>
                <w:lang w:val="pt-PT"/>
              </w:rPr>
              <w:lastRenderedPageBreak/>
              <w:t>recursos necessários à execução completa dos serviços, não sendo admitida cobrança adicional, salvo por serviços ou materiais não previstos no objeto e previamente autorizados pela Administração</w:t>
            </w:r>
          </w:p>
        </w:tc>
        <w:tc>
          <w:tcPr>
            <w:tcW w:w="1307" w:type="dxa"/>
            <w:tcBorders>
              <w:top w:val="single" w:sz="4" w:space="0" w:color="auto"/>
              <w:left w:val="single" w:sz="4" w:space="0" w:color="auto"/>
              <w:bottom w:val="single" w:sz="4" w:space="0" w:color="auto"/>
              <w:right w:val="single" w:sz="4" w:space="0" w:color="auto"/>
            </w:tcBorders>
          </w:tcPr>
          <w:p w14:paraId="4315C3DD"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lastRenderedPageBreak/>
              <w:t>Serv.</w:t>
            </w:r>
          </w:p>
        </w:tc>
        <w:tc>
          <w:tcPr>
            <w:tcW w:w="1280" w:type="dxa"/>
            <w:tcBorders>
              <w:top w:val="single" w:sz="4" w:space="0" w:color="auto"/>
              <w:left w:val="single" w:sz="4" w:space="0" w:color="auto"/>
              <w:bottom w:val="single" w:sz="4" w:space="0" w:color="auto"/>
              <w:right w:val="single" w:sz="4" w:space="0" w:color="auto"/>
            </w:tcBorders>
          </w:tcPr>
          <w:p w14:paraId="3507DEEF" w14:textId="77777777" w:rsidR="005C161E" w:rsidRPr="006A63BD" w:rsidRDefault="005C161E" w:rsidP="00384905">
            <w:pPr>
              <w:spacing w:after="0" w:line="240" w:lineRule="auto"/>
              <w:jc w:val="center"/>
              <w:rPr>
                <w:rFonts w:ascii="Bookman Old Style" w:hAnsi="Bookman Old Style" w:cs="Calibri"/>
                <w:sz w:val="24"/>
                <w:szCs w:val="24"/>
              </w:rPr>
            </w:pPr>
            <w:r w:rsidRPr="006A63BD">
              <w:rPr>
                <w:rFonts w:ascii="Bookman Old Style" w:eastAsia="SimSun" w:hAnsi="Bookman Old Style" w:cs="Calibri"/>
                <w:color w:val="000000"/>
                <w:kern w:val="3"/>
                <w:sz w:val="24"/>
                <w:szCs w:val="24"/>
                <w:lang w:eastAsia="zh-CN" w:bidi="hi-IN"/>
              </w:rPr>
              <w:t>05</w:t>
            </w:r>
          </w:p>
        </w:tc>
        <w:tc>
          <w:tcPr>
            <w:tcW w:w="1461" w:type="dxa"/>
            <w:tcBorders>
              <w:top w:val="nil"/>
              <w:left w:val="single" w:sz="4" w:space="0" w:color="auto"/>
              <w:bottom w:val="single" w:sz="4" w:space="0" w:color="auto"/>
              <w:right w:val="single" w:sz="4" w:space="0" w:color="auto"/>
            </w:tcBorders>
          </w:tcPr>
          <w:p w14:paraId="0A005503" w14:textId="77777777" w:rsidR="005C161E" w:rsidRPr="006A63BD" w:rsidRDefault="005C161E" w:rsidP="00384905">
            <w:pPr>
              <w:spacing w:after="0" w:line="240" w:lineRule="auto"/>
              <w:jc w:val="right"/>
              <w:rPr>
                <w:rFonts w:ascii="Bookman Old Style" w:hAnsi="Bookman Old Style" w:cs="Calibri"/>
                <w:sz w:val="24"/>
                <w:szCs w:val="24"/>
              </w:rPr>
            </w:pPr>
          </w:p>
        </w:tc>
        <w:tc>
          <w:tcPr>
            <w:tcW w:w="1461" w:type="dxa"/>
            <w:tcBorders>
              <w:top w:val="nil"/>
              <w:left w:val="single" w:sz="4" w:space="0" w:color="auto"/>
              <w:bottom w:val="single" w:sz="4" w:space="0" w:color="auto"/>
              <w:right w:val="single" w:sz="4" w:space="0" w:color="auto"/>
            </w:tcBorders>
            <w:shd w:val="clear" w:color="auto" w:fill="auto"/>
          </w:tcPr>
          <w:p w14:paraId="49CA13EE" w14:textId="77777777" w:rsidR="005C161E" w:rsidRPr="006A63BD" w:rsidRDefault="005C161E" w:rsidP="00384905">
            <w:pPr>
              <w:spacing w:after="0" w:line="240" w:lineRule="auto"/>
              <w:jc w:val="right"/>
              <w:rPr>
                <w:rFonts w:ascii="Bookman Old Style" w:hAnsi="Bookman Old Style" w:cs="Calibri"/>
                <w:sz w:val="24"/>
                <w:szCs w:val="24"/>
              </w:rPr>
            </w:pPr>
          </w:p>
        </w:tc>
        <w:tc>
          <w:tcPr>
            <w:tcW w:w="1654" w:type="dxa"/>
            <w:tcBorders>
              <w:top w:val="nil"/>
              <w:left w:val="nil"/>
              <w:bottom w:val="single" w:sz="4" w:space="0" w:color="000000"/>
              <w:right w:val="single" w:sz="4" w:space="0" w:color="auto"/>
            </w:tcBorders>
            <w:shd w:val="clear" w:color="auto" w:fill="auto"/>
          </w:tcPr>
          <w:p w14:paraId="686B6202" w14:textId="77777777" w:rsidR="005C161E" w:rsidRPr="006A63BD" w:rsidRDefault="005C161E" w:rsidP="00384905">
            <w:pPr>
              <w:spacing w:after="0" w:line="240" w:lineRule="auto"/>
              <w:jc w:val="right"/>
              <w:rPr>
                <w:rFonts w:ascii="Bookman Old Style" w:hAnsi="Bookman Old Style" w:cs="Calibri"/>
                <w:sz w:val="24"/>
                <w:szCs w:val="24"/>
              </w:rPr>
            </w:pPr>
          </w:p>
        </w:tc>
      </w:tr>
      <w:tr w:rsidR="005C161E" w:rsidRPr="006A63BD" w14:paraId="2A6D71AE" w14:textId="77777777" w:rsidTr="00384905">
        <w:trPr>
          <w:trHeight w:val="283"/>
          <w:jc w:val="center"/>
        </w:trPr>
        <w:tc>
          <w:tcPr>
            <w:tcW w:w="9741" w:type="dxa"/>
            <w:gridSpan w:val="6"/>
            <w:tcBorders>
              <w:top w:val="nil"/>
              <w:left w:val="single" w:sz="4" w:space="0" w:color="000000"/>
              <w:bottom w:val="single" w:sz="4" w:space="0" w:color="000000"/>
              <w:right w:val="single" w:sz="4" w:space="0" w:color="auto"/>
            </w:tcBorders>
            <w:shd w:val="clear" w:color="auto" w:fill="auto"/>
            <w:vAlign w:val="center"/>
          </w:tcPr>
          <w:p w14:paraId="45BB5AE3" w14:textId="77777777" w:rsidR="005C161E" w:rsidRPr="006A63BD" w:rsidRDefault="005C161E" w:rsidP="00384905">
            <w:pPr>
              <w:spacing w:after="0" w:line="240" w:lineRule="auto"/>
              <w:jc w:val="right"/>
              <w:rPr>
                <w:rFonts w:ascii="Bookman Old Style" w:hAnsi="Bookman Old Style" w:cs="Calibri"/>
                <w:sz w:val="24"/>
                <w:szCs w:val="24"/>
              </w:rPr>
            </w:pPr>
            <w:r w:rsidRPr="006A63BD">
              <w:rPr>
                <w:rFonts w:ascii="Bookman Old Style" w:hAnsi="Bookman Old Style" w:cs="Calibri"/>
                <w:sz w:val="24"/>
                <w:szCs w:val="24"/>
              </w:rPr>
              <w:lastRenderedPageBreak/>
              <w:t>VALOR TOTAL DO LOTE 08</w:t>
            </w:r>
          </w:p>
        </w:tc>
        <w:tc>
          <w:tcPr>
            <w:tcW w:w="1654" w:type="dxa"/>
            <w:tcBorders>
              <w:top w:val="nil"/>
              <w:left w:val="nil"/>
              <w:bottom w:val="single" w:sz="4" w:space="0" w:color="000000"/>
              <w:right w:val="single" w:sz="4" w:space="0" w:color="auto"/>
            </w:tcBorders>
            <w:shd w:val="clear" w:color="auto" w:fill="auto"/>
            <w:vAlign w:val="center"/>
          </w:tcPr>
          <w:p w14:paraId="3F9AA309" w14:textId="77777777" w:rsidR="005C161E" w:rsidRPr="006A63BD" w:rsidRDefault="005C161E" w:rsidP="00384905">
            <w:pPr>
              <w:spacing w:after="0" w:line="240" w:lineRule="auto"/>
              <w:jc w:val="center"/>
              <w:rPr>
                <w:rFonts w:ascii="Bookman Old Style" w:hAnsi="Bookman Old Style" w:cs="Calibri"/>
                <w:sz w:val="24"/>
                <w:szCs w:val="24"/>
              </w:rPr>
            </w:pPr>
          </w:p>
        </w:tc>
      </w:tr>
    </w:tbl>
    <w:p w14:paraId="43AED8C8" w14:textId="77777777" w:rsidR="005C161E" w:rsidRPr="00670E34" w:rsidRDefault="005C161E" w:rsidP="005C161E">
      <w:pPr>
        <w:pStyle w:val="Nivel2"/>
        <w:numPr>
          <w:ilvl w:val="0"/>
          <w:numId w:val="0"/>
        </w:numPr>
        <w:spacing w:before="0" w:after="0" w:line="240" w:lineRule="auto"/>
        <w:rPr>
          <w:rFonts w:ascii="Bookman Old Style" w:hAnsi="Bookman Old Style" w:cstheme="minorHAnsi"/>
          <w:sz w:val="24"/>
          <w:szCs w:val="24"/>
        </w:rPr>
      </w:pPr>
    </w:p>
    <w:p w14:paraId="25BF4FD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Vinculam esta contratação, independentemente de transcrição:</w:t>
      </w:r>
    </w:p>
    <w:p w14:paraId="3765D2A1"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O Termo de Referência;</w:t>
      </w:r>
    </w:p>
    <w:p w14:paraId="584E2BD3"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O Edital da Licitação;</w:t>
      </w:r>
    </w:p>
    <w:p w14:paraId="49F4267A"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 Proposta do contratado;</w:t>
      </w:r>
    </w:p>
    <w:p w14:paraId="3674F495"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Eventuais anexos dos documentos supracitados.</w:t>
      </w:r>
    </w:p>
    <w:p w14:paraId="3FD7BEF0"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SEGUNDA – VIGÊNCIA E PRORROGAÇÃO</w:t>
      </w:r>
    </w:p>
    <w:p w14:paraId="52C4C99D"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 xml:space="preserve">O prazo de vigência da contratação é de 12 (doze) meses contados da sua publicação, na forma do </w:t>
      </w:r>
      <w:hyperlink r:id="rId23" w:anchor="art105" w:history="1">
        <w:r w:rsidRPr="00670E34">
          <w:rPr>
            <w:rStyle w:val="Hyperlink"/>
            <w:rFonts w:ascii="Bookman Old Style" w:hAnsi="Bookman Old Style" w:cstheme="minorHAnsi"/>
            <w:i w:val="0"/>
            <w:iCs w:val="0"/>
            <w:color w:val="000000" w:themeColor="text1"/>
            <w:sz w:val="24"/>
            <w:szCs w:val="24"/>
          </w:rPr>
          <w:t>artigo 105 da Lei n° 14.133, de 2021</w:t>
        </w:r>
      </w:hyperlink>
      <w:r w:rsidRPr="00670E34">
        <w:rPr>
          <w:rFonts w:ascii="Bookman Old Style" w:hAnsi="Bookman Old Style" w:cstheme="minorHAnsi"/>
          <w:i w:val="0"/>
          <w:iCs w:val="0"/>
          <w:color w:val="000000" w:themeColor="text1"/>
          <w:sz w:val="24"/>
          <w:szCs w:val="24"/>
        </w:rPr>
        <w:t>.</w:t>
      </w:r>
    </w:p>
    <w:p w14:paraId="6277705D"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contratado não tem direito subjetivo à prorrogação contratual.</w:t>
      </w:r>
    </w:p>
    <w:p w14:paraId="1B1E81F2"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A prorrogação de contrato deverá ser promovida mediante celebração de termo aditivo.</w:t>
      </w:r>
    </w:p>
    <w:p w14:paraId="7C6BD270"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F75155D"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TERCEIRA – MODELOS DE EXECUÇÃO E GESTÃO CONTRATUAIS (</w:t>
      </w:r>
      <w:hyperlink r:id="rId24" w:anchor="art92" w:history="1">
        <w:r w:rsidRPr="00670E34">
          <w:rPr>
            <w:rStyle w:val="Hyperlink"/>
            <w:rFonts w:ascii="Bookman Old Style" w:hAnsi="Bookman Old Style" w:cstheme="minorHAnsi"/>
            <w:sz w:val="24"/>
            <w:szCs w:val="24"/>
          </w:rPr>
          <w:t>art. 92, IV, VII e XVIII)</w:t>
        </w:r>
      </w:hyperlink>
    </w:p>
    <w:p w14:paraId="59C1623B"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6AE25C47"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QUARTA – SUBCONTRATAÇÃO</w:t>
      </w:r>
    </w:p>
    <w:p w14:paraId="08FB10C0"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Não será admitida a subcontratação do objeto contratual.</w:t>
      </w:r>
    </w:p>
    <w:p w14:paraId="22BE3A18"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QUINTA – PREÇO (</w:t>
      </w:r>
      <w:hyperlink r:id="rId25" w:anchor="art92" w:history="1">
        <w:r w:rsidRPr="00670E34">
          <w:rPr>
            <w:rStyle w:val="Hyperlink"/>
            <w:rFonts w:ascii="Bookman Old Style" w:hAnsi="Bookman Old Style" w:cstheme="minorHAnsi"/>
            <w:sz w:val="24"/>
            <w:szCs w:val="24"/>
          </w:rPr>
          <w:t>art. 92, V)</w:t>
        </w:r>
      </w:hyperlink>
    </w:p>
    <w:p w14:paraId="76C761DD"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valor total da contratação é de R$.......... (.....)</w:t>
      </w:r>
    </w:p>
    <w:p w14:paraId="5A024F7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B0B0DA"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SEXTA - PAGAMENTO (</w:t>
      </w:r>
      <w:hyperlink r:id="rId26" w:anchor="art92" w:history="1">
        <w:r w:rsidRPr="00670E34">
          <w:rPr>
            <w:rStyle w:val="Hyperlink"/>
            <w:rFonts w:ascii="Bookman Old Style" w:hAnsi="Bookman Old Style" w:cstheme="minorHAnsi"/>
            <w:sz w:val="24"/>
            <w:szCs w:val="24"/>
          </w:rPr>
          <w:t>art. 92, V e VI</w:t>
        </w:r>
      </w:hyperlink>
      <w:r w:rsidRPr="00670E34">
        <w:rPr>
          <w:rFonts w:ascii="Bookman Old Style" w:hAnsi="Bookman Old Style" w:cstheme="minorHAnsi"/>
          <w:sz w:val="24"/>
          <w:szCs w:val="24"/>
        </w:rPr>
        <w:t>)</w:t>
      </w:r>
    </w:p>
    <w:p w14:paraId="067D5C63"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prazo para pagamento </w:t>
      </w:r>
      <w:r w:rsidRPr="00670E34">
        <w:rPr>
          <w:rFonts w:ascii="Bookman Old Style" w:hAnsi="Bookman Old Style" w:cstheme="minorHAnsi"/>
          <w:color w:val="auto"/>
          <w:sz w:val="24"/>
          <w:szCs w:val="24"/>
          <w:lang w:eastAsia="en-US"/>
        </w:rPr>
        <w:t>ao contratado</w:t>
      </w:r>
      <w:r w:rsidRPr="00670E34">
        <w:rPr>
          <w:rFonts w:ascii="Bookman Old Style" w:hAnsi="Bookman Old Style" w:cstheme="minorHAnsi"/>
          <w:sz w:val="24"/>
          <w:szCs w:val="24"/>
        </w:rPr>
        <w:t xml:space="preserve"> e demais condições a ele referentes encontram-se definidos no Termo de Referência, anexo a este Contrato.</w:t>
      </w:r>
    </w:p>
    <w:p w14:paraId="124DF67E"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lastRenderedPageBreak/>
        <w:t>CLÁUSULA SÉTIMA - REAJUSTE (</w:t>
      </w:r>
      <w:hyperlink r:id="rId27" w:anchor="art92" w:history="1">
        <w:r w:rsidRPr="00670E34">
          <w:rPr>
            <w:rStyle w:val="Hyperlink"/>
            <w:rFonts w:ascii="Bookman Old Style" w:hAnsi="Bookman Old Style" w:cstheme="minorHAnsi"/>
            <w:sz w:val="24"/>
            <w:szCs w:val="24"/>
          </w:rPr>
          <w:t>art. 92, V)</w:t>
        </w:r>
      </w:hyperlink>
    </w:p>
    <w:p w14:paraId="53F5FFE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Os preços inicialmente contratados são fixos e irreajustáveis no prazo de um ano contado da data da proposta.</w:t>
      </w:r>
    </w:p>
    <w:p w14:paraId="1F677A1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Após o interregno de um ano, e independentemente de pedido do contratado, os preços iniciais serão reajustados, mediante a aplicação, pelo contratante, do índice </w:t>
      </w:r>
      <w:r w:rsidRPr="00670E34">
        <w:rPr>
          <w:rFonts w:ascii="Bookman Old Style" w:hAnsi="Bookman Old Style" w:cstheme="minorHAnsi"/>
          <w:b/>
          <w:bCs/>
          <w:color w:val="000000" w:themeColor="text1"/>
          <w:sz w:val="24"/>
          <w:szCs w:val="24"/>
        </w:rPr>
        <w:t>IPCA</w:t>
      </w:r>
      <w:r w:rsidRPr="00670E34">
        <w:rPr>
          <w:rFonts w:ascii="Bookman Old Style" w:hAnsi="Bookman Old Style" w:cstheme="minorHAnsi"/>
          <w:i/>
          <w:iCs/>
          <w:sz w:val="24"/>
          <w:szCs w:val="24"/>
        </w:rPr>
        <w:t>,</w:t>
      </w:r>
      <w:r w:rsidRPr="00670E34">
        <w:rPr>
          <w:rFonts w:ascii="Bookman Old Style" w:hAnsi="Bookman Old Style" w:cstheme="minorHAnsi"/>
          <w:sz w:val="24"/>
          <w:szCs w:val="24"/>
        </w:rPr>
        <w:t xml:space="preserve"> exclusivamente para as obrigações iniciadas e concluídas após a ocorrência da anualidade.</w:t>
      </w:r>
    </w:p>
    <w:p w14:paraId="5FC2B1A5"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Nos reajustes subsequentes ao primeiro, o interregno mínimo de um ano será contado a partir dos efeitos financeiros do último reajuste.</w:t>
      </w:r>
    </w:p>
    <w:p w14:paraId="4B25EE1E"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No caso de atraso ou não divulgação </w:t>
      </w:r>
      <w:proofErr w:type="gramStart"/>
      <w:r w:rsidRPr="00670E34">
        <w:rPr>
          <w:rFonts w:ascii="Bookman Old Style" w:hAnsi="Bookman Old Style" w:cstheme="minorHAnsi"/>
          <w:sz w:val="24"/>
          <w:szCs w:val="24"/>
        </w:rPr>
        <w:t>do(</w:t>
      </w:r>
      <w:proofErr w:type="gramEnd"/>
      <w:r w:rsidRPr="00670E34">
        <w:rPr>
          <w:rFonts w:ascii="Bookman Old Style" w:hAnsi="Bookman Old Style" w:cstheme="minorHAnsi"/>
          <w:sz w:val="24"/>
          <w:szCs w:val="24"/>
        </w:rPr>
        <w:t>s) índice (s) de reajustamento, o contratante pagará ao contratado a importância calculada pela última variação conhecida, liquidando a diferença correspondente tão logo seja(m) divulgado(s) o(s) índice(s) definitivo(s).</w:t>
      </w:r>
      <w:r w:rsidRPr="00670E34">
        <w:rPr>
          <w:rFonts w:ascii="Bookman Old Style" w:eastAsia="Times New Roman" w:hAnsi="Bookman Old Style" w:cstheme="minorHAnsi"/>
          <w:sz w:val="24"/>
          <w:szCs w:val="24"/>
        </w:rPr>
        <w:t xml:space="preserve"> </w:t>
      </w:r>
    </w:p>
    <w:p w14:paraId="092CD350"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Nas aferições finais, </w:t>
      </w:r>
      <w:proofErr w:type="gramStart"/>
      <w:r w:rsidRPr="00670E34">
        <w:rPr>
          <w:rFonts w:ascii="Bookman Old Style" w:hAnsi="Bookman Old Style" w:cstheme="minorHAnsi"/>
          <w:sz w:val="24"/>
          <w:szCs w:val="24"/>
        </w:rPr>
        <w:t>o(</w:t>
      </w:r>
      <w:proofErr w:type="gramEnd"/>
      <w:r w:rsidRPr="00670E34">
        <w:rPr>
          <w:rFonts w:ascii="Bookman Old Style" w:hAnsi="Bookman Old Style" w:cstheme="minorHAnsi"/>
          <w:sz w:val="24"/>
          <w:szCs w:val="24"/>
        </w:rPr>
        <w:t>s) índice(s) utilizado(s) para reajuste será(</w:t>
      </w:r>
      <w:proofErr w:type="spellStart"/>
      <w:r w:rsidRPr="00670E34">
        <w:rPr>
          <w:rFonts w:ascii="Bookman Old Style" w:hAnsi="Bookman Old Style" w:cstheme="minorHAnsi"/>
          <w:sz w:val="24"/>
          <w:szCs w:val="24"/>
        </w:rPr>
        <w:t>ão</w:t>
      </w:r>
      <w:proofErr w:type="spellEnd"/>
      <w:r w:rsidRPr="00670E34">
        <w:rPr>
          <w:rFonts w:ascii="Bookman Old Style" w:hAnsi="Bookman Old Style" w:cstheme="minorHAnsi"/>
          <w:sz w:val="24"/>
          <w:szCs w:val="24"/>
        </w:rPr>
        <w:t>), obrigatoriamente, o(s) definitivo(s).</w:t>
      </w:r>
    </w:p>
    <w:p w14:paraId="17B35272"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Caso </w:t>
      </w:r>
      <w:proofErr w:type="gramStart"/>
      <w:r w:rsidRPr="00670E34">
        <w:rPr>
          <w:rFonts w:ascii="Bookman Old Style" w:hAnsi="Bookman Old Style" w:cstheme="minorHAnsi"/>
          <w:sz w:val="24"/>
          <w:szCs w:val="24"/>
        </w:rPr>
        <w:t>o(</w:t>
      </w:r>
      <w:proofErr w:type="gramEnd"/>
      <w:r w:rsidRPr="00670E34">
        <w:rPr>
          <w:rFonts w:ascii="Bookman Old Style" w:hAnsi="Bookman Old Style" w:cstheme="minorHAnsi"/>
          <w:sz w:val="24"/>
          <w:szCs w:val="24"/>
        </w:rPr>
        <w:t>s) índice(s) estabelecido(s) para reajustamento venha(m) a ser extinto(s) ou de qualquer forma não possa(m) mais ser utilizado(s), será(</w:t>
      </w:r>
      <w:proofErr w:type="spellStart"/>
      <w:r w:rsidRPr="00670E34">
        <w:rPr>
          <w:rFonts w:ascii="Bookman Old Style" w:hAnsi="Bookman Old Style" w:cstheme="minorHAnsi"/>
          <w:sz w:val="24"/>
          <w:szCs w:val="24"/>
        </w:rPr>
        <w:t>ão</w:t>
      </w:r>
      <w:proofErr w:type="spellEnd"/>
      <w:r w:rsidRPr="00670E34">
        <w:rPr>
          <w:rFonts w:ascii="Bookman Old Style" w:hAnsi="Bookman Old Style" w:cstheme="minorHAnsi"/>
          <w:sz w:val="24"/>
          <w:szCs w:val="24"/>
        </w:rPr>
        <w:t>) adotado(s), em substituição, o(s) que vier(em) a ser determinado(s) pela legislação então em vigor.</w:t>
      </w:r>
    </w:p>
    <w:p w14:paraId="556EA39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Na ausência de previsão legal quanto ao índice substituto, as partes elegerão novo índice oficial, para reajustamento do preço do valor remanescente, por meio de termo aditivo. </w:t>
      </w:r>
    </w:p>
    <w:p w14:paraId="108709A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reajuste será realizado por </w:t>
      </w:r>
      <w:proofErr w:type="spellStart"/>
      <w:r w:rsidRPr="00670E34">
        <w:rPr>
          <w:rFonts w:ascii="Bookman Old Style" w:hAnsi="Bookman Old Style" w:cstheme="minorHAnsi"/>
          <w:sz w:val="24"/>
          <w:szCs w:val="24"/>
        </w:rPr>
        <w:t>apostilamento</w:t>
      </w:r>
      <w:proofErr w:type="spellEnd"/>
      <w:r w:rsidRPr="00670E34">
        <w:rPr>
          <w:rFonts w:ascii="Bookman Old Style" w:hAnsi="Bookman Old Style" w:cstheme="minorHAnsi"/>
          <w:sz w:val="24"/>
          <w:szCs w:val="24"/>
        </w:rPr>
        <w:t>.</w:t>
      </w:r>
    </w:p>
    <w:p w14:paraId="278A7382"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OITAVA - OBRIGAÇÕES DO CONTRATANTE (</w:t>
      </w:r>
      <w:hyperlink r:id="rId28" w:anchor="art92" w:history="1">
        <w:r w:rsidRPr="00670E34">
          <w:rPr>
            <w:rStyle w:val="Hyperlink"/>
            <w:rFonts w:ascii="Bookman Old Style" w:hAnsi="Bookman Old Style" w:cstheme="minorHAnsi"/>
            <w:sz w:val="24"/>
            <w:szCs w:val="24"/>
          </w:rPr>
          <w:t>art. 92, X, XI e XIV</w:t>
        </w:r>
      </w:hyperlink>
      <w:r w:rsidRPr="00670E34">
        <w:rPr>
          <w:rFonts w:ascii="Bookman Old Style" w:hAnsi="Bookman Old Style" w:cstheme="minorHAnsi"/>
          <w:sz w:val="24"/>
          <w:szCs w:val="24"/>
        </w:rPr>
        <w:t>)</w:t>
      </w:r>
    </w:p>
    <w:p w14:paraId="057E1746" w14:textId="77777777" w:rsidR="005C161E" w:rsidRPr="00670E34" w:rsidRDefault="005C161E" w:rsidP="005C161E">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São obrigações do Contratante:</w:t>
      </w:r>
    </w:p>
    <w:p w14:paraId="514F9220"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Exigir o cumprimento de todas as obrigações assumidas pelo Contratado, de acordo com o contrato e seus anexos;</w:t>
      </w:r>
    </w:p>
    <w:p w14:paraId="74A5AA37"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Receber o objeto no prazo e condições estabelecidas no Termo de Referência;</w:t>
      </w:r>
    </w:p>
    <w:p w14:paraId="128002F5"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Notificar o Contratado, por escrito, sobre vícios, defeitos ou incorreções verificadas no objeto fornecido, para que seja por ele substituído, reparado ou corrigido, no total ou em parte, às suas expensas;</w:t>
      </w:r>
    </w:p>
    <w:p w14:paraId="53FE37F6"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Acompanhar e fiscalizar a execução do contrato e o cumprimento das obrigações pelo Contratado;</w:t>
      </w:r>
    </w:p>
    <w:p w14:paraId="5AB5B2BB"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Efetuar o pagamento ao Contratado do valor correspondente ao fornecimento do objeto, no prazo, forma e condições estabelecidos no presente Contrato e no Termo de Referência.</w:t>
      </w:r>
    </w:p>
    <w:p w14:paraId="07968C06"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Aplicar ao Contratado as sanções previstas na lei e neste Contrato; </w:t>
      </w:r>
    </w:p>
    <w:p w14:paraId="35867EB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Cientificar o órgão de representação judicial da Advocacia-Geral da União para adoção das medidas cabíveis quando do descumprimento de obrigações pelo Contratado;</w:t>
      </w:r>
    </w:p>
    <w:p w14:paraId="03B8500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E4028D" w14:textId="77777777" w:rsidR="005C161E" w:rsidRPr="00670E34" w:rsidRDefault="005C161E" w:rsidP="005C161E">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 xml:space="preserve"> A Administração terá o prazo de</w:t>
      </w:r>
      <w:r w:rsidRPr="00670E34">
        <w:rPr>
          <w:rFonts w:ascii="Bookman Old Style" w:hAnsi="Bookman Old Style" w:cstheme="minorHAnsi"/>
          <w:i/>
          <w:iCs/>
          <w:color w:val="FF0000"/>
          <w:sz w:val="24"/>
          <w:szCs w:val="24"/>
        </w:rPr>
        <w:t xml:space="preserve"> </w:t>
      </w:r>
      <w:r w:rsidRPr="00670E34">
        <w:rPr>
          <w:rFonts w:ascii="Bookman Old Style" w:hAnsi="Bookman Old Style" w:cstheme="minorHAnsi"/>
          <w:i/>
          <w:iCs/>
          <w:color w:val="auto"/>
          <w:sz w:val="24"/>
          <w:szCs w:val="24"/>
        </w:rPr>
        <w:t>10 (dez) dias</w:t>
      </w:r>
      <w:r w:rsidRPr="00670E34">
        <w:rPr>
          <w:rFonts w:ascii="Bookman Old Style" w:hAnsi="Bookman Old Style" w:cstheme="minorHAnsi"/>
          <w:sz w:val="24"/>
          <w:szCs w:val="24"/>
        </w:rPr>
        <w:t xml:space="preserve">, a contar da data do protocolo do requerimento para decidir, admitida a prorrogação motivada, por igual período. </w:t>
      </w:r>
    </w:p>
    <w:p w14:paraId="5642B06A" w14:textId="77777777" w:rsidR="005C161E" w:rsidRPr="00670E34" w:rsidRDefault="005C161E" w:rsidP="005C161E">
      <w:pPr>
        <w:pStyle w:val="Nivel2"/>
        <w:spacing w:before="0" w:after="0" w:line="240" w:lineRule="auto"/>
        <w:rPr>
          <w:rFonts w:ascii="Bookman Old Style" w:hAnsi="Bookman Old Style" w:cstheme="minorHAnsi"/>
          <w:color w:val="auto"/>
          <w:sz w:val="24"/>
          <w:szCs w:val="24"/>
        </w:rPr>
      </w:pPr>
      <w:r w:rsidRPr="00670E34">
        <w:rPr>
          <w:rFonts w:ascii="Bookman Old Style" w:hAnsi="Bookman Old Style" w:cstheme="minorHAnsi"/>
          <w:sz w:val="24"/>
          <w:szCs w:val="24"/>
        </w:rPr>
        <w:lastRenderedPageBreak/>
        <w:t xml:space="preserve">Responder eventuais pedidos de reestabelecimento do equilíbrio econômico-financeiro feitos pelo contratado no prazo máximo de </w:t>
      </w:r>
      <w:r w:rsidRPr="00670E34">
        <w:rPr>
          <w:rFonts w:ascii="Bookman Old Style" w:hAnsi="Bookman Old Style" w:cstheme="minorHAnsi"/>
          <w:color w:val="auto"/>
          <w:sz w:val="24"/>
          <w:szCs w:val="24"/>
        </w:rPr>
        <w:t>15 (quinze) dias.</w:t>
      </w:r>
    </w:p>
    <w:p w14:paraId="5776C080"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Notificar os emitentes das garantias quanto ao início de processo administrativo para apuração de descumprimento de cláusulas contratuais.</w:t>
      </w:r>
    </w:p>
    <w:p w14:paraId="01C3E138"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A3D857"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NONA - OBRIGAÇÕES DO CONTRATADO (</w:t>
      </w:r>
      <w:hyperlink r:id="rId29" w:anchor="art92" w:history="1">
        <w:r w:rsidRPr="00670E34">
          <w:rPr>
            <w:rStyle w:val="Hyperlink"/>
            <w:rFonts w:ascii="Bookman Old Style" w:hAnsi="Bookman Old Style" w:cstheme="minorHAnsi"/>
            <w:sz w:val="24"/>
            <w:szCs w:val="24"/>
          </w:rPr>
          <w:t>art. 92, XIV, XVI e XVII)</w:t>
        </w:r>
      </w:hyperlink>
    </w:p>
    <w:p w14:paraId="72AF67E2"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E31379F" w14:textId="77777777" w:rsidR="005C161E" w:rsidRPr="00670E34" w:rsidRDefault="005C161E" w:rsidP="005C161E">
      <w:pPr>
        <w:pStyle w:val="Nivel2"/>
        <w:spacing w:before="0" w:after="0" w:line="240" w:lineRule="auto"/>
        <w:rPr>
          <w:rFonts w:ascii="Bookman Old Style" w:hAnsi="Bookman Old Style" w:cstheme="minorHAnsi"/>
          <w:color w:val="000000" w:themeColor="text1"/>
          <w:sz w:val="24"/>
          <w:szCs w:val="24"/>
        </w:rPr>
      </w:pPr>
      <w:r w:rsidRPr="00670E34">
        <w:rPr>
          <w:rFonts w:ascii="Bookman Old Style" w:hAnsi="Bookman Old Style" w:cstheme="minorHAnsi"/>
          <w:sz w:val="24"/>
          <w:szCs w:val="24"/>
        </w:rPr>
        <w:t>Responsabilizar-se pelos vícios e danos decorrentes do objeto, de acordo com o Código de Defesa do Consumidor (</w:t>
      </w:r>
      <w:hyperlink r:id="rId30" w:history="1">
        <w:r w:rsidRPr="00670E34">
          <w:rPr>
            <w:rStyle w:val="Hyperlink"/>
            <w:rFonts w:ascii="Bookman Old Style" w:hAnsi="Bookman Old Style" w:cstheme="minorHAnsi"/>
            <w:sz w:val="24"/>
            <w:szCs w:val="24"/>
          </w:rPr>
          <w:t>Lei nº 8.078, de 1990</w:t>
        </w:r>
      </w:hyperlink>
      <w:r w:rsidRPr="00670E34">
        <w:rPr>
          <w:rFonts w:ascii="Bookman Old Style" w:hAnsi="Bookman Old Style" w:cstheme="minorHAnsi"/>
          <w:sz w:val="24"/>
          <w:szCs w:val="24"/>
        </w:rPr>
        <w:t>);</w:t>
      </w:r>
    </w:p>
    <w:p w14:paraId="512FA59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Comunicar ao contratante, no prazo máximo de 24 (vinte e quatro) horas que antecede a data da entrega, os motivos que impossibilitem o cumprimento do prazo previsto, com a devida comprovação;</w:t>
      </w:r>
    </w:p>
    <w:p w14:paraId="2BF0F2CB" w14:textId="77777777" w:rsidR="005C161E" w:rsidRPr="00670E34" w:rsidRDefault="005C161E" w:rsidP="005C161E">
      <w:pPr>
        <w:pStyle w:val="Nivel2"/>
        <w:spacing w:before="0" w:after="0" w:line="240" w:lineRule="auto"/>
        <w:rPr>
          <w:rFonts w:ascii="Bookman Old Style" w:hAnsi="Bookman Old Style" w:cstheme="minorHAnsi"/>
          <w:color w:val="000000" w:themeColor="text1"/>
          <w:sz w:val="24"/>
          <w:szCs w:val="24"/>
        </w:rPr>
      </w:pPr>
      <w:r w:rsidRPr="00670E34">
        <w:rPr>
          <w:rFonts w:ascii="Bookman Old Style" w:hAnsi="Bookman Old Style" w:cstheme="minorHAnsi"/>
          <w:color w:val="000000" w:themeColor="text1"/>
          <w:sz w:val="24"/>
          <w:szCs w:val="24"/>
        </w:rPr>
        <w:t xml:space="preserve">Atender </w:t>
      </w:r>
      <w:r w:rsidRPr="00670E34">
        <w:rPr>
          <w:rFonts w:ascii="Bookman Old Style" w:hAnsi="Bookman Old Style" w:cstheme="minorHAnsi"/>
          <w:sz w:val="24"/>
          <w:szCs w:val="24"/>
        </w:rPr>
        <w:t>às</w:t>
      </w:r>
      <w:r w:rsidRPr="00670E34">
        <w:rPr>
          <w:rFonts w:ascii="Bookman Old Style" w:hAnsi="Bookman Old Style" w:cstheme="minorHAnsi"/>
          <w:color w:val="000000" w:themeColor="text1"/>
          <w:sz w:val="24"/>
          <w:szCs w:val="24"/>
        </w:rPr>
        <w:t xml:space="preserve"> determinações regulares emitidas pelo fiscal ou gestor do contrato ou autoridade superior (</w:t>
      </w:r>
      <w:hyperlink r:id="rId31" w:anchor="art137" w:history="1">
        <w:r w:rsidRPr="00670E34">
          <w:rPr>
            <w:rStyle w:val="Hyperlink"/>
            <w:rFonts w:ascii="Bookman Old Style" w:hAnsi="Bookman Old Style" w:cstheme="minorHAnsi"/>
            <w:sz w:val="24"/>
            <w:szCs w:val="24"/>
          </w:rPr>
          <w:t>art. 137, II, da Lei n.º 14.133, de 2021</w:t>
        </w:r>
      </w:hyperlink>
      <w:r w:rsidRPr="00670E34">
        <w:rPr>
          <w:rFonts w:ascii="Bookman Old Style" w:hAnsi="Bookman Old Style" w:cstheme="minorHAnsi"/>
          <w:color w:val="000000" w:themeColor="text1"/>
          <w:sz w:val="24"/>
          <w:szCs w:val="24"/>
        </w:rPr>
        <w:t xml:space="preserve">) e </w:t>
      </w:r>
      <w:r w:rsidRPr="00670E34">
        <w:rPr>
          <w:rFonts w:ascii="Bookman Old Style" w:hAnsi="Bookman Old Style" w:cstheme="minorHAnsi"/>
          <w:sz w:val="24"/>
          <w:szCs w:val="24"/>
        </w:rPr>
        <w:t>prestar todo esclarecimento ou informação por eles solicitados</w:t>
      </w:r>
      <w:r w:rsidRPr="00670E34">
        <w:rPr>
          <w:rFonts w:ascii="Bookman Old Style" w:hAnsi="Bookman Old Style" w:cstheme="minorHAnsi"/>
          <w:color w:val="000000" w:themeColor="text1"/>
          <w:sz w:val="24"/>
          <w:szCs w:val="24"/>
        </w:rPr>
        <w:t>;</w:t>
      </w:r>
    </w:p>
    <w:p w14:paraId="559F142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2D54E7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3143A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8FDAF5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73B991B"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Comunicar ao Fiscal do contrato, no prazo de 24 (vinte e quatro) horas, qualquer ocorrência anormal ou acidente que se verifique no local da execução do objeto contratual.</w:t>
      </w:r>
    </w:p>
    <w:p w14:paraId="746D831D"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lastRenderedPageBreak/>
        <w:t>Paralisar, por determinação do contratante, qualquer atividade que não esteja sendo executada de acordo com a boa técnica ou que ponha em risco a segurança de pessoas ou bens de terceiros.</w:t>
      </w:r>
    </w:p>
    <w:p w14:paraId="284BD55D"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Manter durante toda a vigência do contrato, em compatibilidade com as obrigações assumidas, todas as condições exigidas para habilitação na licitação; </w:t>
      </w:r>
    </w:p>
    <w:p w14:paraId="004524EF" w14:textId="77777777" w:rsidR="005C161E" w:rsidRPr="00670E34" w:rsidRDefault="005C161E" w:rsidP="005C161E">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2" w:anchor="art116" w:history="1">
        <w:r w:rsidRPr="00670E34">
          <w:rPr>
            <w:rStyle w:val="Hyperlink"/>
            <w:rFonts w:ascii="Bookman Old Style" w:hAnsi="Bookman Old Style" w:cstheme="minorHAnsi"/>
            <w:sz w:val="24"/>
            <w:szCs w:val="24"/>
          </w:rPr>
          <w:t>art. 116, da Lei n.º 14.133, de 2021</w:t>
        </w:r>
      </w:hyperlink>
      <w:r w:rsidRPr="00670E34">
        <w:rPr>
          <w:rFonts w:ascii="Bookman Old Style" w:hAnsi="Bookman Old Style" w:cstheme="minorHAnsi"/>
          <w:sz w:val="24"/>
          <w:szCs w:val="24"/>
        </w:rPr>
        <w:t>);</w:t>
      </w:r>
    </w:p>
    <w:p w14:paraId="77A6979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Comprovar a reserva de cargos a que se refere a cláusula acima, no prazo fixado pelo fiscal do contrato, com a indicação dos empregados que preencheram as referidas vagas (</w:t>
      </w:r>
      <w:hyperlink r:id="rId33" w:anchor="art116" w:history="1">
        <w:r w:rsidRPr="00670E34">
          <w:rPr>
            <w:rStyle w:val="Hyperlink"/>
            <w:rFonts w:ascii="Bookman Old Style" w:hAnsi="Bookman Old Style" w:cstheme="minorHAnsi"/>
            <w:sz w:val="24"/>
            <w:szCs w:val="24"/>
          </w:rPr>
          <w:t>art. 116, parágrafo único, da Lei n.º 14.133, de 2021</w:t>
        </w:r>
      </w:hyperlink>
      <w:r w:rsidRPr="00670E34">
        <w:rPr>
          <w:rFonts w:ascii="Bookman Old Style" w:hAnsi="Bookman Old Style" w:cstheme="minorHAnsi"/>
          <w:sz w:val="24"/>
          <w:szCs w:val="24"/>
        </w:rPr>
        <w:t>);</w:t>
      </w:r>
    </w:p>
    <w:p w14:paraId="4D13B4C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  Guardar sigilo sobre todas as informações obtidas em decorrência do cumprimento do contrato; </w:t>
      </w:r>
    </w:p>
    <w:p w14:paraId="080C4FC8"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anchor="art124" w:history="1">
        <w:r w:rsidRPr="00670E34">
          <w:rPr>
            <w:rStyle w:val="Hyperlink"/>
            <w:rFonts w:ascii="Bookman Old Style" w:hAnsi="Bookman Old Style" w:cstheme="minorHAnsi"/>
            <w:sz w:val="24"/>
            <w:szCs w:val="24"/>
          </w:rPr>
          <w:t>art. 124, II, d, da Lei nº 14.133, de 2021.</w:t>
        </w:r>
      </w:hyperlink>
    </w:p>
    <w:p w14:paraId="5B5D525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Cumprir, além dos postulados legais vigentes de âmbito federal, estadual ou municipal, as normas de segurança do contratante;</w:t>
      </w:r>
    </w:p>
    <w:p w14:paraId="262BE324"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GARANTIA DE EXECUÇÃO (</w:t>
      </w:r>
      <w:hyperlink r:id="rId35" w:anchor="art92" w:history="1">
        <w:r w:rsidRPr="00670E34">
          <w:rPr>
            <w:rStyle w:val="Hyperlink"/>
            <w:rFonts w:ascii="Bookman Old Style" w:hAnsi="Bookman Old Style" w:cstheme="minorHAnsi"/>
            <w:sz w:val="24"/>
            <w:szCs w:val="24"/>
          </w:rPr>
          <w:t>art. 92, XII</w:t>
        </w:r>
      </w:hyperlink>
      <w:r w:rsidRPr="00670E34">
        <w:rPr>
          <w:rFonts w:ascii="Bookman Old Style" w:hAnsi="Bookman Old Style" w:cstheme="minorHAnsi"/>
          <w:sz w:val="24"/>
          <w:szCs w:val="24"/>
        </w:rPr>
        <w:t>)</w:t>
      </w:r>
    </w:p>
    <w:p w14:paraId="7CB59D43"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 xml:space="preserve">  Não haverá exigência de garantia contratual da execução.</w:t>
      </w:r>
    </w:p>
    <w:p w14:paraId="5E5F1497"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PRIMEIRA – INFRAÇÕES E SANÇÕES ADMINISTRATIVAS (</w:t>
      </w:r>
      <w:hyperlink r:id="rId36" w:anchor="art92" w:history="1">
        <w:r w:rsidRPr="00670E34">
          <w:rPr>
            <w:rStyle w:val="Hyperlink"/>
            <w:rFonts w:ascii="Bookman Old Style" w:hAnsi="Bookman Old Style" w:cstheme="minorHAnsi"/>
            <w:sz w:val="24"/>
            <w:szCs w:val="24"/>
          </w:rPr>
          <w:t>art. 92, XIV</w:t>
        </w:r>
      </w:hyperlink>
      <w:r w:rsidRPr="00670E34">
        <w:rPr>
          <w:rFonts w:ascii="Bookman Old Style" w:hAnsi="Bookman Old Style" w:cstheme="minorHAnsi"/>
          <w:sz w:val="24"/>
          <w:szCs w:val="24"/>
        </w:rPr>
        <w:t>)</w:t>
      </w:r>
    </w:p>
    <w:p w14:paraId="00A5CB70"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Comete infração administrativa, nos termos da </w:t>
      </w:r>
      <w:hyperlink r:id="rId37" w:history="1">
        <w:r w:rsidRPr="00670E34">
          <w:rPr>
            <w:rStyle w:val="Hyperlink"/>
            <w:rFonts w:ascii="Bookman Old Style" w:hAnsi="Bookman Old Style" w:cstheme="minorHAnsi"/>
            <w:sz w:val="24"/>
            <w:szCs w:val="24"/>
          </w:rPr>
          <w:t>Lei nº 14.133, de 2021</w:t>
        </w:r>
      </w:hyperlink>
      <w:r w:rsidRPr="00670E34">
        <w:rPr>
          <w:rFonts w:ascii="Bookman Old Style" w:hAnsi="Bookman Old Style" w:cstheme="minorHAnsi"/>
          <w:sz w:val="24"/>
          <w:szCs w:val="24"/>
        </w:rPr>
        <w:t>, o contratado que:</w:t>
      </w:r>
    </w:p>
    <w:p w14:paraId="737A2E59"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parcial do contrato;</w:t>
      </w:r>
    </w:p>
    <w:p w14:paraId="3151020C"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parcial do contrato que cause grave dano à Administração ou ao funcionamento dos serviços públicos ou ao interesse coletivo;</w:t>
      </w:r>
    </w:p>
    <w:p w14:paraId="0BC8532A"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total do contrato;</w:t>
      </w:r>
    </w:p>
    <w:p w14:paraId="1F2B2CB4"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ensejar</w:t>
      </w:r>
      <w:proofErr w:type="gramEnd"/>
      <w:r w:rsidRPr="00670E34">
        <w:rPr>
          <w:rFonts w:ascii="Bookman Old Style" w:eastAsia="Arial" w:hAnsi="Bookman Old Style" w:cstheme="minorHAnsi"/>
          <w:sz w:val="24"/>
          <w:szCs w:val="24"/>
        </w:rPr>
        <w:t xml:space="preserve"> o retardamento da execução ou da entrega do objeto da contratação sem motivo justificado;</w:t>
      </w:r>
    </w:p>
    <w:p w14:paraId="565EC2F1"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apresentar</w:t>
      </w:r>
      <w:proofErr w:type="gramEnd"/>
      <w:r w:rsidRPr="00670E34">
        <w:rPr>
          <w:rFonts w:ascii="Bookman Old Style" w:eastAsia="Arial" w:hAnsi="Bookman Old Style" w:cstheme="minorHAnsi"/>
          <w:sz w:val="24"/>
          <w:szCs w:val="24"/>
        </w:rPr>
        <w:t xml:space="preserve"> documentação falsa ou prestar declaração falsa durante a execução do contrato;</w:t>
      </w:r>
    </w:p>
    <w:p w14:paraId="0C697151"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praticar</w:t>
      </w:r>
      <w:proofErr w:type="gramEnd"/>
      <w:r w:rsidRPr="00670E34">
        <w:rPr>
          <w:rFonts w:ascii="Bookman Old Style" w:eastAsia="Arial" w:hAnsi="Bookman Old Style" w:cstheme="minorHAnsi"/>
          <w:sz w:val="24"/>
          <w:szCs w:val="24"/>
        </w:rPr>
        <w:t xml:space="preserve"> ato fraudulento na execução do contrato;</w:t>
      </w:r>
    </w:p>
    <w:p w14:paraId="442CFB21"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comportar</w:t>
      </w:r>
      <w:proofErr w:type="gramEnd"/>
      <w:r w:rsidRPr="00670E34">
        <w:rPr>
          <w:rFonts w:ascii="Bookman Old Style" w:eastAsia="Arial" w:hAnsi="Bookman Old Style" w:cstheme="minorHAnsi"/>
          <w:sz w:val="24"/>
          <w:szCs w:val="24"/>
        </w:rPr>
        <w:t>-se de modo inidôneo ou cometer fraude de qualquer natureza;</w:t>
      </w:r>
    </w:p>
    <w:p w14:paraId="0CAAFE81" w14:textId="77777777" w:rsidR="005C161E" w:rsidRPr="00670E34" w:rsidRDefault="005C161E" w:rsidP="00E15208">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praticar</w:t>
      </w:r>
      <w:proofErr w:type="gramEnd"/>
      <w:r w:rsidRPr="00670E34">
        <w:rPr>
          <w:rFonts w:ascii="Bookman Old Style" w:eastAsia="Arial" w:hAnsi="Bookman Old Style" w:cstheme="minorHAnsi"/>
          <w:sz w:val="24"/>
          <w:szCs w:val="24"/>
        </w:rPr>
        <w:t xml:space="preserve"> ato lesivo previsto no </w:t>
      </w:r>
      <w:hyperlink r:id="rId38" w:anchor="art5" w:history="1">
        <w:r w:rsidRPr="00670E34">
          <w:rPr>
            <w:rStyle w:val="Hyperlink"/>
            <w:rFonts w:ascii="Bookman Old Style" w:eastAsia="Arial" w:hAnsi="Bookman Old Style" w:cstheme="minorHAnsi"/>
            <w:sz w:val="24"/>
            <w:szCs w:val="24"/>
          </w:rPr>
          <w:t>art. 5º da Lei nº 12.846, de 1º de agosto de 2013</w:t>
        </w:r>
      </w:hyperlink>
      <w:r w:rsidRPr="00670E34">
        <w:rPr>
          <w:rFonts w:ascii="Bookman Old Style" w:eastAsia="Arial" w:hAnsi="Bookman Old Style" w:cstheme="minorHAnsi"/>
          <w:sz w:val="24"/>
          <w:szCs w:val="24"/>
        </w:rPr>
        <w:t>.</w:t>
      </w:r>
    </w:p>
    <w:p w14:paraId="16F2425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Serão aplicadas ao contratado que incorrer nas infrações acima descritas as seguintes sanções:</w:t>
      </w:r>
    </w:p>
    <w:p w14:paraId="66E845F8" w14:textId="77777777" w:rsidR="005C161E" w:rsidRPr="00670E34" w:rsidRDefault="005C161E" w:rsidP="00E15208">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Advertência</w:t>
      </w:r>
      <w:r w:rsidRPr="00670E34">
        <w:rPr>
          <w:rFonts w:ascii="Bookman Old Style" w:eastAsia="Arial" w:hAnsi="Bookman Old Style" w:cstheme="minorHAnsi"/>
        </w:rPr>
        <w:t>, quando o contratado der causa à inexecução parcial do contrato, sempre que não se justificar a imposição de penalidade mais grave (</w:t>
      </w:r>
      <w:hyperlink r:id="rId39" w:anchor="art156§2" w:history="1">
        <w:r w:rsidRPr="00670E34">
          <w:rPr>
            <w:rStyle w:val="Hyperlink"/>
            <w:rFonts w:ascii="Bookman Old Style" w:eastAsia="Arial" w:hAnsi="Bookman Old Style" w:cstheme="minorHAnsi"/>
          </w:rPr>
          <w:t xml:space="preserve">art. 156, §2º, da </w:t>
        </w:r>
        <w:bookmarkStart w:id="9" w:name="_Hlk114504069"/>
        <w:r w:rsidRPr="00670E34">
          <w:rPr>
            <w:rStyle w:val="Hyperlink"/>
            <w:rFonts w:ascii="Bookman Old Style" w:eastAsia="Arial" w:hAnsi="Bookman Old Style" w:cstheme="minorHAnsi"/>
          </w:rPr>
          <w:t>Lei nº 14.133, de 2021</w:t>
        </w:r>
        <w:bookmarkEnd w:id="9"/>
      </w:hyperlink>
      <w:r w:rsidRPr="00670E34">
        <w:rPr>
          <w:rFonts w:ascii="Bookman Old Style" w:eastAsia="Arial" w:hAnsi="Bookman Old Style" w:cstheme="minorHAnsi"/>
        </w:rPr>
        <w:t>);</w:t>
      </w:r>
    </w:p>
    <w:p w14:paraId="77D11BAC" w14:textId="77777777" w:rsidR="005C161E" w:rsidRPr="00670E34" w:rsidRDefault="005C161E" w:rsidP="00E15208">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lastRenderedPageBreak/>
        <w:t>Impedimento de licitar e contratar</w:t>
      </w:r>
      <w:r w:rsidRPr="00670E34">
        <w:rPr>
          <w:rFonts w:ascii="Bookman Old Style" w:eastAsia="Arial" w:hAnsi="Bookman Old Style" w:cstheme="minorHAnsi"/>
        </w:rPr>
        <w:t>, quando praticadas as condutas descritas nas alíneas “b”, “c” e “d” do subitem acima deste Contrato, sempre que não se justificar a imposição de penalidade mais grave (</w:t>
      </w:r>
      <w:hyperlink r:id="rId40" w:anchor="art156§4" w:history="1">
        <w:r w:rsidRPr="00670E34">
          <w:rPr>
            <w:rStyle w:val="Hyperlink"/>
            <w:rFonts w:ascii="Bookman Old Style" w:eastAsia="Arial" w:hAnsi="Bookman Old Style" w:cstheme="minorHAnsi"/>
          </w:rPr>
          <w:t>art. 156, § 4º, da Lei nº 14.133, de 2021</w:t>
        </w:r>
      </w:hyperlink>
      <w:r w:rsidRPr="00670E34">
        <w:rPr>
          <w:rFonts w:ascii="Bookman Old Style" w:eastAsia="Arial" w:hAnsi="Bookman Old Style" w:cstheme="minorHAnsi"/>
        </w:rPr>
        <w:t>);</w:t>
      </w:r>
    </w:p>
    <w:p w14:paraId="2C1F9ADC" w14:textId="77777777" w:rsidR="005C161E" w:rsidRPr="00670E34" w:rsidRDefault="005C161E" w:rsidP="00E15208">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Declaração de inidoneidade para licitar e contratar</w:t>
      </w:r>
      <w:r w:rsidRPr="00670E34">
        <w:rPr>
          <w:rFonts w:ascii="Bookman Old Style" w:eastAsia="Arial" w:hAnsi="Bookman Old Style" w:cstheme="minorHAnsi"/>
        </w:rPr>
        <w:t>, quando praticadas as condutas descritas nas alíneas “e”, “f”, “g” e “h” do subitem acima deste Contrato, bem como nas alíneas “b”, “c” e “d”, que justifiquem a imposição de penalidade mais grave (</w:t>
      </w:r>
      <w:hyperlink r:id="rId41" w:anchor="art156§5" w:history="1">
        <w:r w:rsidRPr="00670E34">
          <w:rPr>
            <w:rStyle w:val="Hyperlink"/>
            <w:rFonts w:ascii="Bookman Old Style" w:eastAsia="Arial" w:hAnsi="Bookman Old Style" w:cstheme="minorHAnsi"/>
          </w:rPr>
          <w:t>art. 156, §5º, da Lei nº 14.133, de 2021</w:t>
        </w:r>
      </w:hyperlink>
      <w:r w:rsidRPr="00670E34">
        <w:rPr>
          <w:rFonts w:ascii="Bookman Old Style" w:eastAsia="Arial" w:hAnsi="Bookman Old Style" w:cstheme="minorHAnsi"/>
        </w:rPr>
        <w:t>).</w:t>
      </w:r>
    </w:p>
    <w:p w14:paraId="5384A9AF" w14:textId="77777777" w:rsidR="005C161E" w:rsidRPr="00670E34" w:rsidRDefault="005C161E" w:rsidP="00E15208">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Multa:</w:t>
      </w:r>
    </w:p>
    <w:p w14:paraId="236E8E85"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color w:val="000000" w:themeColor="text1"/>
        </w:rPr>
      </w:pPr>
      <w:r w:rsidRPr="00670E34">
        <w:rPr>
          <w:rFonts w:ascii="Bookman Old Style" w:eastAsia="Arial" w:hAnsi="Bookman Old Style" w:cstheme="minorHAnsi"/>
          <w:color w:val="000000" w:themeColor="text1"/>
        </w:rPr>
        <w:t>Moratória de 10% (dez por cento) por dia de atraso injustificado sobre o valor da parcela inadimplida, até o limite de 10 (dez) dias;</w:t>
      </w:r>
    </w:p>
    <w:p w14:paraId="635E4607" w14:textId="77777777" w:rsidR="005C161E" w:rsidRPr="00670E34" w:rsidRDefault="005C161E" w:rsidP="00E15208">
      <w:pPr>
        <w:pStyle w:val="PargrafodaLista"/>
        <w:numPr>
          <w:ilvl w:val="2"/>
          <w:numId w:val="9"/>
        </w:numPr>
        <w:suppressAutoHyphens/>
        <w:ind w:left="851" w:firstLine="0"/>
        <w:jc w:val="both"/>
        <w:rPr>
          <w:rFonts w:ascii="Bookman Old Style" w:eastAsia="Arial" w:hAnsi="Bookman Old Style" w:cstheme="minorHAnsi"/>
        </w:rPr>
      </w:pPr>
      <w:r w:rsidRPr="00670E34">
        <w:rPr>
          <w:rFonts w:ascii="Bookman Old Style" w:eastAsia="Arial" w:hAnsi="Bookman Old Style" w:cstheme="minorHAnsi"/>
          <w:i/>
          <w:iCs/>
          <w:color w:val="FF0000"/>
        </w:rPr>
        <w:t xml:space="preserve"> </w:t>
      </w:r>
      <w:r w:rsidRPr="00670E34">
        <w:rPr>
          <w:rFonts w:ascii="Bookman Old Style" w:eastAsia="Arial" w:hAnsi="Bookman Old Style" w:cstheme="minorHAnsi"/>
          <w:color w:val="000000" w:themeColor="text1"/>
        </w:rPr>
        <w:t xml:space="preserve">O atraso superior a 10 dias autoriza a Administração a promover a extinção do contrato por descumprimento ou cumprimento irregular de suas cláusulas, conforme dispõe o inciso I do art. 137 da Lei n. 14.133, de 2021. </w:t>
      </w:r>
    </w:p>
    <w:p w14:paraId="32B15FD9"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Compensatória, para as infrações descritas nas alíneas “e” a “h” do subitem 12.1, de 10% a 30% do valor do Contrato.</w:t>
      </w:r>
    </w:p>
    <w:p w14:paraId="59B6D17C"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Compensatória, para a inexecução total do contrato prevista na alínea “c” do subitem 12.1, 10% a 30</w:t>
      </w:r>
      <w:proofErr w:type="gramStart"/>
      <w:r w:rsidRPr="00670E34">
        <w:rPr>
          <w:rFonts w:ascii="Bookman Old Style" w:eastAsia="Arial" w:hAnsi="Bookman Old Style" w:cstheme="minorHAnsi"/>
        </w:rPr>
        <w:t>%  do</w:t>
      </w:r>
      <w:proofErr w:type="gramEnd"/>
      <w:r w:rsidRPr="00670E34">
        <w:rPr>
          <w:rFonts w:ascii="Bookman Old Style" w:eastAsia="Arial" w:hAnsi="Bookman Old Style" w:cstheme="minorHAnsi"/>
        </w:rPr>
        <w:t xml:space="preserve"> valor do Contrato. </w:t>
      </w:r>
    </w:p>
    <w:p w14:paraId="558F7117"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infração descrita na alínea “b” do subitem 12.1, a multa será de 10% a 30% do valor do Contrato.</w:t>
      </w:r>
    </w:p>
    <w:p w14:paraId="7AF26089"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infrações descritas na alínea “d” do subitem 12.1, a multa será de 10% a 30% do valor do Contrato.</w:t>
      </w:r>
    </w:p>
    <w:p w14:paraId="3F6E582A" w14:textId="77777777" w:rsidR="005C161E" w:rsidRPr="00670E34" w:rsidRDefault="005C161E" w:rsidP="00E15208">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a infração descrita na alínea “a” do subitem 12.1, a multa será de 10% a 30% do valor do Contrato, ressalvadas as seguintes infrações:</w:t>
      </w:r>
    </w:p>
    <w:p w14:paraId="0739086C"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aplicação das sanções previstas neste Contrato não exclui, em hipótese alguma, a obrigação de reparação integral do dano causado ao Contratante (</w:t>
      </w:r>
      <w:hyperlink r:id="rId42" w:anchor="art156§9" w:history="1">
        <w:r w:rsidRPr="00670E34">
          <w:rPr>
            <w:rStyle w:val="Hyperlink"/>
            <w:rFonts w:ascii="Bookman Old Style" w:hAnsi="Bookman Old Style" w:cstheme="minorHAnsi"/>
            <w:sz w:val="24"/>
            <w:szCs w:val="24"/>
          </w:rPr>
          <w:t>art. 156, §9º, da Lei nº 14.133, de 2021</w:t>
        </w:r>
      </w:hyperlink>
      <w:r w:rsidRPr="00670E34">
        <w:rPr>
          <w:rFonts w:ascii="Bookman Old Style" w:hAnsi="Bookman Old Style" w:cstheme="minorHAnsi"/>
          <w:sz w:val="24"/>
          <w:szCs w:val="24"/>
        </w:rPr>
        <w:t>)</w:t>
      </w:r>
    </w:p>
    <w:p w14:paraId="3204BD73"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Todas as sanções previstas neste Contrato poderão ser aplicadas cumulativamente com a multa (</w:t>
      </w:r>
      <w:hyperlink r:id="rId43" w:anchor="art156§7" w:history="1">
        <w:r w:rsidRPr="00670E34">
          <w:rPr>
            <w:rStyle w:val="Hyperlink"/>
            <w:rFonts w:ascii="Bookman Old Style" w:hAnsi="Bookman Old Style" w:cstheme="minorHAnsi"/>
            <w:sz w:val="24"/>
            <w:szCs w:val="24"/>
          </w:rPr>
          <w:t>art. 156, §7º, da Lei nº 14.133, de 2021</w:t>
        </w:r>
      </w:hyperlink>
      <w:r w:rsidRPr="00670E34">
        <w:rPr>
          <w:rFonts w:ascii="Bookman Old Style" w:hAnsi="Bookman Old Style" w:cstheme="minorHAnsi"/>
          <w:sz w:val="24"/>
          <w:szCs w:val="24"/>
        </w:rPr>
        <w:t>).</w:t>
      </w:r>
    </w:p>
    <w:p w14:paraId="7AE4B0AD"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Antes da aplicação da multa será facultada a defesa do interessado no prazo de 15 (quinze) dias úteis, contado da data de sua intimação (</w:t>
      </w:r>
      <w:hyperlink r:id="rId44" w:anchor="art157" w:history="1">
        <w:r w:rsidRPr="00670E34">
          <w:rPr>
            <w:rStyle w:val="Hyperlink"/>
            <w:rFonts w:ascii="Bookman Old Style" w:hAnsi="Bookman Old Style" w:cstheme="minorHAnsi"/>
            <w:sz w:val="24"/>
            <w:szCs w:val="24"/>
          </w:rPr>
          <w:t>art. 157, da Lei nº 14.133, de 2021</w:t>
        </w:r>
      </w:hyperlink>
      <w:r w:rsidRPr="00670E34">
        <w:rPr>
          <w:rFonts w:ascii="Bookman Old Style" w:hAnsi="Bookman Old Style" w:cstheme="minorHAnsi"/>
          <w:sz w:val="24"/>
          <w:szCs w:val="24"/>
        </w:rPr>
        <w:t>)</w:t>
      </w:r>
    </w:p>
    <w:p w14:paraId="325ADD20"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670E34">
          <w:rPr>
            <w:rStyle w:val="Hyperlink"/>
            <w:rFonts w:ascii="Bookman Old Style" w:hAnsi="Bookman Old Style" w:cstheme="minorHAnsi"/>
            <w:sz w:val="24"/>
            <w:szCs w:val="24"/>
          </w:rPr>
          <w:t>art. 156, §8º, da Lei nº 14.133, de 2021</w:t>
        </w:r>
      </w:hyperlink>
      <w:r w:rsidRPr="00670E34">
        <w:rPr>
          <w:rFonts w:ascii="Bookman Old Style" w:hAnsi="Bookman Old Style" w:cstheme="minorHAnsi"/>
          <w:sz w:val="24"/>
          <w:szCs w:val="24"/>
        </w:rPr>
        <w:t>).</w:t>
      </w:r>
    </w:p>
    <w:p w14:paraId="62E1ED43"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 xml:space="preserve">Previamente ao encaminhamento à cobrança judicial, a multa poderá ser recolhida administrativamente no prazo máximo de </w:t>
      </w:r>
      <w:r w:rsidRPr="00670E34">
        <w:rPr>
          <w:rFonts w:ascii="Bookman Old Style" w:hAnsi="Bookman Old Style" w:cstheme="minorHAnsi"/>
          <w:color w:val="000000" w:themeColor="text1"/>
          <w:sz w:val="24"/>
          <w:szCs w:val="24"/>
        </w:rPr>
        <w:t>10 (dez)</w:t>
      </w:r>
      <w:r w:rsidRPr="00670E34">
        <w:rPr>
          <w:rFonts w:ascii="Bookman Old Style" w:hAnsi="Bookman Old Style" w:cstheme="minorHAnsi"/>
          <w:i/>
          <w:iCs/>
          <w:color w:val="000000" w:themeColor="text1"/>
          <w:sz w:val="24"/>
          <w:szCs w:val="24"/>
        </w:rPr>
        <w:t xml:space="preserve"> </w:t>
      </w:r>
      <w:r w:rsidRPr="00670E34">
        <w:rPr>
          <w:rFonts w:ascii="Bookman Old Style" w:hAnsi="Bookman Old Style" w:cstheme="minorHAnsi"/>
          <w:sz w:val="24"/>
          <w:szCs w:val="24"/>
        </w:rPr>
        <w:t>dias, a contar da data do recebimento da comunicação enviada pela autoridade competente.</w:t>
      </w:r>
      <w:bookmarkStart w:id="10" w:name="_Hlk78351618"/>
      <w:bookmarkEnd w:id="10"/>
    </w:p>
    <w:p w14:paraId="10581EF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 aplicação das sanções realizar-se-á em processo administrativo que assegure o contraditório e a ampla defesa ao Contratado, observando-se o procedimento previsto no </w:t>
      </w:r>
      <w:r w:rsidRPr="00670E34">
        <w:rPr>
          <w:rFonts w:ascii="Bookman Old Style" w:hAnsi="Bookman Old Style" w:cstheme="minorHAnsi"/>
          <w:b/>
          <w:bCs/>
          <w:sz w:val="24"/>
          <w:szCs w:val="24"/>
        </w:rPr>
        <w:t xml:space="preserve">caput </w:t>
      </w:r>
      <w:r w:rsidRPr="00670E34">
        <w:rPr>
          <w:rFonts w:ascii="Bookman Old Style" w:hAnsi="Bookman Old Style" w:cstheme="minorHAnsi"/>
          <w:sz w:val="24"/>
          <w:szCs w:val="24"/>
        </w:rPr>
        <w:t xml:space="preserve">e parágrafos do </w:t>
      </w:r>
      <w:hyperlink r:id="rId46" w:anchor="art158" w:history="1">
        <w:r w:rsidRPr="00670E34">
          <w:rPr>
            <w:rStyle w:val="Hyperlink"/>
            <w:rFonts w:ascii="Bookman Old Style" w:hAnsi="Bookman Old Style" w:cstheme="minorHAnsi"/>
            <w:sz w:val="24"/>
            <w:szCs w:val="24"/>
          </w:rPr>
          <w:t>art. 158 da Lei nº 14.133, de 2021</w:t>
        </w:r>
      </w:hyperlink>
      <w:r w:rsidRPr="00670E34">
        <w:rPr>
          <w:rFonts w:ascii="Bookman Old Style" w:hAnsi="Bookman Old Style" w:cstheme="minorHAnsi"/>
          <w:sz w:val="24"/>
          <w:szCs w:val="24"/>
        </w:rPr>
        <w:t>, para as penalidades de impedimento de licitar e contratar e de declaração de inidoneidade para licitar ou contratar.</w:t>
      </w:r>
    </w:p>
    <w:p w14:paraId="1FA9050F"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Na aplicação das sanções serão considerados (</w:t>
      </w:r>
      <w:hyperlink r:id="rId47" w:anchor="art156§1" w:history="1">
        <w:r w:rsidRPr="00670E34">
          <w:rPr>
            <w:rStyle w:val="Hyperlink"/>
            <w:rFonts w:ascii="Bookman Old Style" w:hAnsi="Bookman Old Style" w:cstheme="minorHAnsi"/>
            <w:sz w:val="24"/>
            <w:szCs w:val="24"/>
          </w:rPr>
          <w:t>art. 156, §1º, da Lei nº 14.133, de 2021</w:t>
        </w:r>
      </w:hyperlink>
      <w:r w:rsidRPr="00670E34">
        <w:rPr>
          <w:rFonts w:ascii="Bookman Old Style" w:hAnsi="Bookman Old Style" w:cstheme="minorHAnsi"/>
          <w:sz w:val="24"/>
          <w:szCs w:val="24"/>
        </w:rPr>
        <w:t>):</w:t>
      </w:r>
    </w:p>
    <w:p w14:paraId="3233D8AE" w14:textId="77777777" w:rsidR="005C161E" w:rsidRPr="00670E34" w:rsidRDefault="005C161E" w:rsidP="00E15208">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lastRenderedPageBreak/>
        <w:t>a</w:t>
      </w:r>
      <w:proofErr w:type="gramEnd"/>
      <w:r w:rsidRPr="00670E34">
        <w:rPr>
          <w:rFonts w:ascii="Bookman Old Style" w:eastAsia="Arial" w:hAnsi="Bookman Old Style" w:cstheme="minorHAnsi"/>
          <w:sz w:val="24"/>
          <w:szCs w:val="24"/>
        </w:rPr>
        <w:t xml:space="preserve"> natureza e a gravidade da infração cometida;</w:t>
      </w:r>
    </w:p>
    <w:p w14:paraId="0A0C68F3" w14:textId="77777777" w:rsidR="005C161E" w:rsidRPr="00670E34" w:rsidRDefault="005C161E" w:rsidP="00E15208">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as</w:t>
      </w:r>
      <w:proofErr w:type="gramEnd"/>
      <w:r w:rsidRPr="00670E34">
        <w:rPr>
          <w:rFonts w:ascii="Bookman Old Style" w:eastAsia="Arial" w:hAnsi="Bookman Old Style" w:cstheme="minorHAnsi"/>
          <w:sz w:val="24"/>
          <w:szCs w:val="24"/>
        </w:rPr>
        <w:t xml:space="preserve"> peculiaridades do caso concreto;</w:t>
      </w:r>
    </w:p>
    <w:p w14:paraId="1922EEAC" w14:textId="77777777" w:rsidR="005C161E" w:rsidRPr="00670E34" w:rsidRDefault="005C161E" w:rsidP="00E15208">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as</w:t>
      </w:r>
      <w:proofErr w:type="gramEnd"/>
      <w:r w:rsidRPr="00670E34">
        <w:rPr>
          <w:rFonts w:ascii="Bookman Old Style" w:eastAsia="Arial" w:hAnsi="Bookman Old Style" w:cstheme="minorHAnsi"/>
          <w:sz w:val="24"/>
          <w:szCs w:val="24"/>
        </w:rPr>
        <w:t xml:space="preserve"> circunstâncias agravantes ou atenuantes;</w:t>
      </w:r>
    </w:p>
    <w:p w14:paraId="6C2AFF65" w14:textId="77777777" w:rsidR="005C161E" w:rsidRPr="00670E34" w:rsidRDefault="005C161E" w:rsidP="00E15208">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os</w:t>
      </w:r>
      <w:proofErr w:type="gramEnd"/>
      <w:r w:rsidRPr="00670E34">
        <w:rPr>
          <w:rFonts w:ascii="Bookman Old Style" w:eastAsia="Arial" w:hAnsi="Bookman Old Style" w:cstheme="minorHAnsi"/>
          <w:sz w:val="24"/>
          <w:szCs w:val="24"/>
        </w:rPr>
        <w:t xml:space="preserve"> danos que dela provierem para o Contratante;</w:t>
      </w:r>
    </w:p>
    <w:p w14:paraId="4894A766" w14:textId="77777777" w:rsidR="005C161E" w:rsidRPr="00670E34" w:rsidRDefault="005C161E" w:rsidP="00E15208">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w:t>
      </w:r>
      <w:proofErr w:type="gramEnd"/>
      <w:r w:rsidRPr="00670E34">
        <w:rPr>
          <w:rFonts w:ascii="Bookman Old Style" w:eastAsia="Arial" w:hAnsi="Bookman Old Style" w:cstheme="minorHAnsi"/>
          <w:sz w:val="24"/>
          <w:szCs w:val="24"/>
        </w:rPr>
        <w:t xml:space="preserve"> implantação ou o aperfeiçoamento de programa de integridade, conforme normas e orientações dos órgãos de controle.</w:t>
      </w:r>
    </w:p>
    <w:p w14:paraId="09E6C88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atos previstos como infrações administrativas na </w:t>
      </w:r>
      <w:hyperlink r:id="rId48" w:history="1">
        <w:r w:rsidRPr="00670E34">
          <w:rPr>
            <w:rStyle w:val="Hyperlink"/>
            <w:rFonts w:ascii="Bookman Old Style" w:hAnsi="Bookman Old Style" w:cstheme="minorHAnsi"/>
            <w:sz w:val="24"/>
            <w:szCs w:val="24"/>
          </w:rPr>
          <w:t>Lei nº 14.133, de 2021</w:t>
        </w:r>
      </w:hyperlink>
      <w:r w:rsidRPr="00670E34">
        <w:rPr>
          <w:rFonts w:ascii="Bookman Old Style" w:hAnsi="Bookman Old Style" w:cstheme="minorHAnsi"/>
          <w:sz w:val="24"/>
          <w:szCs w:val="24"/>
        </w:rPr>
        <w:t xml:space="preserve">, ou em outras leis de licitações e contratos da Administração Pública que também sejam tipificados como atos lesivos na </w:t>
      </w:r>
      <w:hyperlink r:id="rId49" w:history="1">
        <w:r w:rsidRPr="00670E34">
          <w:rPr>
            <w:rStyle w:val="Hyperlink"/>
            <w:rFonts w:ascii="Bookman Old Style" w:hAnsi="Bookman Old Style" w:cstheme="minorHAnsi"/>
            <w:sz w:val="24"/>
            <w:szCs w:val="24"/>
          </w:rPr>
          <w:t>Lei nº 12.846, de 2013</w:t>
        </w:r>
      </w:hyperlink>
      <w:r w:rsidRPr="00670E34">
        <w:rPr>
          <w:rFonts w:ascii="Bookman Old Style" w:hAnsi="Bookman Old Style" w:cstheme="minorHAnsi"/>
          <w:sz w:val="24"/>
          <w:szCs w:val="24"/>
        </w:rPr>
        <w:t>, serão apurados e julgados conjuntamente, nos mesmos autos, observados o rito procedimental e autoridade competente definidos na referida Lei (</w:t>
      </w:r>
      <w:hyperlink r:id="rId50" w:history="1">
        <w:r w:rsidRPr="00670E34">
          <w:rPr>
            <w:rStyle w:val="Hyperlink"/>
            <w:rFonts w:ascii="Bookman Old Style" w:hAnsi="Bookman Old Style" w:cstheme="minorHAnsi"/>
            <w:sz w:val="24"/>
            <w:szCs w:val="24"/>
          </w:rPr>
          <w:t>art. 159</w:t>
        </w:r>
      </w:hyperlink>
      <w:r w:rsidRPr="00670E34">
        <w:rPr>
          <w:rFonts w:ascii="Bookman Old Style" w:hAnsi="Bookman Old Style" w:cstheme="minorHAnsi"/>
          <w:sz w:val="24"/>
          <w:szCs w:val="24"/>
        </w:rPr>
        <w:t>).</w:t>
      </w:r>
    </w:p>
    <w:p w14:paraId="75A6A52C" w14:textId="77777777" w:rsidR="005C161E" w:rsidRPr="00670E34" w:rsidRDefault="005C161E" w:rsidP="005C161E">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670E34">
          <w:rPr>
            <w:rStyle w:val="Hyperlink"/>
            <w:rFonts w:ascii="Bookman Old Style" w:hAnsi="Bookman Old Style" w:cstheme="minorHAnsi"/>
            <w:sz w:val="24"/>
            <w:szCs w:val="24"/>
          </w:rPr>
          <w:t>art. 160, da Lei nº 14.133, de 2021</w:t>
        </w:r>
      </w:hyperlink>
      <w:r w:rsidRPr="00670E34">
        <w:rPr>
          <w:rFonts w:ascii="Bookman Old Style" w:hAnsi="Bookman Old Style" w:cstheme="minorHAnsi"/>
          <w:sz w:val="24"/>
          <w:szCs w:val="24"/>
        </w:rPr>
        <w:t>).</w:t>
      </w:r>
    </w:p>
    <w:p w14:paraId="151B7E8D" w14:textId="77777777" w:rsidR="005C161E" w:rsidRPr="00670E34" w:rsidRDefault="005C161E" w:rsidP="005C161E">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70E34">
        <w:rPr>
          <w:rFonts w:ascii="Bookman Old Style" w:hAnsi="Bookman Old Style" w:cstheme="minorHAnsi"/>
          <w:sz w:val="24"/>
          <w:szCs w:val="24"/>
        </w:rPr>
        <w:t>Ceis</w:t>
      </w:r>
      <w:proofErr w:type="spellEnd"/>
      <w:r w:rsidRPr="00670E34">
        <w:rPr>
          <w:rFonts w:ascii="Bookman Old Style" w:hAnsi="Bookman Old Style" w:cstheme="minorHAnsi"/>
          <w:sz w:val="24"/>
          <w:szCs w:val="24"/>
        </w:rPr>
        <w:t>) e no Cadastro Nacional de Empresas Punidas (</w:t>
      </w:r>
      <w:proofErr w:type="spellStart"/>
      <w:r w:rsidRPr="00670E34">
        <w:rPr>
          <w:rFonts w:ascii="Bookman Old Style" w:hAnsi="Bookman Old Style" w:cstheme="minorHAnsi"/>
          <w:sz w:val="24"/>
          <w:szCs w:val="24"/>
        </w:rPr>
        <w:t>Cnep</w:t>
      </w:r>
      <w:proofErr w:type="spellEnd"/>
      <w:r w:rsidRPr="00670E34">
        <w:rPr>
          <w:rFonts w:ascii="Bookman Old Style" w:hAnsi="Bookman Old Style" w:cstheme="minorHAnsi"/>
          <w:sz w:val="24"/>
          <w:szCs w:val="24"/>
        </w:rPr>
        <w:t>), instituídos no âmbito do Poder Executivo Federal. (</w:t>
      </w:r>
      <w:hyperlink r:id="rId52" w:anchor="art161" w:history="1">
        <w:r w:rsidRPr="00670E34">
          <w:rPr>
            <w:rStyle w:val="Hyperlink"/>
            <w:rFonts w:ascii="Bookman Old Style" w:hAnsi="Bookman Old Style" w:cstheme="minorHAnsi"/>
            <w:sz w:val="24"/>
            <w:szCs w:val="24"/>
          </w:rPr>
          <w:t>Art. 161, da Lei nº 14.133, de 2021</w:t>
        </w:r>
      </w:hyperlink>
      <w:r w:rsidRPr="00670E34">
        <w:rPr>
          <w:rFonts w:ascii="Bookman Old Style" w:hAnsi="Bookman Old Style" w:cstheme="minorHAnsi"/>
          <w:sz w:val="24"/>
          <w:szCs w:val="24"/>
        </w:rPr>
        <w:t>).</w:t>
      </w:r>
    </w:p>
    <w:p w14:paraId="5AD29A8C" w14:textId="77777777" w:rsidR="005C161E" w:rsidRPr="00670E34" w:rsidRDefault="005C161E" w:rsidP="005C161E">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 xml:space="preserve">As sanções de impedimento de licitar e contratar e declaração de inidoneidade para licitar ou contratar são passíveis de reabilitação na forma do </w:t>
      </w:r>
      <w:hyperlink r:id="rId53" w:anchor="163" w:history="1">
        <w:r w:rsidRPr="00670E34">
          <w:rPr>
            <w:rStyle w:val="Hyperlink"/>
            <w:rFonts w:ascii="Bookman Old Style" w:hAnsi="Bookman Old Style" w:cstheme="minorHAnsi"/>
            <w:sz w:val="24"/>
            <w:szCs w:val="24"/>
          </w:rPr>
          <w:t>art. 163 da Lei nº 14.133/21</w:t>
        </w:r>
      </w:hyperlink>
      <w:r w:rsidRPr="00670E34">
        <w:rPr>
          <w:rFonts w:ascii="Bookman Old Style" w:hAnsi="Bookman Old Style" w:cstheme="minorHAnsi"/>
          <w:sz w:val="24"/>
          <w:szCs w:val="24"/>
        </w:rPr>
        <w:t>.</w:t>
      </w:r>
    </w:p>
    <w:p w14:paraId="5C7FD6F5"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670E34">
          <w:rPr>
            <w:rStyle w:val="Hyperlink"/>
            <w:rFonts w:ascii="Bookman Old Style" w:hAnsi="Bookman Old Style" w:cstheme="minorHAnsi"/>
            <w:sz w:val="24"/>
            <w:szCs w:val="24"/>
          </w:rPr>
          <w:t>Normativa SEGES/ME nº 26, de 13 de abril de 2022</w:t>
        </w:r>
      </w:hyperlink>
      <w:r w:rsidRPr="00670E34">
        <w:rPr>
          <w:rFonts w:ascii="Bookman Old Style" w:hAnsi="Bookman Old Style" w:cstheme="minorHAnsi"/>
          <w:sz w:val="24"/>
          <w:szCs w:val="24"/>
        </w:rPr>
        <w:t xml:space="preserve">. </w:t>
      </w:r>
    </w:p>
    <w:p w14:paraId="2F6656A3"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SEGUNDA– DA EXTINÇÃO CONTRATUAL (</w:t>
      </w:r>
      <w:hyperlink r:id="rId55" w:anchor="art92" w:history="1">
        <w:r w:rsidRPr="00670E34">
          <w:rPr>
            <w:rStyle w:val="Hyperlink"/>
            <w:rFonts w:ascii="Bookman Old Style" w:hAnsi="Bookman Old Style" w:cstheme="minorHAnsi"/>
            <w:sz w:val="24"/>
            <w:szCs w:val="24"/>
          </w:rPr>
          <w:t>art. 92, XIX</w:t>
        </w:r>
      </w:hyperlink>
      <w:r w:rsidRPr="00670E34">
        <w:rPr>
          <w:rFonts w:ascii="Bookman Old Style" w:hAnsi="Bookman Old Style" w:cstheme="minorHAnsi"/>
          <w:sz w:val="24"/>
          <w:szCs w:val="24"/>
        </w:rPr>
        <w:t>)</w:t>
      </w:r>
    </w:p>
    <w:p w14:paraId="041678B2"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contrato será extinto quando cumpridas as obrigações de ambas as partes, ainda que isso ocorra antes do prazo estipulado para tanto.</w:t>
      </w:r>
    </w:p>
    <w:p w14:paraId="6D20F118" w14:textId="77777777" w:rsidR="005C161E" w:rsidRPr="00670E34" w:rsidRDefault="005C161E" w:rsidP="005C161E">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Se as obrigações não forem cumpridas no prazo estipulado, a vigência ficará prorrogada até a conclusão do objeto, caso em que deverá a Administração providenciar a readequação do cronograma fixado para o contrato.</w:t>
      </w:r>
    </w:p>
    <w:p w14:paraId="23CE1AE9" w14:textId="77777777" w:rsidR="005C161E" w:rsidRPr="00670E34" w:rsidRDefault="005C161E" w:rsidP="005C161E">
      <w:pPr>
        <w:pStyle w:val="Nvel3-R"/>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Quando a não conclusão do contrato referida no item anterior decorrer de culpa do contratado:</w:t>
      </w:r>
    </w:p>
    <w:p w14:paraId="34EB136B" w14:textId="77777777" w:rsidR="005C161E" w:rsidRPr="00670E34" w:rsidRDefault="005C161E" w:rsidP="00E15208">
      <w:pPr>
        <w:pStyle w:val="PargrafodaLista"/>
        <w:numPr>
          <w:ilvl w:val="0"/>
          <w:numId w:val="7"/>
        </w:numPr>
        <w:suppressAutoHyphens/>
        <w:ind w:left="567" w:firstLine="0"/>
        <w:jc w:val="both"/>
        <w:rPr>
          <w:rFonts w:ascii="Bookman Old Style" w:eastAsia="Arial" w:hAnsi="Bookman Old Style" w:cstheme="minorHAnsi"/>
          <w:color w:val="000000" w:themeColor="text1"/>
        </w:rPr>
      </w:pPr>
      <w:proofErr w:type="gramStart"/>
      <w:r w:rsidRPr="00670E34">
        <w:rPr>
          <w:rFonts w:ascii="Bookman Old Style" w:eastAsia="Arial" w:hAnsi="Bookman Old Style" w:cstheme="minorHAnsi"/>
          <w:color w:val="000000" w:themeColor="text1"/>
        </w:rPr>
        <w:t>ficará</w:t>
      </w:r>
      <w:proofErr w:type="gramEnd"/>
      <w:r w:rsidRPr="00670E34">
        <w:rPr>
          <w:rFonts w:ascii="Bookman Old Style" w:eastAsia="Arial" w:hAnsi="Bookman Old Style" w:cstheme="minorHAnsi"/>
          <w:color w:val="000000" w:themeColor="text1"/>
        </w:rPr>
        <w:t xml:space="preserve"> ele constituído em mora, sendo-lhe aplicáveis as respectivas sanções administrativas; e  </w:t>
      </w:r>
    </w:p>
    <w:p w14:paraId="3954C13E" w14:textId="77777777" w:rsidR="005C161E" w:rsidRPr="00670E34" w:rsidRDefault="005C161E" w:rsidP="00E15208">
      <w:pPr>
        <w:pStyle w:val="PargrafodaLista"/>
        <w:numPr>
          <w:ilvl w:val="0"/>
          <w:numId w:val="7"/>
        </w:numPr>
        <w:suppressAutoHyphens/>
        <w:ind w:left="567" w:firstLine="0"/>
        <w:jc w:val="both"/>
        <w:rPr>
          <w:rFonts w:ascii="Bookman Old Style" w:eastAsia="Arial" w:hAnsi="Bookman Old Style" w:cstheme="minorHAnsi"/>
          <w:color w:val="000000" w:themeColor="text1"/>
        </w:rPr>
      </w:pPr>
      <w:proofErr w:type="gramStart"/>
      <w:r w:rsidRPr="00670E34">
        <w:rPr>
          <w:rFonts w:ascii="Bookman Old Style" w:eastAsia="Arial" w:hAnsi="Bookman Old Style" w:cstheme="minorHAnsi"/>
          <w:color w:val="000000" w:themeColor="text1"/>
        </w:rPr>
        <w:lastRenderedPageBreak/>
        <w:t>poderá</w:t>
      </w:r>
      <w:proofErr w:type="gramEnd"/>
      <w:r w:rsidRPr="00670E34">
        <w:rPr>
          <w:rFonts w:ascii="Bookman Old Style" w:eastAsia="Arial" w:hAnsi="Bookman Old Style" w:cstheme="minorHAnsi"/>
          <w:color w:val="000000" w:themeColor="text1"/>
        </w:rPr>
        <w:t xml:space="preserve"> a Administração optar pela extinção do contrato e, nesse caso, adotará as medidas admitidas em lei para a continuidade da execução contratual.</w:t>
      </w:r>
    </w:p>
    <w:p w14:paraId="03864B68"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contrato poderá ser extinto antes de cumpridas as obrigações nele estipuladas, ou antes do prazo nele fixado, por algum dos motivos previstos no </w:t>
      </w:r>
      <w:hyperlink r:id="rId56" w:anchor="art137" w:history="1">
        <w:r w:rsidRPr="00670E34">
          <w:rPr>
            <w:rStyle w:val="Hyperlink"/>
            <w:rFonts w:ascii="Bookman Old Style" w:hAnsi="Bookman Old Style" w:cstheme="minorHAnsi"/>
            <w:sz w:val="24"/>
            <w:szCs w:val="24"/>
          </w:rPr>
          <w:t>artigo 137 da Lei nº 14.133/21</w:t>
        </w:r>
      </w:hyperlink>
      <w:r w:rsidRPr="00670E34">
        <w:rPr>
          <w:rFonts w:ascii="Bookman Old Style" w:hAnsi="Bookman Old Style" w:cstheme="minorHAnsi"/>
          <w:sz w:val="24"/>
          <w:szCs w:val="24"/>
        </w:rPr>
        <w:t xml:space="preserve">, bem como amigavelmente, </w:t>
      </w:r>
      <w:r w:rsidRPr="00670E34">
        <w:rPr>
          <w:rFonts w:ascii="Bookman Old Style" w:hAnsi="Bookman Old Style" w:cstheme="minorHAnsi"/>
          <w:color w:val="000000" w:themeColor="text1"/>
          <w:sz w:val="24"/>
          <w:szCs w:val="24"/>
        </w:rPr>
        <w:t>assegurados o contraditório e a ampla defesa</w:t>
      </w:r>
      <w:r w:rsidRPr="00670E34">
        <w:rPr>
          <w:rFonts w:ascii="Bookman Old Style" w:hAnsi="Bookman Old Style" w:cstheme="minorHAnsi"/>
          <w:sz w:val="24"/>
          <w:szCs w:val="24"/>
        </w:rPr>
        <w:t>.</w:t>
      </w:r>
    </w:p>
    <w:p w14:paraId="52078D20"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 xml:space="preserve">Nesta hipótese, aplicam-se também os </w:t>
      </w:r>
      <w:hyperlink r:id="rId57" w:anchor="art138" w:history="1">
        <w:r w:rsidRPr="00670E34">
          <w:rPr>
            <w:rStyle w:val="Hyperlink"/>
            <w:rFonts w:ascii="Bookman Old Style" w:hAnsi="Bookman Old Style" w:cstheme="minorHAnsi"/>
            <w:sz w:val="24"/>
            <w:szCs w:val="24"/>
          </w:rPr>
          <w:t>artigos 138 e 139 da mesma Lei</w:t>
        </w:r>
      </w:hyperlink>
      <w:r w:rsidRPr="00670E34">
        <w:rPr>
          <w:rFonts w:ascii="Bookman Old Style" w:hAnsi="Bookman Old Style" w:cstheme="minorHAnsi"/>
          <w:sz w:val="24"/>
          <w:szCs w:val="24"/>
        </w:rPr>
        <w:t>.</w:t>
      </w:r>
    </w:p>
    <w:p w14:paraId="06BDF53F"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 alteração social ou a modificação da finalidade ou da estrutura da empresa não ensejará a extinção se não restringir sua capacidade de concluir o contrato.</w:t>
      </w:r>
    </w:p>
    <w:p w14:paraId="40762596" w14:textId="77777777" w:rsidR="005C161E" w:rsidRPr="00670E34" w:rsidRDefault="005C161E" w:rsidP="005C161E">
      <w:pPr>
        <w:pStyle w:val="Nivel4"/>
        <w:spacing w:before="0" w:after="0" w:line="240" w:lineRule="auto"/>
        <w:ind w:left="567"/>
        <w:rPr>
          <w:rFonts w:ascii="Bookman Old Style" w:hAnsi="Bookman Old Style" w:cstheme="minorHAnsi"/>
          <w:sz w:val="24"/>
          <w:szCs w:val="24"/>
        </w:rPr>
      </w:pPr>
      <w:r w:rsidRPr="00670E34">
        <w:rPr>
          <w:rFonts w:ascii="Bookman Old Style" w:hAnsi="Bookman Old Style" w:cstheme="minorHAnsi"/>
          <w:color w:val="000000" w:themeColor="text1"/>
          <w:sz w:val="24"/>
          <w:szCs w:val="24"/>
        </w:rPr>
        <w:t xml:space="preserve">Se a </w:t>
      </w:r>
      <w:r w:rsidRPr="00670E34">
        <w:rPr>
          <w:rFonts w:ascii="Bookman Old Style" w:hAnsi="Bookman Old Style" w:cstheme="minorHAnsi"/>
          <w:sz w:val="24"/>
          <w:szCs w:val="24"/>
        </w:rPr>
        <w:t>operação</w:t>
      </w:r>
      <w:r w:rsidRPr="00670E34">
        <w:rPr>
          <w:rFonts w:ascii="Bookman Old Style" w:hAnsi="Bookman Old Style" w:cstheme="minorHAnsi"/>
          <w:color w:val="000000" w:themeColor="text1"/>
          <w:sz w:val="24"/>
          <w:szCs w:val="24"/>
        </w:rPr>
        <w:t xml:space="preserve"> </w:t>
      </w:r>
      <w:r w:rsidRPr="00670E34">
        <w:rPr>
          <w:rFonts w:ascii="Bookman Old Style" w:hAnsi="Bookman Old Style" w:cstheme="minorHAnsi"/>
          <w:sz w:val="24"/>
          <w:szCs w:val="24"/>
        </w:rPr>
        <w:t>implicar mudança da pessoa jurídica contratada, deverá ser formalizado termo aditivo para alteração subjetiva.</w:t>
      </w:r>
    </w:p>
    <w:p w14:paraId="0F8CD213"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termo de extinção, sempre que possível, será precedido:</w:t>
      </w:r>
    </w:p>
    <w:p w14:paraId="2863C991"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Balanço dos eventos contratuais já cumpridos ou parcialmente cumpridos;</w:t>
      </w:r>
    </w:p>
    <w:p w14:paraId="17388F07"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Relação dos pagamentos já efetuados e ainda devidos;</w:t>
      </w:r>
    </w:p>
    <w:p w14:paraId="6FD3C0BA" w14:textId="77777777" w:rsidR="005C161E" w:rsidRPr="00670E34" w:rsidRDefault="005C161E" w:rsidP="005C161E">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Indenizações e multas.</w:t>
      </w:r>
    </w:p>
    <w:p w14:paraId="2995A0D3"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extinção do contrato não configura óbice para o reconhecimento do desequilíbrio econômico-financeiro, hipótese em que será concedida indenização por meio de termo indenizatório (</w:t>
      </w:r>
      <w:hyperlink r:id="rId58" w:anchor="art131">
        <w:r w:rsidRPr="00670E34">
          <w:rPr>
            <w:rStyle w:val="Hyperlink"/>
            <w:rFonts w:ascii="Bookman Old Style" w:hAnsi="Bookman Old Style" w:cstheme="minorHAnsi"/>
            <w:sz w:val="24"/>
            <w:szCs w:val="24"/>
          </w:rPr>
          <w:t xml:space="preserve">art. 131, </w:t>
        </w:r>
        <w:r w:rsidRPr="00670E34">
          <w:rPr>
            <w:rStyle w:val="Hyperlink"/>
            <w:rFonts w:ascii="Bookman Old Style" w:hAnsi="Bookman Old Style" w:cstheme="minorHAnsi"/>
            <w:i/>
            <w:iCs/>
            <w:sz w:val="24"/>
            <w:szCs w:val="24"/>
          </w:rPr>
          <w:t xml:space="preserve">caput, </w:t>
        </w:r>
        <w:r w:rsidRPr="00670E34">
          <w:rPr>
            <w:rStyle w:val="Hyperlink"/>
            <w:rFonts w:ascii="Bookman Old Style" w:hAnsi="Bookman Old Style" w:cstheme="minorHAnsi"/>
            <w:sz w:val="24"/>
            <w:szCs w:val="24"/>
          </w:rPr>
          <w:t>da Lei n.º 14.133, de 2021</w:t>
        </w:r>
      </w:hyperlink>
      <w:r w:rsidRPr="00670E34">
        <w:rPr>
          <w:rFonts w:ascii="Bookman Old Style" w:hAnsi="Bookman Old Style" w:cstheme="minorHAnsi"/>
          <w:sz w:val="24"/>
          <w:szCs w:val="24"/>
        </w:rPr>
        <w:t xml:space="preserve">). </w:t>
      </w:r>
    </w:p>
    <w:p w14:paraId="6C477EDD"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DDAD7AE"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TERCEIRA – DOTAÇÃO ORÇAMENTÁRIA (</w:t>
      </w:r>
      <w:hyperlink r:id="rId59" w:anchor="art92" w:history="1">
        <w:r w:rsidRPr="00670E34">
          <w:rPr>
            <w:rStyle w:val="Hyperlink"/>
            <w:rFonts w:ascii="Bookman Old Style" w:hAnsi="Bookman Old Style" w:cstheme="minorHAnsi"/>
            <w:sz w:val="24"/>
            <w:szCs w:val="24"/>
          </w:rPr>
          <w:t>art. 92, VIII</w:t>
        </w:r>
      </w:hyperlink>
      <w:r w:rsidRPr="00670E34">
        <w:rPr>
          <w:rFonts w:ascii="Bookman Old Style" w:hAnsi="Bookman Old Style" w:cstheme="minorHAnsi"/>
          <w:sz w:val="24"/>
          <w:szCs w:val="24"/>
        </w:rPr>
        <w:t>)</w:t>
      </w:r>
    </w:p>
    <w:p w14:paraId="1F90D733"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As despesas decorrentes da presente contratação correrão à conta de recursos específicos consignados no Orçamento, na dotação abaixo discriminada:</w:t>
      </w:r>
    </w:p>
    <w:p w14:paraId="129C80B8" w14:textId="77777777" w:rsidR="005C161E" w:rsidRPr="00784154" w:rsidRDefault="005C161E" w:rsidP="005C161E">
      <w:pPr>
        <w:pStyle w:val="Nivel01"/>
        <w:numPr>
          <w:ilvl w:val="0"/>
          <w:numId w:val="0"/>
        </w:numPr>
        <w:rPr>
          <w:rFonts w:ascii="Bookman Old Style" w:hAnsi="Bookman Old Style"/>
          <w:sz w:val="24"/>
          <w:szCs w:val="24"/>
        </w:rPr>
      </w:pPr>
      <w:r w:rsidRPr="003B007F">
        <w:rPr>
          <w:rFonts w:ascii="Bookman Old Style" w:hAnsi="Bookman Old Style"/>
          <w:sz w:val="24"/>
          <w:szCs w:val="24"/>
        </w:rPr>
        <w:t>0018 01.001.01.031.0001.2.001.4.4.90.52.00.00 EQUIPAMENTOS E MATERIAL PERMANENTE       FONTE 1001</w:t>
      </w:r>
    </w:p>
    <w:p w14:paraId="1902C75F"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QUARTA – DOS CASOS OMISSOS (</w:t>
      </w:r>
      <w:hyperlink r:id="rId60" w:anchor="art92" w:history="1">
        <w:r w:rsidRPr="00670E34">
          <w:rPr>
            <w:rStyle w:val="Hyperlink"/>
            <w:rFonts w:ascii="Bookman Old Style" w:hAnsi="Bookman Old Style" w:cstheme="minorHAnsi"/>
            <w:sz w:val="24"/>
            <w:szCs w:val="24"/>
          </w:rPr>
          <w:t>art. 92, III</w:t>
        </w:r>
      </w:hyperlink>
      <w:r w:rsidRPr="00670E34">
        <w:rPr>
          <w:rFonts w:ascii="Bookman Old Style" w:hAnsi="Bookman Old Style" w:cstheme="minorHAnsi"/>
          <w:sz w:val="24"/>
          <w:szCs w:val="24"/>
        </w:rPr>
        <w:t>)</w:t>
      </w:r>
    </w:p>
    <w:p w14:paraId="1AA747A7"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casos omissos serão decididos pelo contratante, segundo as disposições contidas na Lei </w:t>
      </w:r>
      <w:hyperlink r:id="rId61" w:history="1">
        <w:r w:rsidRPr="00670E34">
          <w:rPr>
            <w:rStyle w:val="Hyperlink"/>
            <w:rFonts w:ascii="Bookman Old Style" w:hAnsi="Bookman Old Style" w:cstheme="minorHAnsi"/>
            <w:sz w:val="24"/>
            <w:szCs w:val="24"/>
          </w:rPr>
          <w:t>nº 14.133, de 2021</w:t>
        </w:r>
      </w:hyperlink>
      <w:r w:rsidRPr="00670E34">
        <w:rPr>
          <w:rFonts w:ascii="Bookman Old Style" w:hAnsi="Bookman Old Style" w:cstheme="minorHAnsi"/>
          <w:sz w:val="24"/>
          <w:szCs w:val="24"/>
        </w:rPr>
        <w:t xml:space="preserve">, e demais normas federais aplicáveis e, subsidiariamente, segundo as disposições contidas na </w:t>
      </w:r>
      <w:hyperlink r:id="rId62" w:history="1">
        <w:r w:rsidRPr="00670E34">
          <w:rPr>
            <w:rStyle w:val="Hyperlink"/>
            <w:rFonts w:ascii="Bookman Old Style" w:hAnsi="Bookman Old Style" w:cstheme="minorHAnsi"/>
            <w:sz w:val="24"/>
            <w:szCs w:val="24"/>
          </w:rPr>
          <w:t>Lei nº 8.078, de 1990 – Código de Defesa do Consumidor</w:t>
        </w:r>
      </w:hyperlink>
      <w:r w:rsidRPr="00670E34">
        <w:rPr>
          <w:rFonts w:ascii="Bookman Old Style" w:hAnsi="Bookman Old Style" w:cstheme="minorHAnsi"/>
          <w:sz w:val="24"/>
          <w:szCs w:val="24"/>
        </w:rPr>
        <w:t xml:space="preserve"> – e normas e princípios gerais dos contratos.</w:t>
      </w:r>
    </w:p>
    <w:p w14:paraId="1E7497BA"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QUINTA – ALTERAÇÕES</w:t>
      </w:r>
    </w:p>
    <w:p w14:paraId="79ED8E0A"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Eventuais alterações contratuais reger-se-ão pela disciplina dos </w:t>
      </w:r>
      <w:hyperlink r:id="rId63" w:anchor="art124" w:history="1">
        <w:proofErr w:type="spellStart"/>
        <w:r w:rsidRPr="00670E34">
          <w:rPr>
            <w:rStyle w:val="Hyperlink"/>
            <w:rFonts w:ascii="Bookman Old Style" w:hAnsi="Bookman Old Style" w:cstheme="minorHAnsi"/>
            <w:sz w:val="24"/>
            <w:szCs w:val="24"/>
          </w:rPr>
          <w:t>arts</w:t>
        </w:r>
        <w:proofErr w:type="spellEnd"/>
        <w:r w:rsidRPr="00670E34">
          <w:rPr>
            <w:rStyle w:val="Hyperlink"/>
            <w:rFonts w:ascii="Bookman Old Style" w:hAnsi="Bookman Old Style" w:cstheme="minorHAnsi"/>
            <w:sz w:val="24"/>
            <w:szCs w:val="24"/>
          </w:rPr>
          <w:t>. 124 e seguintes da Lei nº 14.133, de 2021</w:t>
        </w:r>
      </w:hyperlink>
      <w:r w:rsidRPr="00670E34">
        <w:rPr>
          <w:rFonts w:ascii="Bookman Old Style" w:hAnsi="Bookman Old Style" w:cstheme="minorHAnsi"/>
          <w:sz w:val="24"/>
          <w:szCs w:val="24"/>
        </w:rPr>
        <w:t>.</w:t>
      </w:r>
    </w:p>
    <w:p w14:paraId="296EFCD0"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21E56FB0"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9FA684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Registros que não caracterizam alteração do contrato podem ser realizados por simples apostila, dispensada a celebração de termo aditivo, na forma do </w:t>
      </w:r>
      <w:hyperlink r:id="rId64" w:anchor="art136" w:history="1">
        <w:r w:rsidRPr="00670E34">
          <w:rPr>
            <w:rStyle w:val="Hyperlink"/>
            <w:rFonts w:ascii="Bookman Old Style" w:hAnsi="Bookman Old Style" w:cstheme="minorHAnsi"/>
            <w:sz w:val="24"/>
            <w:szCs w:val="24"/>
          </w:rPr>
          <w:t>art. 136 da Lei nº 14.133, de 2021</w:t>
        </w:r>
      </w:hyperlink>
      <w:r w:rsidRPr="00670E34">
        <w:rPr>
          <w:rFonts w:ascii="Bookman Old Style" w:hAnsi="Bookman Old Style" w:cstheme="minorHAnsi"/>
          <w:sz w:val="24"/>
          <w:szCs w:val="24"/>
        </w:rPr>
        <w:t>.</w:t>
      </w:r>
    </w:p>
    <w:p w14:paraId="167F9EF3"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SEXTA – PUBLICAÇÃO</w:t>
      </w:r>
    </w:p>
    <w:p w14:paraId="39018F71"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Incumbirá ao contratante divulgar o presente instrumento no sítio eletrônico do município, na forma prevista no </w:t>
      </w:r>
      <w:hyperlink r:id="rId65" w:anchor="art94" w:history="1">
        <w:r w:rsidRPr="00670E34">
          <w:rPr>
            <w:rStyle w:val="Hyperlink"/>
            <w:rFonts w:ascii="Bookman Old Style" w:hAnsi="Bookman Old Style" w:cstheme="minorHAnsi"/>
            <w:sz w:val="24"/>
            <w:szCs w:val="24"/>
          </w:rPr>
          <w:t>art. 94 da Lei 14.133, de 2021</w:t>
        </w:r>
      </w:hyperlink>
      <w:r w:rsidRPr="00670E34">
        <w:rPr>
          <w:rFonts w:ascii="Bookman Old Style" w:hAnsi="Bookman Old Style" w:cstheme="minorHAnsi"/>
          <w:sz w:val="24"/>
          <w:szCs w:val="24"/>
        </w:rPr>
        <w:t xml:space="preserve">, bem como no respectivo sítio oficial na Internet, em atenção ao art. 91, </w:t>
      </w:r>
      <w:r w:rsidRPr="00670E34">
        <w:rPr>
          <w:rFonts w:ascii="Bookman Old Style" w:hAnsi="Bookman Old Style" w:cstheme="minorHAnsi"/>
          <w:i/>
          <w:sz w:val="24"/>
          <w:szCs w:val="24"/>
        </w:rPr>
        <w:t>caput,</w:t>
      </w:r>
      <w:r w:rsidRPr="00670E34">
        <w:rPr>
          <w:rFonts w:ascii="Bookman Old Style" w:hAnsi="Bookman Old Style" w:cstheme="minorHAnsi"/>
          <w:sz w:val="24"/>
          <w:szCs w:val="24"/>
        </w:rPr>
        <w:t xml:space="preserve"> da Lei n.º 14.133, de 2021, e ao </w:t>
      </w:r>
      <w:hyperlink r:id="rId66" w:anchor="art8§2" w:history="1">
        <w:r w:rsidRPr="00670E34">
          <w:rPr>
            <w:rStyle w:val="Hyperlink"/>
            <w:rFonts w:ascii="Bookman Old Style" w:hAnsi="Bookman Old Style" w:cstheme="minorHAnsi"/>
            <w:sz w:val="24"/>
            <w:szCs w:val="24"/>
          </w:rPr>
          <w:t>art. 8º, §2º, da Lei n. 12.527, de 2011</w:t>
        </w:r>
      </w:hyperlink>
      <w:r w:rsidRPr="00670E34">
        <w:rPr>
          <w:rFonts w:ascii="Bookman Old Style" w:hAnsi="Bookman Old Style" w:cstheme="minorHAnsi"/>
          <w:sz w:val="24"/>
          <w:szCs w:val="24"/>
        </w:rPr>
        <w:t xml:space="preserve">, c/c </w:t>
      </w:r>
      <w:hyperlink r:id="rId67" w:anchor="art7§3" w:history="1">
        <w:r w:rsidRPr="00670E34">
          <w:rPr>
            <w:rStyle w:val="Hyperlink"/>
            <w:rFonts w:ascii="Bookman Old Style" w:hAnsi="Bookman Old Style" w:cstheme="minorHAnsi"/>
            <w:sz w:val="24"/>
            <w:szCs w:val="24"/>
          </w:rPr>
          <w:t>art. 7º, §3º, inciso V, do Decreto n. 7.724, de 2012</w:t>
        </w:r>
      </w:hyperlink>
      <w:r w:rsidRPr="00670E34">
        <w:rPr>
          <w:rFonts w:ascii="Bookman Old Style" w:hAnsi="Bookman Old Style" w:cstheme="minorHAnsi"/>
          <w:sz w:val="24"/>
          <w:szCs w:val="24"/>
        </w:rPr>
        <w:t>.</w:t>
      </w:r>
    </w:p>
    <w:p w14:paraId="0BE8C09D" w14:textId="77777777" w:rsidR="005C161E" w:rsidRPr="00670E34" w:rsidRDefault="005C161E" w:rsidP="005C161E">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SÉTIMA– FORO (</w:t>
      </w:r>
      <w:hyperlink r:id="rId68" w:anchor="art92§1" w:history="1">
        <w:r w:rsidRPr="00670E34">
          <w:rPr>
            <w:rStyle w:val="Hyperlink"/>
            <w:rFonts w:ascii="Bookman Old Style" w:hAnsi="Bookman Old Style" w:cstheme="minorHAnsi"/>
            <w:sz w:val="24"/>
            <w:szCs w:val="24"/>
          </w:rPr>
          <w:t>art. 92, §1º</w:t>
        </w:r>
      </w:hyperlink>
      <w:r w:rsidRPr="00670E34">
        <w:rPr>
          <w:rFonts w:ascii="Bookman Old Style" w:hAnsi="Bookman Old Style" w:cstheme="minorHAnsi"/>
          <w:sz w:val="24"/>
          <w:szCs w:val="24"/>
        </w:rPr>
        <w:t>)</w:t>
      </w:r>
    </w:p>
    <w:p w14:paraId="7B320359" w14:textId="77777777" w:rsidR="005C161E" w:rsidRPr="00670E34" w:rsidRDefault="005C161E" w:rsidP="005C161E">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color w:val="auto"/>
          <w:sz w:val="24"/>
          <w:szCs w:val="24"/>
          <w:lang w:eastAsia="en-US"/>
        </w:rPr>
        <w:t>Fica eleito o Foro da Comarca de Terra Rica</w:t>
      </w:r>
      <w:r w:rsidRPr="00670E34">
        <w:rPr>
          <w:rFonts w:ascii="Bookman Old Style" w:hAnsi="Bookman Old Style" w:cstheme="minorHAnsi"/>
          <w:sz w:val="24"/>
          <w:szCs w:val="24"/>
        </w:rPr>
        <w:t xml:space="preserve">, Seção Judiciária </w:t>
      </w:r>
      <w:r w:rsidRPr="00670E34">
        <w:rPr>
          <w:rFonts w:ascii="Bookman Old Style" w:hAnsi="Bookman Old Style" w:cstheme="minorHAnsi"/>
          <w:color w:val="auto"/>
          <w:sz w:val="24"/>
          <w:szCs w:val="24"/>
        </w:rPr>
        <w:t xml:space="preserve">de Terra Rica </w:t>
      </w:r>
      <w:r w:rsidRPr="00670E34">
        <w:rPr>
          <w:rFonts w:ascii="Bookman Old Style" w:hAnsi="Bookman Old Style" w:cstheme="minorHAnsi"/>
          <w:sz w:val="24"/>
          <w:szCs w:val="24"/>
        </w:rPr>
        <w:t xml:space="preserve">para dirimir os litígios que decorrerem da execução deste Termo de Contrato que não puderem ser compostos pela conciliação, conforme </w:t>
      </w:r>
      <w:hyperlink r:id="rId69" w:anchor="art92§1" w:history="1">
        <w:r w:rsidRPr="00670E34">
          <w:rPr>
            <w:rStyle w:val="Hyperlink"/>
            <w:rFonts w:ascii="Bookman Old Style" w:hAnsi="Bookman Old Style" w:cstheme="minorHAnsi"/>
            <w:sz w:val="24"/>
            <w:szCs w:val="24"/>
          </w:rPr>
          <w:t>art. 92, §1º, da Lei nº 14.133/21</w:t>
        </w:r>
      </w:hyperlink>
      <w:r w:rsidRPr="00670E34">
        <w:rPr>
          <w:rFonts w:ascii="Bookman Old Style" w:hAnsi="Bookman Old Style" w:cstheme="minorHAnsi"/>
          <w:sz w:val="24"/>
          <w:szCs w:val="24"/>
        </w:rPr>
        <w:t>.</w:t>
      </w:r>
    </w:p>
    <w:p w14:paraId="48B77600" w14:textId="77777777" w:rsidR="005C161E" w:rsidRPr="00670E34" w:rsidRDefault="005C161E" w:rsidP="005C161E">
      <w:pPr>
        <w:tabs>
          <w:tab w:val="left" w:pos="2826"/>
        </w:tabs>
        <w:rPr>
          <w:rFonts w:ascii="Bookman Old Style" w:hAnsi="Bookman Old Style" w:cstheme="minorHAnsi"/>
          <w:sz w:val="24"/>
          <w:szCs w:val="24"/>
        </w:rPr>
      </w:pPr>
    </w:p>
    <w:p w14:paraId="4136C3D4" w14:textId="77777777" w:rsidR="005C161E" w:rsidRPr="00670E34" w:rsidRDefault="005C161E" w:rsidP="005C161E">
      <w:pPr>
        <w:tabs>
          <w:tab w:val="left" w:pos="2826"/>
        </w:tabs>
        <w:rPr>
          <w:rFonts w:ascii="Bookman Old Style" w:hAnsi="Bookman Old Style" w:cstheme="minorHAnsi"/>
          <w:sz w:val="24"/>
          <w:szCs w:val="24"/>
        </w:rPr>
      </w:pPr>
      <w:r w:rsidRPr="00670E34">
        <w:rPr>
          <w:rFonts w:ascii="Bookman Old Style" w:hAnsi="Bookman Old Style" w:cstheme="minorHAnsi"/>
          <w:sz w:val="24"/>
          <w:szCs w:val="24"/>
        </w:rPr>
        <w:t>Terra Rica/PR, XX de XXXXXX de 202</w:t>
      </w:r>
      <w:r>
        <w:rPr>
          <w:rFonts w:ascii="Bookman Old Style" w:hAnsi="Bookman Old Style" w:cstheme="minorHAnsi"/>
          <w:sz w:val="24"/>
          <w:szCs w:val="24"/>
        </w:rPr>
        <w:t>6</w:t>
      </w:r>
      <w:r w:rsidRPr="00670E34">
        <w:rPr>
          <w:rFonts w:ascii="Bookman Old Style" w:hAnsi="Bookman Old Style" w:cstheme="minorHAnsi"/>
          <w:sz w:val="24"/>
          <w:szCs w:val="24"/>
        </w:rPr>
        <w:t>.</w:t>
      </w:r>
    </w:p>
    <w:p w14:paraId="6D037015" w14:textId="77777777" w:rsidR="005C161E" w:rsidRDefault="005C161E" w:rsidP="005C161E">
      <w:pPr>
        <w:spacing w:after="0" w:line="240" w:lineRule="auto"/>
        <w:jc w:val="center"/>
        <w:rPr>
          <w:rFonts w:ascii="Bookman Old Style" w:hAnsi="Bookman Old Style" w:cstheme="minorHAnsi"/>
          <w:b/>
          <w:sz w:val="24"/>
          <w:szCs w:val="24"/>
        </w:rPr>
      </w:pPr>
    </w:p>
    <w:tbl>
      <w:tblPr>
        <w:tblW w:w="9927" w:type="dxa"/>
        <w:tblInd w:w="-572" w:type="dxa"/>
        <w:tblLook w:val="04A0" w:firstRow="1" w:lastRow="0" w:firstColumn="1" w:lastColumn="0" w:noHBand="0" w:noVBand="1"/>
      </w:tblPr>
      <w:tblGrid>
        <w:gridCol w:w="4825"/>
        <w:gridCol w:w="425"/>
        <w:gridCol w:w="4677"/>
      </w:tblGrid>
      <w:tr w:rsidR="005C161E" w:rsidRPr="00BA0494" w14:paraId="255845F9" w14:textId="77777777" w:rsidTr="00384905">
        <w:tc>
          <w:tcPr>
            <w:tcW w:w="4825" w:type="dxa"/>
            <w:tcBorders>
              <w:top w:val="single" w:sz="4" w:space="0" w:color="auto"/>
            </w:tcBorders>
          </w:tcPr>
          <w:p w14:paraId="37EFCE30" w14:textId="77777777" w:rsidR="005C161E" w:rsidRPr="00BA0494" w:rsidRDefault="005C161E" w:rsidP="00384905">
            <w:pPr>
              <w:spacing w:after="0" w:line="240" w:lineRule="auto"/>
              <w:jc w:val="center"/>
              <w:rPr>
                <w:rFonts w:ascii="Bookman Old Style" w:hAnsi="Bookman Old Style" w:cstheme="minorHAnsi"/>
                <w:b/>
                <w:sz w:val="24"/>
                <w:szCs w:val="24"/>
              </w:rPr>
            </w:pPr>
            <w:r>
              <w:rPr>
                <w:rFonts w:ascii="Bookman Old Style" w:hAnsi="Bookman Old Style" w:cs="Arial"/>
                <w:b/>
                <w:sz w:val="24"/>
                <w:szCs w:val="24"/>
              </w:rPr>
              <w:t>ALESSANDRA APARECIDA DA CRUZ</w:t>
            </w:r>
          </w:p>
        </w:tc>
        <w:tc>
          <w:tcPr>
            <w:tcW w:w="425" w:type="dxa"/>
          </w:tcPr>
          <w:p w14:paraId="05C5EB52" w14:textId="77777777" w:rsidR="005C161E" w:rsidRPr="00BA0494" w:rsidRDefault="005C161E" w:rsidP="00384905">
            <w:pPr>
              <w:spacing w:after="0" w:line="240" w:lineRule="auto"/>
              <w:jc w:val="center"/>
              <w:rPr>
                <w:rFonts w:ascii="Bookman Old Style" w:hAnsi="Bookman Old Style" w:cstheme="minorHAnsi"/>
                <w:b/>
                <w:sz w:val="24"/>
                <w:szCs w:val="24"/>
              </w:rPr>
            </w:pPr>
          </w:p>
        </w:tc>
        <w:tc>
          <w:tcPr>
            <w:tcW w:w="4677" w:type="dxa"/>
            <w:tcBorders>
              <w:top w:val="single" w:sz="4" w:space="0" w:color="auto"/>
            </w:tcBorders>
          </w:tcPr>
          <w:p w14:paraId="14E16123" w14:textId="77777777" w:rsidR="005C161E" w:rsidRPr="00BA0494" w:rsidRDefault="005C161E" w:rsidP="00384905">
            <w:pPr>
              <w:spacing w:after="0" w:line="240" w:lineRule="auto"/>
              <w:jc w:val="center"/>
              <w:rPr>
                <w:rFonts w:ascii="Bookman Old Style" w:hAnsi="Bookman Old Style" w:cstheme="minorHAnsi"/>
                <w:b/>
                <w:sz w:val="24"/>
                <w:szCs w:val="24"/>
              </w:rPr>
            </w:pPr>
            <w:r w:rsidRPr="00BA0494">
              <w:rPr>
                <w:rFonts w:ascii="Bookman Old Style" w:hAnsi="Bookman Old Style" w:cs="Arial"/>
                <w:b/>
                <w:sz w:val="24"/>
                <w:szCs w:val="24"/>
              </w:rPr>
              <w:t>NOME DO REPRESENTANTE</w:t>
            </w:r>
          </w:p>
        </w:tc>
      </w:tr>
      <w:tr w:rsidR="005C161E" w:rsidRPr="00BA0494" w14:paraId="0DEF4CE1" w14:textId="77777777" w:rsidTr="00384905">
        <w:tc>
          <w:tcPr>
            <w:tcW w:w="4825" w:type="dxa"/>
          </w:tcPr>
          <w:p w14:paraId="46811528" w14:textId="77777777" w:rsidR="005C161E" w:rsidRPr="00BA0494" w:rsidRDefault="005C161E" w:rsidP="00384905">
            <w:pPr>
              <w:spacing w:after="0" w:line="240" w:lineRule="auto"/>
              <w:jc w:val="center"/>
              <w:rPr>
                <w:rFonts w:ascii="Bookman Old Style" w:hAnsi="Bookman Old Style" w:cstheme="minorHAnsi"/>
                <w:b/>
                <w:sz w:val="24"/>
                <w:szCs w:val="24"/>
              </w:rPr>
            </w:pPr>
            <w:r w:rsidRPr="00BA0494">
              <w:rPr>
                <w:rFonts w:ascii="Bookman Old Style" w:hAnsi="Bookman Old Style" w:cs="Arial"/>
                <w:sz w:val="24"/>
                <w:szCs w:val="24"/>
              </w:rPr>
              <w:t>Presidente da Câmara Municipal</w:t>
            </w:r>
          </w:p>
        </w:tc>
        <w:tc>
          <w:tcPr>
            <w:tcW w:w="425" w:type="dxa"/>
          </w:tcPr>
          <w:p w14:paraId="6115861B" w14:textId="77777777" w:rsidR="005C161E" w:rsidRPr="00BA0494" w:rsidRDefault="005C161E" w:rsidP="00384905">
            <w:pPr>
              <w:spacing w:after="0" w:line="240" w:lineRule="auto"/>
              <w:jc w:val="center"/>
              <w:rPr>
                <w:rFonts w:ascii="Bookman Old Style" w:hAnsi="Bookman Old Style" w:cstheme="minorHAnsi"/>
                <w:b/>
                <w:sz w:val="24"/>
                <w:szCs w:val="24"/>
              </w:rPr>
            </w:pPr>
          </w:p>
        </w:tc>
        <w:tc>
          <w:tcPr>
            <w:tcW w:w="4677" w:type="dxa"/>
          </w:tcPr>
          <w:p w14:paraId="11C6AD34" w14:textId="77777777" w:rsidR="005C161E" w:rsidRPr="00BA0494" w:rsidRDefault="005C161E" w:rsidP="00384905">
            <w:pPr>
              <w:spacing w:after="0" w:line="240" w:lineRule="auto"/>
              <w:jc w:val="center"/>
              <w:rPr>
                <w:rFonts w:ascii="Bookman Old Style" w:hAnsi="Bookman Old Style" w:cstheme="minorHAnsi"/>
                <w:b/>
                <w:sz w:val="24"/>
                <w:szCs w:val="24"/>
              </w:rPr>
            </w:pPr>
            <w:r w:rsidRPr="00BA0494">
              <w:rPr>
                <w:rFonts w:ascii="Bookman Old Style" w:hAnsi="Bookman Old Style" w:cs="Arial"/>
                <w:sz w:val="24"/>
                <w:szCs w:val="24"/>
              </w:rPr>
              <w:t>Nome da Contratada</w:t>
            </w:r>
          </w:p>
        </w:tc>
      </w:tr>
      <w:tr w:rsidR="005C161E" w:rsidRPr="00BA0494" w14:paraId="17ABACC9" w14:textId="77777777" w:rsidTr="00384905">
        <w:tc>
          <w:tcPr>
            <w:tcW w:w="4825" w:type="dxa"/>
          </w:tcPr>
          <w:p w14:paraId="306514ED" w14:textId="77777777" w:rsidR="005C161E" w:rsidRPr="00BA0494" w:rsidRDefault="005C161E" w:rsidP="00384905">
            <w:pPr>
              <w:spacing w:after="0" w:line="240" w:lineRule="auto"/>
              <w:jc w:val="center"/>
              <w:rPr>
                <w:rFonts w:ascii="Bookman Old Style" w:hAnsi="Bookman Old Style" w:cstheme="minorHAnsi"/>
                <w:b/>
                <w:sz w:val="24"/>
                <w:szCs w:val="24"/>
              </w:rPr>
            </w:pPr>
            <w:r w:rsidRPr="00BA0494">
              <w:rPr>
                <w:rFonts w:ascii="Bookman Old Style" w:hAnsi="Bookman Old Style"/>
                <w:sz w:val="24"/>
                <w:szCs w:val="24"/>
              </w:rPr>
              <w:t>CONTRATANTE</w:t>
            </w:r>
          </w:p>
        </w:tc>
        <w:tc>
          <w:tcPr>
            <w:tcW w:w="425" w:type="dxa"/>
          </w:tcPr>
          <w:p w14:paraId="30E0A2FD" w14:textId="77777777" w:rsidR="005C161E" w:rsidRPr="00BA0494" w:rsidRDefault="005C161E" w:rsidP="00384905">
            <w:pPr>
              <w:spacing w:after="0" w:line="240" w:lineRule="auto"/>
              <w:jc w:val="center"/>
              <w:rPr>
                <w:rFonts w:ascii="Bookman Old Style" w:hAnsi="Bookman Old Style" w:cstheme="minorHAnsi"/>
                <w:b/>
                <w:sz w:val="24"/>
                <w:szCs w:val="24"/>
              </w:rPr>
            </w:pPr>
          </w:p>
        </w:tc>
        <w:tc>
          <w:tcPr>
            <w:tcW w:w="4677" w:type="dxa"/>
          </w:tcPr>
          <w:p w14:paraId="34D9840D" w14:textId="77777777" w:rsidR="005C161E" w:rsidRPr="00BA0494" w:rsidRDefault="005C161E" w:rsidP="00384905">
            <w:pPr>
              <w:spacing w:after="0" w:line="240" w:lineRule="auto"/>
              <w:jc w:val="center"/>
              <w:rPr>
                <w:rFonts w:ascii="Bookman Old Style" w:hAnsi="Bookman Old Style" w:cstheme="minorHAnsi"/>
                <w:b/>
                <w:sz w:val="24"/>
                <w:szCs w:val="24"/>
              </w:rPr>
            </w:pPr>
            <w:r w:rsidRPr="00BA0494">
              <w:rPr>
                <w:rFonts w:ascii="Bookman Old Style" w:hAnsi="Bookman Old Style"/>
                <w:sz w:val="24"/>
                <w:szCs w:val="24"/>
              </w:rPr>
              <w:t>CONTRATADO</w:t>
            </w:r>
          </w:p>
        </w:tc>
      </w:tr>
    </w:tbl>
    <w:p w14:paraId="30104821" w14:textId="77777777" w:rsidR="005C161E"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7BABDACC"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0AF5C8E3"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r w:rsidRPr="00784154">
        <w:rPr>
          <w:rFonts w:ascii="Bookman Old Style" w:hAnsi="Bookman Old Style" w:cs="Arial"/>
        </w:rPr>
        <w:t>Testemunhas:</w:t>
      </w:r>
    </w:p>
    <w:p w14:paraId="12285AD9"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3131FB05"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6577AD88"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3B491585" w14:textId="77777777" w:rsidR="005C161E" w:rsidRDefault="005C161E" w:rsidP="005C161E">
      <w:pPr>
        <w:spacing w:after="0" w:line="240" w:lineRule="auto"/>
        <w:jc w:val="center"/>
        <w:rPr>
          <w:rFonts w:ascii="Bookman Old Style" w:hAnsi="Bookman Old Style" w:cstheme="minorHAnsi"/>
          <w:b/>
          <w:sz w:val="24"/>
          <w:szCs w:val="24"/>
        </w:rPr>
      </w:pPr>
    </w:p>
    <w:tbl>
      <w:tblPr>
        <w:tblW w:w="9639" w:type="dxa"/>
        <w:tblInd w:w="-572" w:type="dxa"/>
        <w:tblLook w:val="04A0" w:firstRow="1" w:lastRow="0" w:firstColumn="1" w:lastColumn="0" w:noHBand="0" w:noVBand="1"/>
      </w:tblPr>
      <w:tblGrid>
        <w:gridCol w:w="4106"/>
        <w:gridCol w:w="856"/>
        <w:gridCol w:w="4677"/>
      </w:tblGrid>
      <w:tr w:rsidR="005C161E" w:rsidRPr="00BA0494" w14:paraId="6E373C38" w14:textId="77777777" w:rsidTr="00384905">
        <w:tc>
          <w:tcPr>
            <w:tcW w:w="4106" w:type="dxa"/>
            <w:tcBorders>
              <w:top w:val="single" w:sz="4" w:space="0" w:color="auto"/>
            </w:tcBorders>
          </w:tcPr>
          <w:p w14:paraId="7DCB645B" w14:textId="77777777" w:rsidR="005C161E" w:rsidRPr="00BA0494" w:rsidRDefault="005C161E" w:rsidP="00384905">
            <w:pPr>
              <w:spacing w:after="0" w:line="240" w:lineRule="auto"/>
              <w:jc w:val="both"/>
              <w:rPr>
                <w:rFonts w:ascii="Bookman Old Style" w:hAnsi="Bookman Old Style" w:cstheme="minorHAnsi"/>
                <w:sz w:val="24"/>
                <w:szCs w:val="24"/>
              </w:rPr>
            </w:pPr>
            <w:r w:rsidRPr="00BA0494">
              <w:rPr>
                <w:rFonts w:ascii="Bookman Old Style" w:hAnsi="Bookman Old Style" w:cs="Arial"/>
                <w:sz w:val="24"/>
                <w:szCs w:val="24"/>
              </w:rPr>
              <w:t>Nome:</w:t>
            </w:r>
          </w:p>
        </w:tc>
        <w:tc>
          <w:tcPr>
            <w:tcW w:w="856" w:type="dxa"/>
          </w:tcPr>
          <w:p w14:paraId="7ED5FD7A" w14:textId="77777777" w:rsidR="005C161E" w:rsidRPr="00BA0494" w:rsidRDefault="005C161E" w:rsidP="00384905">
            <w:pPr>
              <w:spacing w:after="0" w:line="240" w:lineRule="auto"/>
              <w:jc w:val="center"/>
              <w:rPr>
                <w:rFonts w:ascii="Bookman Old Style" w:hAnsi="Bookman Old Style" w:cstheme="minorHAnsi"/>
                <w:b/>
                <w:sz w:val="24"/>
                <w:szCs w:val="24"/>
              </w:rPr>
            </w:pPr>
          </w:p>
        </w:tc>
        <w:tc>
          <w:tcPr>
            <w:tcW w:w="4677" w:type="dxa"/>
            <w:tcBorders>
              <w:top w:val="single" w:sz="4" w:space="0" w:color="auto"/>
            </w:tcBorders>
          </w:tcPr>
          <w:p w14:paraId="726A2C6D" w14:textId="77777777" w:rsidR="005C161E" w:rsidRPr="00BA0494" w:rsidRDefault="005C161E" w:rsidP="00384905">
            <w:pPr>
              <w:spacing w:after="0" w:line="240" w:lineRule="auto"/>
              <w:jc w:val="both"/>
              <w:rPr>
                <w:rFonts w:ascii="Bookman Old Style" w:hAnsi="Bookman Old Style" w:cstheme="minorHAnsi"/>
                <w:b/>
                <w:sz w:val="24"/>
                <w:szCs w:val="24"/>
              </w:rPr>
            </w:pPr>
            <w:r w:rsidRPr="00BA0494">
              <w:rPr>
                <w:rFonts w:ascii="Bookman Old Style" w:hAnsi="Bookman Old Style" w:cs="Arial"/>
                <w:sz w:val="24"/>
                <w:szCs w:val="24"/>
              </w:rPr>
              <w:t>Nome:</w:t>
            </w:r>
          </w:p>
        </w:tc>
      </w:tr>
      <w:tr w:rsidR="005C161E" w:rsidRPr="00BA0494" w14:paraId="322801E3" w14:textId="77777777" w:rsidTr="00384905">
        <w:tc>
          <w:tcPr>
            <w:tcW w:w="4106" w:type="dxa"/>
          </w:tcPr>
          <w:p w14:paraId="580E1C77" w14:textId="77777777" w:rsidR="005C161E" w:rsidRPr="00BA0494" w:rsidRDefault="005C161E" w:rsidP="00384905">
            <w:pPr>
              <w:spacing w:after="0" w:line="240" w:lineRule="auto"/>
              <w:jc w:val="both"/>
              <w:rPr>
                <w:rFonts w:ascii="Bookman Old Style" w:hAnsi="Bookman Old Style" w:cstheme="minorHAnsi"/>
                <w:b/>
                <w:sz w:val="24"/>
                <w:szCs w:val="24"/>
              </w:rPr>
            </w:pPr>
            <w:r>
              <w:rPr>
                <w:rFonts w:ascii="Bookman Old Style" w:hAnsi="Bookman Old Style" w:cs="Arial"/>
                <w:sz w:val="24"/>
                <w:szCs w:val="24"/>
              </w:rPr>
              <w:t>C.P.F.:</w:t>
            </w:r>
          </w:p>
        </w:tc>
        <w:tc>
          <w:tcPr>
            <w:tcW w:w="856" w:type="dxa"/>
          </w:tcPr>
          <w:p w14:paraId="3066DF44" w14:textId="77777777" w:rsidR="005C161E" w:rsidRPr="00BA0494" w:rsidRDefault="005C161E" w:rsidP="00384905">
            <w:pPr>
              <w:spacing w:after="0" w:line="240" w:lineRule="auto"/>
              <w:jc w:val="center"/>
              <w:rPr>
                <w:rFonts w:ascii="Bookman Old Style" w:hAnsi="Bookman Old Style" w:cstheme="minorHAnsi"/>
                <w:b/>
                <w:sz w:val="24"/>
                <w:szCs w:val="24"/>
              </w:rPr>
            </w:pPr>
          </w:p>
        </w:tc>
        <w:tc>
          <w:tcPr>
            <w:tcW w:w="4677" w:type="dxa"/>
          </w:tcPr>
          <w:p w14:paraId="75900BF7" w14:textId="77777777" w:rsidR="005C161E" w:rsidRPr="00BA0494" w:rsidRDefault="005C161E" w:rsidP="00384905">
            <w:pPr>
              <w:spacing w:after="0" w:line="240" w:lineRule="auto"/>
              <w:jc w:val="both"/>
              <w:rPr>
                <w:rFonts w:ascii="Bookman Old Style" w:hAnsi="Bookman Old Style" w:cstheme="minorHAnsi"/>
                <w:b/>
                <w:sz w:val="24"/>
                <w:szCs w:val="24"/>
              </w:rPr>
            </w:pPr>
            <w:r>
              <w:rPr>
                <w:rFonts w:ascii="Bookman Old Style" w:hAnsi="Bookman Old Style" w:cs="Arial"/>
                <w:sz w:val="24"/>
                <w:szCs w:val="24"/>
              </w:rPr>
              <w:t>C.P.F.:</w:t>
            </w:r>
          </w:p>
        </w:tc>
      </w:tr>
    </w:tbl>
    <w:p w14:paraId="43DD1E62" w14:textId="77777777" w:rsidR="005C161E" w:rsidRPr="00784154" w:rsidRDefault="005C161E" w:rsidP="005C161E">
      <w:pPr>
        <w:pStyle w:val="p0"/>
        <w:widowControl/>
        <w:tabs>
          <w:tab w:val="clear" w:pos="720"/>
          <w:tab w:val="left" w:pos="1640"/>
          <w:tab w:val="left" w:pos="4040"/>
          <w:tab w:val="decimal" w:pos="8640"/>
        </w:tabs>
        <w:spacing w:line="240" w:lineRule="auto"/>
        <w:rPr>
          <w:rFonts w:ascii="Bookman Old Style" w:hAnsi="Bookman Old Style" w:cs="Arial"/>
        </w:rPr>
      </w:pPr>
    </w:p>
    <w:p w14:paraId="14E362EE" w14:textId="77777777" w:rsidR="005C161E" w:rsidRDefault="005C161E" w:rsidP="005C161E">
      <w:pPr>
        <w:spacing w:after="0" w:line="240" w:lineRule="auto"/>
        <w:rPr>
          <w:rFonts w:ascii="Bookman Old Style" w:hAnsi="Bookman Old Style" w:cstheme="minorHAnsi"/>
          <w:b/>
          <w:sz w:val="24"/>
          <w:szCs w:val="24"/>
        </w:rPr>
      </w:pPr>
      <w:r>
        <w:rPr>
          <w:rFonts w:ascii="Bookman Old Style" w:hAnsi="Bookman Old Style" w:cstheme="minorHAnsi"/>
          <w:b/>
          <w:sz w:val="24"/>
          <w:szCs w:val="24"/>
        </w:rPr>
        <w:br w:type="page"/>
      </w:r>
    </w:p>
    <w:p w14:paraId="72570951" w14:textId="77777777" w:rsidR="005C161E" w:rsidRPr="000319A1" w:rsidRDefault="005C161E" w:rsidP="005C161E">
      <w:pPr>
        <w:spacing w:after="0" w:line="240" w:lineRule="auto"/>
        <w:jc w:val="center"/>
        <w:rPr>
          <w:rFonts w:ascii="Bookman Old Style" w:hAnsi="Bookman Old Style" w:cstheme="minorHAnsi"/>
          <w:b/>
          <w:sz w:val="24"/>
          <w:szCs w:val="24"/>
        </w:rPr>
      </w:pPr>
      <w:r w:rsidRPr="000319A1">
        <w:rPr>
          <w:rFonts w:ascii="Bookman Old Style" w:hAnsi="Bookman Old Style" w:cstheme="minorHAnsi"/>
          <w:b/>
          <w:sz w:val="24"/>
          <w:szCs w:val="24"/>
        </w:rPr>
        <w:lastRenderedPageBreak/>
        <w:t>ANEXO VII</w:t>
      </w:r>
    </w:p>
    <w:p w14:paraId="100D65DC" w14:textId="77777777" w:rsidR="005C161E" w:rsidRPr="000319A1" w:rsidRDefault="005C161E" w:rsidP="005C161E">
      <w:pPr>
        <w:spacing w:after="0" w:line="240" w:lineRule="auto"/>
        <w:jc w:val="center"/>
        <w:rPr>
          <w:rFonts w:ascii="Bookman Old Style" w:hAnsi="Bookman Old Style" w:cstheme="minorHAnsi"/>
          <w:b/>
          <w:sz w:val="24"/>
          <w:szCs w:val="24"/>
        </w:rPr>
      </w:pPr>
    </w:p>
    <w:p w14:paraId="6D095F18" w14:textId="77777777" w:rsidR="005C161E" w:rsidRPr="000319A1" w:rsidRDefault="005C161E" w:rsidP="005C161E">
      <w:pPr>
        <w:spacing w:after="0" w:line="240" w:lineRule="auto"/>
        <w:jc w:val="center"/>
        <w:rPr>
          <w:rFonts w:ascii="Bookman Old Style" w:hAnsi="Bookman Old Style" w:cstheme="minorHAnsi"/>
          <w:b/>
          <w:sz w:val="24"/>
          <w:szCs w:val="24"/>
        </w:rPr>
      </w:pPr>
      <w:r w:rsidRPr="000319A1">
        <w:rPr>
          <w:rFonts w:ascii="Bookman Old Style" w:hAnsi="Bookman Old Style" w:cstheme="minorHAnsi"/>
          <w:b/>
          <w:sz w:val="24"/>
          <w:szCs w:val="24"/>
        </w:rPr>
        <w:t>DECLARAÇÃO DE INEXISTÊNCIA DE VÍNCULO FAMILIAR</w:t>
      </w:r>
    </w:p>
    <w:p w14:paraId="1B920213" w14:textId="77777777" w:rsidR="005C161E" w:rsidRDefault="005C161E" w:rsidP="005C161E">
      <w:pPr>
        <w:spacing w:after="0" w:line="240" w:lineRule="auto"/>
        <w:jc w:val="both"/>
        <w:rPr>
          <w:rFonts w:ascii="Bookman Old Style" w:hAnsi="Bookman Old Style" w:cstheme="minorHAnsi"/>
          <w:sz w:val="24"/>
          <w:szCs w:val="24"/>
        </w:rPr>
      </w:pPr>
    </w:p>
    <w:p w14:paraId="4B664B2C" w14:textId="77777777" w:rsidR="005C161E" w:rsidRDefault="005C161E" w:rsidP="005C161E">
      <w:pPr>
        <w:spacing w:after="0" w:line="240" w:lineRule="auto"/>
        <w:jc w:val="both"/>
        <w:rPr>
          <w:rFonts w:ascii="Bookman Old Style" w:hAnsi="Bookman Old Style" w:cstheme="minorHAnsi"/>
          <w:sz w:val="24"/>
          <w:szCs w:val="24"/>
        </w:rPr>
      </w:pPr>
      <w:r w:rsidRPr="000319A1">
        <w:rPr>
          <w:rFonts w:ascii="Bookman Old Style" w:hAnsi="Bookman Old Style" w:cstheme="minorHAnsi"/>
          <w:sz w:val="24"/>
          <w:szCs w:val="24"/>
        </w:rPr>
        <w:t>Eu, [NOME DO REPRESENTANTE LEGAL], inscrito no CPF nº [CPF] e representante legal da empresa [NOME DA EMPRESA], inscrita no CNPJ nº [CNPJ], DECLARO, sob as penas da lei, que nenhum dos dirigentes, sócios, administradores ou representantes legais desta empresa possui vínculo de parentesco até o terceiro grau com dirigentes ou agentes públicos do órgão licitante, conforme tabela de dirigentes apresentada na cláusula 2.6.1 do edital.</w:t>
      </w:r>
    </w:p>
    <w:p w14:paraId="2E5EC0A2" w14:textId="77777777" w:rsidR="005C161E" w:rsidRPr="000319A1" w:rsidRDefault="005C161E" w:rsidP="005C161E">
      <w:pPr>
        <w:spacing w:after="0" w:line="240" w:lineRule="auto"/>
        <w:jc w:val="both"/>
        <w:rPr>
          <w:rFonts w:ascii="Bookman Old Style" w:hAnsi="Bookman Old Style" w:cstheme="minorHAnsi"/>
          <w:sz w:val="24"/>
          <w:szCs w:val="24"/>
        </w:rPr>
      </w:pPr>
    </w:p>
    <w:p w14:paraId="0410E50A" w14:textId="77777777" w:rsidR="005C161E" w:rsidRPr="000319A1" w:rsidRDefault="005C161E" w:rsidP="005C161E">
      <w:pPr>
        <w:spacing w:after="0" w:line="240" w:lineRule="auto"/>
        <w:jc w:val="both"/>
        <w:rPr>
          <w:rFonts w:ascii="Bookman Old Style" w:hAnsi="Bookman Old Style" w:cstheme="minorHAnsi"/>
          <w:sz w:val="24"/>
          <w:szCs w:val="24"/>
        </w:rPr>
      </w:pPr>
      <w:r w:rsidRPr="000319A1">
        <w:rPr>
          <w:rFonts w:ascii="Bookman Old Style" w:hAnsi="Bookman Old Style" w:cstheme="minorHAnsi"/>
          <w:sz w:val="24"/>
          <w:szCs w:val="24"/>
        </w:rPr>
        <w:t>Declaro, ainda, estar ciente de que qualquer informação falsa ou omissão poderá resultar na desclassificação do certame e responsabilização civil, administrativa e penal.</w:t>
      </w:r>
    </w:p>
    <w:p w14:paraId="172F7079" w14:textId="77777777" w:rsidR="005C161E" w:rsidRDefault="005C161E" w:rsidP="005C161E">
      <w:pPr>
        <w:spacing w:after="0" w:line="240" w:lineRule="auto"/>
        <w:jc w:val="both"/>
        <w:rPr>
          <w:rFonts w:ascii="Bookman Old Style" w:hAnsi="Bookman Old Style" w:cstheme="minorHAnsi"/>
          <w:sz w:val="24"/>
          <w:szCs w:val="24"/>
        </w:rPr>
      </w:pPr>
    </w:p>
    <w:p w14:paraId="11FAA282" w14:textId="77777777" w:rsidR="005C161E" w:rsidRPr="000319A1" w:rsidRDefault="005C161E" w:rsidP="005C161E">
      <w:pPr>
        <w:spacing w:after="0" w:line="240" w:lineRule="auto"/>
        <w:jc w:val="center"/>
        <w:rPr>
          <w:rFonts w:ascii="Bookman Old Style" w:hAnsi="Bookman Old Style" w:cstheme="minorHAnsi"/>
          <w:sz w:val="24"/>
          <w:szCs w:val="24"/>
        </w:rPr>
      </w:pPr>
      <w:r w:rsidRPr="000319A1">
        <w:rPr>
          <w:rFonts w:ascii="Bookman Old Style" w:hAnsi="Bookman Old Style" w:cstheme="minorHAnsi"/>
          <w:sz w:val="24"/>
          <w:szCs w:val="24"/>
        </w:rPr>
        <w:t>Local, data: ___/___/_____</w:t>
      </w:r>
    </w:p>
    <w:p w14:paraId="573912D1" w14:textId="77777777" w:rsidR="005C161E" w:rsidRDefault="005C161E" w:rsidP="005C161E">
      <w:pPr>
        <w:spacing w:after="0" w:line="240" w:lineRule="auto"/>
        <w:jc w:val="both"/>
        <w:rPr>
          <w:rFonts w:ascii="Bookman Old Style" w:hAnsi="Bookman Old Style" w:cstheme="minorHAnsi"/>
          <w:sz w:val="24"/>
          <w:szCs w:val="24"/>
        </w:rPr>
      </w:pPr>
    </w:p>
    <w:p w14:paraId="4393C19B" w14:textId="77777777" w:rsidR="005C161E" w:rsidRDefault="005C161E" w:rsidP="005C161E">
      <w:pPr>
        <w:spacing w:after="0" w:line="240" w:lineRule="auto"/>
        <w:jc w:val="both"/>
        <w:rPr>
          <w:rFonts w:ascii="Bookman Old Style" w:hAnsi="Bookman Old Style" w:cstheme="minorHAnsi"/>
          <w:sz w:val="24"/>
          <w:szCs w:val="24"/>
        </w:rPr>
      </w:pPr>
    </w:p>
    <w:p w14:paraId="16771D72" w14:textId="77777777" w:rsidR="005C161E" w:rsidRDefault="005C161E" w:rsidP="005C161E">
      <w:pPr>
        <w:spacing w:after="0" w:line="240" w:lineRule="auto"/>
        <w:jc w:val="both"/>
        <w:rPr>
          <w:rFonts w:ascii="Bookman Old Style" w:hAnsi="Bookman Old Style" w:cstheme="minorHAnsi"/>
          <w:sz w:val="24"/>
          <w:szCs w:val="24"/>
        </w:rPr>
      </w:pPr>
    </w:p>
    <w:p w14:paraId="72B1527D" w14:textId="77777777" w:rsidR="005C161E" w:rsidRPr="000319A1" w:rsidRDefault="005C161E" w:rsidP="005C161E">
      <w:pPr>
        <w:spacing w:after="0" w:line="240" w:lineRule="auto"/>
        <w:jc w:val="center"/>
        <w:rPr>
          <w:rFonts w:ascii="Bookman Old Style" w:hAnsi="Bookman Old Style" w:cstheme="minorHAnsi"/>
          <w:sz w:val="24"/>
          <w:szCs w:val="24"/>
        </w:rPr>
      </w:pPr>
      <w:r w:rsidRPr="000319A1">
        <w:rPr>
          <w:rFonts w:ascii="Bookman Old Style" w:hAnsi="Bookman Old Style" w:cstheme="minorHAnsi"/>
          <w:sz w:val="24"/>
          <w:szCs w:val="24"/>
        </w:rPr>
        <w:t>Assinatura: ___________________________</w:t>
      </w:r>
    </w:p>
    <w:p w14:paraId="17B66878" w14:textId="77777777" w:rsidR="005C161E" w:rsidRPr="000319A1" w:rsidRDefault="005C161E" w:rsidP="005C161E">
      <w:pPr>
        <w:spacing w:after="0" w:line="240" w:lineRule="auto"/>
        <w:jc w:val="center"/>
        <w:rPr>
          <w:rFonts w:ascii="Bookman Old Style" w:hAnsi="Bookman Old Style" w:cstheme="minorHAnsi"/>
          <w:sz w:val="24"/>
          <w:szCs w:val="24"/>
        </w:rPr>
      </w:pPr>
      <w:r w:rsidRPr="000319A1">
        <w:rPr>
          <w:rFonts w:ascii="Bookman Old Style" w:hAnsi="Bookman Old Style" w:cstheme="minorHAnsi"/>
          <w:sz w:val="24"/>
          <w:szCs w:val="24"/>
        </w:rPr>
        <w:t>Carimbo da empresa: ___________________</w:t>
      </w:r>
    </w:p>
    <w:p w14:paraId="4BD27C2A" w14:textId="77777777" w:rsidR="005C161E" w:rsidRDefault="005C161E" w:rsidP="005C161E">
      <w:pPr>
        <w:spacing w:after="0" w:line="240" w:lineRule="auto"/>
        <w:jc w:val="both"/>
        <w:rPr>
          <w:rFonts w:ascii="Bookman Old Style" w:hAnsi="Bookman Old Style" w:cstheme="minorHAnsi"/>
          <w:sz w:val="24"/>
          <w:szCs w:val="24"/>
        </w:rPr>
      </w:pPr>
    </w:p>
    <w:p w14:paraId="64F2366A" w14:textId="77777777" w:rsidR="005C161E" w:rsidRDefault="005C161E" w:rsidP="005C161E">
      <w:pPr>
        <w:spacing w:after="0" w:line="240" w:lineRule="auto"/>
        <w:jc w:val="both"/>
        <w:rPr>
          <w:rFonts w:ascii="Bookman Old Style" w:hAnsi="Bookman Old Style" w:cstheme="minorHAnsi"/>
          <w:sz w:val="24"/>
          <w:szCs w:val="24"/>
        </w:rPr>
      </w:pPr>
    </w:p>
    <w:p w14:paraId="3B1E7493" w14:textId="77777777" w:rsidR="005C161E" w:rsidRDefault="005C161E" w:rsidP="005C161E">
      <w:pPr>
        <w:spacing w:after="0" w:line="240" w:lineRule="auto"/>
        <w:jc w:val="both"/>
        <w:rPr>
          <w:rFonts w:ascii="Bookman Old Style" w:hAnsi="Bookman Old Style" w:cstheme="minorHAnsi"/>
          <w:sz w:val="24"/>
          <w:szCs w:val="24"/>
        </w:rPr>
      </w:pPr>
    </w:p>
    <w:p w14:paraId="1A6AECBE" w14:textId="77777777" w:rsidR="005C161E" w:rsidRDefault="005C161E" w:rsidP="005C161E">
      <w:pPr>
        <w:spacing w:after="0" w:line="240" w:lineRule="auto"/>
        <w:jc w:val="both"/>
        <w:rPr>
          <w:rFonts w:ascii="Bookman Old Style" w:hAnsi="Bookman Old Style" w:cstheme="minorHAnsi"/>
          <w:sz w:val="24"/>
          <w:szCs w:val="24"/>
        </w:rPr>
      </w:pPr>
    </w:p>
    <w:p w14:paraId="1308F77D" w14:textId="77777777" w:rsidR="005C161E" w:rsidRPr="0084420A" w:rsidRDefault="005C161E" w:rsidP="005C161E">
      <w:pPr>
        <w:spacing w:after="0" w:line="240" w:lineRule="auto"/>
        <w:jc w:val="both"/>
        <w:rPr>
          <w:rFonts w:ascii="Bookman Old Style" w:hAnsi="Bookman Old Style" w:cstheme="minorHAnsi"/>
          <w:b/>
          <w:sz w:val="24"/>
          <w:szCs w:val="24"/>
        </w:rPr>
      </w:pPr>
      <w:r w:rsidRPr="0084420A">
        <w:rPr>
          <w:rFonts w:ascii="Bookman Old Style" w:hAnsi="Bookman Old Style" w:cstheme="minorHAnsi"/>
          <w:b/>
          <w:sz w:val="24"/>
          <w:szCs w:val="24"/>
        </w:rPr>
        <w:t>Observações:</w:t>
      </w:r>
    </w:p>
    <w:p w14:paraId="5A0B2E4E" w14:textId="77777777" w:rsidR="005C161E" w:rsidRPr="000319A1" w:rsidRDefault="005C161E" w:rsidP="005C161E">
      <w:pPr>
        <w:spacing w:after="0" w:line="240" w:lineRule="auto"/>
        <w:jc w:val="both"/>
        <w:rPr>
          <w:rFonts w:ascii="Bookman Old Style" w:hAnsi="Bookman Old Style" w:cstheme="minorHAnsi"/>
          <w:sz w:val="24"/>
          <w:szCs w:val="24"/>
        </w:rPr>
      </w:pPr>
    </w:p>
    <w:p w14:paraId="79FC5381" w14:textId="77777777" w:rsidR="005C161E" w:rsidRPr="000319A1" w:rsidRDefault="005C161E" w:rsidP="005C161E">
      <w:pPr>
        <w:spacing w:after="0" w:line="240" w:lineRule="auto"/>
        <w:jc w:val="both"/>
        <w:rPr>
          <w:rFonts w:ascii="Bookman Old Style" w:hAnsi="Bookman Old Style" w:cstheme="minorHAnsi"/>
          <w:sz w:val="24"/>
          <w:szCs w:val="24"/>
        </w:rPr>
      </w:pPr>
      <w:r w:rsidRPr="000319A1">
        <w:rPr>
          <w:rFonts w:ascii="Bookman Old Style" w:hAnsi="Bookman Old Style" w:cstheme="minorHAnsi"/>
          <w:sz w:val="24"/>
          <w:szCs w:val="24"/>
        </w:rPr>
        <w:t>“Dirigente” é definido amplamente pelo TCE-PR como qualquer pessoa com influência decisória sobre a licitação ou contrato.</w:t>
      </w:r>
    </w:p>
    <w:p w14:paraId="601C6EA7" w14:textId="77777777" w:rsidR="005C161E" w:rsidRDefault="005C161E" w:rsidP="005C161E">
      <w:pPr>
        <w:spacing w:after="0" w:line="240" w:lineRule="auto"/>
        <w:jc w:val="both"/>
        <w:rPr>
          <w:rFonts w:ascii="Bookman Old Style" w:hAnsi="Bookman Old Style" w:cstheme="minorHAnsi"/>
          <w:sz w:val="24"/>
          <w:szCs w:val="24"/>
        </w:rPr>
      </w:pPr>
    </w:p>
    <w:p w14:paraId="3DCDE0FF" w14:textId="77777777" w:rsidR="005C161E" w:rsidRPr="000319A1" w:rsidRDefault="005C161E" w:rsidP="005C161E">
      <w:pPr>
        <w:spacing w:after="0" w:line="240" w:lineRule="auto"/>
        <w:jc w:val="both"/>
        <w:rPr>
          <w:rFonts w:ascii="Bookman Old Style" w:hAnsi="Bookman Old Style" w:cstheme="minorHAnsi"/>
          <w:sz w:val="24"/>
          <w:szCs w:val="24"/>
        </w:rPr>
      </w:pPr>
      <w:r w:rsidRPr="000319A1">
        <w:rPr>
          <w:rFonts w:ascii="Bookman Old Style" w:hAnsi="Bookman Old Style" w:cstheme="minorHAnsi"/>
          <w:sz w:val="24"/>
          <w:szCs w:val="24"/>
        </w:rPr>
        <w:t>Todos os sócios, administradores e representantes legais das empresas participantes devem declarar a inexistência de vínculo familiar com os dirigentes.</w:t>
      </w:r>
    </w:p>
    <w:p w14:paraId="1E3D78CC" w14:textId="77777777" w:rsidR="005C161E" w:rsidRDefault="005C161E" w:rsidP="005C161E">
      <w:pPr>
        <w:spacing w:after="0" w:line="240" w:lineRule="auto"/>
        <w:jc w:val="both"/>
        <w:rPr>
          <w:rFonts w:ascii="Bookman Old Style" w:hAnsi="Bookman Old Style" w:cstheme="minorHAnsi"/>
          <w:sz w:val="24"/>
          <w:szCs w:val="24"/>
        </w:rPr>
      </w:pPr>
    </w:p>
    <w:p w14:paraId="7F7F79BF" w14:textId="47E4847D" w:rsidR="00AC1C56" w:rsidRPr="00AC1C56" w:rsidRDefault="005C161E" w:rsidP="005C161E">
      <w:pPr>
        <w:spacing w:after="0" w:line="240" w:lineRule="auto"/>
        <w:jc w:val="both"/>
        <w:rPr>
          <w:rFonts w:ascii="Bookman Old Style" w:eastAsia="MS Mincho" w:hAnsi="Bookman Old Style" w:cstheme="minorHAnsi"/>
          <w:b/>
          <w:sz w:val="24"/>
          <w:szCs w:val="24"/>
        </w:rPr>
      </w:pPr>
      <w:r w:rsidRPr="000319A1">
        <w:rPr>
          <w:rFonts w:ascii="Bookman Old Style" w:hAnsi="Bookman Old Style" w:cstheme="minorHAnsi"/>
          <w:sz w:val="24"/>
          <w:szCs w:val="24"/>
        </w:rPr>
        <w:t>Este modelo é aplicável a todas as entidades municipais: Prefeitura, Câmara, autarquias, fundações e empresas públicas municipais.</w:t>
      </w:r>
    </w:p>
    <w:sectPr w:rsidR="00AC1C56" w:rsidRPr="00AC1C56" w:rsidSect="009057FC">
      <w:headerReference w:type="default" r:id="rId70"/>
      <w:pgSz w:w="11906" w:h="16838"/>
      <w:pgMar w:top="1417" w:right="849" w:bottom="851"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D385EF" w16cex:dateUtc="2023-10-22T2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EEEB81" w16cid:durableId="55D385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EA4D3" w14:textId="77777777" w:rsidR="00E15208" w:rsidRDefault="00E15208" w:rsidP="009057FC">
      <w:pPr>
        <w:spacing w:after="0" w:line="240" w:lineRule="auto"/>
      </w:pPr>
      <w:r>
        <w:separator/>
      </w:r>
    </w:p>
  </w:endnote>
  <w:endnote w:type="continuationSeparator" w:id="0">
    <w:p w14:paraId="331A2440" w14:textId="77777777" w:rsidR="00E15208" w:rsidRDefault="00E15208" w:rsidP="0090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178ED" w14:textId="77777777" w:rsidR="00E15208" w:rsidRDefault="00E15208" w:rsidP="009057FC">
      <w:pPr>
        <w:spacing w:after="0" w:line="240" w:lineRule="auto"/>
      </w:pPr>
      <w:r>
        <w:separator/>
      </w:r>
    </w:p>
  </w:footnote>
  <w:footnote w:type="continuationSeparator" w:id="0">
    <w:p w14:paraId="63108CB4" w14:textId="77777777" w:rsidR="00E15208" w:rsidRDefault="00E15208" w:rsidP="009057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88" w:type="dxa"/>
      <w:tblLayout w:type="fixed"/>
      <w:tblLook w:val="0000" w:firstRow="0" w:lastRow="0" w:firstColumn="0" w:lastColumn="0" w:noHBand="0" w:noVBand="0"/>
    </w:tblPr>
    <w:tblGrid>
      <w:gridCol w:w="1908"/>
      <w:gridCol w:w="7380"/>
    </w:tblGrid>
    <w:tr w:rsidR="009057FC" w:rsidRPr="005653D4" w14:paraId="543972F0" w14:textId="77777777" w:rsidTr="009057FC">
      <w:tc>
        <w:tcPr>
          <w:tcW w:w="1908" w:type="dxa"/>
        </w:tcPr>
        <w:p w14:paraId="2FD3E95D" w14:textId="77777777" w:rsidR="009057FC" w:rsidRPr="005653D4" w:rsidRDefault="009057FC" w:rsidP="009057FC">
          <w:pPr>
            <w:spacing w:after="0" w:line="240" w:lineRule="auto"/>
            <w:rPr>
              <w:rFonts w:ascii="Times New Roman" w:eastAsia="Times New Roman" w:hAnsi="Times New Roman" w:cs="Times New Roman"/>
              <w:sz w:val="20"/>
              <w:szCs w:val="20"/>
              <w:lang w:eastAsia="pt-BR"/>
            </w:rPr>
          </w:pPr>
          <w:r>
            <w:rPr>
              <w:rFonts w:ascii="Times New Roman" w:eastAsia="Times New Roman" w:hAnsi="Times New Roman" w:cs="Times New Roman"/>
              <w:noProof/>
              <w:sz w:val="20"/>
              <w:szCs w:val="20"/>
              <w:lang w:eastAsia="pt-BR"/>
            </w:rPr>
            <w:drawing>
              <wp:inline distT="0" distB="0" distL="0" distR="0" wp14:anchorId="54843CA9" wp14:editId="7018025F">
                <wp:extent cx="828675" cy="9525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952500"/>
                        </a:xfrm>
                        <a:prstGeom prst="rect">
                          <a:avLst/>
                        </a:prstGeom>
                        <a:noFill/>
                        <a:ln>
                          <a:noFill/>
                        </a:ln>
                      </pic:spPr>
                    </pic:pic>
                  </a:graphicData>
                </a:graphic>
              </wp:inline>
            </w:drawing>
          </w:r>
        </w:p>
      </w:tc>
      <w:tc>
        <w:tcPr>
          <w:tcW w:w="7380" w:type="dxa"/>
        </w:tcPr>
        <w:p w14:paraId="6FAC5AEA" w14:textId="77777777" w:rsidR="009057FC" w:rsidRPr="005653D4" w:rsidRDefault="009057FC" w:rsidP="009057FC">
          <w:pPr>
            <w:tabs>
              <w:tab w:val="center" w:pos="4419"/>
              <w:tab w:val="right" w:pos="8838"/>
            </w:tabs>
            <w:spacing w:after="0" w:line="240" w:lineRule="auto"/>
            <w:jc w:val="center"/>
            <w:rPr>
              <w:rFonts w:ascii="Times New Roman" w:eastAsia="Times New Roman" w:hAnsi="Times New Roman" w:cs="Times New Roman"/>
              <w:b/>
              <w:sz w:val="32"/>
              <w:szCs w:val="20"/>
              <w:lang w:eastAsia="pt-BR"/>
            </w:rPr>
          </w:pPr>
          <w:r w:rsidRPr="005653D4">
            <w:rPr>
              <w:rFonts w:ascii="Times New Roman" w:eastAsia="Times New Roman" w:hAnsi="Times New Roman" w:cs="Times New Roman"/>
              <w:b/>
              <w:sz w:val="36"/>
              <w:szCs w:val="20"/>
              <w:u w:val="single"/>
              <w:lang w:eastAsia="pt-BR"/>
            </w:rPr>
            <w:t>CÂMARA MUNICIPAL DE TERRA RICA</w:t>
          </w:r>
        </w:p>
        <w:p w14:paraId="4228C3CF" w14:textId="77777777" w:rsidR="009057FC" w:rsidRPr="005653D4" w:rsidRDefault="009057FC"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 w:val="28"/>
              <w:szCs w:val="20"/>
              <w:lang w:eastAsia="pt-BR"/>
            </w:rPr>
            <w:t>Estado do Paraná</w:t>
          </w:r>
        </w:p>
        <w:p w14:paraId="30ECBF55" w14:textId="77777777" w:rsidR="009057FC" w:rsidRPr="005653D4" w:rsidRDefault="009057FC"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Cs w:val="20"/>
              <w:lang w:eastAsia="pt-BR"/>
            </w:rPr>
            <w:t xml:space="preserve">Av. São </w:t>
          </w:r>
          <w:r>
            <w:rPr>
              <w:rFonts w:ascii="Times New Roman" w:eastAsia="Times New Roman" w:hAnsi="Times New Roman" w:cs="Times New Roman"/>
              <w:b/>
              <w:szCs w:val="20"/>
              <w:lang w:eastAsia="pt-BR"/>
            </w:rPr>
            <w:t>Paulo, 1178, 1º andar - Fone: (</w:t>
          </w:r>
          <w:r w:rsidRPr="005653D4">
            <w:rPr>
              <w:rFonts w:ascii="Times New Roman" w:eastAsia="Times New Roman" w:hAnsi="Times New Roman" w:cs="Times New Roman"/>
              <w:b/>
              <w:szCs w:val="20"/>
              <w:lang w:eastAsia="pt-BR"/>
            </w:rPr>
            <w:t>44) 3441-1231 - CEP. 87.890-000</w:t>
          </w:r>
        </w:p>
        <w:p w14:paraId="0574DF46" w14:textId="77777777" w:rsidR="009057FC" w:rsidRPr="005653D4" w:rsidRDefault="009057FC"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Cs w:val="20"/>
              <w:lang w:eastAsia="pt-BR"/>
            </w:rPr>
            <w:t xml:space="preserve">E-mail: </w:t>
          </w:r>
          <w:hyperlink r:id="rId2" w:history="1">
            <w:r w:rsidRPr="009327E4">
              <w:rPr>
                <w:rStyle w:val="Hyperlink"/>
                <w:rFonts w:ascii="Times New Roman" w:eastAsia="Times New Roman" w:hAnsi="Times New Roman" w:cs="Times New Roman"/>
                <w:b/>
                <w:szCs w:val="20"/>
              </w:rPr>
              <w:t>camaraterrarica@gmail.com</w:t>
            </w:r>
          </w:hyperlink>
          <w:r w:rsidRPr="005653D4">
            <w:rPr>
              <w:rFonts w:ascii="Times New Roman" w:eastAsia="Times New Roman" w:hAnsi="Times New Roman" w:cs="Times New Roman"/>
              <w:b/>
              <w:szCs w:val="20"/>
              <w:lang w:eastAsia="pt-BR"/>
            </w:rPr>
            <w:t xml:space="preserve"> </w:t>
          </w:r>
        </w:p>
        <w:p w14:paraId="6FA6272A" w14:textId="77777777" w:rsidR="009057FC" w:rsidRPr="005653D4" w:rsidRDefault="009057FC" w:rsidP="009057FC">
          <w:pPr>
            <w:tabs>
              <w:tab w:val="center" w:pos="4419"/>
              <w:tab w:val="right" w:pos="8838"/>
            </w:tabs>
            <w:spacing w:after="0" w:line="240" w:lineRule="auto"/>
            <w:jc w:val="center"/>
            <w:rPr>
              <w:rFonts w:ascii="Times New Roman" w:eastAsia="Times New Roman" w:hAnsi="Times New Roman" w:cs="Times New Roman"/>
              <w:b/>
              <w:bCs/>
              <w:sz w:val="28"/>
              <w:szCs w:val="20"/>
              <w:lang w:eastAsia="pt-BR"/>
            </w:rPr>
          </w:pPr>
          <w:r w:rsidRPr="005653D4">
            <w:rPr>
              <w:rFonts w:ascii="Times New Roman" w:eastAsia="Times New Roman" w:hAnsi="Times New Roman" w:cs="Times New Roman"/>
              <w:b/>
              <w:bCs/>
              <w:sz w:val="28"/>
              <w:szCs w:val="20"/>
              <w:lang w:eastAsia="pt-BR"/>
            </w:rPr>
            <w:t>CNPJ Nº 01.432.222/0001-46</w:t>
          </w:r>
        </w:p>
      </w:tc>
    </w:tr>
  </w:tbl>
  <w:p w14:paraId="3AFB449E" w14:textId="77777777" w:rsidR="009057FC" w:rsidRDefault="009057FC" w:rsidP="009057F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E2BA9050"/>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3198" w:hanging="504"/>
      </w:pPr>
      <w:rPr>
        <w:rFonts w:ascii="Bookman Old Style" w:hAnsi="Bookman Old Style" w:cstheme="minorHAnsi"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0041FC"/>
    <w:multiLevelType w:val="multilevel"/>
    <w:tmpl w:val="23FAA6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A947B1E"/>
    <w:multiLevelType w:val="multilevel"/>
    <w:tmpl w:val="3F8E83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5"/>
  </w:num>
  <w:num w:numId="3">
    <w:abstractNumId w:val="7"/>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8"/>
  </w:num>
  <w:num w:numId="9">
    <w:abstractNumId w:val="2"/>
  </w:num>
  <w:num w:numId="10">
    <w:abstractNumId w:val="3"/>
    <w:lvlOverride w:ilvl="0">
      <w:startOverride w:val="1"/>
    </w:lvlOverride>
    <w:lvlOverride w:ilvl="1">
      <w:startOverride w:val="2"/>
    </w:lvlOverride>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C49"/>
    <w:rsid w:val="00067B91"/>
    <w:rsid w:val="000F48F0"/>
    <w:rsid w:val="00132899"/>
    <w:rsid w:val="001C2EBD"/>
    <w:rsid w:val="00286C49"/>
    <w:rsid w:val="003E6FA9"/>
    <w:rsid w:val="00510B4D"/>
    <w:rsid w:val="005C161E"/>
    <w:rsid w:val="006D1041"/>
    <w:rsid w:val="006E0221"/>
    <w:rsid w:val="009057FC"/>
    <w:rsid w:val="0092795D"/>
    <w:rsid w:val="00AB5DDD"/>
    <w:rsid w:val="00AC1C56"/>
    <w:rsid w:val="00BB66C3"/>
    <w:rsid w:val="00C50212"/>
    <w:rsid w:val="00C7590F"/>
    <w:rsid w:val="00C843B2"/>
    <w:rsid w:val="00CF4081"/>
    <w:rsid w:val="00D06E5D"/>
    <w:rsid w:val="00E15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76273"/>
  <w15:chartTrackingRefBased/>
  <w15:docId w15:val="{BFE89471-660E-F64B-9C54-1DE2C86A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C49"/>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286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1C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AC1C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uiPriority w:val="9"/>
    <w:semiHidden/>
    <w:unhideWhenUsed/>
    <w:qFormat/>
    <w:rsid w:val="009057FC"/>
    <w:pPr>
      <w:keepNext/>
      <w:keepLines/>
      <w:spacing w:before="40" w:after="0"/>
      <w:outlineLvl w:val="4"/>
    </w:pPr>
    <w:rPr>
      <w:rFonts w:asciiTheme="majorHAnsi" w:eastAsiaTheme="majorEastAsia" w:hAnsiTheme="majorHAnsi" w:cstheme="majorBidi"/>
      <w:color w:val="2F5496" w:themeColor="accent1" w:themeShade="BF"/>
    </w:rPr>
  </w:style>
  <w:style w:type="paragraph" w:styleId="Ttulo9">
    <w:name w:val="heading 9"/>
    <w:basedOn w:val="Normal"/>
    <w:next w:val="Normal"/>
    <w:link w:val="Ttulo9Char"/>
    <w:uiPriority w:val="9"/>
    <w:semiHidden/>
    <w:unhideWhenUsed/>
    <w:qFormat/>
    <w:rsid w:val="009057F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6C49"/>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
    <w:basedOn w:val="Normal"/>
    <w:link w:val="CabealhoChar"/>
    <w:uiPriority w:val="99"/>
    <w:unhideWhenUsed/>
    <w:rsid w:val="00286C49"/>
    <w:pPr>
      <w:tabs>
        <w:tab w:val="center" w:pos="4252"/>
        <w:tab w:val="right" w:pos="8504"/>
      </w:tabs>
    </w:pPr>
  </w:style>
  <w:style w:type="character" w:customStyle="1" w:styleId="CabealhoChar">
    <w:name w:val="Cabeçalho Char"/>
    <w:aliases w:val="Cabeçalho1 Char"/>
    <w:basedOn w:val="Fontepargpadro"/>
    <w:link w:val="Cabealho"/>
    <w:uiPriority w:val="99"/>
    <w:rsid w:val="00286C49"/>
    <w:rPr>
      <w:kern w:val="0"/>
      <w:sz w:val="22"/>
      <w:szCs w:val="22"/>
      <w14:ligatures w14:val="none"/>
    </w:rPr>
  </w:style>
  <w:style w:type="paragraph" w:styleId="Rodap">
    <w:name w:val="footer"/>
    <w:basedOn w:val="Normal"/>
    <w:link w:val="RodapChar"/>
    <w:uiPriority w:val="99"/>
    <w:unhideWhenUsed/>
    <w:rsid w:val="00286C49"/>
    <w:pPr>
      <w:tabs>
        <w:tab w:val="center" w:pos="4252"/>
        <w:tab w:val="right" w:pos="8504"/>
      </w:tabs>
    </w:pPr>
  </w:style>
  <w:style w:type="character" w:customStyle="1" w:styleId="RodapChar">
    <w:name w:val="Rodapé Char"/>
    <w:basedOn w:val="Fontepargpadro"/>
    <w:link w:val="Rodap"/>
    <w:uiPriority w:val="99"/>
    <w:rsid w:val="00286C49"/>
    <w:rPr>
      <w:kern w:val="0"/>
      <w:sz w:val="22"/>
      <w:szCs w:val="22"/>
      <w14:ligatures w14:val="none"/>
    </w:rPr>
  </w:style>
  <w:style w:type="table" w:styleId="Tabelacomgrade">
    <w:name w:val="Table Grid"/>
    <w:basedOn w:val="Tabelanormal"/>
    <w:uiPriority w:val="39"/>
    <w:rsid w:val="00286C4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286C49"/>
    <w:pPr>
      <w:suppressAutoHyphens/>
      <w:autoSpaceDN w:val="0"/>
      <w:textAlignment w:val="baseline"/>
    </w:pPr>
    <w:rPr>
      <w:rFonts w:ascii="Times New Roman" w:eastAsia="Times New Roman" w:hAnsi="Times New Roman" w:cs="Times New Roman"/>
      <w:kern w:val="3"/>
      <w:lang w:eastAsia="zh-CN"/>
      <w14:ligatures w14:val="none"/>
    </w:rPr>
  </w:style>
  <w:style w:type="paragraph" w:styleId="Textodenotaderodap">
    <w:name w:val="footnote text"/>
    <w:basedOn w:val="Normal"/>
    <w:link w:val="TextodenotaderodapChar"/>
    <w:uiPriority w:val="99"/>
    <w:unhideWhenUsed/>
    <w:rsid w:val="00286C49"/>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286C49"/>
    <w:rPr>
      <w:kern w:val="0"/>
      <w:sz w:val="20"/>
      <w:szCs w:val="20"/>
      <w14:ligatures w14:val="none"/>
    </w:rPr>
  </w:style>
  <w:style w:type="character" w:styleId="Refdenotaderodap">
    <w:name w:val="footnote reference"/>
    <w:basedOn w:val="Fontepargpadro"/>
    <w:uiPriority w:val="99"/>
    <w:unhideWhenUsed/>
    <w:rsid w:val="00286C49"/>
    <w:rPr>
      <w:vertAlign w:val="superscript"/>
    </w:rPr>
  </w:style>
  <w:style w:type="paragraph" w:customStyle="1" w:styleId="Textbody">
    <w:name w:val="Text body"/>
    <w:basedOn w:val="Standard"/>
    <w:rsid w:val="00286C49"/>
    <w:pPr>
      <w:widowControl w:val="0"/>
      <w:spacing w:after="140" w:line="288" w:lineRule="auto"/>
    </w:pPr>
    <w:rPr>
      <w:rFonts w:ascii="Liberation Serif" w:eastAsia="SimSun" w:hAnsi="Liberation Serif" w:cs="Mangal"/>
      <w:lang w:bidi="hi-IN"/>
    </w:rPr>
  </w:style>
  <w:style w:type="paragraph" w:customStyle="1" w:styleId="texto">
    <w:name w:val="texto"/>
    <w:rsid w:val="00286C49"/>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cs="Times New Roman"/>
      <w:kern w:val="3"/>
      <w:sz w:val="20"/>
      <w:szCs w:val="20"/>
      <w:lang w:eastAsia="zh-CN"/>
      <w14:ligatures w14:val="none"/>
    </w:rPr>
  </w:style>
  <w:style w:type="paragraph" w:styleId="PargrafodaLista">
    <w:name w:val="List Paragraph"/>
    <w:aliases w:val="List I Paragraph,Parágrafo com marcador - inserir marcador,Parágrafo_2,Segundo,Texto,Título 10"/>
    <w:basedOn w:val="Normal"/>
    <w:link w:val="PargrafodaListaChar"/>
    <w:uiPriority w:val="34"/>
    <w:qFormat/>
    <w:rsid w:val="00286C49"/>
    <w:pPr>
      <w:spacing w:after="0" w:line="240" w:lineRule="auto"/>
      <w:ind w:left="720"/>
      <w:contextualSpacing/>
    </w:pPr>
    <w:rPr>
      <w:rFonts w:ascii="Ecofont_Spranq_eco_Sans" w:eastAsiaTheme="minorEastAsia" w:hAnsi="Ecofont_Spranq_eco_Sans" w:cs="Tahoma"/>
      <w:sz w:val="24"/>
      <w:szCs w:val="24"/>
      <w:lang w:eastAsia="pt-BR"/>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286C49"/>
    <w:rPr>
      <w:rFonts w:ascii="Ecofont_Spranq_eco_Sans" w:eastAsiaTheme="minorEastAsia" w:hAnsi="Ecofont_Spranq_eco_Sans" w:cs="Tahoma"/>
      <w:kern w:val="0"/>
      <w:lang w:eastAsia="pt-BR"/>
      <w14:ligatures w14:val="none"/>
    </w:rPr>
  </w:style>
  <w:style w:type="character" w:styleId="Hyperlink">
    <w:name w:val="Hyperlink"/>
    <w:basedOn w:val="Fontepargpadro"/>
    <w:uiPriority w:val="99"/>
    <w:unhideWhenUsed/>
    <w:rsid w:val="00286C49"/>
    <w:rPr>
      <w:color w:val="0000FF"/>
      <w:u w:val="single"/>
    </w:rPr>
  </w:style>
  <w:style w:type="paragraph" w:styleId="Textodecomentrio">
    <w:name w:val="annotation text"/>
    <w:basedOn w:val="Normal"/>
    <w:link w:val="TextodecomentrioChar"/>
    <w:uiPriority w:val="99"/>
    <w:unhideWhenUsed/>
    <w:qFormat/>
    <w:rsid w:val="00286C49"/>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286C49"/>
    <w:rPr>
      <w:rFonts w:ascii="Times New Roman" w:eastAsia="Times New Roman" w:hAnsi="Times New Roman" w:cs="Times New Roman"/>
      <w:kern w:val="0"/>
      <w:sz w:val="20"/>
      <w:szCs w:val="20"/>
      <w:lang w:eastAsia="pt-BR"/>
      <w14:ligatures w14:val="none"/>
    </w:rPr>
  </w:style>
  <w:style w:type="paragraph" w:customStyle="1" w:styleId="Nivel01">
    <w:name w:val="Nivel 01"/>
    <w:basedOn w:val="Ttulo1"/>
    <w:next w:val="Normal"/>
    <w:link w:val="Nivel01Char"/>
    <w:qFormat/>
    <w:rsid w:val="005C161E"/>
    <w:pPr>
      <w:numPr>
        <w:numId w:val="1"/>
      </w:numPr>
      <w:tabs>
        <w:tab w:val="num" w:pos="360"/>
        <w:tab w:val="left" w:pos="567"/>
      </w:tabs>
      <w:spacing w:line="240"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qFormat/>
    <w:rsid w:val="00286C49"/>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86C49"/>
    <w:pPr>
      <w:numPr>
        <w:ilvl w:val="2"/>
        <w:numId w:val="1"/>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86C49"/>
    <w:pPr>
      <w:numPr>
        <w:ilvl w:val="3"/>
      </w:numPr>
      <w:ind w:left="851" w:firstLine="0"/>
    </w:pPr>
    <w:rPr>
      <w:color w:val="auto"/>
    </w:rPr>
  </w:style>
  <w:style w:type="paragraph" w:customStyle="1" w:styleId="Nivel5">
    <w:name w:val="Nivel 5"/>
    <w:basedOn w:val="Nivel4"/>
    <w:qFormat/>
    <w:rsid w:val="00286C49"/>
    <w:pPr>
      <w:numPr>
        <w:ilvl w:val="4"/>
      </w:numPr>
      <w:ind w:left="1276" w:firstLine="0"/>
    </w:pPr>
  </w:style>
  <w:style w:type="character" w:customStyle="1" w:styleId="Nivel2Char">
    <w:name w:val="Nivel 2 Char"/>
    <w:basedOn w:val="Fontepargpadro"/>
    <w:link w:val="Nivel2"/>
    <w:locked/>
    <w:rsid w:val="00286C49"/>
    <w:rPr>
      <w:rFonts w:ascii="Arial" w:eastAsiaTheme="minorEastAsia" w:hAnsi="Arial" w:cs="Arial"/>
      <w:color w:val="000000"/>
      <w:kern w:val="0"/>
      <w:sz w:val="20"/>
      <w:szCs w:val="20"/>
      <w:lang w:eastAsia="pt-BR"/>
      <w14:ligatures w14:val="none"/>
    </w:rPr>
  </w:style>
  <w:style w:type="paragraph" w:customStyle="1" w:styleId="tabelatextocentralizado">
    <w:name w:val="tabela_texto_centralizado"/>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286C4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86C49"/>
    <w:rPr>
      <w:rFonts w:ascii="Arial" w:eastAsia="Calibri" w:hAnsi="Arial" w:cs="Tahoma"/>
      <w:i/>
      <w:iCs/>
      <w:color w:val="000000"/>
      <w:kern w:val="0"/>
      <w:sz w:val="20"/>
      <w:shd w:val="clear" w:color="auto" w:fill="FFFFCC"/>
      <w14:ligatures w14:val="none"/>
    </w:rPr>
  </w:style>
  <w:style w:type="character" w:customStyle="1" w:styleId="Nivel01Char">
    <w:name w:val="Nivel 01 Char"/>
    <w:basedOn w:val="Ttulo1Char"/>
    <w:link w:val="Nivel01"/>
    <w:rsid w:val="005C161E"/>
    <w:rPr>
      <w:rFonts w:ascii="Arial" w:eastAsiaTheme="majorEastAsia" w:hAnsi="Arial" w:cs="Arial"/>
      <w:b/>
      <w:bCs/>
      <w:color w:val="2F5496" w:themeColor="accent1" w:themeShade="BF"/>
      <w:kern w:val="0"/>
      <w:sz w:val="20"/>
      <w:szCs w:val="20"/>
      <w:lang w:eastAsia="pt-BR"/>
      <w14:ligatures w14:val="none"/>
    </w:rPr>
  </w:style>
  <w:style w:type="paragraph" w:customStyle="1" w:styleId="PADRO">
    <w:name w:val="PADRÃO"/>
    <w:rsid w:val="00286C4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citao2">
    <w:name w:val="citação 2"/>
    <w:basedOn w:val="Citao"/>
    <w:link w:val="citao2Char"/>
    <w:qFormat/>
    <w:rsid w:val="00286C49"/>
    <w:rPr>
      <w:szCs w:val="20"/>
    </w:rPr>
  </w:style>
  <w:style w:type="character" w:customStyle="1" w:styleId="citao2Char">
    <w:name w:val="citação 2 Char"/>
    <w:basedOn w:val="CitaoChar"/>
    <w:link w:val="citao2"/>
    <w:rsid w:val="00286C49"/>
    <w:rPr>
      <w:rFonts w:ascii="Arial" w:eastAsia="Calibri" w:hAnsi="Arial" w:cs="Tahoma"/>
      <w:i/>
      <w:iCs/>
      <w:color w:val="000000"/>
      <w:kern w:val="0"/>
      <w:sz w:val="20"/>
      <w:szCs w:val="20"/>
      <w:shd w:val="clear" w:color="auto" w:fill="FFFFCC"/>
      <w14:ligatures w14:val="none"/>
    </w:rPr>
  </w:style>
  <w:style w:type="paragraph" w:customStyle="1" w:styleId="TableContents">
    <w:name w:val="Table Contents"/>
    <w:basedOn w:val="Normal"/>
    <w:rsid w:val="00286C49"/>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286C49"/>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286C49"/>
    <w:rPr>
      <w:rFonts w:eastAsia="Verdana" w:cs="Verdana"/>
      <w:kern w:val="0"/>
      <w:sz w:val="30"/>
      <w:szCs w:val="22"/>
      <w:lang w:val="pt-PT"/>
      <w14:ligatures w14:val="none"/>
    </w:rPr>
  </w:style>
  <w:style w:type="character" w:styleId="HiperlinkVisitado">
    <w:name w:val="FollowedHyperlink"/>
    <w:basedOn w:val="Fontepargpadro"/>
    <w:uiPriority w:val="99"/>
    <w:semiHidden/>
    <w:unhideWhenUsed/>
    <w:rsid w:val="00286C49"/>
    <w:rPr>
      <w:color w:val="954F72" w:themeColor="followedHyperlink"/>
      <w:u w:val="single"/>
    </w:rPr>
  </w:style>
  <w:style w:type="character" w:customStyle="1" w:styleId="MenoPendente1">
    <w:name w:val="Menção Pendente1"/>
    <w:basedOn w:val="Fontepargpadro"/>
    <w:uiPriority w:val="99"/>
    <w:semiHidden/>
    <w:unhideWhenUsed/>
    <w:rsid w:val="00286C49"/>
    <w:rPr>
      <w:color w:val="605E5C"/>
      <w:shd w:val="clear" w:color="auto" w:fill="E1DFDD"/>
    </w:rPr>
  </w:style>
  <w:style w:type="paragraph" w:styleId="Corpodetexto">
    <w:name w:val="Body Text"/>
    <w:basedOn w:val="Normal"/>
    <w:link w:val="CorpodetextoChar"/>
    <w:rsid w:val="00286C4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286C49"/>
    <w:rPr>
      <w:rFonts w:ascii="Times New Roman" w:eastAsia="Times New Roman" w:hAnsi="Times New Roman" w:cs="Times New Roman"/>
      <w:kern w:val="0"/>
      <w:szCs w:val="20"/>
      <w:lang w:eastAsia="pt-BR"/>
      <w14:ligatures w14:val="none"/>
    </w:rPr>
  </w:style>
  <w:style w:type="paragraph" w:customStyle="1" w:styleId="textojustificado">
    <w:name w:val="texto_justificado"/>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uiPriority w:val="20"/>
    <w:qFormat/>
    <w:rsid w:val="00286C49"/>
    <w:rPr>
      <w:i/>
      <w:iCs/>
    </w:rPr>
  </w:style>
  <w:style w:type="character" w:styleId="Forte">
    <w:name w:val="Strong"/>
    <w:uiPriority w:val="22"/>
    <w:qFormat/>
    <w:rsid w:val="00286C49"/>
    <w:rPr>
      <w:b/>
      <w:bCs/>
    </w:rPr>
  </w:style>
  <w:style w:type="paragraph" w:customStyle="1" w:styleId="Default">
    <w:name w:val="Default"/>
    <w:rsid w:val="00286C49"/>
    <w:pPr>
      <w:autoSpaceDE w:val="0"/>
      <w:autoSpaceDN w:val="0"/>
      <w:adjustRightInd w:val="0"/>
    </w:pPr>
    <w:rPr>
      <w:rFonts w:ascii="Calibri" w:hAnsi="Calibri" w:cs="Calibri"/>
      <w:color w:val="000000"/>
      <w:kern w:val="0"/>
      <w14:ligatures w14:val="none"/>
    </w:rPr>
  </w:style>
  <w:style w:type="character" w:customStyle="1" w:styleId="Fontepargpadro1">
    <w:name w:val="Fonte parág. padrão1"/>
    <w:rsid w:val="00286C49"/>
  </w:style>
  <w:style w:type="character" w:customStyle="1" w:styleId="N">
    <w:name w:val="N"/>
    <w:uiPriority w:val="99"/>
    <w:rsid w:val="00286C49"/>
    <w:rPr>
      <w:b/>
    </w:rPr>
  </w:style>
  <w:style w:type="paragraph" w:customStyle="1" w:styleId="Nvel1-SemNumPreto">
    <w:name w:val="Nível 1-Sem Num Preto"/>
    <w:basedOn w:val="Normal"/>
    <w:link w:val="Nvel1-SemNumPretoChar"/>
    <w:qFormat/>
    <w:rsid w:val="00286C49"/>
    <w:pPr>
      <w:keepNext/>
      <w:keepLines/>
      <w:tabs>
        <w:tab w:val="left" w:pos="567"/>
      </w:tabs>
      <w:spacing w:before="240" w:after="120"/>
      <w:jc w:val="both"/>
      <w:outlineLvl w:val="1"/>
    </w:pPr>
    <w:rPr>
      <w:rFonts w:ascii="Arial" w:eastAsiaTheme="majorEastAsia" w:hAnsi="Arial" w:cs="Arial"/>
      <w:b/>
      <w:bCs/>
      <w:color w:val="FF0000"/>
      <w:sz w:val="20"/>
      <w:szCs w:val="20"/>
      <w:lang w:eastAsia="zh-CN" w:bidi="hi-IN"/>
    </w:rPr>
  </w:style>
  <w:style w:type="character" w:customStyle="1" w:styleId="Nvel1-SemNumPretoChar">
    <w:name w:val="Nível 1-Sem Num Preto Char"/>
    <w:basedOn w:val="Fontepargpadro"/>
    <w:link w:val="Nvel1-SemNumPreto"/>
    <w:rsid w:val="00286C49"/>
    <w:rPr>
      <w:rFonts w:ascii="Arial" w:eastAsiaTheme="majorEastAsia" w:hAnsi="Arial" w:cs="Arial"/>
      <w:b/>
      <w:bCs/>
      <w:color w:val="FF0000"/>
      <w:kern w:val="0"/>
      <w:sz w:val="20"/>
      <w:szCs w:val="20"/>
      <w:lang w:eastAsia="zh-CN" w:bidi="hi-IN"/>
      <w14:ligatures w14:val="none"/>
    </w:rPr>
  </w:style>
  <w:style w:type="character" w:customStyle="1" w:styleId="Nivel3Char">
    <w:name w:val="Nivel 3 Char"/>
    <w:basedOn w:val="Fontepargpadro"/>
    <w:link w:val="Nivel3"/>
    <w:rsid w:val="00286C49"/>
    <w:rPr>
      <w:rFonts w:ascii="Arial" w:eastAsiaTheme="minorEastAsia" w:hAnsi="Arial" w:cs="Arial"/>
      <w:color w:val="000000"/>
      <w:kern w:val="0"/>
      <w:sz w:val="20"/>
      <w:szCs w:val="20"/>
      <w:lang w:eastAsia="pt-BR"/>
      <w14:ligatures w14:val="none"/>
    </w:rPr>
  </w:style>
  <w:style w:type="character" w:customStyle="1" w:styleId="normaltextrun">
    <w:name w:val="normaltextrun"/>
    <w:basedOn w:val="Fontepargpadro"/>
    <w:rsid w:val="00286C49"/>
  </w:style>
  <w:style w:type="paragraph" w:customStyle="1" w:styleId="paragraph">
    <w:name w:val="paragraph"/>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286C49"/>
  </w:style>
  <w:style w:type="character" w:customStyle="1" w:styleId="tabchar">
    <w:name w:val="tabchar"/>
    <w:basedOn w:val="Fontepargpadro"/>
    <w:rsid w:val="00286C49"/>
  </w:style>
  <w:style w:type="paragraph" w:styleId="SemEspaamento">
    <w:name w:val="No Spacing"/>
    <w:uiPriority w:val="1"/>
    <w:qFormat/>
    <w:rsid w:val="00286C49"/>
    <w:rPr>
      <w:kern w:val="0"/>
      <w:sz w:val="22"/>
      <w:szCs w:val="22"/>
      <w14:ligatures w14:val="none"/>
    </w:rPr>
  </w:style>
  <w:style w:type="character" w:customStyle="1" w:styleId="UnresolvedMention">
    <w:name w:val="Unresolved Mention"/>
    <w:basedOn w:val="Fontepargpadro"/>
    <w:uiPriority w:val="99"/>
    <w:semiHidden/>
    <w:unhideWhenUsed/>
    <w:rsid w:val="00286C49"/>
    <w:rPr>
      <w:color w:val="605E5C"/>
      <w:shd w:val="clear" w:color="auto" w:fill="E1DFDD"/>
    </w:rPr>
  </w:style>
  <w:style w:type="paragraph" w:customStyle="1" w:styleId="TableParagraph">
    <w:name w:val="Table Paragraph"/>
    <w:basedOn w:val="Normal"/>
    <w:uiPriority w:val="1"/>
    <w:qFormat/>
    <w:rsid w:val="00286C49"/>
    <w:pPr>
      <w:widowControl w:val="0"/>
      <w:autoSpaceDE w:val="0"/>
      <w:autoSpaceDN w:val="0"/>
      <w:spacing w:after="0" w:line="246" w:lineRule="exact"/>
      <w:ind w:left="69"/>
    </w:pPr>
    <w:rPr>
      <w:rFonts w:ascii="Calibri" w:eastAsia="Calibri" w:hAnsi="Calibri" w:cs="Calibri"/>
      <w:lang w:val="pt-PT"/>
    </w:rPr>
  </w:style>
  <w:style w:type="paragraph" w:styleId="NormalWeb">
    <w:name w:val="Normal (Web)"/>
    <w:basedOn w:val="Normal"/>
    <w:uiPriority w:val="99"/>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286C4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uiPriority w:val="29"/>
    <w:rsid w:val="00286C49"/>
    <w:rPr>
      <w:rFonts w:ascii="Ecofont_Spranq_eco_Sans" w:eastAsia="Calibri" w:hAnsi="Ecofont_Spranq_eco_Sans" w:cs="Times New Roman"/>
      <w:i/>
      <w:iCs/>
      <w:color w:val="000000"/>
      <w:kern w:val="0"/>
      <w:sz w:val="20"/>
      <w:shd w:val="clear" w:color="auto" w:fill="FFFFCC"/>
      <w:lang w:val="x-none"/>
      <w14:ligatures w14:val="none"/>
    </w:rPr>
  </w:style>
  <w:style w:type="paragraph" w:customStyle="1" w:styleId="Nivel010">
    <w:name w:val="Nivel_01"/>
    <w:basedOn w:val="Ttulo1"/>
    <w:link w:val="Nivel01Char0"/>
    <w:qFormat/>
    <w:rsid w:val="00286C49"/>
    <w:pPr>
      <w:numPr>
        <w:numId w:val="4"/>
      </w:numPr>
      <w:tabs>
        <w:tab w:val="left" w:pos="567"/>
      </w:tabs>
      <w:spacing w:line="240" w:lineRule="auto"/>
      <w:jc w:val="both"/>
    </w:pPr>
    <w:rPr>
      <w:rFonts w:ascii="Ecofont_Spranq_eco_Sans" w:hAnsi="Ecofont_Spranq_eco_Sans" w:cs="Times New Roman"/>
      <w:b/>
      <w:bCs/>
      <w:sz w:val="20"/>
      <w:szCs w:val="20"/>
      <w:lang w:eastAsia="pt-BR"/>
    </w:rPr>
  </w:style>
  <w:style w:type="character" w:customStyle="1" w:styleId="Nivel01Char0">
    <w:name w:val="Nivel_01 Char"/>
    <w:basedOn w:val="Ttulo1Char"/>
    <w:link w:val="Nivel010"/>
    <w:rsid w:val="00286C49"/>
    <w:rPr>
      <w:rFonts w:ascii="Ecofont_Spranq_eco_Sans" w:eastAsiaTheme="majorEastAsia" w:hAnsi="Ecofont_Spranq_eco_Sans" w:cs="Times New Roman"/>
      <w:b/>
      <w:bCs/>
      <w:color w:val="2F5496" w:themeColor="accent1" w:themeShade="BF"/>
      <w:kern w:val="0"/>
      <w:sz w:val="20"/>
      <w:szCs w:val="20"/>
      <w:lang w:eastAsia="pt-BR"/>
      <w14:ligatures w14:val="none"/>
    </w:rPr>
  </w:style>
  <w:style w:type="character" w:customStyle="1" w:styleId="Nivel4Char">
    <w:name w:val="Nivel 4 Char"/>
    <w:basedOn w:val="Fontepargpadro"/>
    <w:link w:val="Nivel4"/>
    <w:rsid w:val="00286C49"/>
    <w:rPr>
      <w:rFonts w:ascii="Arial" w:eastAsiaTheme="minorEastAsia" w:hAnsi="Arial" w:cs="Arial"/>
      <w:kern w:val="0"/>
      <w:sz w:val="20"/>
      <w:szCs w:val="20"/>
      <w:lang w:eastAsia="pt-BR"/>
      <w14:ligatures w14:val="none"/>
    </w:rPr>
  </w:style>
  <w:style w:type="paragraph" w:customStyle="1" w:styleId="Nvel2-Red">
    <w:name w:val="Nível 2 -Red"/>
    <w:basedOn w:val="Nivel2"/>
    <w:link w:val="Nvel2-RedChar"/>
    <w:qFormat/>
    <w:rsid w:val="00286C49"/>
    <w:rPr>
      <w:i/>
      <w:iCs/>
      <w:color w:val="FF0000"/>
    </w:rPr>
  </w:style>
  <w:style w:type="paragraph" w:customStyle="1" w:styleId="Nvel3-R">
    <w:name w:val="Nível 3-R"/>
    <w:basedOn w:val="Nivel3"/>
    <w:link w:val="Nvel3-RChar"/>
    <w:qFormat/>
    <w:rsid w:val="00286C49"/>
    <w:pPr>
      <w:ind w:left="284"/>
    </w:pPr>
    <w:rPr>
      <w:i/>
      <w:iCs/>
      <w:color w:val="FF0000"/>
    </w:rPr>
  </w:style>
  <w:style w:type="character" w:customStyle="1" w:styleId="Nvel2-RedChar">
    <w:name w:val="Nível 2 -Red Char"/>
    <w:basedOn w:val="Nivel2Char"/>
    <w:link w:val="Nvel2-Red"/>
    <w:rsid w:val="00286C49"/>
    <w:rPr>
      <w:rFonts w:ascii="Arial" w:eastAsiaTheme="minorEastAsia" w:hAnsi="Arial" w:cs="Arial"/>
      <w:i/>
      <w:iCs/>
      <w:color w:val="FF0000"/>
      <w:kern w:val="0"/>
      <w:sz w:val="20"/>
      <w:szCs w:val="20"/>
      <w:lang w:eastAsia="pt-BR"/>
      <w14:ligatures w14:val="none"/>
    </w:rPr>
  </w:style>
  <w:style w:type="character" w:customStyle="1" w:styleId="Nvel3-RChar">
    <w:name w:val="Nível 3-R Char"/>
    <w:basedOn w:val="Nivel3Char"/>
    <w:link w:val="Nvel3-R"/>
    <w:rsid w:val="00286C49"/>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86C49"/>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286C49"/>
    <w:rPr>
      <w:rFonts w:ascii="Arial" w:eastAsia="Arial" w:hAnsi="Arial" w:cs="Arial"/>
      <w:bCs/>
      <w:kern w:val="0"/>
      <w:sz w:val="20"/>
      <w:szCs w:val="20"/>
      <w:lang w:eastAsia="pt-BR"/>
      <w14:ligatures w14:val="none"/>
    </w:rPr>
  </w:style>
  <w:style w:type="character" w:styleId="Refdecomentrio">
    <w:name w:val="annotation reference"/>
    <w:basedOn w:val="Fontepargpadro"/>
    <w:uiPriority w:val="99"/>
    <w:semiHidden/>
    <w:unhideWhenUsed/>
    <w:rsid w:val="00286C49"/>
    <w:rPr>
      <w:sz w:val="16"/>
      <w:szCs w:val="16"/>
    </w:rPr>
  </w:style>
  <w:style w:type="paragraph" w:styleId="Assuntodocomentrio">
    <w:name w:val="annotation subject"/>
    <w:basedOn w:val="Textodecomentrio"/>
    <w:next w:val="Textodecomentrio"/>
    <w:link w:val="AssuntodocomentrioChar"/>
    <w:uiPriority w:val="99"/>
    <w:semiHidden/>
    <w:unhideWhenUsed/>
    <w:rsid w:val="00286C49"/>
    <w:pPr>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286C49"/>
    <w:rPr>
      <w:rFonts w:ascii="Times New Roman" w:eastAsia="Times New Roman" w:hAnsi="Times New Roman" w:cs="Times New Roman"/>
      <w:b/>
      <w:bCs/>
      <w:kern w:val="0"/>
      <w:sz w:val="20"/>
      <w:szCs w:val="20"/>
      <w:lang w:eastAsia="pt-BR"/>
      <w14:ligatures w14:val="none"/>
    </w:rPr>
  </w:style>
  <w:style w:type="character" w:customStyle="1" w:styleId="Ttulo5Char">
    <w:name w:val="Título 5 Char"/>
    <w:basedOn w:val="Fontepargpadro"/>
    <w:link w:val="Ttulo5"/>
    <w:uiPriority w:val="9"/>
    <w:semiHidden/>
    <w:rsid w:val="009057FC"/>
    <w:rPr>
      <w:rFonts w:asciiTheme="majorHAnsi" w:eastAsiaTheme="majorEastAsia" w:hAnsiTheme="majorHAnsi" w:cstheme="majorBidi"/>
      <w:color w:val="2F5496" w:themeColor="accent1" w:themeShade="BF"/>
      <w:kern w:val="0"/>
      <w:sz w:val="22"/>
      <w:szCs w:val="22"/>
      <w14:ligatures w14:val="none"/>
    </w:rPr>
  </w:style>
  <w:style w:type="character" w:customStyle="1" w:styleId="Ttulo9Char">
    <w:name w:val="Título 9 Char"/>
    <w:basedOn w:val="Fontepargpadro"/>
    <w:link w:val="Ttulo9"/>
    <w:uiPriority w:val="9"/>
    <w:semiHidden/>
    <w:rsid w:val="009057FC"/>
    <w:rPr>
      <w:rFonts w:asciiTheme="majorHAnsi" w:eastAsiaTheme="majorEastAsia" w:hAnsiTheme="majorHAnsi" w:cstheme="majorBidi"/>
      <w:i/>
      <w:iCs/>
      <w:color w:val="272727" w:themeColor="text1" w:themeTint="D8"/>
      <w:kern w:val="0"/>
      <w:sz w:val="21"/>
      <w:szCs w:val="21"/>
      <w14:ligatures w14:val="none"/>
    </w:rPr>
  </w:style>
  <w:style w:type="paragraph" w:styleId="Textodebalo">
    <w:name w:val="Balloon Text"/>
    <w:basedOn w:val="Normal"/>
    <w:link w:val="TextodebaloChar"/>
    <w:uiPriority w:val="99"/>
    <w:semiHidden/>
    <w:unhideWhenUsed/>
    <w:rsid w:val="009057FC"/>
    <w:pPr>
      <w:spacing w:after="0" w:line="240" w:lineRule="auto"/>
    </w:pPr>
    <w:rPr>
      <w:rFonts w:ascii="Segoe UI" w:eastAsia="MS Mincho" w:hAnsi="Segoe UI" w:cs="Segoe UI"/>
      <w:sz w:val="18"/>
      <w:szCs w:val="18"/>
    </w:rPr>
  </w:style>
  <w:style w:type="character" w:customStyle="1" w:styleId="TextodebaloChar">
    <w:name w:val="Texto de balão Char"/>
    <w:basedOn w:val="Fontepargpadro"/>
    <w:link w:val="Textodebalo"/>
    <w:uiPriority w:val="99"/>
    <w:semiHidden/>
    <w:rsid w:val="009057FC"/>
    <w:rPr>
      <w:rFonts w:ascii="Segoe UI" w:eastAsia="MS Mincho" w:hAnsi="Segoe UI" w:cs="Segoe UI"/>
      <w:kern w:val="0"/>
      <w:sz w:val="18"/>
      <w:szCs w:val="18"/>
      <w14:ligatures w14:val="none"/>
    </w:rPr>
  </w:style>
  <w:style w:type="paragraph" w:customStyle="1" w:styleId="p0">
    <w:name w:val="p0"/>
    <w:basedOn w:val="Normal"/>
    <w:rsid w:val="009057F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lang w:eastAsia="pt-BR"/>
    </w:rPr>
  </w:style>
  <w:style w:type="paragraph" w:customStyle="1" w:styleId="c1">
    <w:name w:val="c1"/>
    <w:basedOn w:val="Normal"/>
    <w:rsid w:val="009057FC"/>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C1C56"/>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AC1C56"/>
    <w:rPr>
      <w:rFonts w:asciiTheme="majorHAnsi" w:eastAsiaTheme="majorEastAsia" w:hAnsiTheme="majorHAnsi" w:cstheme="majorBidi"/>
      <w:color w:val="1F3763" w:themeColor="accent1" w:themeShade="7F"/>
      <w:kern w:val="0"/>
      <w14:ligatures w14:val="none"/>
    </w:rPr>
  </w:style>
  <w:style w:type="numbering" w:customStyle="1" w:styleId="Semlista1">
    <w:name w:val="Sem lista1"/>
    <w:next w:val="Semlista"/>
    <w:uiPriority w:val="99"/>
    <w:semiHidden/>
    <w:unhideWhenUsed/>
    <w:rsid w:val="00AC1C56"/>
  </w:style>
  <w:style w:type="table" w:customStyle="1" w:styleId="Tabelacomgrade1">
    <w:name w:val="Tabela com grade1"/>
    <w:basedOn w:val="Tabelanormal"/>
    <w:next w:val="Tabelacomgrade"/>
    <w:uiPriority w:val="59"/>
    <w:rsid w:val="00AC1C56"/>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C1C5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AC1C5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AC1C56"/>
  </w:style>
  <w:style w:type="paragraph" w:customStyle="1" w:styleId="Ttulo11">
    <w:name w:val="Título 11"/>
    <w:basedOn w:val="Normal"/>
    <w:next w:val="Normal"/>
    <w:uiPriority w:val="9"/>
    <w:qFormat/>
    <w:rsid w:val="00AC1C56"/>
    <w:pPr>
      <w:keepNext/>
      <w:keepLines/>
      <w:spacing w:before="240" w:after="0"/>
      <w:outlineLvl w:val="0"/>
    </w:pPr>
    <w:rPr>
      <w:rFonts w:ascii="Calibri Light" w:eastAsia="Times New Roman" w:hAnsi="Calibri Light" w:cs="Times New Roman"/>
      <w:color w:val="2F5496"/>
      <w:sz w:val="32"/>
      <w:szCs w:val="32"/>
    </w:rPr>
  </w:style>
  <w:style w:type="paragraph" w:customStyle="1" w:styleId="Ttulo21">
    <w:name w:val="Título 21"/>
    <w:basedOn w:val="Normal"/>
    <w:next w:val="Normal"/>
    <w:uiPriority w:val="9"/>
    <w:semiHidden/>
    <w:unhideWhenUsed/>
    <w:qFormat/>
    <w:rsid w:val="00AC1C56"/>
    <w:pPr>
      <w:keepNext/>
      <w:keepLines/>
      <w:spacing w:before="40" w:after="0"/>
      <w:outlineLvl w:val="1"/>
    </w:pPr>
    <w:rPr>
      <w:rFonts w:ascii="Calibri Light" w:eastAsia="Times New Roman" w:hAnsi="Calibri Light" w:cs="Times New Roman"/>
      <w:color w:val="2F5496"/>
      <w:sz w:val="26"/>
      <w:szCs w:val="26"/>
    </w:rPr>
  </w:style>
  <w:style w:type="paragraph" w:customStyle="1" w:styleId="Ttulo31">
    <w:name w:val="Título 31"/>
    <w:basedOn w:val="Normal"/>
    <w:next w:val="Normal"/>
    <w:uiPriority w:val="9"/>
    <w:semiHidden/>
    <w:unhideWhenUsed/>
    <w:qFormat/>
    <w:rsid w:val="00AC1C56"/>
    <w:pPr>
      <w:keepNext/>
      <w:keepLines/>
      <w:spacing w:before="40" w:after="0"/>
      <w:outlineLvl w:val="2"/>
    </w:pPr>
    <w:rPr>
      <w:rFonts w:ascii="Calibri Light" w:eastAsia="Times New Roman" w:hAnsi="Calibri Light" w:cs="Times New Roman"/>
      <w:color w:val="1F3763"/>
      <w:sz w:val="24"/>
      <w:szCs w:val="24"/>
    </w:rPr>
  </w:style>
  <w:style w:type="paragraph" w:customStyle="1" w:styleId="Ttulo51">
    <w:name w:val="Título 51"/>
    <w:basedOn w:val="Normal"/>
    <w:next w:val="Normal"/>
    <w:uiPriority w:val="9"/>
    <w:semiHidden/>
    <w:unhideWhenUsed/>
    <w:qFormat/>
    <w:rsid w:val="00AC1C56"/>
    <w:pPr>
      <w:keepNext/>
      <w:keepLines/>
      <w:spacing w:before="40" w:after="0"/>
      <w:outlineLvl w:val="4"/>
    </w:pPr>
    <w:rPr>
      <w:rFonts w:ascii="Calibri Light" w:eastAsia="Times New Roman" w:hAnsi="Calibri Light" w:cs="Times New Roman"/>
      <w:color w:val="2F5496"/>
    </w:rPr>
  </w:style>
  <w:style w:type="paragraph" w:customStyle="1" w:styleId="Ttulo91">
    <w:name w:val="Título 91"/>
    <w:basedOn w:val="Normal"/>
    <w:next w:val="Normal"/>
    <w:uiPriority w:val="9"/>
    <w:semiHidden/>
    <w:unhideWhenUsed/>
    <w:qFormat/>
    <w:rsid w:val="00AC1C56"/>
    <w:pPr>
      <w:keepNext/>
      <w:keepLines/>
      <w:spacing w:before="40" w:after="0"/>
      <w:outlineLvl w:val="8"/>
    </w:pPr>
    <w:rPr>
      <w:rFonts w:ascii="Calibri Light" w:eastAsia="Times New Roman" w:hAnsi="Calibri Light" w:cs="Times New Roman"/>
      <w:i/>
      <w:iCs/>
      <w:color w:val="272727"/>
      <w:sz w:val="21"/>
      <w:szCs w:val="21"/>
    </w:rPr>
  </w:style>
  <w:style w:type="numbering" w:customStyle="1" w:styleId="Semlista111">
    <w:name w:val="Sem lista111"/>
    <w:next w:val="Semlista"/>
    <w:uiPriority w:val="99"/>
    <w:semiHidden/>
    <w:unhideWhenUsed/>
    <w:rsid w:val="00AC1C56"/>
  </w:style>
  <w:style w:type="paragraph" w:customStyle="1" w:styleId="Ttulo101">
    <w:name w:val="Título 101"/>
    <w:basedOn w:val="Normal"/>
    <w:next w:val="PargrafodaLista"/>
    <w:uiPriority w:val="34"/>
    <w:qFormat/>
    <w:rsid w:val="00AC1C56"/>
    <w:pPr>
      <w:spacing w:after="0" w:line="240" w:lineRule="auto"/>
      <w:ind w:left="720"/>
      <w:contextualSpacing/>
    </w:pPr>
    <w:rPr>
      <w:rFonts w:ascii="Ecofont_Spranq_eco_Sans" w:eastAsia="Times New Roman" w:hAnsi="Ecofont_Spranq_eco_Sans" w:cs="Tahoma"/>
      <w:sz w:val="24"/>
      <w:szCs w:val="24"/>
      <w:lang w:eastAsia="pt-BR"/>
    </w:rPr>
  </w:style>
  <w:style w:type="character" w:customStyle="1" w:styleId="HiperlinkVisitado1">
    <w:name w:val="HiperlinkVisitado1"/>
    <w:basedOn w:val="Fontepargpadro"/>
    <w:uiPriority w:val="99"/>
    <w:semiHidden/>
    <w:unhideWhenUsed/>
    <w:rsid w:val="00AC1C56"/>
    <w:rPr>
      <w:color w:val="954F72"/>
      <w:u w:val="single"/>
    </w:rPr>
  </w:style>
  <w:style w:type="paragraph" w:customStyle="1" w:styleId="Assuntodocomentrio1">
    <w:name w:val="Assunto do comentário1"/>
    <w:basedOn w:val="Textodecomentrio"/>
    <w:next w:val="Textodecomentrio"/>
    <w:uiPriority w:val="99"/>
    <w:semiHidden/>
    <w:unhideWhenUsed/>
    <w:rsid w:val="00AC1C56"/>
    <w:pPr>
      <w:spacing w:after="200"/>
    </w:pPr>
    <w:rPr>
      <w:rFonts w:ascii="Calibri" w:eastAsia="Calibri" w:hAnsi="Calibri"/>
      <w:b/>
      <w:bCs/>
      <w:lang w:eastAsia="en-US"/>
    </w:rPr>
  </w:style>
  <w:style w:type="character" w:customStyle="1" w:styleId="Ttulo1Char1">
    <w:name w:val="Título 1 Char1"/>
    <w:basedOn w:val="Fontepargpadro"/>
    <w:uiPriority w:val="9"/>
    <w:rsid w:val="00AC1C56"/>
    <w:rPr>
      <w:rFonts w:ascii="Calibri Light" w:eastAsia="Times New Roman" w:hAnsi="Calibri Light" w:cs="Times New Roman"/>
      <w:color w:val="2E74B5"/>
      <w:sz w:val="32"/>
      <w:szCs w:val="32"/>
    </w:rPr>
  </w:style>
  <w:style w:type="character" w:customStyle="1" w:styleId="Ttulo2Char1">
    <w:name w:val="Título 2 Char1"/>
    <w:basedOn w:val="Fontepargpadro"/>
    <w:uiPriority w:val="9"/>
    <w:semiHidden/>
    <w:rsid w:val="00AC1C56"/>
    <w:rPr>
      <w:rFonts w:ascii="Calibri Light" w:eastAsia="Times New Roman" w:hAnsi="Calibri Light" w:cs="Times New Roman"/>
      <w:color w:val="2E74B5"/>
      <w:sz w:val="26"/>
      <w:szCs w:val="26"/>
    </w:rPr>
  </w:style>
  <w:style w:type="character" w:customStyle="1" w:styleId="Ttulo5Char1">
    <w:name w:val="Título 5 Char1"/>
    <w:basedOn w:val="Fontepargpadro"/>
    <w:uiPriority w:val="9"/>
    <w:semiHidden/>
    <w:rsid w:val="00AC1C56"/>
    <w:rPr>
      <w:rFonts w:ascii="Calibri Light" w:eastAsia="Times New Roman" w:hAnsi="Calibri Light" w:cs="Times New Roman"/>
      <w:color w:val="2E74B5"/>
    </w:rPr>
  </w:style>
  <w:style w:type="character" w:customStyle="1" w:styleId="Ttulo9Char1">
    <w:name w:val="Título 9 Char1"/>
    <w:basedOn w:val="Fontepargpadro"/>
    <w:uiPriority w:val="9"/>
    <w:semiHidden/>
    <w:rsid w:val="00AC1C56"/>
    <w:rPr>
      <w:rFonts w:ascii="Calibri Light" w:eastAsia="Times New Roman" w:hAnsi="Calibri Light" w:cs="Times New Roman"/>
      <w:i/>
      <w:iCs/>
      <w:color w:val="272727"/>
      <w:sz w:val="21"/>
      <w:szCs w:val="21"/>
    </w:rPr>
  </w:style>
  <w:style w:type="character" w:customStyle="1" w:styleId="AssuntodocomentrioChar1">
    <w:name w:val="Assunto do comentário Char1"/>
    <w:basedOn w:val="TextodecomentrioChar"/>
    <w:uiPriority w:val="99"/>
    <w:semiHidden/>
    <w:rsid w:val="00AC1C56"/>
    <w:rPr>
      <w:rFonts w:ascii="Times New Roman" w:eastAsia="Times New Roman" w:hAnsi="Times New Roman" w:cs="Times New Roman"/>
      <w:b/>
      <w:bCs/>
      <w:kern w:val="0"/>
      <w:sz w:val="20"/>
      <w:szCs w:val="20"/>
      <w:lang w:eastAsia="pt-BR"/>
      <w14:ligatures w14:val="none"/>
    </w:rPr>
  </w:style>
  <w:style w:type="character" w:customStyle="1" w:styleId="Ttulo3Char1">
    <w:name w:val="Título 3 Char1"/>
    <w:basedOn w:val="Fontepargpadro"/>
    <w:uiPriority w:val="9"/>
    <w:semiHidden/>
    <w:rsid w:val="00AC1C56"/>
    <w:rPr>
      <w:rFonts w:ascii="Calibri Light" w:eastAsia="Times New Roman" w:hAnsi="Calibri Light" w:cs="Times New Roman"/>
      <w:color w:val="1F4D7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economia/pt-br/assuntos/drei/legislacao/arquivos/legislacoes-federais/indrei772020.pdf"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90" Type="http://schemas.microsoft.com/office/2016/09/relationships/commentsIds" Target="commentsIds.xml"/><Relationship Id="rId19" Type="http://schemas.openxmlformats.org/officeDocument/2006/relationships/hyperlink" Target="https://www.planalto.gov.br/ccivil_03/leis/l5764.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mailto:licitacao@xxxxxxxx.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5764.htm"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ampr.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conomia/pt-br/assuntos/drei/legislacao/arquivos/legislacoes-federais/indrei772020.pdf"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LEIS/L6404consol.htm" TargetMode="External"/><Relationship Id="rId7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amaraterraric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131</Pages>
  <Words>36626</Words>
  <Characters>197782</Characters>
  <Application>Microsoft Office Word</Application>
  <DocSecurity>0</DocSecurity>
  <Lines>1648</Lines>
  <Paragraphs>467</Paragraphs>
  <ScaleCrop>false</ScaleCrop>
  <Company/>
  <LinksUpToDate>false</LinksUpToDate>
  <CharactersWithSpaces>233941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BUCHI BATISTA</dc:creator>
  <cp:keywords/>
  <dc:description/>
  <cp:lastModifiedBy>Conta da Microsoft</cp:lastModifiedBy>
  <cp:revision>12</cp:revision>
  <cp:lastPrinted>2026-10-07T13:52:00Z</cp:lastPrinted>
  <dcterms:created xsi:type="dcterms:W3CDTF">2023-10-22T22:52:00Z</dcterms:created>
  <dcterms:modified xsi:type="dcterms:W3CDTF">2026-10-07T13:54:00Z</dcterms:modified>
</cp:coreProperties>
</file>