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Standard"/>
        <w:jc w:val="center"/>
        <w:rPr>
          <w:rFonts w:ascii="Arial" w:hAnsi="Arial"/>
          <w:sz w:val="24"/>
          <w:szCs w:val="24"/>
        </w:rPr>
      </w:pPr>
      <w:r>
        <w:rPr>
          <w:rFonts w:eastAsia="SimSun" w:cs="Arial" w:ascii="Arial" w:hAnsi="Arial"/>
          <w:b/>
          <w:bCs/>
          <w:sz w:val="24"/>
          <w:szCs w:val="24"/>
        </w:rPr>
        <w:t>TERMO DE REFERÊNCIA</w:t>
      </w:r>
    </w:p>
    <w:p>
      <w:pPr>
        <w:pStyle w:val="Standard"/>
        <w:rPr>
          <w:rFonts w:ascii="Arial" w:hAnsi="Arial" w:eastAsia="SimSun" w:cs="Arial"/>
          <w:b/>
          <w:bCs/>
          <w:sz w:val="24"/>
          <w:szCs w:val="24"/>
        </w:rPr>
      </w:pPr>
      <w:r>
        <w:rPr>
          <w:rFonts w:eastAsia="SimSun" w:cs="Arial" w:ascii="Arial" w:hAnsi="Arial"/>
          <w:b/>
          <w:bCs/>
          <w:sz w:val="24"/>
          <w:szCs w:val="24"/>
        </w:rPr>
      </w:r>
    </w:p>
    <w:p>
      <w:pPr>
        <w:pStyle w:val="Normal"/>
        <w:rPr>
          <w:rFonts w:ascii="Arial" w:hAnsi="Arial"/>
          <w:sz w:val="24"/>
          <w:szCs w:val="24"/>
        </w:rPr>
      </w:pPr>
      <w:r>
        <w:rPr>
          <w:rFonts w:eastAsia="SimSun" w:cs="Arial" w:ascii="Arial" w:hAnsi="Arial"/>
          <w:b/>
          <w:bCs/>
          <w:sz w:val="24"/>
          <w:szCs w:val="24"/>
        </w:rPr>
        <w:t>Processo n.º 34077/2026-03</w:t>
      </w:r>
    </w:p>
    <w:p>
      <w:pPr>
        <w:pStyle w:val="Standard"/>
        <w:rPr>
          <w:rFonts w:ascii="Arial" w:hAnsi="Arial"/>
          <w:sz w:val="24"/>
          <w:szCs w:val="24"/>
        </w:rPr>
      </w:pPr>
      <w:r>
        <w:rPr>
          <w:rFonts w:eastAsia="SimSun" w:cs="Arial" w:ascii="Arial" w:hAnsi="Arial"/>
          <w:b/>
          <w:bCs/>
          <w:sz w:val="24"/>
          <w:szCs w:val="24"/>
        </w:rPr>
        <w:t>Fundação Arquivo e Memória de Santos</w:t>
      </w:r>
    </w:p>
    <w:p>
      <w:pPr>
        <w:pStyle w:val="Standard"/>
        <w:rPr>
          <w:rFonts w:ascii="Arial" w:hAnsi="Arial"/>
          <w:sz w:val="24"/>
          <w:szCs w:val="24"/>
        </w:rPr>
      </w:pPr>
      <w:r>
        <w:rPr>
          <w:rFonts w:eastAsia="SimSun" w:cs="Arial" w:ascii="Arial" w:hAnsi="Arial"/>
          <w:b/>
          <w:bCs/>
          <w:sz w:val="24"/>
          <w:szCs w:val="24"/>
        </w:rPr>
        <w:t>Unidade Requisitante</w:t>
      </w:r>
      <w:r>
        <w:rPr>
          <w:rFonts w:cs="Arial" w:ascii="Arial" w:hAnsi="Arial"/>
          <w:kern w:val="0"/>
          <w:sz w:val="24"/>
          <w:szCs w:val="24"/>
          <w:lang w:eastAsia="pt-BR"/>
        </w:rPr>
        <w:t>: Diretoria Técnica - DITEC</w:t>
      </w:r>
    </w:p>
    <w:p>
      <w:pPr>
        <w:pStyle w:val="Standard"/>
        <w:rPr>
          <w:rFonts w:ascii="Arial" w:hAnsi="Arial" w:eastAsia="SimSun" w:cs="Arial"/>
          <w:b/>
          <w:bCs/>
          <w:sz w:val="24"/>
          <w:szCs w:val="24"/>
        </w:rPr>
      </w:pPr>
      <w:r>
        <w:rPr>
          <w:rFonts w:eastAsia="SimSun" w:cs="Arial" w:ascii="Arial" w:hAnsi="Arial"/>
          <w:b/>
          <w:bCs/>
          <w:sz w:val="24"/>
          <w:szCs w:val="24"/>
        </w:rPr>
      </w:r>
    </w:p>
    <w:p>
      <w:pPr>
        <w:pStyle w:val="NoSpacing"/>
        <w:spacing w:before="171" w:after="171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1.</w:t>
      </w:r>
      <w:r>
        <w:rPr>
          <w:rFonts w:cs="Arial" w:ascii="Arial" w:hAnsi="Arial"/>
          <w:sz w:val="24"/>
          <w:szCs w:val="24"/>
        </w:rPr>
        <w:t xml:space="preserve"> </w:t>
      </w:r>
      <w:r>
        <w:rPr>
          <w:rFonts w:cs="Arial" w:ascii="Arial" w:hAnsi="Arial"/>
          <w:b/>
          <w:sz w:val="24"/>
          <w:szCs w:val="24"/>
        </w:rPr>
        <w:t>DEFINIÇÃO DO OBJETO:</w:t>
      </w:r>
    </w:p>
    <w:p>
      <w:pPr>
        <w:pStyle w:val="NormalWeb"/>
        <w:spacing w:before="0" w:after="0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b/>
          <w:bCs/>
          <w:color w:val="000000"/>
          <w:sz w:val="24"/>
          <w:szCs w:val="24"/>
        </w:rPr>
        <w:t>1.1. Objeto</w:t>
      </w:r>
    </w:p>
    <w:p>
      <w:pPr>
        <w:pStyle w:val="NormalWeb"/>
        <w:spacing w:before="0" w:after="0"/>
        <w:jc w:val="both"/>
        <w:rPr/>
      </w:pPr>
      <w:r>
        <w:rPr>
          <w:rFonts w:ascii="Arial" w:hAnsi="Arial"/>
          <w:color w:val="000000"/>
          <w:kern w:val="0"/>
          <w:sz w:val="24"/>
          <w:szCs w:val="24"/>
        </w:rPr>
        <w:t xml:space="preserve">Constitui objeto do presente Termo de Referência a contratação de </w:t>
      </w:r>
      <w:r>
        <w:rPr>
          <w:rStyle w:val="Strong"/>
          <w:rFonts w:ascii="Arial" w:hAnsi="Arial"/>
          <w:color w:val="000000"/>
          <w:kern w:val="0"/>
          <w:sz w:val="24"/>
          <w:szCs w:val="24"/>
        </w:rPr>
        <w:t>instituição brasileira sem fins lucrativos</w:t>
      </w:r>
      <w:r>
        <w:rPr>
          <w:rFonts w:ascii="Arial" w:hAnsi="Arial"/>
          <w:color w:val="000000"/>
          <w:kern w:val="0"/>
          <w:sz w:val="24"/>
          <w:szCs w:val="24"/>
        </w:rPr>
        <w:t xml:space="preserve">, por dispensa de licitação, com fundamento no artigo 75, inciso XV, da Lei Federal nº 14.133/2021, para atuar como </w:t>
      </w:r>
      <w:r>
        <w:rPr>
          <w:rStyle w:val="Strong"/>
          <w:rFonts w:ascii="Arial" w:hAnsi="Arial"/>
          <w:color w:val="000000"/>
          <w:kern w:val="0"/>
          <w:sz w:val="24"/>
          <w:szCs w:val="24"/>
        </w:rPr>
        <w:t>Agente de Integração</w:t>
      </w:r>
      <w:r>
        <w:rPr>
          <w:rFonts w:ascii="Arial" w:hAnsi="Arial"/>
          <w:color w:val="000000"/>
          <w:kern w:val="0"/>
          <w:sz w:val="24"/>
          <w:szCs w:val="24"/>
        </w:rPr>
        <w:t>, visando à operacionalização do Programa de Estágio da Fundação Arquivo e Memória de Santos – FAMS, em conformidade com a Lei Federal nº 11.788/2008.</w:t>
      </w:r>
    </w:p>
    <w:p>
      <w:pPr>
        <w:pStyle w:val="NormalWeb"/>
        <w:spacing w:before="0" w:after="0"/>
        <w:jc w:val="both"/>
        <w:rPr>
          <w:rFonts w:ascii="Arial" w:hAnsi="Arial"/>
          <w:color w:val="000000"/>
          <w:kern w:val="0"/>
          <w:sz w:val="24"/>
          <w:szCs w:val="24"/>
        </w:rPr>
      </w:pPr>
      <w:r>
        <w:rPr>
          <w:rFonts w:ascii="Arial" w:hAnsi="Arial"/>
          <w:color w:val="000000"/>
          <w:kern w:val="0"/>
          <w:sz w:val="24"/>
          <w:szCs w:val="24"/>
        </w:rPr>
        <w:t>A contratação compreende a execução dos serviços necessários à administração do Programa de Estágio, incluindo o recrutamento, seleção, encaminhamento de estudantes, formalização e administração dos Termos de Compromisso de Estágio, relacionamento com as instituições de ensino, acompanhamento administrativo dos contratos de estágio, contratação do seguro obrigatório contra acidentes pessoais, gestão documental e suporte técnico durante toda a vigência contratual.</w:t>
      </w:r>
    </w:p>
    <w:p>
      <w:pPr>
        <w:pStyle w:val="NormalWeb"/>
        <w:spacing w:before="109" w:after="109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b/>
          <w:bCs/>
          <w:color w:val="000000"/>
          <w:sz w:val="24"/>
          <w:szCs w:val="24"/>
        </w:rPr>
        <w:t>1.2. Quantitativo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43"/>
        <w:gridCol w:w="6326"/>
        <w:gridCol w:w="1883"/>
        <w:gridCol w:w="908"/>
      </w:tblGrid>
      <w:tr>
        <w:trPr/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9"/>
                <w:tab w:val="left" w:pos="3090" w:leader="none"/>
              </w:tabs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cs="Arial" w:ascii="Arial" w:hAnsi="Arial"/>
                <w:b/>
                <w:color w:val="000000"/>
                <w:sz w:val="24"/>
                <w:szCs w:val="24"/>
              </w:rPr>
              <w:t>Item</w:t>
            </w:r>
          </w:p>
        </w:tc>
        <w:tc>
          <w:tcPr>
            <w:tcW w:w="6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9"/>
                <w:tab w:val="left" w:pos="3090" w:leader="none"/>
              </w:tabs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cs="Arial" w:ascii="Arial" w:hAnsi="Arial"/>
                <w:b/>
                <w:color w:val="000000"/>
                <w:sz w:val="24"/>
                <w:szCs w:val="24"/>
              </w:rPr>
              <w:t>Descrição</w:t>
            </w:r>
          </w:p>
        </w:tc>
        <w:tc>
          <w:tcPr>
            <w:tcW w:w="1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9"/>
                <w:tab w:val="left" w:pos="3090" w:leader="none"/>
              </w:tabs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cs="Arial" w:ascii="Arial" w:hAnsi="Arial"/>
                <w:b/>
                <w:color w:val="000000"/>
                <w:sz w:val="24"/>
                <w:szCs w:val="24"/>
              </w:rPr>
              <w:t>Unidade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9"/>
                <w:tab w:val="left" w:pos="3090" w:leader="none"/>
              </w:tabs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cs="Arial" w:ascii="Arial" w:hAnsi="Arial"/>
                <w:b/>
                <w:color w:val="000000"/>
                <w:sz w:val="24"/>
                <w:szCs w:val="24"/>
              </w:rPr>
              <w:t>Qtde</w:t>
            </w:r>
          </w:p>
        </w:tc>
      </w:tr>
      <w:tr>
        <w:trPr>
          <w:trHeight w:val="1077" w:hRule="atLeast"/>
        </w:trPr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090" w:leader="none"/>
              </w:tabs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cs="Arial" w:ascii="Arial" w:hAnsi="Arial"/>
                <w:b/>
                <w:color w:val="000000"/>
                <w:sz w:val="24"/>
                <w:szCs w:val="24"/>
              </w:rPr>
              <w:t>01</w:t>
            </w:r>
          </w:p>
        </w:tc>
        <w:tc>
          <w:tcPr>
            <w:tcW w:w="6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120"/>
              <w:jc w:val="both"/>
              <w:rPr>
                <w:rFonts w:ascii="Arial" w:hAnsi="Arial"/>
                <w:sz w:val="24"/>
                <w:szCs w:val="24"/>
              </w:rPr>
            </w:pPr>
            <w:r>
              <w:rPr>
                <w:rFonts w:cs="Verdana" w:ascii="Arial" w:hAnsi="Arial"/>
                <w:color w:val="34322D"/>
                <w:sz w:val="24"/>
                <w:szCs w:val="24"/>
                <w:shd w:fill="FFFFFF" w:val="clear"/>
              </w:rPr>
              <w:t>Prestação de serviços de agente de integração para operacionalização do Programa de Estágio da Fundação Arquivo e Memória de Santos.</w:t>
            </w:r>
          </w:p>
        </w:tc>
        <w:tc>
          <w:tcPr>
            <w:tcW w:w="1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090" w:leader="none"/>
              </w:tabs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cs="Arial" w:ascii="Arial" w:hAnsi="Arial"/>
                <w:color w:val="000000"/>
                <w:sz w:val="24"/>
                <w:szCs w:val="24"/>
              </w:rPr>
              <w:t>Estagiário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090" w:leader="none"/>
              </w:tabs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cs="Arial" w:ascii="Arial" w:hAnsi="Arial"/>
                <w:color w:val="000000"/>
                <w:sz w:val="24"/>
                <w:szCs w:val="24"/>
              </w:rPr>
              <w:t>08</w:t>
            </w:r>
          </w:p>
        </w:tc>
      </w:tr>
    </w:tbl>
    <w:p>
      <w:pPr>
        <w:pStyle w:val="BodyText"/>
        <w:widowControl/>
        <w:suppressAutoHyphens w:val="false"/>
        <w:bidi w:val="0"/>
        <w:spacing w:lineRule="auto" w:line="240" w:before="171" w:after="171"/>
        <w:jc w:val="both"/>
        <w:textAlignment w:val="auto"/>
        <w:rPr>
          <w:rFonts w:ascii="Arial" w:hAnsi="Arial" w:eastAsia="Times New Roman" w:cs="Times New Roman"/>
          <w:b/>
          <w:bCs/>
          <w:color w:val="000000"/>
          <w:kern w:val="0"/>
          <w:sz w:val="24"/>
          <w:szCs w:val="24"/>
          <w:lang w:val="pt-BR" w:eastAsia="pt-BR" w:bidi="ar-SA"/>
        </w:rPr>
      </w:pPr>
      <w:r>
        <w:rPr>
          <w:rFonts w:eastAsia="Times New Roman" w:cs="Times New Roman" w:ascii="Arial" w:hAnsi="Arial"/>
          <w:b/>
          <w:bCs/>
          <w:color w:val="000000"/>
          <w:kern w:val="0"/>
          <w:sz w:val="24"/>
          <w:szCs w:val="24"/>
          <w:lang w:val="pt-BR" w:eastAsia="pt-BR" w:bidi="ar-SA"/>
        </w:rPr>
        <w:t>1.3. Natureza do objeto</w:t>
      </w:r>
    </w:p>
    <w:p>
      <w:pPr>
        <w:pStyle w:val="BodyText"/>
        <w:widowControl/>
        <w:suppressAutoHyphens w:val="false"/>
        <w:bidi w:val="0"/>
        <w:spacing w:lineRule="auto" w:line="240" w:before="0" w:after="0"/>
        <w:jc w:val="both"/>
        <w:textAlignment w:val="auto"/>
        <w:rPr/>
      </w:pPr>
      <w:r>
        <w:rPr>
          <w:rFonts w:eastAsia="Times New Roman" w:cs="Times New Roman" w:ascii="Arial" w:hAnsi="Arial"/>
          <w:color w:val="000000"/>
          <w:kern w:val="0"/>
          <w:sz w:val="24"/>
          <w:szCs w:val="24"/>
          <w:lang w:val="pt-BR" w:eastAsia="pt-BR" w:bidi="ar-SA"/>
        </w:rPr>
        <w:t xml:space="preserve">O objeto caracteriza-se como </w:t>
      </w:r>
      <w:r>
        <w:rPr>
          <w:rStyle w:val="Strong"/>
          <w:rFonts w:eastAsia="Times New Roman" w:cs="Times New Roman" w:ascii="Arial" w:hAnsi="Arial"/>
          <w:color w:val="000000"/>
          <w:kern w:val="0"/>
          <w:sz w:val="24"/>
          <w:szCs w:val="24"/>
          <w:lang w:val="pt-BR" w:eastAsia="pt-BR" w:bidi="ar-SA"/>
        </w:rPr>
        <w:t>serviço comum</w:t>
      </w:r>
      <w:r>
        <w:rPr>
          <w:rFonts w:eastAsia="Times New Roman" w:cs="Times New Roman" w:ascii="Arial" w:hAnsi="Arial"/>
          <w:color w:val="000000"/>
          <w:kern w:val="0"/>
          <w:sz w:val="24"/>
          <w:szCs w:val="24"/>
          <w:lang w:val="pt-BR" w:eastAsia="pt-BR" w:bidi="ar-SA"/>
        </w:rPr>
        <w:t>, cuja execução pode ser objetivamente definida por especificações usuais de mercado, nos termos do artigo 6º, inciso XIII, da Lei Federal nº 14.133/2021.</w:t>
      </w:r>
    </w:p>
    <w:p>
      <w:pPr>
        <w:pStyle w:val="BodyText"/>
        <w:widowControl/>
        <w:suppressAutoHyphens w:val="false"/>
        <w:bidi w:val="0"/>
        <w:spacing w:lineRule="auto" w:line="240" w:before="52" w:after="52"/>
        <w:jc w:val="both"/>
        <w:textAlignment w:val="auto"/>
        <w:rPr/>
      </w:pPr>
      <w:r>
        <w:rPr>
          <w:rFonts w:eastAsia="Times New Roman" w:cs="Times New Roman" w:ascii="Arial" w:hAnsi="Arial"/>
          <w:color w:val="000000"/>
          <w:kern w:val="0"/>
          <w:sz w:val="24"/>
          <w:szCs w:val="24"/>
          <w:lang w:val="pt-BR" w:eastAsia="pt-BR" w:bidi="ar-SA"/>
        </w:rPr>
        <w:t xml:space="preserve">A contratação possui </w:t>
      </w:r>
      <w:r>
        <w:rPr>
          <w:rStyle w:val="Strong"/>
          <w:rFonts w:eastAsia="Times New Roman" w:cs="Times New Roman" w:ascii="Arial" w:hAnsi="Arial"/>
          <w:color w:val="000000"/>
          <w:kern w:val="0"/>
          <w:sz w:val="24"/>
          <w:szCs w:val="24"/>
          <w:lang w:val="pt-BR" w:eastAsia="pt-BR" w:bidi="ar-SA"/>
        </w:rPr>
        <w:t>prazo determinado</w:t>
      </w:r>
      <w:r>
        <w:rPr>
          <w:rFonts w:eastAsia="Times New Roman" w:cs="Times New Roman" w:ascii="Arial" w:hAnsi="Arial"/>
          <w:color w:val="000000"/>
          <w:kern w:val="0"/>
          <w:sz w:val="24"/>
          <w:szCs w:val="24"/>
          <w:lang w:val="pt-BR" w:eastAsia="pt-BR" w:bidi="ar-SA"/>
        </w:rPr>
        <w:t>, vinculado à execução do Programa de Estágio financiado mediante recursos oriundos de emenda parlamentar, inexistindo expectativa de continuidade automática após o encerramento da vigência contratual.</w:t>
      </w:r>
    </w:p>
    <w:p>
      <w:pPr>
        <w:pStyle w:val="Normal"/>
        <w:tabs>
          <w:tab w:val="clear" w:pos="709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spacing w:before="0" w:after="0"/>
        <w:jc w:val="both"/>
        <w:rPr>
          <w:rFonts w:ascii="Arial" w:hAnsi="Arial" w:eastAsia="ヒラギノ角ゴ Pro W3" w:cs="Arial"/>
          <w:b/>
          <w:bCs/>
          <w:sz w:val="24"/>
          <w:szCs w:val="24"/>
        </w:rPr>
      </w:pPr>
      <w:r>
        <w:rPr>
          <w:rFonts w:eastAsia="ヒラギノ角ゴ Pro W3" w:cs="Arial" w:ascii="Arial" w:hAnsi="Arial"/>
          <w:b/>
          <w:bCs/>
          <w:sz w:val="24"/>
          <w:szCs w:val="24"/>
        </w:rPr>
      </w:r>
    </w:p>
    <w:p>
      <w:pPr>
        <w:pStyle w:val="Normal"/>
        <w:tabs>
          <w:tab w:val="clear" w:pos="709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spacing w:before="114" w:after="114"/>
        <w:jc w:val="both"/>
        <w:rPr>
          <w:rFonts w:ascii="Arial" w:hAnsi="Arial" w:eastAsia="ヒラギノ角ゴ Pro W3" w:cs="Arial"/>
          <w:b/>
          <w:bCs/>
          <w:sz w:val="24"/>
          <w:szCs w:val="24"/>
        </w:rPr>
      </w:pPr>
      <w:r>
        <w:rPr>
          <w:rFonts w:eastAsia="ヒラギノ角ゴ Pro W3" w:cs="Arial" w:ascii="Arial" w:hAnsi="Arial"/>
          <w:b/>
          <w:bCs/>
          <w:sz w:val="24"/>
          <w:szCs w:val="24"/>
        </w:rPr>
        <w:t>2. FUNDAMENTAÇÃO:</w:t>
      </w:r>
    </w:p>
    <w:p>
      <w:pPr>
        <w:pStyle w:val="Normal"/>
        <w:tabs>
          <w:tab w:val="clear" w:pos="709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spacing w:before="57" w:after="57"/>
        <w:jc w:val="both"/>
        <w:rPr>
          <w:rFonts w:ascii="Arial" w:hAnsi="Arial" w:eastAsia="Times New Roman" w:cs="Times New Roman"/>
          <w:color w:val="000000"/>
          <w:kern w:val="0"/>
          <w:sz w:val="24"/>
          <w:szCs w:val="24"/>
          <w:lang w:val="pt-BR" w:eastAsia="pt-BR" w:bidi="ar-SA"/>
        </w:rPr>
      </w:pPr>
      <w:r>
        <w:rPr>
          <w:rFonts w:eastAsia="Times New Roman" w:cs="Times New Roman" w:ascii="Arial" w:hAnsi="Arial"/>
          <w:color w:val="000000"/>
          <w:kern w:val="0"/>
          <w:sz w:val="24"/>
          <w:szCs w:val="24"/>
          <w:lang w:val="pt-BR" w:eastAsia="pt-BR" w:bidi="ar-SA"/>
        </w:rPr>
        <w:t>A presente contratação decorre da necessidade de assegurar a continuidade das atividades de preservação, organização, descrição, higienização, digitalização e difusão do acervo documental permanente da Fundação Arquivo e Memória de Santos.</w:t>
      </w:r>
    </w:p>
    <w:p>
      <w:pPr>
        <w:pStyle w:val="BodyText"/>
        <w:widowControl/>
        <w:suppressAutoHyphens w:val="false"/>
        <w:bidi w:val="0"/>
        <w:spacing w:lineRule="auto" w:line="240" w:before="52" w:after="52"/>
        <w:jc w:val="both"/>
        <w:textAlignment w:val="auto"/>
        <w:rPr>
          <w:rFonts w:ascii="Arial" w:hAnsi="Arial" w:eastAsia="Times New Roman" w:cs="Times New Roman"/>
          <w:color w:val="000000"/>
          <w:kern w:val="0"/>
          <w:sz w:val="24"/>
          <w:szCs w:val="24"/>
          <w:lang w:val="pt-BR" w:eastAsia="pt-BR" w:bidi="ar-SA"/>
        </w:rPr>
      </w:pPr>
      <w:r>
        <w:rPr>
          <w:rFonts w:eastAsia="Times New Roman" w:cs="Times New Roman" w:ascii="Arial" w:hAnsi="Arial"/>
          <w:color w:val="000000"/>
          <w:kern w:val="0"/>
          <w:sz w:val="24"/>
          <w:szCs w:val="24"/>
          <w:lang w:val="pt-BR" w:eastAsia="pt-BR" w:bidi="ar-SA"/>
        </w:rPr>
        <w:t>O Estudo Técnico Preliminar elaborado no Processo Administrativo nº 34077/2026-03 concluiu que a contratação de agente de integração representa a solução mais eficiente para operacionalização do Programa de Estágio, considerando a necessidade de gestão especializada das atividades administrativas inerentes aos estágios, especialmente aquelas relacionadas ao recrutamento, seleção, formalização documental, relacionamento com instituições de ensino e acompanhamento administrativo dos estudantes.</w:t>
      </w:r>
    </w:p>
    <w:p>
      <w:pPr>
        <w:pStyle w:val="BodyText"/>
        <w:widowControl/>
        <w:suppressAutoHyphens w:val="false"/>
        <w:bidi w:val="0"/>
        <w:spacing w:lineRule="auto" w:line="240" w:before="52" w:after="52"/>
        <w:jc w:val="both"/>
        <w:textAlignment w:val="auto"/>
        <w:rPr>
          <w:rFonts w:ascii="Arial" w:hAnsi="Arial" w:eastAsia="Times New Roman" w:cs="Times New Roman"/>
          <w:color w:val="000000"/>
          <w:kern w:val="0"/>
          <w:sz w:val="24"/>
          <w:szCs w:val="24"/>
          <w:lang w:val="pt-BR" w:eastAsia="pt-BR" w:bidi="ar-SA"/>
        </w:rPr>
      </w:pPr>
      <w:r>
        <w:rPr>
          <w:rFonts w:eastAsia="Times New Roman" w:cs="Times New Roman" w:ascii="Arial" w:hAnsi="Arial"/>
          <w:color w:val="000000"/>
          <w:kern w:val="0"/>
          <w:sz w:val="24"/>
          <w:szCs w:val="24"/>
          <w:lang w:val="pt-BR" w:eastAsia="pt-BR" w:bidi="ar-SA"/>
        </w:rPr>
        <w:t>A solução adotada contribui para o fortalecimento da capacidade operacional da Fundação, permitindo que os servidores concentrem sua atuação nas atividades finalísticas da instituição, sem prejuízo do adequado acompanhamento pedagógico dos estagiários.</w:t>
      </w:r>
    </w:p>
    <w:p>
      <w:pPr>
        <w:pStyle w:val="BodyText"/>
        <w:widowControl/>
        <w:suppressAutoHyphens w:val="false"/>
        <w:bidi w:val="0"/>
        <w:spacing w:lineRule="auto" w:line="240" w:before="166" w:after="166"/>
        <w:jc w:val="both"/>
        <w:textAlignment w:val="auto"/>
        <w:rPr>
          <w:rFonts w:ascii="Arial" w:hAnsi="Arial"/>
          <w:sz w:val="24"/>
          <w:szCs w:val="24"/>
        </w:rPr>
      </w:pPr>
      <w:r>
        <w:rPr>
          <w:rFonts w:eastAsia="Times New Roman" w:cs="Times New Roman" w:ascii="Arial" w:hAnsi="Arial"/>
          <w:color w:val="000000"/>
          <w:kern w:val="0"/>
          <w:sz w:val="24"/>
          <w:szCs w:val="24"/>
          <w:lang w:val="pt-BR" w:eastAsia="pt-BR" w:bidi="ar-SA"/>
        </w:rPr>
        <w:t>A contratação encontra-se prevista no Plano de Contratações Anual da Fundação e observa o planejamento institucional estabelecido para o exercício correspondente.</w:t>
      </w:r>
    </w:p>
    <w:p>
      <w:pPr>
        <w:pStyle w:val="NoSpacing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3. DESCRIÇÃO DO OBJETO:</w:t>
      </w:r>
    </w:p>
    <w:p>
      <w:pPr>
        <w:pStyle w:val="BodyText"/>
        <w:spacing w:before="0" w:after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color w:val="000000"/>
          <w:kern w:val="0"/>
          <w:sz w:val="24"/>
          <w:szCs w:val="24"/>
        </w:rPr>
        <w:t>A solução consiste na contratação de instituição especializada para atuar como agente de integração entre a Fundação Arquivo e Memória de Santos, os estudantes e as instituições de ensino, promovendo a gestão administrativa do Programa de Estágio.</w:t>
      </w:r>
    </w:p>
    <w:p>
      <w:pPr>
        <w:pStyle w:val="BodyText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color w:val="000000"/>
          <w:kern w:val="0"/>
          <w:sz w:val="24"/>
          <w:szCs w:val="24"/>
        </w:rPr>
        <w:t>A atuação da contratada compreenderá todas as atividades necessárias à operacionalização do Programa de Estágio, desde o recrutamento e encaminhamento dos estudantes até o encerramento dos respectivos Termos de Compromisso, garantindo a conformidade da execução com a Lei Federal nº 11.788/2008.</w:t>
      </w:r>
    </w:p>
    <w:p>
      <w:pPr>
        <w:pStyle w:val="BodyText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color w:val="000000"/>
          <w:kern w:val="0"/>
          <w:sz w:val="24"/>
          <w:szCs w:val="24"/>
        </w:rPr>
        <w:t>A solução não envolve terceirização de serviços, fornecimento de mão de obra ou substituição de servidores públicos, restringindo-se à prestação de serviços especializados de apoio administrativo à gestão do Programa de Estágio.</w:t>
      </w:r>
    </w:p>
    <w:p>
      <w:pPr>
        <w:pStyle w:val="BodyText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color w:val="000000"/>
          <w:kern w:val="0"/>
          <w:sz w:val="24"/>
          <w:szCs w:val="24"/>
        </w:rPr>
        <w:t>Espera-se, com a contratação:</w:t>
      </w:r>
    </w:p>
    <w:p>
      <w:pPr>
        <w:pStyle w:val="BodyText"/>
        <w:numPr>
          <w:ilvl w:val="0"/>
          <w:numId w:val="3"/>
        </w:numPr>
        <w:tabs>
          <w:tab w:val="clear" w:pos="709"/>
          <w:tab w:val="left" w:pos="0" w:leader="none"/>
        </w:tabs>
        <w:spacing w:before="0" w:after="0"/>
        <w:ind w:hanging="283" w:left="709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color w:val="000000"/>
          <w:kern w:val="0"/>
          <w:sz w:val="24"/>
          <w:szCs w:val="24"/>
        </w:rPr>
        <w:t xml:space="preserve">assegurar a continuidade das ações de preservação documental apoiadas pelos estagiários; </w:t>
      </w:r>
    </w:p>
    <w:p>
      <w:pPr>
        <w:pStyle w:val="BodyText"/>
        <w:numPr>
          <w:ilvl w:val="0"/>
          <w:numId w:val="3"/>
        </w:numPr>
        <w:tabs>
          <w:tab w:val="clear" w:pos="709"/>
          <w:tab w:val="left" w:pos="0" w:leader="none"/>
        </w:tabs>
        <w:spacing w:before="0" w:after="0"/>
        <w:ind w:hanging="283" w:left="709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color w:val="000000"/>
          <w:kern w:val="0"/>
          <w:sz w:val="24"/>
          <w:szCs w:val="24"/>
        </w:rPr>
        <w:t xml:space="preserve">conferir maior eficiência à gestão administrativa do Programa de Estágio; </w:t>
      </w:r>
    </w:p>
    <w:p>
      <w:pPr>
        <w:pStyle w:val="BodyText"/>
        <w:numPr>
          <w:ilvl w:val="0"/>
          <w:numId w:val="3"/>
        </w:numPr>
        <w:tabs>
          <w:tab w:val="clear" w:pos="709"/>
          <w:tab w:val="left" w:pos="0" w:leader="none"/>
        </w:tabs>
        <w:spacing w:before="0" w:after="0"/>
        <w:ind w:hanging="283" w:left="709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color w:val="000000"/>
          <w:kern w:val="0"/>
          <w:sz w:val="24"/>
          <w:szCs w:val="24"/>
        </w:rPr>
        <w:t xml:space="preserve">garantir a observância da legislação aplicável; </w:t>
      </w:r>
    </w:p>
    <w:p>
      <w:pPr>
        <w:pStyle w:val="BodyText"/>
        <w:numPr>
          <w:ilvl w:val="0"/>
          <w:numId w:val="3"/>
        </w:numPr>
        <w:tabs>
          <w:tab w:val="clear" w:pos="709"/>
          <w:tab w:val="left" w:pos="0" w:leader="none"/>
        </w:tabs>
        <w:spacing w:before="0" w:after="0"/>
        <w:ind w:hanging="283" w:left="709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color w:val="000000"/>
          <w:kern w:val="0"/>
          <w:sz w:val="24"/>
          <w:szCs w:val="24"/>
        </w:rPr>
        <w:t xml:space="preserve">reduzir riscos relacionados à formalização e ao acompanhamento dos estágios; </w:t>
      </w:r>
    </w:p>
    <w:p>
      <w:pPr>
        <w:pStyle w:val="BodyText"/>
        <w:numPr>
          <w:ilvl w:val="0"/>
          <w:numId w:val="3"/>
        </w:numPr>
        <w:tabs>
          <w:tab w:val="clear" w:pos="709"/>
          <w:tab w:val="left" w:pos="0" w:leader="none"/>
        </w:tabs>
        <w:ind w:hanging="283" w:left="709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color w:val="000000"/>
          <w:kern w:val="0"/>
          <w:sz w:val="24"/>
          <w:szCs w:val="24"/>
        </w:rPr>
        <w:t>proporcionar aos estudantes ambiente adequado de aprendizagem prática, em consonância com sua formação acadêmica.</w:t>
      </w:r>
    </w:p>
    <w:p>
      <w:pPr>
        <w:pStyle w:val="Heading1"/>
        <w:jc w:val="both"/>
        <w:rPr>
          <w:rFonts w:ascii="Arial" w:hAnsi="Arial"/>
          <w:sz w:val="24"/>
          <w:szCs w:val="24"/>
        </w:rPr>
      </w:pPr>
      <w:r>
        <w:rPr>
          <w:rFonts w:eastAsia="Times New Roman" w:cs="Arial" w:ascii="Arial" w:hAnsi="Arial"/>
          <w:b/>
          <w:bCs/>
          <w:color w:val="000000"/>
          <w:kern w:val="0"/>
          <w:sz w:val="24"/>
          <w:szCs w:val="24"/>
        </w:rPr>
        <w:t>4. FUNDAMENTAÇÃO DA CONTRATAÇÃO DIRETA</w:t>
      </w:r>
    </w:p>
    <w:p>
      <w:pPr>
        <w:pStyle w:val="BodyText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color w:val="000000"/>
          <w:kern w:val="0"/>
          <w:sz w:val="24"/>
          <w:szCs w:val="24"/>
        </w:rPr>
        <w:t>A contratação será realizada mediante dispensa de licitação, com fundamento no artigo 75, inciso XV, da Lei Federal nº 14.133/2021.</w:t>
      </w:r>
    </w:p>
    <w:p>
      <w:pPr>
        <w:pStyle w:val="BodyText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color w:val="000000"/>
          <w:kern w:val="0"/>
          <w:sz w:val="24"/>
          <w:szCs w:val="24"/>
        </w:rPr>
        <w:t>A demonstração do preenchimento dos requisitos legais para utilização dessa hipótese de contratação direta, incluindo:</w:t>
      </w:r>
    </w:p>
    <w:p>
      <w:pPr>
        <w:pStyle w:val="BodyText"/>
        <w:numPr>
          <w:ilvl w:val="0"/>
          <w:numId w:val="4"/>
        </w:numPr>
        <w:tabs>
          <w:tab w:val="clear" w:pos="709"/>
          <w:tab w:val="left" w:pos="0" w:leader="none"/>
        </w:tabs>
        <w:spacing w:before="0" w:after="0"/>
        <w:ind w:hanging="283" w:left="709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color w:val="000000"/>
          <w:kern w:val="0"/>
          <w:sz w:val="24"/>
          <w:szCs w:val="24"/>
        </w:rPr>
        <w:t xml:space="preserve">a compatibilidade entre o objeto contratado e as finalidades estatutárias da instituição; </w:t>
      </w:r>
    </w:p>
    <w:p>
      <w:pPr>
        <w:pStyle w:val="BodyText"/>
        <w:numPr>
          <w:ilvl w:val="0"/>
          <w:numId w:val="4"/>
        </w:numPr>
        <w:tabs>
          <w:tab w:val="clear" w:pos="709"/>
          <w:tab w:val="left" w:pos="0" w:leader="none"/>
        </w:tabs>
        <w:spacing w:before="0" w:after="0"/>
        <w:ind w:hanging="283" w:left="709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color w:val="000000"/>
          <w:kern w:val="0"/>
          <w:sz w:val="24"/>
          <w:szCs w:val="24"/>
        </w:rPr>
        <w:t xml:space="preserve">a comprovação da natureza jurídica sem fins lucrativos; </w:t>
      </w:r>
    </w:p>
    <w:p>
      <w:pPr>
        <w:pStyle w:val="BodyText"/>
        <w:numPr>
          <w:ilvl w:val="0"/>
          <w:numId w:val="4"/>
        </w:numPr>
        <w:tabs>
          <w:tab w:val="clear" w:pos="709"/>
          <w:tab w:val="left" w:pos="0" w:leader="none"/>
        </w:tabs>
        <w:spacing w:before="0" w:after="0"/>
        <w:ind w:hanging="283" w:left="709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color w:val="000000"/>
          <w:kern w:val="0"/>
          <w:sz w:val="24"/>
          <w:szCs w:val="24"/>
        </w:rPr>
        <w:t xml:space="preserve">a reputação ética e profissional da entidade; </w:t>
      </w:r>
    </w:p>
    <w:p>
      <w:pPr>
        <w:pStyle w:val="BodyText"/>
        <w:numPr>
          <w:ilvl w:val="0"/>
          <w:numId w:val="4"/>
        </w:numPr>
        <w:tabs>
          <w:tab w:val="clear" w:pos="709"/>
          <w:tab w:val="left" w:pos="0" w:leader="none"/>
        </w:tabs>
        <w:spacing w:before="0" w:after="0"/>
        <w:ind w:hanging="283" w:left="709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color w:val="000000"/>
          <w:kern w:val="0"/>
          <w:sz w:val="24"/>
          <w:szCs w:val="24"/>
        </w:rPr>
        <w:t xml:space="preserve">a justificativa da escolha da contratada; </w:t>
      </w:r>
    </w:p>
    <w:p>
      <w:pPr>
        <w:pStyle w:val="BodyText"/>
        <w:numPr>
          <w:ilvl w:val="0"/>
          <w:numId w:val="4"/>
        </w:numPr>
        <w:tabs>
          <w:tab w:val="clear" w:pos="709"/>
          <w:tab w:val="left" w:pos="0" w:leader="none"/>
        </w:tabs>
        <w:spacing w:before="0" w:after="0"/>
        <w:ind w:hanging="283" w:left="709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color w:val="000000"/>
          <w:kern w:val="0"/>
          <w:sz w:val="24"/>
          <w:szCs w:val="24"/>
        </w:rPr>
        <w:t xml:space="preserve">a justificativa do preço; </w:t>
      </w:r>
    </w:p>
    <w:p>
      <w:pPr>
        <w:pStyle w:val="BodyText"/>
        <w:numPr>
          <w:ilvl w:val="0"/>
          <w:numId w:val="4"/>
        </w:numPr>
        <w:tabs>
          <w:tab w:val="clear" w:pos="709"/>
          <w:tab w:val="left" w:pos="0" w:leader="none"/>
        </w:tabs>
        <w:ind w:hanging="283" w:left="709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color w:val="000000"/>
          <w:kern w:val="0"/>
          <w:sz w:val="24"/>
          <w:szCs w:val="24"/>
        </w:rPr>
        <w:t xml:space="preserve">a demonstração da vantajosidade da contratação; </w:t>
      </w:r>
    </w:p>
    <w:p>
      <w:pPr>
        <w:pStyle w:val="BodyText"/>
        <w:jc w:val="both"/>
        <w:rPr/>
      </w:pPr>
      <w:r>
        <w:rPr>
          <w:rFonts w:cs="Arial" w:ascii="Arial" w:hAnsi="Arial"/>
          <w:color w:val="000000"/>
          <w:kern w:val="0"/>
          <w:sz w:val="24"/>
          <w:szCs w:val="24"/>
        </w:rPr>
        <w:t xml:space="preserve">consta da </w:t>
      </w:r>
      <w:r>
        <w:rPr>
          <w:rStyle w:val="Strong"/>
          <w:rFonts w:cs="Arial" w:ascii="Arial" w:hAnsi="Arial"/>
          <w:color w:val="000000"/>
          <w:kern w:val="0"/>
          <w:sz w:val="24"/>
          <w:szCs w:val="24"/>
        </w:rPr>
        <w:t>Justificativa para Dispensa de Licitação</w:t>
      </w:r>
      <w:r>
        <w:rPr>
          <w:rFonts w:cs="Arial" w:ascii="Arial" w:hAnsi="Arial"/>
          <w:color w:val="000000"/>
          <w:kern w:val="0"/>
          <w:sz w:val="24"/>
          <w:szCs w:val="24"/>
        </w:rPr>
        <w:t xml:space="preserve">, documento integrante do processo administrativo. </w:t>
      </w:r>
    </w:p>
    <w:p>
      <w:pPr>
        <w:pStyle w:val="BodyText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color w:val="000000"/>
          <w:kern w:val="0"/>
          <w:sz w:val="24"/>
          <w:szCs w:val="24"/>
        </w:rPr>
        <w:t>Este Termo de Referência limita-se ao detalhamento técnico do objeto e das condições de execução da contratação, em observância à segregação dos documentos que compõem a fase preparatória prevista na Lei Federal nº 14.133/2021.</w:t>
      </w:r>
    </w:p>
    <w:p>
      <w:pPr>
        <w:pStyle w:val="Normal"/>
        <w:jc w:val="both"/>
        <w:rPr>
          <w:rFonts w:ascii="Arial" w:hAnsi="Arial"/>
          <w:b/>
          <w:sz w:val="24"/>
          <w:szCs w:val="24"/>
        </w:rPr>
      </w:pPr>
      <w:r>
        <w:rPr>
          <w:rFonts w:ascii="Arial" w:hAnsi="Arial"/>
          <w:b/>
          <w:sz w:val="24"/>
          <w:szCs w:val="24"/>
        </w:rPr>
      </w:r>
    </w:p>
    <w:p>
      <w:pPr>
        <w:pStyle w:val="NoSpacing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b/>
          <w:sz w:val="24"/>
          <w:szCs w:val="24"/>
        </w:rPr>
        <w:t>5. REQUISITOS DA CONTRATAÇÃO</w:t>
      </w:r>
      <w:r>
        <w:rPr>
          <w:rFonts w:ascii="Arial" w:hAnsi="Arial"/>
          <w:sz w:val="24"/>
          <w:szCs w:val="24"/>
        </w:rPr>
        <w:t>:</w:t>
      </w:r>
    </w:p>
    <w:p>
      <w:pPr>
        <w:pStyle w:val="BodyText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color w:val="000000"/>
          <w:kern w:val="0"/>
          <w:sz w:val="24"/>
          <w:szCs w:val="24"/>
        </w:rPr>
        <w:t>A instituição contratada deverá manter, durante toda a execução contratual, as condições que justificaram sua contratação por dispensa de licitação, bem como atender integralmente às exigências previstas neste Termo de Referência.</w:t>
      </w:r>
    </w:p>
    <w:p>
      <w:pPr>
        <w:pStyle w:val="BodyText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color w:val="000000"/>
          <w:kern w:val="0"/>
          <w:sz w:val="24"/>
          <w:szCs w:val="24"/>
        </w:rPr>
        <w:t>Os requisitos estabelecidos nesta seção constituem condições mínimas para a adequada execução do objeto e deverão ser observados durante toda a vigência contratual.</w:t>
      </w:r>
    </w:p>
    <w:p>
      <w:pPr>
        <w:pStyle w:val="Heading2"/>
        <w:spacing w:before="0" w:after="0"/>
        <w:jc w:val="both"/>
        <w:rPr>
          <w:rFonts w:ascii="Arial" w:hAnsi="Arial"/>
          <w:sz w:val="24"/>
          <w:szCs w:val="24"/>
        </w:rPr>
      </w:pPr>
      <w:r>
        <w:rPr>
          <w:rFonts w:eastAsia="Times New Roman" w:cs="Arial" w:ascii="Arial" w:hAnsi="Arial"/>
          <w:color w:val="000000"/>
          <w:kern w:val="0"/>
          <w:sz w:val="24"/>
          <w:szCs w:val="24"/>
        </w:rPr>
        <w:t>5.1 Requisitos legais</w:t>
      </w:r>
    </w:p>
    <w:p>
      <w:pPr>
        <w:pStyle w:val="BodyText"/>
        <w:spacing w:before="0" w:after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color w:val="000000"/>
          <w:kern w:val="0"/>
          <w:sz w:val="24"/>
          <w:szCs w:val="24"/>
        </w:rPr>
        <w:t>A contratada deverá:</w:t>
      </w:r>
    </w:p>
    <w:p>
      <w:pPr>
        <w:pStyle w:val="BodyText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color w:val="000000"/>
          <w:kern w:val="0"/>
          <w:sz w:val="24"/>
          <w:szCs w:val="24"/>
        </w:rPr>
        <w:t>I – ser pessoa jurídica brasileira de direito privado, sem fins lucrativos;</w:t>
      </w:r>
    </w:p>
    <w:p>
      <w:pPr>
        <w:pStyle w:val="BodyText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color w:val="000000"/>
          <w:kern w:val="0"/>
          <w:sz w:val="24"/>
          <w:szCs w:val="24"/>
        </w:rPr>
        <w:t>II – possuir finalidade estatutária compatível com o objeto contratado;</w:t>
      </w:r>
    </w:p>
    <w:p>
      <w:pPr>
        <w:pStyle w:val="BodyText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color w:val="000000"/>
          <w:kern w:val="0"/>
          <w:sz w:val="24"/>
          <w:szCs w:val="24"/>
        </w:rPr>
        <w:t>III – manter sua regularidade jurídica, fiscal, trabalhista e previdenciária durante toda a execução do contrato;</w:t>
      </w:r>
    </w:p>
    <w:p>
      <w:pPr>
        <w:pStyle w:val="BodyText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color w:val="000000"/>
          <w:kern w:val="0"/>
          <w:sz w:val="24"/>
          <w:szCs w:val="24"/>
        </w:rPr>
        <w:t>IV – manter a reputação ética e profissional que fundamentou sua contratação;</w:t>
      </w:r>
    </w:p>
    <w:p>
      <w:pPr>
        <w:pStyle w:val="BodyText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color w:val="000000"/>
          <w:kern w:val="0"/>
          <w:sz w:val="24"/>
          <w:szCs w:val="24"/>
        </w:rPr>
        <w:t>V – observar integralmente as disposições da Lei Federal nº 11.788/2008;</w:t>
      </w:r>
    </w:p>
    <w:p>
      <w:pPr>
        <w:pStyle w:val="BodyText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color w:val="000000"/>
          <w:kern w:val="0"/>
          <w:sz w:val="24"/>
          <w:szCs w:val="24"/>
        </w:rPr>
        <w:t>VI – cumprir as normas relativas à proteção de dados pessoais e à segurança das informações tratadas em razão da execução contratual.</w:t>
      </w:r>
    </w:p>
    <w:p>
      <w:pPr>
        <w:pStyle w:val="Heading2"/>
        <w:spacing w:before="0" w:after="55"/>
        <w:jc w:val="both"/>
        <w:rPr>
          <w:rFonts w:ascii="Arial" w:hAnsi="Arial"/>
          <w:sz w:val="24"/>
          <w:szCs w:val="24"/>
        </w:rPr>
      </w:pPr>
      <w:r>
        <w:rPr>
          <w:rFonts w:eastAsia="Times New Roman" w:cs="Arial" w:ascii="Arial" w:hAnsi="Arial"/>
          <w:color w:val="000000"/>
          <w:kern w:val="0"/>
          <w:sz w:val="24"/>
          <w:szCs w:val="24"/>
        </w:rPr>
        <w:t>5.2 Requisitos técnicos</w:t>
      </w:r>
    </w:p>
    <w:p>
      <w:pPr>
        <w:pStyle w:val="BodyText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color w:val="000000"/>
          <w:kern w:val="0"/>
          <w:sz w:val="24"/>
          <w:szCs w:val="24"/>
        </w:rPr>
        <w:t>A contratada deverá possuir estrutura operacional compatível com o objeto, dispondo, no mínimo, de:</w:t>
      </w:r>
    </w:p>
    <w:p>
      <w:pPr>
        <w:pStyle w:val="BodyText"/>
        <w:numPr>
          <w:ilvl w:val="0"/>
          <w:numId w:val="5"/>
        </w:numPr>
        <w:tabs>
          <w:tab w:val="clear" w:pos="709"/>
          <w:tab w:val="left" w:pos="0" w:leader="none"/>
        </w:tabs>
        <w:spacing w:before="0" w:after="0"/>
        <w:ind w:hanging="283" w:left="709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color w:val="000000"/>
          <w:kern w:val="0"/>
          <w:sz w:val="24"/>
          <w:szCs w:val="24"/>
        </w:rPr>
        <w:t xml:space="preserve">equipe técnica especializada na administração de programas de estágio; </w:t>
      </w:r>
    </w:p>
    <w:p>
      <w:pPr>
        <w:pStyle w:val="BodyText"/>
        <w:numPr>
          <w:ilvl w:val="0"/>
          <w:numId w:val="5"/>
        </w:numPr>
        <w:tabs>
          <w:tab w:val="clear" w:pos="709"/>
          <w:tab w:val="left" w:pos="0" w:leader="none"/>
        </w:tabs>
        <w:spacing w:before="0" w:after="0"/>
        <w:ind w:hanging="283" w:left="709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color w:val="000000"/>
          <w:kern w:val="0"/>
          <w:sz w:val="24"/>
          <w:szCs w:val="24"/>
        </w:rPr>
        <w:t xml:space="preserve">sistema de gestão capaz de controlar os contratos de estágio durante toda sua vigência; </w:t>
      </w:r>
    </w:p>
    <w:p>
      <w:pPr>
        <w:pStyle w:val="BodyText"/>
        <w:numPr>
          <w:ilvl w:val="0"/>
          <w:numId w:val="5"/>
        </w:numPr>
        <w:tabs>
          <w:tab w:val="clear" w:pos="709"/>
          <w:tab w:val="left" w:pos="0" w:leader="none"/>
        </w:tabs>
        <w:spacing w:before="0" w:after="0"/>
        <w:ind w:hanging="283" w:left="709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color w:val="000000"/>
          <w:kern w:val="0"/>
          <w:sz w:val="24"/>
          <w:szCs w:val="24"/>
        </w:rPr>
        <w:t xml:space="preserve">banco atualizado de estudantes regularmente matriculados em instituições de ensino; </w:t>
      </w:r>
    </w:p>
    <w:p>
      <w:pPr>
        <w:pStyle w:val="BodyText"/>
        <w:numPr>
          <w:ilvl w:val="0"/>
          <w:numId w:val="5"/>
        </w:numPr>
        <w:tabs>
          <w:tab w:val="clear" w:pos="709"/>
          <w:tab w:val="left" w:pos="0" w:leader="none"/>
        </w:tabs>
        <w:spacing w:before="0" w:after="0"/>
        <w:ind w:hanging="283" w:left="709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color w:val="000000"/>
          <w:kern w:val="0"/>
          <w:sz w:val="24"/>
          <w:szCs w:val="24"/>
        </w:rPr>
        <w:t xml:space="preserve">capacidade para relacionamento permanente com instituições de ensino; </w:t>
      </w:r>
    </w:p>
    <w:p>
      <w:pPr>
        <w:pStyle w:val="BodyText"/>
        <w:numPr>
          <w:ilvl w:val="0"/>
          <w:numId w:val="5"/>
        </w:numPr>
        <w:tabs>
          <w:tab w:val="clear" w:pos="709"/>
          <w:tab w:val="left" w:pos="0" w:leader="none"/>
        </w:tabs>
        <w:ind w:hanging="283" w:left="709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color w:val="000000"/>
          <w:kern w:val="0"/>
          <w:sz w:val="24"/>
          <w:szCs w:val="24"/>
        </w:rPr>
        <w:t xml:space="preserve">canais permanentes de atendimento à Fundação. </w:t>
      </w:r>
    </w:p>
    <w:p>
      <w:pPr>
        <w:pStyle w:val="BodyText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color w:val="000000"/>
          <w:kern w:val="0"/>
          <w:sz w:val="24"/>
          <w:szCs w:val="24"/>
        </w:rPr>
        <w:t>A estrutura disponibilizada deverá ser suficiente para garantir a continuidade da execução dos serviços durante toda a vigência contratual.</w:t>
      </w:r>
    </w:p>
    <w:p>
      <w:pPr>
        <w:pStyle w:val="Heading2"/>
        <w:spacing w:before="0" w:after="55"/>
        <w:jc w:val="both"/>
        <w:rPr>
          <w:rFonts w:ascii="Arial" w:hAnsi="Arial"/>
          <w:sz w:val="24"/>
          <w:szCs w:val="24"/>
        </w:rPr>
      </w:pPr>
      <w:r>
        <w:rPr>
          <w:rFonts w:eastAsia="Times New Roman" w:cs="Arial" w:ascii="Arial" w:hAnsi="Arial"/>
          <w:color w:val="000000"/>
          <w:kern w:val="0"/>
          <w:sz w:val="24"/>
          <w:szCs w:val="24"/>
        </w:rPr>
        <w:t>5.3 Requisitos operacionais</w:t>
      </w:r>
    </w:p>
    <w:p>
      <w:pPr>
        <w:pStyle w:val="BodyText"/>
        <w:spacing w:before="0" w:after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color w:val="000000"/>
          <w:kern w:val="0"/>
          <w:sz w:val="24"/>
          <w:szCs w:val="24"/>
        </w:rPr>
        <w:t>Durante a execução contratual, a contratada deverá assegurar:</w:t>
      </w:r>
    </w:p>
    <w:p>
      <w:pPr>
        <w:pStyle w:val="BodyText"/>
        <w:numPr>
          <w:ilvl w:val="0"/>
          <w:numId w:val="6"/>
        </w:numPr>
        <w:tabs>
          <w:tab w:val="clear" w:pos="709"/>
          <w:tab w:val="left" w:pos="0" w:leader="none"/>
        </w:tabs>
        <w:spacing w:before="0" w:after="0"/>
        <w:ind w:hanging="283" w:left="709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color w:val="000000"/>
          <w:kern w:val="0"/>
          <w:sz w:val="24"/>
          <w:szCs w:val="24"/>
        </w:rPr>
        <w:t xml:space="preserve">atendimento tempestivo às solicitações encaminhadas pela Fundação; </w:t>
      </w:r>
    </w:p>
    <w:p>
      <w:pPr>
        <w:pStyle w:val="BodyText"/>
        <w:numPr>
          <w:ilvl w:val="0"/>
          <w:numId w:val="6"/>
        </w:numPr>
        <w:tabs>
          <w:tab w:val="clear" w:pos="709"/>
          <w:tab w:val="left" w:pos="0" w:leader="none"/>
        </w:tabs>
        <w:spacing w:before="0" w:after="0"/>
        <w:ind w:hanging="283" w:left="709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color w:val="000000"/>
          <w:kern w:val="0"/>
          <w:sz w:val="24"/>
          <w:szCs w:val="24"/>
        </w:rPr>
        <w:t xml:space="preserve">atualização permanente dos registros cadastrais dos estudantes; </w:t>
      </w:r>
    </w:p>
    <w:p>
      <w:pPr>
        <w:pStyle w:val="BodyText"/>
        <w:numPr>
          <w:ilvl w:val="0"/>
          <w:numId w:val="6"/>
        </w:numPr>
        <w:tabs>
          <w:tab w:val="clear" w:pos="709"/>
          <w:tab w:val="left" w:pos="0" w:leader="none"/>
        </w:tabs>
        <w:spacing w:before="0" w:after="0"/>
        <w:ind w:hanging="283" w:left="709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color w:val="000000"/>
          <w:kern w:val="0"/>
          <w:sz w:val="24"/>
          <w:szCs w:val="24"/>
        </w:rPr>
        <w:t xml:space="preserve">controle dos prazos de vigência dos Termos de Compromisso; </w:t>
      </w:r>
    </w:p>
    <w:p>
      <w:pPr>
        <w:pStyle w:val="BodyText"/>
        <w:numPr>
          <w:ilvl w:val="0"/>
          <w:numId w:val="6"/>
        </w:numPr>
        <w:tabs>
          <w:tab w:val="clear" w:pos="709"/>
          <w:tab w:val="left" w:pos="0" w:leader="none"/>
        </w:tabs>
        <w:spacing w:before="0" w:after="0"/>
        <w:ind w:hanging="283" w:left="709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color w:val="000000"/>
          <w:kern w:val="0"/>
          <w:sz w:val="24"/>
          <w:szCs w:val="24"/>
        </w:rPr>
        <w:t xml:space="preserve">emissão da documentação necessária para admissão, renovação e encerramento dos estágios; </w:t>
      </w:r>
    </w:p>
    <w:p>
      <w:pPr>
        <w:pStyle w:val="BodyText"/>
        <w:numPr>
          <w:ilvl w:val="0"/>
          <w:numId w:val="6"/>
        </w:numPr>
        <w:tabs>
          <w:tab w:val="clear" w:pos="709"/>
          <w:tab w:val="left" w:pos="0" w:leader="none"/>
        </w:tabs>
        <w:spacing w:before="0" w:after="0"/>
        <w:ind w:hanging="283" w:left="709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color w:val="000000"/>
          <w:kern w:val="0"/>
          <w:sz w:val="24"/>
          <w:szCs w:val="24"/>
        </w:rPr>
        <w:t xml:space="preserve">manutenção dos seguros obrigatórios, quando atribuídos contratualmente à contratada; </w:t>
      </w:r>
    </w:p>
    <w:p>
      <w:pPr>
        <w:pStyle w:val="BodyText"/>
        <w:numPr>
          <w:ilvl w:val="0"/>
          <w:numId w:val="6"/>
        </w:numPr>
        <w:tabs>
          <w:tab w:val="clear" w:pos="709"/>
          <w:tab w:val="left" w:pos="0" w:leader="none"/>
        </w:tabs>
        <w:spacing w:before="0" w:after="0"/>
        <w:ind w:hanging="283" w:left="709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color w:val="000000"/>
          <w:kern w:val="0"/>
          <w:sz w:val="24"/>
          <w:szCs w:val="24"/>
        </w:rPr>
        <w:t xml:space="preserve">acompanhamento administrativo dos contratos de estágio; </w:t>
      </w:r>
    </w:p>
    <w:p>
      <w:pPr>
        <w:pStyle w:val="BodyText"/>
        <w:numPr>
          <w:ilvl w:val="0"/>
          <w:numId w:val="6"/>
        </w:numPr>
        <w:tabs>
          <w:tab w:val="clear" w:pos="709"/>
          <w:tab w:val="left" w:pos="0" w:leader="none"/>
        </w:tabs>
        <w:ind w:hanging="283" w:left="709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color w:val="000000"/>
          <w:kern w:val="0"/>
          <w:sz w:val="24"/>
          <w:szCs w:val="24"/>
        </w:rPr>
        <w:t xml:space="preserve">emissão de relatórios sempre que solicitado pela fiscalização. </w:t>
      </w:r>
    </w:p>
    <w:p>
      <w:pPr>
        <w:pStyle w:val="Heading2"/>
        <w:spacing w:before="0" w:after="55"/>
        <w:jc w:val="both"/>
        <w:rPr>
          <w:rFonts w:ascii="Arial" w:hAnsi="Arial"/>
          <w:sz w:val="24"/>
          <w:szCs w:val="24"/>
        </w:rPr>
      </w:pPr>
      <w:r>
        <w:rPr>
          <w:rFonts w:eastAsia="Times New Roman" w:cs="Arial" w:ascii="Arial" w:hAnsi="Arial"/>
          <w:color w:val="000000"/>
          <w:kern w:val="0"/>
          <w:sz w:val="24"/>
          <w:szCs w:val="24"/>
        </w:rPr>
        <w:t>5.4 Requisitos de habilitação permanente</w:t>
      </w:r>
    </w:p>
    <w:p>
      <w:pPr>
        <w:pStyle w:val="BodyText"/>
        <w:spacing w:before="0" w:after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color w:val="000000"/>
          <w:kern w:val="0"/>
          <w:sz w:val="24"/>
          <w:szCs w:val="24"/>
        </w:rPr>
        <w:t>Durante toda a execução contratual deverão permanecer válidas todas as condições que permitiram a celebração da contratação direta.</w:t>
      </w:r>
    </w:p>
    <w:p>
      <w:pPr>
        <w:pStyle w:val="BodyText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color w:val="000000"/>
          <w:kern w:val="0"/>
          <w:sz w:val="24"/>
          <w:szCs w:val="24"/>
        </w:rPr>
        <w:t>A perda superveniente das condições de habilitação poderá ensejar a adoção das medidas administrativas cabíveis, inclusive a rescisão contratual, observado o contraditório e a ampla defesa.</w:t>
      </w:r>
    </w:p>
    <w:p>
      <w:pPr>
        <w:pStyle w:val="Normal"/>
        <w:jc w:val="both"/>
        <w:rPr>
          <w:rFonts w:ascii="Arial" w:hAnsi="Arial" w:cs="Arial"/>
          <w:color w:val="000000"/>
          <w:kern w:val="0"/>
          <w:sz w:val="24"/>
          <w:szCs w:val="24"/>
        </w:rPr>
      </w:pPr>
      <w:r>
        <w:rPr>
          <w:rFonts w:cs="Arial" w:ascii="Arial" w:hAnsi="Arial"/>
          <w:color w:val="000000"/>
          <w:kern w:val="0"/>
          <w:sz w:val="24"/>
          <w:szCs w:val="24"/>
        </w:rPr>
      </w:r>
    </w:p>
    <w:p>
      <w:pPr>
        <w:pStyle w:val="NoSpacing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6. EXECUÇÃO DO OBJETO</w:t>
      </w:r>
      <w:r>
        <w:rPr>
          <w:rFonts w:cs="Arial" w:ascii="Arial" w:hAnsi="Arial"/>
          <w:sz w:val="24"/>
          <w:szCs w:val="24"/>
        </w:rPr>
        <w:t>:</w:t>
      </w:r>
    </w:p>
    <w:p>
      <w:pPr>
        <w:pStyle w:val="NoSpacing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6.1. </w:t>
      </w:r>
      <w:r>
        <w:rPr>
          <w:rFonts w:eastAsia="Calibri" w:cs="Arial" w:ascii="Arial" w:hAnsi="Arial" w:eastAsiaTheme="minorHAnsi"/>
          <w:kern w:val="0"/>
          <w:sz w:val="24"/>
          <w:szCs w:val="24"/>
          <w:lang w:eastAsia="en-US"/>
        </w:rPr>
        <w:t>A execução dos serviços deverá observar as disposições deste Termo de Referência, da Lei Federal nº 11.788/2008, da Lei Federal nº 14.133/2021 e demais normas aplicáveis. Os serviços serão executados sob demanda da Fundação Arquivo e Memória de Santos – FAMS, conforme a necessidade de preenchimento das vagas de estágio autorizadas pela Fundação.</w:t>
      </w:r>
    </w:p>
    <w:p>
      <w:pPr>
        <w:pStyle w:val="NoSpacing"/>
        <w:jc w:val="both"/>
        <w:rPr>
          <w:rFonts w:ascii="Arial" w:hAnsi="Arial"/>
          <w:sz w:val="24"/>
          <w:szCs w:val="24"/>
        </w:rPr>
      </w:pPr>
      <w:r>
        <w:rPr>
          <w:rFonts w:eastAsia="Calibri" w:cs="Arial" w:ascii="Arial" w:hAnsi="Arial" w:eastAsiaTheme="minorHAnsi"/>
          <w:kern w:val="0"/>
          <w:sz w:val="24"/>
          <w:szCs w:val="24"/>
          <w:lang w:eastAsia="en-US"/>
        </w:rPr>
        <w:t>6.2. A atuação da contratada restringir-se-á à gestão administrativa do Programa de Estágio, permanecendo sob responsabilidade exclusiva da Fundação:</w:t>
      </w:r>
    </w:p>
    <w:p>
      <w:pPr>
        <w:pStyle w:val="BodyText"/>
        <w:widowControl/>
        <w:numPr>
          <w:ilvl w:val="0"/>
          <w:numId w:val="7"/>
        </w:numPr>
        <w:tabs>
          <w:tab w:val="clear" w:pos="709"/>
          <w:tab w:val="left" w:pos="0" w:leader="none"/>
        </w:tabs>
        <w:suppressAutoHyphens w:val="true"/>
        <w:spacing w:before="0" w:after="0"/>
        <w:ind w:hanging="283" w:left="709"/>
        <w:jc w:val="both"/>
        <w:rPr>
          <w:rFonts w:ascii="Arial" w:hAnsi="Arial"/>
          <w:sz w:val="24"/>
          <w:szCs w:val="24"/>
        </w:rPr>
      </w:pPr>
      <w:r>
        <w:rPr>
          <w:rFonts w:eastAsia="Calibri" w:cs="Arial" w:ascii="Arial" w:hAnsi="Arial" w:eastAsiaTheme="minorHAnsi"/>
          <w:kern w:val="0"/>
          <w:sz w:val="24"/>
          <w:szCs w:val="24"/>
          <w:lang w:eastAsia="en-US"/>
        </w:rPr>
        <w:t xml:space="preserve">a definição das vagas; </w:t>
      </w:r>
    </w:p>
    <w:p>
      <w:pPr>
        <w:pStyle w:val="BodyText"/>
        <w:widowControl/>
        <w:numPr>
          <w:ilvl w:val="0"/>
          <w:numId w:val="7"/>
        </w:numPr>
        <w:tabs>
          <w:tab w:val="clear" w:pos="709"/>
          <w:tab w:val="left" w:pos="0" w:leader="none"/>
        </w:tabs>
        <w:suppressAutoHyphens w:val="true"/>
        <w:spacing w:before="0" w:after="0"/>
        <w:ind w:hanging="283" w:left="709"/>
        <w:jc w:val="both"/>
        <w:rPr>
          <w:rFonts w:ascii="Arial" w:hAnsi="Arial"/>
          <w:sz w:val="24"/>
          <w:szCs w:val="24"/>
        </w:rPr>
      </w:pPr>
      <w:r>
        <w:rPr>
          <w:rFonts w:eastAsia="Calibri" w:cs="Arial" w:ascii="Arial" w:hAnsi="Arial" w:eastAsiaTheme="minorHAnsi"/>
          <w:kern w:val="0"/>
          <w:sz w:val="24"/>
          <w:szCs w:val="24"/>
          <w:lang w:eastAsia="en-US"/>
        </w:rPr>
        <w:t xml:space="preserve">a seleção final dos estudantes; </w:t>
      </w:r>
    </w:p>
    <w:p>
      <w:pPr>
        <w:pStyle w:val="BodyText"/>
        <w:widowControl/>
        <w:numPr>
          <w:ilvl w:val="0"/>
          <w:numId w:val="7"/>
        </w:numPr>
        <w:tabs>
          <w:tab w:val="clear" w:pos="709"/>
          <w:tab w:val="left" w:pos="0" w:leader="none"/>
        </w:tabs>
        <w:suppressAutoHyphens w:val="true"/>
        <w:spacing w:before="0" w:after="0"/>
        <w:ind w:hanging="283" w:left="709"/>
        <w:jc w:val="both"/>
        <w:rPr>
          <w:rFonts w:ascii="Arial" w:hAnsi="Arial"/>
          <w:sz w:val="24"/>
          <w:szCs w:val="24"/>
        </w:rPr>
      </w:pPr>
      <w:r>
        <w:rPr>
          <w:rFonts w:eastAsia="Calibri" w:cs="Arial" w:ascii="Arial" w:hAnsi="Arial" w:eastAsiaTheme="minorHAnsi"/>
          <w:kern w:val="0"/>
          <w:sz w:val="24"/>
          <w:szCs w:val="24"/>
          <w:lang w:eastAsia="en-US"/>
        </w:rPr>
        <w:t xml:space="preserve">a supervisão das atividades desenvolvidas; </w:t>
      </w:r>
    </w:p>
    <w:p>
      <w:pPr>
        <w:pStyle w:val="BodyText"/>
        <w:widowControl/>
        <w:numPr>
          <w:ilvl w:val="0"/>
          <w:numId w:val="7"/>
        </w:numPr>
        <w:tabs>
          <w:tab w:val="clear" w:pos="709"/>
          <w:tab w:val="left" w:pos="0" w:leader="none"/>
        </w:tabs>
        <w:suppressAutoHyphens w:val="true"/>
        <w:spacing w:before="0" w:after="0"/>
        <w:ind w:hanging="283" w:left="709"/>
        <w:jc w:val="both"/>
        <w:rPr>
          <w:rFonts w:ascii="Arial" w:hAnsi="Arial"/>
          <w:sz w:val="24"/>
          <w:szCs w:val="24"/>
        </w:rPr>
      </w:pPr>
      <w:r>
        <w:rPr>
          <w:rFonts w:eastAsia="Calibri" w:cs="Arial" w:ascii="Arial" w:hAnsi="Arial" w:eastAsiaTheme="minorHAnsi"/>
          <w:kern w:val="0"/>
          <w:sz w:val="24"/>
          <w:szCs w:val="24"/>
          <w:lang w:eastAsia="en-US"/>
        </w:rPr>
        <w:t xml:space="preserve">a avaliação do desempenho dos estagiários; </w:t>
      </w:r>
    </w:p>
    <w:p>
      <w:pPr>
        <w:pStyle w:val="BodyText"/>
        <w:widowControl/>
        <w:numPr>
          <w:ilvl w:val="0"/>
          <w:numId w:val="7"/>
        </w:numPr>
        <w:tabs>
          <w:tab w:val="clear" w:pos="709"/>
          <w:tab w:val="left" w:pos="0" w:leader="none"/>
        </w:tabs>
        <w:suppressAutoHyphens w:val="true"/>
        <w:ind w:hanging="283" w:left="709"/>
        <w:jc w:val="both"/>
        <w:rPr>
          <w:rFonts w:ascii="Arial" w:hAnsi="Arial"/>
          <w:sz w:val="24"/>
          <w:szCs w:val="24"/>
        </w:rPr>
      </w:pPr>
      <w:r>
        <w:rPr>
          <w:rFonts w:eastAsia="Calibri" w:cs="Arial" w:ascii="Arial" w:hAnsi="Arial" w:eastAsiaTheme="minorHAnsi"/>
          <w:kern w:val="0"/>
          <w:sz w:val="24"/>
          <w:szCs w:val="24"/>
          <w:lang w:eastAsia="en-US"/>
        </w:rPr>
        <w:t>a definição das atividades a serem desempenhadas.</w:t>
      </w:r>
    </w:p>
    <w:p>
      <w:pPr>
        <w:pStyle w:val="NoSpacing"/>
        <w:jc w:val="both"/>
        <w:rPr>
          <w:rFonts w:ascii="Arial" w:hAnsi="Arial"/>
          <w:sz w:val="24"/>
          <w:szCs w:val="24"/>
        </w:rPr>
      </w:pPr>
      <w:r>
        <w:rPr>
          <w:rFonts w:eastAsia="Calibri" w:cs="Arial" w:ascii="Arial" w:hAnsi="Arial" w:eastAsiaTheme="minorHAnsi"/>
          <w:kern w:val="0"/>
          <w:sz w:val="24"/>
          <w:szCs w:val="24"/>
          <w:lang w:eastAsia="en-US"/>
        </w:rPr>
        <w:t>6.3. Sem prejuízo de outras atividades inerentes ao objeto, a contratada deverá executar:</w:t>
      </w:r>
    </w:p>
    <w:p>
      <w:pPr>
        <w:pStyle w:val="BodyText"/>
        <w:widowControl/>
        <w:suppressAutoHyphens w:val="true"/>
        <w:jc w:val="both"/>
        <w:rPr>
          <w:rFonts w:ascii="Arial" w:hAnsi="Arial"/>
          <w:sz w:val="24"/>
          <w:szCs w:val="24"/>
        </w:rPr>
      </w:pPr>
      <w:r>
        <w:rPr>
          <w:rFonts w:eastAsia="Calibri" w:cs="Arial" w:ascii="Arial" w:hAnsi="Arial" w:eastAsiaTheme="minorHAnsi"/>
          <w:kern w:val="0"/>
          <w:sz w:val="24"/>
          <w:szCs w:val="24"/>
          <w:lang w:eastAsia="en-US"/>
        </w:rPr>
        <w:t>I – recrutamento de estudantes;</w:t>
      </w:r>
    </w:p>
    <w:p>
      <w:pPr>
        <w:pStyle w:val="BodyText"/>
        <w:widowControl/>
        <w:suppressAutoHyphens w:val="true"/>
        <w:jc w:val="both"/>
        <w:rPr>
          <w:rFonts w:ascii="Arial" w:hAnsi="Arial"/>
          <w:sz w:val="24"/>
          <w:szCs w:val="24"/>
        </w:rPr>
      </w:pPr>
      <w:r>
        <w:rPr>
          <w:rFonts w:eastAsia="Calibri" w:cs="Arial" w:ascii="Arial" w:hAnsi="Arial" w:eastAsiaTheme="minorHAnsi"/>
          <w:kern w:val="0"/>
          <w:sz w:val="24"/>
          <w:szCs w:val="24"/>
          <w:lang w:eastAsia="en-US"/>
        </w:rPr>
        <w:t>II – divulgação das vagas;</w:t>
      </w:r>
    </w:p>
    <w:p>
      <w:pPr>
        <w:pStyle w:val="BodyText"/>
        <w:widowControl/>
        <w:suppressAutoHyphens w:val="true"/>
        <w:jc w:val="both"/>
        <w:rPr>
          <w:rFonts w:ascii="Arial" w:hAnsi="Arial"/>
          <w:sz w:val="24"/>
          <w:szCs w:val="24"/>
        </w:rPr>
      </w:pPr>
      <w:r>
        <w:rPr>
          <w:rFonts w:eastAsia="Calibri" w:cs="Arial" w:ascii="Arial" w:hAnsi="Arial" w:eastAsiaTheme="minorHAnsi"/>
          <w:kern w:val="0"/>
          <w:sz w:val="24"/>
          <w:szCs w:val="24"/>
          <w:lang w:eastAsia="en-US"/>
        </w:rPr>
        <w:t>III – manutenção de banco de candidatos;</w:t>
      </w:r>
    </w:p>
    <w:p>
      <w:pPr>
        <w:pStyle w:val="BodyText"/>
        <w:widowControl/>
        <w:suppressAutoHyphens w:val="true"/>
        <w:jc w:val="both"/>
        <w:rPr>
          <w:rFonts w:ascii="Arial" w:hAnsi="Arial"/>
          <w:sz w:val="24"/>
          <w:szCs w:val="24"/>
        </w:rPr>
      </w:pPr>
      <w:r>
        <w:rPr>
          <w:rFonts w:eastAsia="Calibri" w:cs="Arial" w:ascii="Arial" w:hAnsi="Arial" w:eastAsiaTheme="minorHAnsi"/>
          <w:kern w:val="0"/>
          <w:sz w:val="24"/>
          <w:szCs w:val="24"/>
          <w:lang w:eastAsia="en-US"/>
        </w:rPr>
        <w:t>IV – triagem curricular;</w:t>
      </w:r>
    </w:p>
    <w:p>
      <w:pPr>
        <w:pStyle w:val="BodyText"/>
        <w:widowControl/>
        <w:suppressAutoHyphens w:val="true"/>
        <w:jc w:val="both"/>
        <w:rPr>
          <w:rFonts w:ascii="Arial" w:hAnsi="Arial"/>
          <w:sz w:val="24"/>
          <w:szCs w:val="24"/>
        </w:rPr>
      </w:pPr>
      <w:r>
        <w:rPr>
          <w:rFonts w:eastAsia="Calibri" w:cs="Arial" w:ascii="Arial" w:hAnsi="Arial" w:eastAsiaTheme="minorHAnsi"/>
          <w:kern w:val="0"/>
          <w:sz w:val="24"/>
          <w:szCs w:val="24"/>
          <w:lang w:eastAsia="en-US"/>
        </w:rPr>
        <w:t>V – encaminhamento de estudantes;</w:t>
      </w:r>
    </w:p>
    <w:p>
      <w:pPr>
        <w:pStyle w:val="BodyText"/>
        <w:widowControl/>
        <w:suppressAutoHyphens w:val="true"/>
        <w:jc w:val="both"/>
        <w:rPr>
          <w:rFonts w:ascii="Arial" w:hAnsi="Arial"/>
          <w:sz w:val="24"/>
          <w:szCs w:val="24"/>
        </w:rPr>
      </w:pPr>
      <w:r>
        <w:rPr>
          <w:rFonts w:eastAsia="Calibri" w:cs="Arial" w:ascii="Arial" w:hAnsi="Arial" w:eastAsiaTheme="minorHAnsi"/>
          <w:kern w:val="0"/>
          <w:sz w:val="24"/>
          <w:szCs w:val="24"/>
          <w:lang w:eastAsia="en-US"/>
        </w:rPr>
        <w:t>VI – elaboração dos Termos de Compromisso;</w:t>
      </w:r>
    </w:p>
    <w:p>
      <w:pPr>
        <w:pStyle w:val="BodyText"/>
        <w:widowControl/>
        <w:suppressAutoHyphens w:val="true"/>
        <w:jc w:val="both"/>
        <w:rPr>
          <w:rFonts w:ascii="Arial" w:hAnsi="Arial"/>
          <w:sz w:val="24"/>
          <w:szCs w:val="24"/>
        </w:rPr>
      </w:pPr>
      <w:r>
        <w:rPr>
          <w:rFonts w:eastAsia="Calibri" w:cs="Arial" w:ascii="Arial" w:hAnsi="Arial" w:eastAsiaTheme="minorHAnsi"/>
          <w:kern w:val="0"/>
          <w:sz w:val="24"/>
          <w:szCs w:val="24"/>
          <w:lang w:eastAsia="en-US"/>
        </w:rPr>
        <w:t>VII – emissão de Termos Aditivos;</w:t>
      </w:r>
    </w:p>
    <w:p>
      <w:pPr>
        <w:pStyle w:val="BodyText"/>
        <w:widowControl/>
        <w:suppressAutoHyphens w:val="true"/>
        <w:jc w:val="both"/>
        <w:rPr>
          <w:rFonts w:ascii="Arial" w:hAnsi="Arial"/>
          <w:sz w:val="24"/>
          <w:szCs w:val="24"/>
        </w:rPr>
      </w:pPr>
      <w:r>
        <w:rPr>
          <w:rFonts w:eastAsia="Calibri" w:cs="Arial" w:ascii="Arial" w:hAnsi="Arial" w:eastAsiaTheme="minorHAnsi"/>
          <w:kern w:val="0"/>
          <w:sz w:val="24"/>
          <w:szCs w:val="24"/>
          <w:lang w:eastAsia="en-US"/>
        </w:rPr>
        <w:t>VIII – emissão de Termos de Rescisão;</w:t>
      </w:r>
    </w:p>
    <w:p>
      <w:pPr>
        <w:pStyle w:val="BodyText"/>
        <w:widowControl/>
        <w:suppressAutoHyphens w:val="true"/>
        <w:jc w:val="both"/>
        <w:rPr>
          <w:rFonts w:ascii="Arial" w:hAnsi="Arial"/>
          <w:sz w:val="24"/>
          <w:szCs w:val="24"/>
        </w:rPr>
      </w:pPr>
      <w:r>
        <w:rPr>
          <w:rFonts w:eastAsia="Calibri" w:cs="Arial" w:ascii="Arial" w:hAnsi="Arial" w:eastAsiaTheme="minorHAnsi"/>
          <w:kern w:val="0"/>
          <w:sz w:val="24"/>
          <w:szCs w:val="24"/>
          <w:lang w:eastAsia="en-US"/>
        </w:rPr>
        <w:t>IX – controle documental;</w:t>
      </w:r>
    </w:p>
    <w:p>
      <w:pPr>
        <w:pStyle w:val="BodyText"/>
        <w:widowControl/>
        <w:suppressAutoHyphens w:val="true"/>
        <w:jc w:val="both"/>
        <w:rPr>
          <w:rFonts w:ascii="Arial" w:hAnsi="Arial"/>
          <w:sz w:val="24"/>
          <w:szCs w:val="24"/>
        </w:rPr>
      </w:pPr>
      <w:r>
        <w:rPr>
          <w:rFonts w:eastAsia="Calibri" w:cs="Arial" w:ascii="Arial" w:hAnsi="Arial" w:eastAsiaTheme="minorHAnsi"/>
          <w:kern w:val="0"/>
          <w:sz w:val="24"/>
          <w:szCs w:val="24"/>
          <w:lang w:eastAsia="en-US"/>
        </w:rPr>
        <w:t>X – administração dos contratos de estágio;</w:t>
      </w:r>
    </w:p>
    <w:p>
      <w:pPr>
        <w:pStyle w:val="BodyText"/>
        <w:widowControl/>
        <w:suppressAutoHyphens w:val="true"/>
        <w:jc w:val="both"/>
        <w:rPr>
          <w:rFonts w:ascii="Arial" w:hAnsi="Arial"/>
          <w:sz w:val="24"/>
          <w:szCs w:val="24"/>
        </w:rPr>
      </w:pPr>
      <w:r>
        <w:rPr>
          <w:rFonts w:eastAsia="Calibri" w:cs="Arial" w:ascii="Arial" w:hAnsi="Arial" w:eastAsiaTheme="minorHAnsi"/>
          <w:kern w:val="0"/>
          <w:sz w:val="24"/>
          <w:szCs w:val="24"/>
          <w:lang w:eastAsia="en-US"/>
        </w:rPr>
        <w:t>XI – relacionamento com instituições de ensino;</w:t>
      </w:r>
    </w:p>
    <w:p>
      <w:pPr>
        <w:pStyle w:val="BodyText"/>
        <w:widowControl/>
        <w:suppressAutoHyphens w:val="true"/>
        <w:jc w:val="both"/>
        <w:rPr>
          <w:rFonts w:ascii="Arial" w:hAnsi="Arial"/>
          <w:sz w:val="24"/>
          <w:szCs w:val="24"/>
        </w:rPr>
      </w:pPr>
      <w:r>
        <w:rPr>
          <w:rFonts w:eastAsia="Calibri" w:cs="Arial" w:ascii="Arial" w:hAnsi="Arial" w:eastAsiaTheme="minorHAnsi"/>
          <w:kern w:val="0"/>
          <w:sz w:val="24"/>
          <w:szCs w:val="24"/>
          <w:lang w:eastAsia="en-US"/>
        </w:rPr>
        <w:t>XII – contratação do seguro obrigatório, quando aplicável;</w:t>
      </w:r>
    </w:p>
    <w:p>
      <w:pPr>
        <w:pStyle w:val="BodyText"/>
        <w:widowControl/>
        <w:suppressAutoHyphens w:val="true"/>
        <w:jc w:val="both"/>
        <w:rPr>
          <w:rFonts w:ascii="Arial" w:hAnsi="Arial"/>
          <w:sz w:val="24"/>
          <w:szCs w:val="24"/>
        </w:rPr>
      </w:pPr>
      <w:r>
        <w:rPr>
          <w:rFonts w:eastAsia="Calibri" w:cs="Arial" w:ascii="Arial" w:hAnsi="Arial" w:eastAsiaTheme="minorHAnsi"/>
          <w:kern w:val="0"/>
          <w:sz w:val="24"/>
          <w:szCs w:val="24"/>
          <w:lang w:eastAsia="en-US"/>
        </w:rPr>
        <w:t>XIII – emissão de declarações;</w:t>
      </w:r>
    </w:p>
    <w:p>
      <w:pPr>
        <w:pStyle w:val="BodyText"/>
        <w:widowControl/>
        <w:suppressAutoHyphens w:val="true"/>
        <w:jc w:val="both"/>
        <w:rPr>
          <w:rFonts w:ascii="Arial" w:hAnsi="Arial"/>
          <w:sz w:val="24"/>
          <w:szCs w:val="24"/>
        </w:rPr>
      </w:pPr>
      <w:r>
        <w:rPr>
          <w:rFonts w:eastAsia="Calibri" w:cs="Arial" w:ascii="Arial" w:hAnsi="Arial" w:eastAsiaTheme="minorHAnsi"/>
          <w:kern w:val="0"/>
          <w:sz w:val="24"/>
          <w:szCs w:val="24"/>
          <w:lang w:eastAsia="en-US"/>
        </w:rPr>
        <w:t>XIV – emissão de relatórios;</w:t>
      </w:r>
    </w:p>
    <w:p>
      <w:pPr>
        <w:pStyle w:val="BodyText"/>
        <w:widowControl/>
        <w:suppressAutoHyphens w:val="true"/>
        <w:jc w:val="both"/>
        <w:rPr>
          <w:rFonts w:ascii="Arial" w:hAnsi="Arial"/>
          <w:sz w:val="24"/>
          <w:szCs w:val="24"/>
        </w:rPr>
      </w:pPr>
      <w:r>
        <w:rPr>
          <w:rFonts w:eastAsia="Calibri" w:cs="Arial" w:ascii="Arial" w:hAnsi="Arial" w:eastAsiaTheme="minorHAnsi"/>
          <w:kern w:val="0"/>
          <w:sz w:val="24"/>
          <w:szCs w:val="24"/>
          <w:lang w:eastAsia="en-US"/>
        </w:rPr>
        <w:t>XV – orientação técnica à Fundação sobre procedimentos relacionados ao estágio.</w:t>
      </w:r>
    </w:p>
    <w:p>
      <w:pPr>
        <w:pStyle w:val="NoSpacing"/>
        <w:jc w:val="both"/>
        <w:rPr>
          <w:rFonts w:ascii="Arial" w:hAnsi="Arial"/>
          <w:sz w:val="24"/>
          <w:szCs w:val="24"/>
        </w:rPr>
      </w:pPr>
      <w:r>
        <w:rPr>
          <w:rFonts w:eastAsia="Calibri" w:cs="Arial" w:ascii="Arial" w:hAnsi="Arial" w:eastAsiaTheme="minorHAnsi"/>
          <w:kern w:val="0"/>
          <w:sz w:val="24"/>
          <w:szCs w:val="24"/>
          <w:lang w:eastAsia="en-US"/>
        </w:rPr>
        <w:t>6.4. Para garantir a adequada execução contratual, deverão ser observados, preferencialmente, os seguintes prazos máximos:</w:t>
      </w:r>
    </w:p>
    <w:p>
      <w:pPr>
        <w:pStyle w:val="NoSpacing"/>
        <w:jc w:val="both"/>
        <w:rPr>
          <w:rFonts w:ascii="Arial" w:hAnsi="Arial" w:eastAsia="Calibri" w:cs="Arial" w:eastAsiaTheme="minorHAnsi"/>
          <w:kern w:val="0"/>
          <w:sz w:val="24"/>
          <w:szCs w:val="24"/>
          <w:lang w:eastAsia="en-US"/>
        </w:rPr>
      </w:pPr>
      <w:r>
        <w:rPr>
          <w:rFonts w:eastAsia="Calibri" w:cs="Arial" w:eastAsiaTheme="minorHAnsi" w:ascii="Arial" w:hAnsi="Arial"/>
          <w:kern w:val="0"/>
          <w:sz w:val="24"/>
          <w:szCs w:val="24"/>
          <w:lang w:eastAsia="en-US"/>
        </w:rPr>
      </w:r>
    </w:p>
    <w:tbl>
      <w:tblPr>
        <w:tblW w:w="8564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6804"/>
        <w:gridCol w:w="1760"/>
      </w:tblGrid>
      <w:tr>
        <w:trPr>
          <w:tblHeader w:val="true"/>
        </w:trPr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Ttulodetabela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Serviço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tulodetabela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Prazo máximo</w:t>
            </w:r>
          </w:p>
        </w:tc>
      </w:tr>
      <w:tr>
        <w:trPr/>
        <w:tc>
          <w:tcPr>
            <w:tcW w:w="680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ntedodatabela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Início do recrutamento após assinatura do contrato</w:t>
            </w:r>
          </w:p>
        </w:tc>
        <w:tc>
          <w:tcPr>
            <w:tcW w:w="17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Até 2 dias úteis</w:t>
            </w:r>
          </w:p>
        </w:tc>
      </w:tr>
      <w:tr>
        <w:trPr/>
        <w:tc>
          <w:tcPr>
            <w:tcW w:w="680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ntedodatabela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Encaminhamento dos primeiros candidatos</w:t>
            </w:r>
          </w:p>
        </w:tc>
        <w:tc>
          <w:tcPr>
            <w:tcW w:w="17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até 5 dias úteis</w:t>
            </w:r>
          </w:p>
        </w:tc>
      </w:tr>
      <w:tr>
        <w:trPr/>
        <w:tc>
          <w:tcPr>
            <w:tcW w:w="680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ntedodatabela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Substituição em caso de desligamento</w:t>
            </w:r>
          </w:p>
        </w:tc>
        <w:tc>
          <w:tcPr>
            <w:tcW w:w="17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Até 5 dias úteis</w:t>
            </w:r>
          </w:p>
        </w:tc>
      </w:tr>
      <w:tr>
        <w:trPr/>
        <w:tc>
          <w:tcPr>
            <w:tcW w:w="680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ntedodatabela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Emissão do Termo de Compromisso</w:t>
            </w:r>
          </w:p>
        </w:tc>
        <w:tc>
          <w:tcPr>
            <w:tcW w:w="17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até 2 dias úteis</w:t>
            </w:r>
          </w:p>
        </w:tc>
      </w:tr>
      <w:tr>
        <w:trPr/>
        <w:tc>
          <w:tcPr>
            <w:tcW w:w="680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ntedodatabela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Emissão de Termo Aditivo</w:t>
            </w:r>
          </w:p>
        </w:tc>
        <w:tc>
          <w:tcPr>
            <w:tcW w:w="17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até 2 dias úteis</w:t>
            </w:r>
          </w:p>
        </w:tc>
      </w:tr>
      <w:tr>
        <w:trPr/>
        <w:tc>
          <w:tcPr>
            <w:tcW w:w="680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ntedodatabela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Emissão de Termo de Rescisão</w:t>
            </w:r>
          </w:p>
        </w:tc>
        <w:tc>
          <w:tcPr>
            <w:tcW w:w="17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até 2 dias úteis</w:t>
            </w:r>
          </w:p>
        </w:tc>
      </w:tr>
      <w:tr>
        <w:trPr/>
        <w:tc>
          <w:tcPr>
            <w:tcW w:w="680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ntedodatabela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Correção de inconsistências documentais</w:t>
            </w:r>
          </w:p>
        </w:tc>
        <w:tc>
          <w:tcPr>
            <w:tcW w:w="17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até 2 dias úteis</w:t>
            </w:r>
          </w:p>
        </w:tc>
      </w:tr>
      <w:tr>
        <w:trPr/>
        <w:tc>
          <w:tcPr>
            <w:tcW w:w="680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ntedodatabela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Resposta às solicitações da Fundação</w:t>
            </w:r>
          </w:p>
        </w:tc>
        <w:tc>
          <w:tcPr>
            <w:tcW w:w="17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até 1 dia útil</w:t>
            </w:r>
          </w:p>
        </w:tc>
      </w:tr>
      <w:tr>
        <w:trPr/>
        <w:tc>
          <w:tcPr>
            <w:tcW w:w="680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ntedodatabela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Disponibilização de relatórios solicitados</w:t>
            </w:r>
          </w:p>
        </w:tc>
        <w:tc>
          <w:tcPr>
            <w:tcW w:w="17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até 3 dias úteis</w:t>
            </w:r>
          </w:p>
        </w:tc>
      </w:tr>
    </w:tbl>
    <w:p>
      <w:pPr>
        <w:pStyle w:val="BodyText"/>
        <w:widowControl/>
        <w:suppressAutoHyphens w:val="true"/>
        <w:jc w:val="both"/>
        <w:rPr>
          <w:rFonts w:ascii="Arial" w:hAnsi="Arial"/>
          <w:sz w:val="24"/>
          <w:szCs w:val="24"/>
        </w:rPr>
      </w:pPr>
      <w:r>
        <w:rPr>
          <w:rFonts w:eastAsia="Calibri" w:cs="Arial" w:ascii="Arial" w:hAnsi="Arial" w:eastAsiaTheme="minorHAnsi"/>
          <w:kern w:val="0"/>
          <w:sz w:val="24"/>
          <w:szCs w:val="24"/>
          <w:lang w:eastAsia="en-US"/>
        </w:rPr>
        <w:t>Os prazos poderão ser ajustados mediante justificativa aceita pela fiscalização, desde que não haja prejuízo ao interesse público.</w:t>
      </w:r>
    </w:p>
    <w:p>
      <w:pPr>
        <w:pStyle w:val="NoSpacing"/>
        <w:jc w:val="both"/>
        <w:rPr>
          <w:rFonts w:ascii="Arial" w:hAnsi="Arial"/>
          <w:sz w:val="24"/>
          <w:szCs w:val="24"/>
        </w:rPr>
      </w:pPr>
      <w:r>
        <w:rPr>
          <w:rFonts w:eastAsia="ヒラギノ角ゴ Pro W3" w:cs="Arial" w:ascii="Arial" w:hAnsi="Arial"/>
          <w:kern w:val="0"/>
          <w:sz w:val="24"/>
          <w:szCs w:val="24"/>
          <w:shd w:fill="FFFFFF" w:val="clear"/>
          <w:lang w:eastAsia="en-US"/>
        </w:rPr>
        <w:t>6.5. A Contratada deverá apresentar, no mínimo, o dobro do número de candidatos.</w:t>
      </w:r>
    </w:p>
    <w:p>
      <w:pPr>
        <w:pStyle w:val="NoSpacing"/>
        <w:jc w:val="both"/>
        <w:rPr>
          <w:rFonts w:ascii="Arial" w:hAnsi="Arial"/>
          <w:sz w:val="24"/>
          <w:szCs w:val="24"/>
        </w:rPr>
      </w:pPr>
      <w:r>
        <w:rPr>
          <w:rFonts w:eastAsia="ヒラギノ角ゴ Pro W3" w:cs="Arial" w:ascii="Arial" w:hAnsi="Arial"/>
          <w:kern w:val="0"/>
          <w:sz w:val="24"/>
          <w:szCs w:val="24"/>
          <w:shd w:fill="FFFFFF" w:val="clear"/>
          <w:lang w:eastAsia="en-US"/>
        </w:rPr>
        <w:t>6.6. Os serviços serão prestados nas dependências do Arquivo Permanente da FAMS.</w:t>
      </w:r>
    </w:p>
    <w:p>
      <w:pPr>
        <w:pStyle w:val="NoSpacing"/>
        <w:jc w:val="both"/>
        <w:rPr>
          <w:rFonts w:ascii="Arial" w:hAnsi="Arial"/>
          <w:sz w:val="24"/>
          <w:szCs w:val="24"/>
        </w:rPr>
      </w:pPr>
      <w:r>
        <w:rPr>
          <w:rFonts w:eastAsia="ヒラギノ角ゴ Pro W3" w:cs="Arial" w:ascii="Arial" w:hAnsi="Arial"/>
          <w:kern w:val="0"/>
          <w:sz w:val="24"/>
          <w:szCs w:val="24"/>
          <w:shd w:fill="FFFFFF" w:val="clear"/>
          <w:lang w:eastAsia="en-US"/>
        </w:rPr>
        <w:t>6.7. Os serviços serão prestados de segunda a sexta, dentro do horário de funcionamento do Arquivo Permanente.</w:t>
      </w:r>
    </w:p>
    <w:p>
      <w:pPr>
        <w:pStyle w:val="NoSpacing"/>
        <w:jc w:val="both"/>
        <w:rPr>
          <w:rFonts w:ascii="Arial" w:hAnsi="Arial"/>
          <w:sz w:val="24"/>
          <w:szCs w:val="24"/>
        </w:rPr>
      </w:pPr>
      <w:r>
        <w:rPr>
          <w:rFonts w:eastAsia="ヒラギノ角ゴ Pro W3" w:cs="Arial" w:ascii="Arial" w:hAnsi="Arial"/>
          <w:kern w:val="0"/>
          <w:sz w:val="24"/>
          <w:szCs w:val="24"/>
          <w:shd w:fill="FFFFFF" w:val="clear"/>
          <w:lang w:eastAsia="en-US"/>
        </w:rPr>
        <w:t>6.8. Não será admitida a subcontratação, cessão ou transferência, total ou parcial, do objeto.</w:t>
      </w:r>
    </w:p>
    <w:p>
      <w:pPr>
        <w:pStyle w:val="NoSpacing"/>
        <w:jc w:val="both"/>
        <w:rPr>
          <w:rFonts w:ascii="Arial" w:hAnsi="Arial" w:eastAsia="ヒラギノ角ゴ Pro W3" w:cs="Arial"/>
          <w:kern w:val="0"/>
          <w:sz w:val="24"/>
          <w:szCs w:val="24"/>
          <w:highlight w:val="none"/>
          <w:shd w:fill="FFFFFF" w:val="clear"/>
          <w:lang w:eastAsia="en-US"/>
        </w:rPr>
      </w:pPr>
      <w:r>
        <w:rPr>
          <w:rFonts w:eastAsia="ヒラギノ角ゴ Pro W3" w:cs="Arial" w:ascii="Arial" w:hAnsi="Arial"/>
          <w:kern w:val="0"/>
          <w:sz w:val="24"/>
          <w:szCs w:val="24"/>
          <w:shd w:fill="FFFFFF" w:val="clear"/>
          <w:lang w:eastAsia="en-US"/>
        </w:rPr>
      </w:r>
    </w:p>
    <w:p>
      <w:pPr>
        <w:pStyle w:val="NoSpacing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7. PROCEDIMENTO DE FISCALIZAÇÃO E GERENCIAMENTO:</w:t>
      </w:r>
    </w:p>
    <w:p>
      <w:pPr>
        <w:pStyle w:val="BodyText"/>
        <w:widowControl w:val="false"/>
        <w:suppressAutoHyphens w:val="true"/>
        <w:bidi w:val="0"/>
        <w:spacing w:lineRule="auto" w:line="240"/>
        <w:jc w:val="both"/>
        <w:textAlignment w:val="baseline"/>
        <w:rPr>
          <w:rFonts w:ascii="Arial" w:hAnsi="Arial"/>
          <w:sz w:val="24"/>
          <w:szCs w:val="24"/>
        </w:rPr>
      </w:pPr>
      <w:r>
        <w:rPr>
          <w:rFonts w:eastAsia="ヒラギノ角ゴ Pro W3" w:cs="Arial" w:ascii="Arial" w:hAnsi="Arial"/>
          <w:color w:val="auto"/>
          <w:kern w:val="0"/>
          <w:sz w:val="24"/>
          <w:szCs w:val="24"/>
          <w:lang w:val="pt-BR" w:eastAsia="en-US" w:bidi="ar-SA"/>
        </w:rPr>
        <w:t>7.1. O ajuste deverá ser executado fielmente pelas partes, de acordo com as cláusulas avençadas e as normas da Lei n.º 14.133, de 2021, e cada parte responderá pelas consequências de sua inexecução total ou parcial;</w:t>
      </w:r>
    </w:p>
    <w:p>
      <w:pPr>
        <w:pStyle w:val="BodyText"/>
        <w:widowControl w:val="false"/>
        <w:suppressAutoHyphens w:val="true"/>
        <w:bidi w:val="0"/>
        <w:spacing w:lineRule="auto" w:line="240"/>
        <w:jc w:val="both"/>
        <w:textAlignment w:val="baseline"/>
        <w:rPr/>
      </w:pPr>
      <w:r>
        <w:rPr>
          <w:rStyle w:val="Hyperlink"/>
          <w:rFonts w:eastAsia="ヒラギノ角ゴ Pro W3" w:cs="Arial" w:ascii="Arial" w:hAnsi="Arial"/>
          <w:color w:val="auto"/>
          <w:kern w:val="0"/>
          <w:sz w:val="24"/>
          <w:szCs w:val="24"/>
          <w:u w:val="none"/>
          <w:lang w:val="pt-BR" w:eastAsia="en-US" w:bidi="ar-SA"/>
        </w:rPr>
        <w:t xml:space="preserve">7.2. A fiscalização da execução do </w:t>
      </w:r>
      <w:r>
        <w:rPr>
          <w:rStyle w:val="Hyperlink"/>
          <w:rFonts w:eastAsia="ヒラギノ角ゴ Pro W3" w:cs="Arial" w:ascii="Arial" w:hAnsi="Arial"/>
          <w:color w:val="auto"/>
          <w:kern w:val="0"/>
          <w:sz w:val="24"/>
          <w:szCs w:val="24"/>
          <w:u w:val="none"/>
          <w:shd w:fill="FFFFFF" w:val="clear"/>
          <w:lang w:val="pt-BR" w:eastAsia="en-US" w:bidi="ar-SA"/>
        </w:rPr>
        <w:t>contrato</w:t>
      </w:r>
      <w:r>
        <w:rPr>
          <w:rStyle w:val="Hyperlink"/>
          <w:rFonts w:eastAsia="ヒラギノ角ゴ Pro W3" w:cs="Arial" w:ascii="Arial" w:hAnsi="Arial"/>
          <w:color w:val="auto"/>
          <w:kern w:val="0"/>
          <w:sz w:val="24"/>
          <w:szCs w:val="24"/>
          <w:u w:val="none"/>
          <w:lang w:val="pt-BR" w:eastAsia="en-US" w:bidi="ar-SA"/>
        </w:rPr>
        <w:t xml:space="preserve"> será exercida pela Diretoria Técnica da Fundação Arquivo e Memória de Santos – FAMS.</w:t>
      </w:r>
    </w:p>
    <w:p>
      <w:pPr>
        <w:pStyle w:val="BodyText"/>
        <w:widowControl w:val="false"/>
        <w:suppressAutoHyphens w:val="true"/>
        <w:bidi w:val="0"/>
        <w:spacing w:lineRule="auto" w:line="240"/>
        <w:jc w:val="both"/>
        <w:textAlignment w:val="baseline"/>
        <w:rPr/>
      </w:pPr>
      <w:r>
        <w:rPr>
          <w:rStyle w:val="Hyperlink"/>
          <w:rFonts w:eastAsia="ヒラギノ角ゴ Pro W3" w:cs="Arial" w:ascii="Arial" w:hAnsi="Arial"/>
          <w:color w:val="auto"/>
          <w:kern w:val="0"/>
          <w:sz w:val="24"/>
          <w:szCs w:val="24"/>
          <w:u w:val="none"/>
          <w:lang w:val="pt-BR" w:eastAsia="en-US" w:bidi="ar-SA"/>
        </w:rPr>
        <w:t xml:space="preserve">7.3. A gestão do </w:t>
      </w:r>
      <w:r>
        <w:rPr>
          <w:rStyle w:val="Hyperlink"/>
          <w:rFonts w:eastAsia="ヒラギノ角ゴ Pro W3" w:cs="Arial" w:ascii="Arial" w:hAnsi="Arial"/>
          <w:color w:val="auto"/>
          <w:kern w:val="0"/>
          <w:sz w:val="24"/>
          <w:szCs w:val="24"/>
          <w:u w:val="none"/>
          <w:shd w:fill="FFFFFF" w:val="clear"/>
          <w:lang w:val="pt-BR" w:eastAsia="en-US" w:bidi="ar-SA"/>
        </w:rPr>
        <w:t>contrato</w:t>
      </w:r>
      <w:r>
        <w:rPr>
          <w:rStyle w:val="Hyperlink"/>
          <w:rFonts w:eastAsia="ヒラギノ角ゴ Pro W3" w:cs="Arial" w:ascii="Arial" w:hAnsi="Arial"/>
          <w:color w:val="auto"/>
          <w:kern w:val="0"/>
          <w:sz w:val="24"/>
          <w:szCs w:val="24"/>
          <w:u w:val="none"/>
          <w:lang w:val="pt-BR" w:eastAsia="en-US" w:bidi="ar-SA"/>
        </w:rPr>
        <w:t xml:space="preserve"> será exercida pela Diretoria Administrativa e Financeira da Fundação Arquivo e Memória de Santos – FAMS.</w:t>
      </w:r>
    </w:p>
    <w:p>
      <w:pPr>
        <w:pStyle w:val="BodyText"/>
        <w:widowControl w:val="false"/>
        <w:suppressAutoHyphens w:val="true"/>
        <w:bidi w:val="0"/>
        <w:spacing w:lineRule="auto" w:line="240"/>
        <w:jc w:val="both"/>
        <w:textAlignment w:val="baseline"/>
        <w:rPr/>
      </w:pPr>
      <w:r>
        <w:rPr>
          <w:rStyle w:val="Hyperlink"/>
          <w:rFonts w:eastAsia="ヒラギノ角ゴ Pro W3" w:cs="Arial" w:ascii="Arial" w:hAnsi="Arial"/>
          <w:color w:val="auto"/>
          <w:kern w:val="0"/>
          <w:sz w:val="24"/>
          <w:szCs w:val="24"/>
          <w:u w:val="none"/>
          <w:lang w:val="pt-BR" w:eastAsia="en-US" w:bidi="ar-SA"/>
        </w:rPr>
        <w:t>7.4. Compete ao Fiscal do Contrato acompanhar e fiscalizar a execução do objeto, registrando ocorrências e comunicando ao Gestor eventuais irregularidades.</w:t>
      </w:r>
    </w:p>
    <w:p>
      <w:pPr>
        <w:pStyle w:val="BodyText"/>
        <w:widowControl w:val="false"/>
        <w:suppressAutoHyphens w:val="true"/>
        <w:bidi w:val="0"/>
        <w:spacing w:lineRule="auto" w:line="240"/>
        <w:jc w:val="both"/>
        <w:textAlignment w:val="baseline"/>
        <w:rPr/>
      </w:pPr>
      <w:r>
        <w:rPr>
          <w:rStyle w:val="Hyperlink"/>
          <w:rFonts w:eastAsia="ヒラギノ角ゴ Pro W3" w:cs="Arial" w:ascii="Arial" w:hAnsi="Arial"/>
          <w:color w:val="auto"/>
          <w:kern w:val="0"/>
          <w:sz w:val="24"/>
          <w:szCs w:val="24"/>
          <w:u w:val="none"/>
          <w:lang w:val="pt-BR" w:eastAsia="en-US" w:bidi="ar-SA"/>
        </w:rPr>
        <w:t>7.5. Compete ao Gestor coordenar a execução do contrato sob os aspectos administrativos, promover as providências necessárias ao cumprimento do ajuste e adotar as medidas cabíveis para saneamento de eventuais inconformidades.</w:t>
      </w:r>
    </w:p>
    <w:p>
      <w:pPr>
        <w:pStyle w:val="NoSpacing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Spacing"/>
        <w:jc w:val="both"/>
        <w:rPr/>
      </w:pPr>
      <w:r>
        <w:rPr>
          <w:rStyle w:val="Hyperlink"/>
          <w:rFonts w:cs="Arial" w:ascii="Arial" w:hAnsi="Arial"/>
          <w:b/>
          <w:bCs/>
          <w:color w:themeColor="text1" w:val="000000"/>
          <w:sz w:val="24"/>
          <w:szCs w:val="24"/>
          <w:u w:val="none"/>
        </w:rPr>
        <w:t xml:space="preserve">8. </w:t>
      </w:r>
      <w:r>
        <w:rPr>
          <w:rFonts w:cs="Arial" w:ascii="Arial" w:hAnsi="Arial"/>
          <w:b/>
          <w:sz w:val="24"/>
          <w:szCs w:val="24"/>
        </w:rPr>
        <w:t>PAGAMENTO</w:t>
      </w:r>
      <w:r>
        <w:rPr>
          <w:rFonts w:cs="Arial" w:ascii="Arial" w:hAnsi="Arial"/>
          <w:sz w:val="24"/>
          <w:szCs w:val="24"/>
        </w:rPr>
        <w:t>:</w:t>
      </w:r>
    </w:p>
    <w:p>
      <w:pPr>
        <w:pStyle w:val="NoSpacing"/>
        <w:jc w:val="both"/>
        <w:rPr>
          <w:rFonts w:ascii="Arial" w:hAnsi="Arial"/>
          <w:sz w:val="24"/>
          <w:szCs w:val="24"/>
        </w:rPr>
      </w:pPr>
      <w:r>
        <w:rPr>
          <w:rFonts w:eastAsia="ヒラギノ角ゴ Pro W3" w:cs="Arial" w:ascii="Arial" w:hAnsi="Arial"/>
          <w:color w:val="auto"/>
          <w:kern w:val="0"/>
          <w:sz w:val="24"/>
          <w:szCs w:val="24"/>
          <w:lang w:val="pt-BR" w:eastAsia="en-US" w:bidi="ar-SA"/>
        </w:rPr>
        <w:t>8.1. A Contratada deverá emitir Nota Fiscal / Fatura, contemplando o valor total do serviço executado.</w:t>
      </w:r>
    </w:p>
    <w:p>
      <w:pPr>
        <w:pStyle w:val="NoSpacing"/>
        <w:jc w:val="both"/>
        <w:rPr>
          <w:rFonts w:ascii="Arial" w:hAnsi="Arial"/>
          <w:sz w:val="24"/>
          <w:szCs w:val="24"/>
        </w:rPr>
      </w:pPr>
      <w:r>
        <w:rPr>
          <w:rFonts w:eastAsia="ヒラギノ角ゴ Pro W3" w:cs="Arial" w:ascii="Arial" w:hAnsi="Arial"/>
          <w:color w:val="auto"/>
          <w:kern w:val="0"/>
          <w:sz w:val="24"/>
          <w:szCs w:val="24"/>
          <w:lang w:val="pt-BR" w:eastAsia="en-US" w:bidi="ar-SA"/>
        </w:rPr>
        <w:t>8.2. O pagamento mensal da taxa de administração e o repasse da bolsa-auxílio, auxílio transporte e auxílio alimentação ocorrerá até o 5º (quinto) dia útil após o recebimento definitivo da Nota Fiscal relativo à taxa e do recibo relativo aos valores dos estagiários, devidamente atestada pelo fiscalizador do contrato.</w:t>
      </w:r>
    </w:p>
    <w:p>
      <w:pPr>
        <w:pStyle w:val="NoSpacing"/>
        <w:jc w:val="both"/>
        <w:rPr>
          <w:rFonts w:ascii="Arial" w:hAnsi="Arial"/>
          <w:sz w:val="24"/>
          <w:szCs w:val="24"/>
        </w:rPr>
      </w:pPr>
      <w:r>
        <w:rPr>
          <w:rFonts w:eastAsia="ヒラギノ角ゴ Pro W3" w:cs="Arial" w:ascii="Arial" w:hAnsi="Arial"/>
          <w:color w:val="auto"/>
          <w:kern w:val="0"/>
          <w:sz w:val="24"/>
          <w:szCs w:val="24"/>
          <w:lang w:val="pt-BR" w:eastAsia="en-US" w:bidi="ar-SA"/>
        </w:rPr>
        <w:t>8.3. O pagamento será realizado por meio de ordem bancária, para crédito em banco, agência e conta corrente indicados pela Contratada.</w:t>
      </w:r>
    </w:p>
    <w:p>
      <w:pPr>
        <w:pStyle w:val="NoSpacing"/>
        <w:jc w:val="both"/>
        <w:rPr>
          <w:rFonts w:ascii="Arial" w:hAnsi="Arial"/>
          <w:sz w:val="24"/>
          <w:szCs w:val="24"/>
        </w:rPr>
      </w:pPr>
      <w:r>
        <w:rPr>
          <w:rFonts w:eastAsia="ヒラギノ角ゴ Pro W3" w:cs="Arial" w:ascii="Arial" w:hAnsi="Arial"/>
          <w:color w:val="auto"/>
          <w:kern w:val="0"/>
          <w:sz w:val="24"/>
          <w:szCs w:val="24"/>
          <w:lang w:val="pt-BR" w:eastAsia="en-US" w:bidi="ar-SA"/>
        </w:rPr>
        <w:t>8.4. Eventuais boletos encaminhados pela Contratada serão tidos como inexistentes para todos os fins e efeitos.</w:t>
      </w:r>
    </w:p>
    <w:p>
      <w:pPr>
        <w:pStyle w:val="NoSpacing"/>
        <w:jc w:val="both"/>
        <w:rPr>
          <w:rFonts w:ascii="Arial" w:hAnsi="Arial"/>
          <w:sz w:val="24"/>
          <w:szCs w:val="24"/>
        </w:rPr>
      </w:pPr>
      <w:r>
        <w:rPr>
          <w:rFonts w:eastAsia="ヒラギノ角ゴ Pro W3" w:cs="Arial" w:ascii="Arial" w:hAnsi="Arial"/>
          <w:color w:val="auto"/>
          <w:kern w:val="0"/>
          <w:sz w:val="24"/>
          <w:szCs w:val="24"/>
          <w:lang w:val="pt-BR" w:eastAsia="en-US" w:bidi="ar-SA"/>
        </w:rPr>
        <w:t>8.5. Serão recusadas as notas fiscais que relacionem especificações diferentes daquelas solicitadas e/ou constantes da proposta ou do termo de referência.</w:t>
      </w:r>
    </w:p>
    <w:p>
      <w:pPr>
        <w:pStyle w:val="NoSpacing"/>
        <w:jc w:val="both"/>
        <w:rPr>
          <w:rFonts w:ascii="Arial" w:hAnsi="Arial"/>
          <w:sz w:val="24"/>
          <w:szCs w:val="24"/>
        </w:rPr>
      </w:pPr>
      <w:r>
        <w:rPr>
          <w:rFonts w:eastAsia="ヒラギノ角ゴ Pro W3" w:cs="Arial" w:ascii="Arial" w:hAnsi="Arial"/>
          <w:color w:val="auto"/>
          <w:kern w:val="0"/>
          <w:sz w:val="24"/>
          <w:szCs w:val="24"/>
          <w:lang w:val="pt-BR" w:eastAsia="en-US" w:bidi="ar-SA"/>
        </w:rPr>
        <w:t>8.6. Na hipótese do subitem anterior, a contagem do prazo para pagamento somente começará a fluir após a correção do documento fiscal.</w:t>
      </w:r>
    </w:p>
    <w:p>
      <w:pPr>
        <w:pStyle w:val="NoSpacing"/>
        <w:jc w:val="both"/>
        <w:rPr>
          <w:rFonts w:ascii="Arial" w:hAnsi="Arial"/>
          <w:sz w:val="24"/>
          <w:szCs w:val="24"/>
        </w:rPr>
      </w:pPr>
      <w:r>
        <w:rPr>
          <w:rFonts w:eastAsia="ヒラギノ角ゴ Pro W3" w:cs="Arial" w:ascii="Arial" w:hAnsi="Arial"/>
          <w:color w:val="auto"/>
          <w:kern w:val="0"/>
          <w:sz w:val="24"/>
          <w:szCs w:val="24"/>
          <w:lang w:val="pt-BR" w:eastAsia="en-US" w:bidi="ar-SA"/>
        </w:rPr>
        <w:t>8.7. Nenhum pagamento será efetuado à Contratada enquanto pendente de liquidação qualquer obrigação financeira que lhe for imposta em virtude de penalidade ou inadimplência, a qual poderá ser compensada com o(s) pagamento(s) pendente(s), sem que isso gere direito a acréscimos de qualquer natureza.</w:t>
      </w:r>
    </w:p>
    <w:p>
      <w:pPr>
        <w:pStyle w:val="NoSpacing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Spacing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9. CRITÉRIOS PARA ESCOLHA DA CONTRATADA:</w:t>
      </w:r>
    </w:p>
    <w:p>
      <w:pPr>
        <w:pStyle w:val="BodyText"/>
        <w:jc w:val="both"/>
        <w:rPr/>
      </w:pPr>
      <w:r>
        <w:rPr>
          <w:rFonts w:eastAsia="Calibri" w:cs="Arial" w:ascii="Arial" w:hAnsi="Arial" w:eastAsiaTheme="minorHAnsi"/>
          <w:kern w:val="0"/>
          <w:sz w:val="24"/>
          <w:szCs w:val="24"/>
          <w:lang w:eastAsia="en-US"/>
        </w:rPr>
        <w:t xml:space="preserve">A presente contratação será realizada por </w:t>
      </w:r>
      <w:r>
        <w:rPr>
          <w:rStyle w:val="Strong"/>
          <w:rFonts w:eastAsia="Calibri" w:cs="Arial" w:ascii="Arial" w:hAnsi="Arial" w:eastAsiaTheme="minorHAnsi"/>
          <w:kern w:val="0"/>
          <w:sz w:val="24"/>
          <w:szCs w:val="24"/>
          <w:lang w:eastAsia="en-US"/>
        </w:rPr>
        <w:t>dispensa de licitação</w:t>
      </w:r>
      <w:r>
        <w:rPr>
          <w:rFonts w:eastAsia="Calibri" w:cs="Arial" w:ascii="Arial" w:hAnsi="Arial" w:eastAsiaTheme="minorHAnsi"/>
          <w:kern w:val="0"/>
          <w:sz w:val="24"/>
          <w:szCs w:val="24"/>
          <w:lang w:eastAsia="en-US"/>
        </w:rPr>
        <w:t>, com fundamento no artigo 75, inciso XV, da Lei Federal nº 14.133/2021.</w:t>
      </w:r>
    </w:p>
    <w:p>
      <w:pPr>
        <w:pStyle w:val="BodyText"/>
        <w:widowControl/>
        <w:suppressAutoHyphens w:val="true"/>
        <w:jc w:val="both"/>
        <w:rPr>
          <w:rFonts w:ascii="Arial" w:hAnsi="Arial"/>
          <w:sz w:val="24"/>
          <w:szCs w:val="24"/>
        </w:rPr>
      </w:pPr>
      <w:r>
        <w:rPr>
          <w:rFonts w:eastAsia="Calibri" w:cs="Arial" w:ascii="Arial" w:hAnsi="Arial" w:eastAsiaTheme="minorHAnsi"/>
          <w:kern w:val="0"/>
          <w:sz w:val="24"/>
          <w:szCs w:val="24"/>
          <w:lang w:eastAsia="en-US"/>
        </w:rPr>
        <w:t>A escolha da instituição contratada observará os requisitos estabelecidos no referido dispositivo legal, devendo ser demonstrado no processo administrativo que a entidade:</w:t>
      </w:r>
    </w:p>
    <w:p>
      <w:pPr>
        <w:pStyle w:val="BodyText"/>
        <w:widowControl/>
        <w:suppressAutoHyphens w:val="true"/>
        <w:jc w:val="both"/>
        <w:rPr>
          <w:rFonts w:ascii="Arial" w:hAnsi="Arial"/>
          <w:sz w:val="24"/>
          <w:szCs w:val="24"/>
        </w:rPr>
      </w:pPr>
      <w:r>
        <w:rPr>
          <w:rFonts w:eastAsia="Calibri" w:cs="Arial" w:ascii="Arial" w:hAnsi="Arial" w:eastAsiaTheme="minorHAnsi"/>
          <w:kern w:val="0"/>
          <w:sz w:val="24"/>
          <w:szCs w:val="24"/>
          <w:lang w:eastAsia="en-US"/>
        </w:rPr>
        <w:t>I – é instituição brasileira sem fins lucrativos;</w:t>
      </w:r>
    </w:p>
    <w:p>
      <w:pPr>
        <w:pStyle w:val="BodyText"/>
        <w:widowControl/>
        <w:suppressAutoHyphens w:val="true"/>
        <w:jc w:val="both"/>
        <w:rPr>
          <w:rFonts w:ascii="Arial" w:hAnsi="Arial"/>
          <w:sz w:val="24"/>
          <w:szCs w:val="24"/>
        </w:rPr>
      </w:pPr>
      <w:r>
        <w:rPr>
          <w:rFonts w:eastAsia="Calibri" w:cs="Arial" w:ascii="Arial" w:hAnsi="Arial" w:eastAsiaTheme="minorHAnsi"/>
          <w:kern w:val="0"/>
          <w:sz w:val="24"/>
          <w:szCs w:val="24"/>
          <w:lang w:eastAsia="en-US"/>
        </w:rPr>
        <w:t>II – possui finalidade estatutária compatível com o objeto da contratação;</w:t>
      </w:r>
    </w:p>
    <w:p>
      <w:pPr>
        <w:pStyle w:val="BodyText"/>
        <w:widowControl/>
        <w:suppressAutoHyphens w:val="true"/>
        <w:jc w:val="both"/>
        <w:rPr>
          <w:rFonts w:ascii="Arial" w:hAnsi="Arial"/>
          <w:sz w:val="24"/>
          <w:szCs w:val="24"/>
        </w:rPr>
      </w:pPr>
      <w:r>
        <w:rPr>
          <w:rFonts w:eastAsia="Calibri" w:cs="Arial" w:ascii="Arial" w:hAnsi="Arial" w:eastAsiaTheme="minorHAnsi"/>
          <w:kern w:val="0"/>
          <w:sz w:val="24"/>
          <w:szCs w:val="24"/>
          <w:lang w:eastAsia="en-US"/>
        </w:rPr>
        <w:t>III – detém inquestionável reputação ética e profissional;</w:t>
      </w:r>
    </w:p>
    <w:p>
      <w:pPr>
        <w:pStyle w:val="BodyText"/>
        <w:widowControl/>
        <w:suppressAutoHyphens w:val="true"/>
        <w:jc w:val="both"/>
        <w:rPr>
          <w:rFonts w:ascii="Arial" w:hAnsi="Arial"/>
          <w:sz w:val="24"/>
          <w:szCs w:val="24"/>
        </w:rPr>
      </w:pPr>
      <w:r>
        <w:rPr>
          <w:rFonts w:eastAsia="Calibri" w:cs="Arial" w:ascii="Arial" w:hAnsi="Arial" w:eastAsiaTheme="minorHAnsi"/>
          <w:kern w:val="0"/>
          <w:sz w:val="24"/>
          <w:szCs w:val="24"/>
          <w:lang w:eastAsia="en-US"/>
        </w:rPr>
        <w:t>IV – possui capacidade técnica e operacional compatível com a execução dos serviços;</w:t>
      </w:r>
    </w:p>
    <w:p>
      <w:pPr>
        <w:pStyle w:val="BodyText"/>
        <w:widowControl/>
        <w:suppressAutoHyphens w:val="true"/>
        <w:jc w:val="both"/>
        <w:rPr>
          <w:rFonts w:ascii="Arial" w:hAnsi="Arial"/>
          <w:sz w:val="24"/>
          <w:szCs w:val="24"/>
        </w:rPr>
      </w:pPr>
      <w:r>
        <w:rPr>
          <w:rFonts w:eastAsia="Calibri" w:cs="Arial" w:ascii="Arial" w:hAnsi="Arial" w:eastAsiaTheme="minorHAnsi"/>
          <w:kern w:val="0"/>
          <w:sz w:val="24"/>
          <w:szCs w:val="24"/>
          <w:lang w:eastAsia="en-US"/>
        </w:rPr>
        <w:t>V – apresentou proposta compatível com os preços praticados no mercado, demonstrando a vantajosidade da contratação para a Administração.</w:t>
      </w:r>
    </w:p>
    <w:p>
      <w:pPr>
        <w:pStyle w:val="BodyText"/>
        <w:widowControl/>
        <w:suppressAutoHyphens w:val="true"/>
        <w:jc w:val="both"/>
        <w:rPr>
          <w:rFonts w:ascii="Arial" w:hAnsi="Arial"/>
          <w:sz w:val="24"/>
          <w:szCs w:val="24"/>
        </w:rPr>
      </w:pPr>
      <w:r>
        <w:rPr>
          <w:rFonts w:eastAsia="Calibri" w:cs="Arial" w:ascii="Arial" w:hAnsi="Arial" w:eastAsiaTheme="minorHAnsi"/>
          <w:kern w:val="0"/>
          <w:sz w:val="24"/>
          <w:szCs w:val="24"/>
          <w:lang w:eastAsia="en-US"/>
        </w:rPr>
        <w:t>A demonstração do atendimento desses requisitos constará dos documentos que instruem o processo administrativo, especialmente da Justificativa para Dispensa de Licitação, da pesquisa de preços, dos documentos de habilitação e demais elementos exigidos pelos artigos 72 e 75, inciso XV, da Lei Federal nº 14.133/2021.</w:t>
      </w:r>
    </w:p>
    <w:p>
      <w:pPr>
        <w:pStyle w:val="NoSpacing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Spacing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10. ESTIMATIVAS DO VALOR DA CONTRATAÇÃO:</w:t>
      </w:r>
    </w:p>
    <w:p>
      <w:pPr>
        <w:pStyle w:val="NoSpacing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color w:val="000000"/>
          <w:sz w:val="24"/>
          <w:szCs w:val="24"/>
        </w:rPr>
        <w:t>10.1. Pela prestação dos serviços a Contratante pagará a Contratada os valores correspondentes a tabela abaixo:</w:t>
      </w:r>
    </w:p>
    <w:p>
      <w:pPr>
        <w:pStyle w:val="NoSpacing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cs="Arial" w:ascii="Arial" w:hAnsi="Arial"/>
          <w:color w:val="000000"/>
          <w:sz w:val="24"/>
          <w:szCs w:val="24"/>
        </w:rPr>
      </w:r>
    </w:p>
    <w:tbl>
      <w:tblPr>
        <w:tblStyle w:val="Table"/>
        <w:tblW w:w="10020" w:type="dxa"/>
        <w:jc w:val="left"/>
        <w:tblInd w:w="112" w:type="dxa"/>
        <w:tblLayout w:type="fixed"/>
        <w:tblCellMar>
          <w:top w:w="55" w:type="dxa"/>
          <w:left w:w="108" w:type="dxa"/>
          <w:bottom w:w="55" w:type="dxa"/>
          <w:right w:w="108" w:type="dxa"/>
        </w:tblCellMar>
        <w:tblLook w:firstRow="1" w:noVBand="0" w:lastRow="0" w:firstColumn="0" w:lastColumn="0" w:noHBand="0" w:val="0020"/>
      </w:tblPr>
      <w:tblGrid>
        <w:gridCol w:w="1125"/>
        <w:gridCol w:w="570"/>
        <w:gridCol w:w="1244"/>
        <w:gridCol w:w="1306"/>
        <w:gridCol w:w="1305"/>
        <w:gridCol w:w="1185"/>
        <w:gridCol w:w="1649"/>
        <w:gridCol w:w="1636"/>
      </w:tblGrid>
      <w:tr>
        <w:trPr>
          <w:tblHeader w:val="true"/>
        </w:trPr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CCCCCC" w:val="clear"/>
            <w:vAlign w:val="bottom"/>
          </w:tcPr>
          <w:p>
            <w:pPr>
              <w:pStyle w:val="Compact"/>
              <w:widowControl/>
              <w:spacing w:before="36" w:after="36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ptos" w:cs="" w:ascii="Arial" w:hAnsi="Arial"/>
                <w:b w:val="false"/>
                <w:bCs w:val="false"/>
                <w:kern w:val="0"/>
                <w:sz w:val="20"/>
                <w:szCs w:val="20"/>
                <w:shd w:fill="CCCCCC" w:val="clear"/>
                <w:lang w:val="en-US" w:eastAsia="en-US" w:bidi="ar-SA"/>
              </w:rPr>
              <w:t>Empresa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CCCCCC" w:val="clear"/>
            <w:vAlign w:val="bottom"/>
          </w:tcPr>
          <w:p>
            <w:pPr>
              <w:pStyle w:val="Compact"/>
              <w:widowControl/>
              <w:spacing w:before="36" w:after="36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ptos" w:cs="" w:ascii="Arial" w:hAnsi="Arial"/>
                <w:b w:val="false"/>
                <w:bCs w:val="false"/>
                <w:kern w:val="0"/>
                <w:sz w:val="20"/>
                <w:szCs w:val="20"/>
                <w:shd w:fill="CCCCCC" w:val="clear"/>
                <w:lang w:val="en-US" w:eastAsia="en-US" w:bidi="ar-SA"/>
              </w:rPr>
              <w:t>Qd.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CCCCCC" w:val="clear"/>
            <w:vAlign w:val="bottom"/>
          </w:tcPr>
          <w:p>
            <w:pPr>
              <w:pStyle w:val="Compact"/>
              <w:widowControl/>
              <w:spacing w:before="36" w:after="36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ptos" w:cs="" w:ascii="Arial" w:hAnsi="Arial"/>
                <w:b w:val="false"/>
                <w:bCs w:val="false"/>
                <w:kern w:val="0"/>
                <w:sz w:val="20"/>
                <w:szCs w:val="20"/>
                <w:shd w:fill="CCCCCC" w:val="clear"/>
                <w:lang w:val="en-US" w:eastAsia="en-US" w:bidi="ar-SA"/>
              </w:rPr>
              <w:t>Bolsa auxílio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CCCCCC" w:val="clear"/>
            <w:vAlign w:val="bottom"/>
          </w:tcPr>
          <w:p>
            <w:pPr>
              <w:pStyle w:val="Compact"/>
              <w:widowControl/>
              <w:spacing w:before="36" w:after="36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ptos" w:cs="" w:ascii="Arial" w:hAnsi="Arial"/>
                <w:b w:val="false"/>
                <w:bCs w:val="false"/>
                <w:kern w:val="0"/>
                <w:sz w:val="20"/>
                <w:szCs w:val="20"/>
                <w:shd w:fill="CCCCCC" w:val="clear"/>
                <w:lang w:val="en-US" w:eastAsia="en-US" w:bidi="ar-SA"/>
              </w:rPr>
              <w:t>Auxílio alimentação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CCCCCC" w:val="clear"/>
            <w:vAlign w:val="bottom"/>
          </w:tcPr>
          <w:p>
            <w:pPr>
              <w:pStyle w:val="Compact"/>
              <w:widowControl/>
              <w:spacing w:before="36" w:after="36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ptos" w:cs="" w:ascii="Arial" w:hAnsi="Arial"/>
                <w:b w:val="false"/>
                <w:bCs w:val="false"/>
                <w:kern w:val="0"/>
                <w:sz w:val="20"/>
                <w:szCs w:val="20"/>
                <w:shd w:fill="CCCCCC" w:val="clear"/>
                <w:lang w:val="en-US" w:eastAsia="en-US" w:bidi="ar-SA"/>
              </w:rPr>
              <w:t>Auxílio transporte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CCCCCC" w:val="clear"/>
            <w:vAlign w:val="bottom"/>
          </w:tcPr>
          <w:p>
            <w:pPr>
              <w:pStyle w:val="Compact"/>
              <w:widowControl/>
              <w:spacing w:before="36" w:after="36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ptos" w:cs="" w:ascii="Arial" w:hAnsi="Arial"/>
                <w:b w:val="false"/>
                <w:bCs w:val="false"/>
                <w:kern w:val="0"/>
                <w:sz w:val="20"/>
                <w:szCs w:val="20"/>
                <w:shd w:fill="CCCCCC" w:val="clear"/>
                <w:lang w:val="en-US" w:eastAsia="en-US" w:bidi="ar-SA"/>
              </w:rPr>
              <w:t>Taxa de adm.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CCCCCC" w:val="clear"/>
            <w:vAlign w:val="bottom"/>
          </w:tcPr>
          <w:p>
            <w:pPr>
              <w:pStyle w:val="Compact"/>
              <w:widowControl/>
              <w:spacing w:before="36" w:after="36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ptos" w:cs="" w:ascii="Arial" w:hAnsi="Arial"/>
                <w:b w:val="false"/>
                <w:bCs w:val="false"/>
                <w:kern w:val="0"/>
                <w:sz w:val="20"/>
                <w:szCs w:val="20"/>
                <w:shd w:fill="CCCCCC" w:val="clear"/>
                <w:lang w:val="en-US" w:eastAsia="en-US" w:bidi="ar-SA"/>
              </w:rPr>
              <w:t>Valor total mensal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CCCCCC" w:val="clear"/>
            <w:vAlign w:val="bottom"/>
          </w:tcPr>
          <w:p>
            <w:pPr>
              <w:pStyle w:val="Compact"/>
              <w:widowControl/>
              <w:spacing w:before="36" w:after="36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ptos" w:cs="" w:ascii="Arial" w:hAnsi="Arial"/>
                <w:b w:val="false"/>
                <w:bCs w:val="false"/>
                <w:kern w:val="0"/>
                <w:sz w:val="20"/>
                <w:szCs w:val="20"/>
                <w:shd w:fill="CCCCCC" w:val="clear"/>
                <w:lang w:val="en-US" w:eastAsia="en-US" w:bidi="ar-SA"/>
              </w:rPr>
              <w:t>Valor Global (ago-dez)</w:t>
            </w:r>
          </w:p>
        </w:tc>
      </w:tr>
      <w:tr>
        <w:trPr/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mpact"/>
              <w:widowControl/>
              <w:spacing w:before="36" w:after="36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Aptos" w:cs="" w:ascii="Arial" w:hAnsi="Arial"/>
                <w:b w:val="false"/>
                <w:bCs w:val="false"/>
                <w:kern w:val="0"/>
                <w:sz w:val="22"/>
                <w:szCs w:val="22"/>
                <w:lang w:val="en-US" w:eastAsia="en-US" w:bidi="ar-SA"/>
              </w:rPr>
              <w:t>CIEE</w:t>
            </w:r>
          </w:p>
        </w:tc>
        <w:tc>
          <w:tcPr>
            <w:tcW w:w="57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mpact"/>
              <w:widowControl/>
              <w:spacing w:before="36" w:after="36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Aptos" w:cs="" w:ascii="Arial" w:hAnsi="Arial"/>
                <w:b w:val="false"/>
                <w:bCs w:val="false"/>
                <w:kern w:val="0"/>
                <w:sz w:val="22"/>
                <w:szCs w:val="22"/>
                <w:lang w:val="en-US" w:eastAsia="en-US" w:bidi="ar-SA"/>
              </w:rPr>
              <w:t>08</w:t>
            </w:r>
          </w:p>
        </w:tc>
        <w:tc>
          <w:tcPr>
            <w:tcW w:w="124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mpact"/>
              <w:widowControl/>
              <w:spacing w:before="36" w:after="36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Aptos" w:cs="" w:ascii="Arial" w:hAnsi="Arial"/>
                <w:b w:val="false"/>
                <w:bCs w:val="false"/>
                <w:kern w:val="0"/>
                <w:sz w:val="22"/>
                <w:szCs w:val="22"/>
                <w:lang w:val="en-US" w:eastAsia="en-US" w:bidi="ar-SA"/>
              </w:rPr>
              <w:t>R$ 900,00</w:t>
            </w:r>
          </w:p>
        </w:tc>
        <w:tc>
          <w:tcPr>
            <w:tcW w:w="130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mpact"/>
              <w:widowControl/>
              <w:spacing w:before="36" w:after="36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Aptos" w:cs="" w:ascii="Arial" w:hAnsi="Arial"/>
                <w:b w:val="false"/>
                <w:bCs w:val="false"/>
                <w:kern w:val="0"/>
                <w:sz w:val="22"/>
                <w:szCs w:val="22"/>
                <w:lang w:val="en-US" w:eastAsia="en-US" w:bidi="ar-SA"/>
              </w:rPr>
              <w:t>R$ 460,00</w:t>
            </w:r>
          </w:p>
        </w:tc>
        <w:tc>
          <w:tcPr>
            <w:tcW w:w="130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mpact"/>
              <w:widowControl/>
              <w:spacing w:before="36" w:after="36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Aptos" w:cs="" w:ascii="Arial" w:hAnsi="Arial"/>
                <w:b w:val="false"/>
                <w:bCs w:val="false"/>
                <w:kern w:val="0"/>
                <w:sz w:val="22"/>
                <w:szCs w:val="22"/>
                <w:lang w:val="en-US" w:eastAsia="en-US" w:bidi="ar-SA"/>
              </w:rPr>
              <w:t>R$ 231,00</w:t>
            </w:r>
          </w:p>
        </w:tc>
        <w:tc>
          <w:tcPr>
            <w:tcW w:w="118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mpact"/>
              <w:widowControl/>
              <w:spacing w:before="36" w:after="36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Aptos" w:cs="" w:ascii="Arial" w:hAnsi="Arial"/>
                <w:b w:val="false"/>
                <w:bCs w:val="false"/>
                <w:kern w:val="0"/>
                <w:sz w:val="22"/>
                <w:szCs w:val="22"/>
                <w:lang w:val="en-US" w:eastAsia="en-US" w:bidi="ar-SA"/>
              </w:rPr>
              <w:t>R$ 50,45</w:t>
            </w:r>
          </w:p>
        </w:tc>
        <w:tc>
          <w:tcPr>
            <w:tcW w:w="164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mpact"/>
              <w:widowControl/>
              <w:spacing w:before="36" w:after="36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Aptos" w:cs="" w:ascii="Arial" w:hAnsi="Arial"/>
                <w:b w:val="false"/>
                <w:bCs w:val="false"/>
                <w:kern w:val="0"/>
                <w:sz w:val="22"/>
                <w:szCs w:val="22"/>
                <w:lang w:val="en-US" w:eastAsia="en-US" w:bidi="ar-SA"/>
              </w:rPr>
              <w:t>R$ 13.131,60</w:t>
            </w:r>
          </w:p>
        </w:tc>
        <w:tc>
          <w:tcPr>
            <w:tcW w:w="16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mpact"/>
              <w:widowControl/>
              <w:spacing w:before="36" w:after="36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Aptos" w:cs="" w:ascii="Arial" w:hAnsi="Arial"/>
                <w:b/>
                <w:bCs/>
                <w:kern w:val="0"/>
                <w:sz w:val="22"/>
                <w:szCs w:val="22"/>
                <w:lang w:val="en-US" w:eastAsia="en-US" w:bidi="ar-SA"/>
              </w:rPr>
              <w:t>R$ 65.658,00</w:t>
            </w:r>
          </w:p>
        </w:tc>
      </w:tr>
    </w:tbl>
    <w:p>
      <w:pPr>
        <w:pStyle w:val="Normal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color w:val="000000"/>
          <w:sz w:val="24"/>
          <w:szCs w:val="24"/>
        </w:rPr>
        <w:t>10.2. Os valores inicialmente contratados são fixos e irreajustáveis no prazo de um ano.</w:t>
      </w:r>
    </w:p>
    <w:p>
      <w:pPr>
        <w:pStyle w:val="Normal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color w:val="000000"/>
          <w:sz w:val="24"/>
          <w:szCs w:val="24"/>
        </w:rPr>
        <w:t>10.3. A taxa de administração contempla o pagamento dos custeios de remuneração da entidade, inclusos os valores referentes à seleção, locomoção de profissionais, custos operacionais, seguros, fretes, tributos e demais despesas para execução do objeto.</w:t>
      </w:r>
    </w:p>
    <w:p>
      <w:pPr>
        <w:pStyle w:val="Normal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cs="Arial" w:ascii="Arial" w:hAnsi="Arial"/>
          <w:color w:val="000000"/>
          <w:sz w:val="24"/>
          <w:szCs w:val="24"/>
        </w:rPr>
      </w:r>
    </w:p>
    <w:p>
      <w:pPr>
        <w:pStyle w:val="Normal"/>
        <w:spacing w:before="60" w:after="60"/>
        <w:jc w:val="both"/>
        <w:rPr>
          <w:rFonts w:ascii="Arial" w:hAnsi="Arial"/>
          <w:sz w:val="24"/>
          <w:szCs w:val="24"/>
        </w:rPr>
      </w:pPr>
      <w:r>
        <w:rPr>
          <w:rFonts w:eastAsia="ヒラギノ角ゴ Pro W3" w:cs="Arial" w:ascii="Arial" w:hAnsi="Arial"/>
          <w:b/>
          <w:sz w:val="24"/>
          <w:szCs w:val="24"/>
        </w:rPr>
        <w:t>11. OBRIGAÇÕES DA CONTRATADA:</w:t>
      </w:r>
    </w:p>
    <w:p>
      <w:pPr>
        <w:pStyle w:val="Normal"/>
        <w:spacing w:before="60" w:after="60"/>
        <w:jc w:val="both"/>
        <w:rPr>
          <w:rFonts w:ascii="Arial" w:hAnsi="Arial"/>
          <w:sz w:val="24"/>
          <w:szCs w:val="24"/>
        </w:rPr>
      </w:pPr>
      <w:r>
        <w:rPr>
          <w:rFonts w:eastAsia="ヒラギノ角ゴ Pro W3" w:cs="Arial" w:ascii="Arial" w:hAnsi="Arial"/>
          <w:b w:val="false"/>
          <w:bCs w:val="false"/>
          <w:sz w:val="24"/>
          <w:szCs w:val="24"/>
        </w:rPr>
        <w:t>11.1. Responsabilizar-se pelo adimplemento de todas as despesas com a bolsa estágio, auxílio transporte e auxílio alimentação decorrente da execução deste contrato, após prévio repasse da CONTRATANTE, bem como, arcar com todos os custos diretos e indiretos necessários a prestação dos serviços, com exceção de custos adicionais relativos aos estagiários;</w:t>
      </w:r>
    </w:p>
    <w:p>
      <w:pPr>
        <w:pStyle w:val="Normal"/>
        <w:spacing w:before="60" w:after="60"/>
        <w:jc w:val="both"/>
        <w:rPr>
          <w:rFonts w:ascii="Arial" w:hAnsi="Arial"/>
          <w:sz w:val="24"/>
          <w:szCs w:val="24"/>
        </w:rPr>
      </w:pPr>
      <w:r>
        <w:rPr>
          <w:rFonts w:eastAsia="ヒラギノ角ゴ Pro W3" w:cs="Arial" w:ascii="Arial" w:hAnsi="Arial"/>
          <w:b w:val="false"/>
          <w:bCs w:val="false"/>
          <w:sz w:val="24"/>
          <w:szCs w:val="24"/>
        </w:rPr>
        <w:t>11.2. Responder por quaisquer danos ou prejuízos que vier a causar a CONTRATANTE, comprovadamente por culpa ou dolo, à coisa, propriedade ou pessoa de terceiros, em decorrência do objeto do presente instrumento, correndo às suas expensas, todas as despesas que os danos ou prejuízos possam ocasionar.</w:t>
      </w:r>
    </w:p>
    <w:p>
      <w:pPr>
        <w:pStyle w:val="Normal"/>
        <w:spacing w:before="60" w:after="60"/>
        <w:jc w:val="both"/>
        <w:rPr>
          <w:rFonts w:ascii="Arial" w:hAnsi="Arial"/>
          <w:sz w:val="24"/>
          <w:szCs w:val="24"/>
        </w:rPr>
      </w:pPr>
      <w:r>
        <w:rPr>
          <w:rFonts w:eastAsia="ヒラギノ角ゴ Pro W3" w:cs="Arial" w:ascii="Arial" w:hAnsi="Arial"/>
          <w:b w:val="false"/>
          <w:bCs w:val="false"/>
          <w:sz w:val="24"/>
          <w:szCs w:val="24"/>
        </w:rPr>
        <w:t>11.3. O CIEE não será responsabilizado por perda, extravio, prejuízo, dano material ou</w:t>
        <w:br/>
        <w:t>moral de qualquer natureza, decorrentes de atos ou omissões dos estagiários.</w:t>
      </w:r>
    </w:p>
    <w:p>
      <w:pPr>
        <w:pStyle w:val="Normal"/>
        <w:spacing w:before="60" w:after="60"/>
        <w:jc w:val="both"/>
        <w:rPr>
          <w:rFonts w:ascii="Arial" w:hAnsi="Arial"/>
          <w:sz w:val="24"/>
          <w:szCs w:val="24"/>
        </w:rPr>
      </w:pPr>
      <w:r>
        <w:rPr>
          <w:rFonts w:eastAsia="ヒラギノ角ゴ Pro W3" w:cs="Arial" w:ascii="Arial" w:hAnsi="Arial"/>
          <w:b w:val="false"/>
          <w:bCs w:val="false"/>
          <w:sz w:val="24"/>
          <w:szCs w:val="24"/>
        </w:rPr>
        <w:t>11.4. Manter durante toda a execução de serviços, em compatibilidade com as</w:t>
        <w:br/>
        <w:t>obrigações assumidas, todas as condições de habilitação e de qualificação exigidas;</w:t>
      </w:r>
    </w:p>
    <w:p>
      <w:pPr>
        <w:pStyle w:val="Normal"/>
        <w:spacing w:before="60" w:after="60"/>
        <w:jc w:val="both"/>
        <w:rPr>
          <w:rFonts w:ascii="Arial" w:hAnsi="Arial"/>
          <w:sz w:val="24"/>
          <w:szCs w:val="24"/>
        </w:rPr>
      </w:pPr>
      <w:r>
        <w:rPr>
          <w:rFonts w:eastAsia="ヒラギノ角ゴ Pro W3" w:cs="Arial" w:ascii="Arial" w:hAnsi="Arial"/>
          <w:b w:val="false"/>
          <w:bCs w:val="false"/>
          <w:sz w:val="24"/>
          <w:szCs w:val="24"/>
        </w:rPr>
        <w:t>11.5. A violação, pela CONTRATADA, de qualquer das cláusulas ou condições aqui</w:t>
        <w:br/>
        <w:t>estabelecidas poderá acarretar a revogação de pleno direito da presente prestação de</w:t>
        <w:br/>
        <w:t>serviços, independente de notificação judicial ou extrajudicial;</w:t>
      </w:r>
    </w:p>
    <w:p>
      <w:pPr>
        <w:pStyle w:val="Normal"/>
        <w:spacing w:before="60" w:after="60"/>
        <w:jc w:val="both"/>
        <w:rPr>
          <w:rFonts w:ascii="Arial" w:hAnsi="Arial"/>
          <w:sz w:val="24"/>
          <w:szCs w:val="24"/>
        </w:rPr>
      </w:pPr>
      <w:r>
        <w:rPr>
          <w:rFonts w:eastAsia="ヒラギノ角ゴ Pro W3" w:cs="Arial" w:ascii="Arial" w:hAnsi="Arial"/>
          <w:b w:val="false"/>
          <w:bCs w:val="false"/>
          <w:sz w:val="24"/>
          <w:szCs w:val="24"/>
        </w:rPr>
        <w:t xml:space="preserve">11.6. A prestação dos serviços não poderá ser transferida a terceiros, ficando, em </w:t>
        <w:br/>
        <w:t>qualquer caso, a CONTRATADA sujeita a todas as determinações de ordem legal,</w:t>
        <w:br/>
        <w:t>regulamentar e administrativa, na organização, funcionamento, utilização de disciplina na execução dos serviços;</w:t>
      </w:r>
    </w:p>
    <w:p>
      <w:pPr>
        <w:pStyle w:val="Normal"/>
        <w:spacing w:before="60" w:after="60"/>
        <w:jc w:val="both"/>
        <w:rPr>
          <w:rFonts w:ascii="Arial" w:hAnsi="Arial"/>
          <w:sz w:val="24"/>
          <w:szCs w:val="24"/>
        </w:rPr>
      </w:pPr>
      <w:r>
        <w:rPr>
          <w:rFonts w:eastAsia="ヒラギノ角ゴ Pro W3" w:cs="Arial" w:ascii="Arial" w:hAnsi="Arial"/>
          <w:b w:val="false"/>
          <w:bCs w:val="false"/>
          <w:sz w:val="24"/>
          <w:szCs w:val="24"/>
        </w:rPr>
        <w:t>11.7. A CONTRATADA deverá nomear um responsável, procurador, diretor ou gerente, que a representará, integralmente, em todos os seus atos, devendo comunicar ao fiscalizador dos serviços, quando do início da prestação dos serviços;</w:t>
      </w:r>
    </w:p>
    <w:p>
      <w:pPr>
        <w:pStyle w:val="Normal"/>
        <w:spacing w:before="60" w:after="60"/>
        <w:jc w:val="both"/>
        <w:rPr>
          <w:rFonts w:ascii="Arial" w:hAnsi="Arial"/>
          <w:sz w:val="24"/>
          <w:szCs w:val="24"/>
        </w:rPr>
      </w:pPr>
      <w:r>
        <w:rPr>
          <w:rFonts w:eastAsia="ヒラギノ角ゴ Pro W3" w:cs="Arial" w:ascii="Arial" w:hAnsi="Arial"/>
          <w:b w:val="false"/>
          <w:bCs w:val="false"/>
          <w:sz w:val="24"/>
          <w:szCs w:val="24"/>
        </w:rPr>
        <w:t>11.8. A CONTRATADA responderá por quaisquer danos ou prejuízos comprovadamente causados por culpa ou dolo de seus empregados e/ou prepostos à CONTRATANTE e / ou</w:t>
        <w:br/>
        <w:t>a terceiros;</w:t>
      </w:r>
    </w:p>
    <w:p>
      <w:pPr>
        <w:pStyle w:val="Normal"/>
        <w:spacing w:before="60" w:after="60"/>
        <w:jc w:val="both"/>
        <w:rPr>
          <w:rFonts w:ascii="Arial" w:hAnsi="Arial"/>
          <w:sz w:val="24"/>
          <w:szCs w:val="24"/>
        </w:rPr>
      </w:pPr>
      <w:r>
        <w:rPr>
          <w:rFonts w:eastAsia="ヒラギノ角ゴ Pro W3" w:cs="Arial" w:ascii="Arial" w:hAnsi="Arial"/>
          <w:b w:val="false"/>
          <w:bCs w:val="false"/>
          <w:sz w:val="24"/>
          <w:szCs w:val="24"/>
        </w:rPr>
        <w:t>11.9. Não transferir, no todo ou em parte, o objeto deste Termo sob pena de rescisão do</w:t>
        <w:br/>
        <w:t>contrato e outras penalidades cabíveis.</w:t>
      </w:r>
    </w:p>
    <w:p>
      <w:pPr>
        <w:pStyle w:val="Normal"/>
        <w:spacing w:before="60" w:after="60"/>
        <w:jc w:val="both"/>
        <w:rPr>
          <w:rFonts w:ascii="Arial" w:hAnsi="Arial"/>
          <w:sz w:val="24"/>
          <w:szCs w:val="24"/>
        </w:rPr>
      </w:pPr>
      <w:r>
        <w:rPr>
          <w:rFonts w:eastAsia="ヒラギノ角ゴ Pro W3" w:cs="Arial" w:ascii="Arial" w:hAnsi="Arial"/>
          <w:b w:val="false"/>
          <w:bCs w:val="false"/>
          <w:sz w:val="24"/>
          <w:szCs w:val="24"/>
        </w:rPr>
        <w:t>11.10. É de responsabilidade da Contratada e da Contratante o gerenciamento sob a</w:t>
        <w:br/>
        <w:t>contratação e desligamento do estagiário, sendo a pedido da própria contratante e/ou do</w:t>
        <w:br/>
        <w:t>próprio estagiário, devendo sempre ser comunicado os fatos à Fundação Arquivo e</w:t>
        <w:br/>
        <w:t>Memória de Santos;</w:t>
      </w:r>
    </w:p>
    <w:p>
      <w:pPr>
        <w:pStyle w:val="Normal"/>
        <w:spacing w:before="60" w:after="60"/>
        <w:jc w:val="both"/>
        <w:rPr>
          <w:rFonts w:ascii="Arial" w:hAnsi="Arial"/>
          <w:sz w:val="24"/>
          <w:szCs w:val="24"/>
        </w:rPr>
      </w:pPr>
      <w:r>
        <w:rPr>
          <w:rFonts w:eastAsia="ヒラギノ角ゴ Pro W3" w:cs="Arial" w:ascii="Arial" w:hAnsi="Arial"/>
          <w:b w:val="false"/>
          <w:bCs w:val="false"/>
          <w:sz w:val="24"/>
          <w:szCs w:val="24"/>
        </w:rPr>
        <w:t>11.11. No caso de desligamento do estagiário, o mesmo deve ser substituído em até 05</w:t>
        <w:br/>
        <w:t>(cinco) dias úteis.</w:t>
      </w:r>
    </w:p>
    <w:p>
      <w:pPr>
        <w:pStyle w:val="Normal"/>
        <w:spacing w:before="60" w:after="60"/>
        <w:jc w:val="both"/>
        <w:rPr>
          <w:rFonts w:ascii="Arial" w:hAnsi="Arial"/>
          <w:sz w:val="24"/>
          <w:szCs w:val="24"/>
        </w:rPr>
      </w:pPr>
      <w:r>
        <w:rPr>
          <w:rFonts w:eastAsia="ヒラギノ角ゴ Pro W3" w:cs="Arial" w:ascii="Arial" w:hAnsi="Arial"/>
          <w:b w:val="false"/>
          <w:bCs w:val="false"/>
          <w:sz w:val="24"/>
          <w:szCs w:val="24"/>
        </w:rPr>
        <w:t>11.12. Disponibilizar ao estagiário contratado seguro contra acidentes pessoais, com</w:t>
        <w:br/>
        <w:t>cobertura 24 (vinte e quatro) horas por dia, conforme Lei 11.788/2008;</w:t>
      </w:r>
    </w:p>
    <w:p>
      <w:pPr>
        <w:pStyle w:val="Normal"/>
        <w:spacing w:before="60" w:after="60"/>
        <w:jc w:val="both"/>
        <w:rPr>
          <w:rFonts w:ascii="Arial" w:hAnsi="Arial"/>
          <w:sz w:val="24"/>
          <w:szCs w:val="24"/>
        </w:rPr>
      </w:pPr>
      <w:r>
        <w:rPr>
          <w:rFonts w:eastAsia="ヒラギノ角ゴ Pro W3" w:cs="Arial" w:ascii="Arial" w:hAnsi="Arial"/>
          <w:b w:val="false"/>
          <w:bCs w:val="false"/>
          <w:sz w:val="24"/>
          <w:szCs w:val="24"/>
        </w:rPr>
        <w:t>11.13. Efetuar o repasse da bolsa-auxílio, auxílio-transporte e auxilio alimentação no</w:t>
        <w:br/>
        <w:t>prazo de até 48 (quarenta e oito) horas úteis após pagamento realizado pela</w:t>
        <w:br/>
        <w:t>CONTRATANTE.</w:t>
      </w:r>
    </w:p>
    <w:p>
      <w:pPr>
        <w:pStyle w:val="Normal"/>
        <w:spacing w:before="60" w:after="60"/>
        <w:jc w:val="both"/>
        <w:rPr>
          <w:rFonts w:ascii="Arial" w:hAnsi="Arial"/>
          <w:sz w:val="24"/>
          <w:szCs w:val="24"/>
        </w:rPr>
      </w:pPr>
      <w:r>
        <w:rPr>
          <w:rFonts w:eastAsia="ヒラギノ角ゴ Pro W3" w:cs="Arial" w:ascii="Arial" w:hAnsi="Arial"/>
          <w:b w:val="false"/>
          <w:bCs w:val="false"/>
          <w:sz w:val="24"/>
          <w:szCs w:val="24"/>
        </w:rPr>
        <w:t>11.14. Verificar se a instituição de ensino do estudante escolhido possui autorização de</w:t>
        <w:br/>
        <w:t>funcionamento e é reconhecida pelo Ministério da Educação;</w:t>
      </w:r>
    </w:p>
    <w:p>
      <w:pPr>
        <w:pStyle w:val="Normal"/>
        <w:spacing w:before="60" w:after="60"/>
        <w:jc w:val="both"/>
        <w:rPr>
          <w:rFonts w:ascii="Arial" w:hAnsi="Arial"/>
          <w:sz w:val="24"/>
          <w:szCs w:val="24"/>
        </w:rPr>
      </w:pPr>
      <w:r>
        <w:rPr>
          <w:rFonts w:eastAsia="ヒラギノ角ゴ Pro W3" w:cs="Arial" w:ascii="Arial" w:hAnsi="Arial"/>
          <w:b w:val="false"/>
          <w:bCs w:val="false"/>
          <w:sz w:val="24"/>
          <w:szCs w:val="24"/>
        </w:rPr>
        <w:t>11.15. Elaborar o termo de compromisso de estágio do estudante convocado, no prazo</w:t>
        <w:br/>
        <w:t>máximo de até 2 (dois) dias úteis a contar da convocação pelo CONTRATANTE;</w:t>
      </w:r>
    </w:p>
    <w:p>
      <w:pPr>
        <w:pStyle w:val="Normal"/>
        <w:spacing w:before="60" w:after="60"/>
        <w:jc w:val="both"/>
        <w:rPr>
          <w:rFonts w:ascii="Arial" w:hAnsi="Arial"/>
          <w:sz w:val="24"/>
          <w:szCs w:val="24"/>
        </w:rPr>
      </w:pPr>
      <w:r>
        <w:rPr>
          <w:rFonts w:eastAsia="ヒラギノ角ゴ Pro W3" w:cs="Arial" w:ascii="Arial" w:hAnsi="Arial"/>
          <w:b w:val="false"/>
          <w:bCs w:val="false"/>
          <w:sz w:val="24"/>
          <w:szCs w:val="24"/>
        </w:rPr>
        <w:t>11.16. Acompanhar a realização do estágio junto ao CONTRATANTE, subsidiando as</w:t>
        <w:br/>
        <w:t>respectivas instituições de ensino com as informações pertinentes;</w:t>
      </w:r>
    </w:p>
    <w:p>
      <w:pPr>
        <w:pStyle w:val="Normal"/>
        <w:spacing w:before="60" w:after="60"/>
        <w:jc w:val="both"/>
        <w:rPr>
          <w:rFonts w:ascii="Arial" w:hAnsi="Arial"/>
          <w:sz w:val="24"/>
          <w:szCs w:val="24"/>
        </w:rPr>
      </w:pPr>
      <w:r>
        <w:rPr>
          <w:rFonts w:eastAsia="ヒラギノ角ゴ Pro W3" w:cs="Arial" w:ascii="Arial" w:hAnsi="Arial"/>
          <w:b w:val="false"/>
          <w:bCs w:val="false"/>
          <w:sz w:val="24"/>
          <w:szCs w:val="24"/>
        </w:rPr>
        <w:t>11.17. Registrar e manter atualizado o cadastro dos estagiários;</w:t>
      </w:r>
    </w:p>
    <w:p>
      <w:pPr>
        <w:pStyle w:val="Normal"/>
        <w:spacing w:before="60" w:after="60"/>
        <w:jc w:val="both"/>
        <w:rPr>
          <w:rFonts w:ascii="Arial" w:hAnsi="Arial"/>
          <w:sz w:val="24"/>
          <w:szCs w:val="24"/>
        </w:rPr>
      </w:pPr>
      <w:r>
        <w:rPr>
          <w:rFonts w:eastAsia="ヒラギノ角ゴ Pro W3" w:cs="Arial" w:ascii="Arial" w:hAnsi="Arial"/>
          <w:b w:val="false"/>
          <w:bCs w:val="false"/>
          <w:sz w:val="24"/>
          <w:szCs w:val="24"/>
        </w:rPr>
        <w:t>11.18. Comunicar imediatamente o CONTRATANTE, caso tome ciência de qualquer</w:t>
        <w:br/>
        <w:t>irregularidade à respeito dos estagiários, ou, caso ocorra qualquer alteração na situação</w:t>
        <w:br/>
        <w:t>escolar, tais como conclusão, interrupção ou desligamento do curso.</w:t>
      </w:r>
    </w:p>
    <w:p>
      <w:pPr>
        <w:pStyle w:val="Normal"/>
        <w:spacing w:before="60" w:after="60"/>
        <w:jc w:val="both"/>
        <w:rPr>
          <w:rFonts w:ascii="Arial" w:hAnsi="Arial"/>
          <w:sz w:val="24"/>
          <w:szCs w:val="24"/>
        </w:rPr>
      </w:pPr>
      <w:r>
        <w:rPr>
          <w:rFonts w:eastAsia="ヒラギノ角ゴ Pro W3" w:cs="Arial" w:ascii="Arial" w:hAnsi="Arial"/>
          <w:b w:val="false"/>
          <w:bCs w:val="false"/>
          <w:sz w:val="24"/>
          <w:szCs w:val="24"/>
        </w:rPr>
        <w:t xml:space="preserve">11.19. </w:t>
      </w:r>
      <w:r>
        <w:rPr>
          <w:rFonts w:eastAsia="ヒラギノ角ゴ Pro W3" w:cs="Arial" w:ascii="Arial" w:hAnsi="Arial"/>
          <w:b w:val="false"/>
          <w:bCs w:val="false"/>
          <w:sz w:val="24"/>
          <w:szCs w:val="24"/>
          <w:shd w:fill="FFFFFF" w:val="clear"/>
        </w:rPr>
        <w:t>O licitante vencedor deverá indicar na proposta endereço de correio válido para fins de notificações, intimações e comunicações oficiais relacionadas á execução do ajuste, comprometendo-se a mantê-lo ativo e a consultá-lo regularmente até o término dos serviços e/ou até a entrega integral dos bens/produtos objeto da aquisição.</w:t>
      </w:r>
    </w:p>
    <w:p>
      <w:pPr>
        <w:pStyle w:val="Normal"/>
        <w:spacing w:before="60" w:after="60"/>
        <w:jc w:val="both"/>
        <w:rPr>
          <w:rFonts w:ascii="Arial" w:hAnsi="Arial" w:eastAsia="ヒラギノ角ゴ Pro W3" w:cs="Arial"/>
          <w:sz w:val="24"/>
          <w:szCs w:val="24"/>
        </w:rPr>
      </w:pPr>
      <w:r>
        <w:rPr>
          <w:rFonts w:eastAsia="ヒラギノ角ゴ Pro W3" w:cs="Arial" w:ascii="Arial" w:hAnsi="Arial"/>
          <w:sz w:val="24"/>
          <w:szCs w:val="24"/>
        </w:rPr>
      </w:r>
    </w:p>
    <w:p>
      <w:pPr>
        <w:pStyle w:val="Normal"/>
        <w:spacing w:before="60" w:after="60"/>
        <w:jc w:val="both"/>
        <w:rPr>
          <w:rFonts w:ascii="Arial" w:hAnsi="Arial"/>
          <w:sz w:val="24"/>
          <w:szCs w:val="24"/>
        </w:rPr>
      </w:pPr>
      <w:r>
        <w:rPr>
          <w:rFonts w:eastAsia="ヒラギノ角ゴ Pro W3" w:cs="Arial" w:ascii="Arial" w:hAnsi="Arial"/>
          <w:b/>
          <w:sz w:val="24"/>
          <w:szCs w:val="24"/>
        </w:rPr>
        <w:t>12. OBRIGAÇÕES DA CONTRATANTE:</w:t>
      </w:r>
    </w:p>
    <w:p>
      <w:pPr>
        <w:pStyle w:val="Normal"/>
        <w:spacing w:before="60" w:after="60"/>
        <w:jc w:val="both"/>
        <w:rPr>
          <w:rFonts w:ascii="Arial" w:hAnsi="Arial"/>
          <w:sz w:val="24"/>
          <w:szCs w:val="24"/>
        </w:rPr>
      </w:pPr>
      <w:r>
        <w:rPr>
          <w:rFonts w:eastAsia="ヒラギノ角ゴ Pro W3" w:cs="Arial" w:ascii="Arial" w:hAnsi="Arial"/>
          <w:b w:val="false"/>
          <w:bCs w:val="false"/>
          <w:sz w:val="24"/>
          <w:szCs w:val="24"/>
        </w:rPr>
        <w:t>12.1. Colocar à disposição da CONTRATADA às dependências necessárias à execução</w:t>
        <w:br/>
        <w:t>do objeto deste instrumento;</w:t>
      </w:r>
    </w:p>
    <w:p>
      <w:pPr>
        <w:pStyle w:val="Normal"/>
        <w:spacing w:before="60" w:after="60"/>
        <w:jc w:val="both"/>
        <w:rPr>
          <w:rFonts w:ascii="Arial" w:hAnsi="Arial"/>
          <w:sz w:val="24"/>
          <w:szCs w:val="24"/>
        </w:rPr>
      </w:pPr>
      <w:r>
        <w:rPr>
          <w:rFonts w:eastAsia="ヒラギノ角ゴ Pro W3" w:cs="Arial" w:ascii="Arial" w:hAnsi="Arial"/>
          <w:b w:val="false"/>
          <w:bCs w:val="false"/>
          <w:sz w:val="24"/>
          <w:szCs w:val="24"/>
        </w:rPr>
        <w:t>12.2. Fiscalizar a execução dos serviços decorrentes da prestação de serviços;</w:t>
      </w:r>
    </w:p>
    <w:p>
      <w:pPr>
        <w:pStyle w:val="Normal"/>
        <w:spacing w:before="60" w:after="60"/>
        <w:jc w:val="both"/>
        <w:rPr>
          <w:rFonts w:ascii="Arial" w:hAnsi="Arial"/>
          <w:sz w:val="24"/>
          <w:szCs w:val="24"/>
        </w:rPr>
      </w:pPr>
      <w:r>
        <w:rPr>
          <w:rFonts w:eastAsia="ヒラギノ角ゴ Pro W3" w:cs="Arial" w:ascii="Arial" w:hAnsi="Arial"/>
          <w:b w:val="false"/>
          <w:bCs w:val="false"/>
          <w:sz w:val="24"/>
          <w:szCs w:val="24"/>
        </w:rPr>
        <w:t>12.3. Atestar a execução do serviço na respectiva Nota Fiscal e Recibo e encaminhá-la</w:t>
        <w:br/>
        <w:t>para liquidação;</w:t>
      </w:r>
    </w:p>
    <w:p>
      <w:pPr>
        <w:pStyle w:val="Normal"/>
        <w:spacing w:before="60" w:after="60"/>
        <w:jc w:val="both"/>
        <w:rPr>
          <w:rFonts w:ascii="Arial" w:hAnsi="Arial"/>
          <w:sz w:val="24"/>
          <w:szCs w:val="24"/>
        </w:rPr>
      </w:pPr>
      <w:r>
        <w:rPr>
          <w:rFonts w:eastAsia="ヒラギノ角ゴ Pro W3" w:cs="Arial" w:ascii="Arial" w:hAnsi="Arial"/>
          <w:b w:val="false"/>
          <w:bCs w:val="false"/>
          <w:sz w:val="24"/>
          <w:szCs w:val="24"/>
        </w:rPr>
        <w:t>12.4. Manter em perfeitas condições de higiene e funcionamento as instalações dos</w:t>
        <w:br/>
        <w:t>espaços utilizados pelos estagiários;</w:t>
      </w:r>
    </w:p>
    <w:p>
      <w:pPr>
        <w:pStyle w:val="Normal"/>
        <w:spacing w:before="60" w:after="60"/>
        <w:jc w:val="both"/>
        <w:rPr>
          <w:rFonts w:ascii="Arial" w:hAnsi="Arial"/>
          <w:sz w:val="24"/>
          <w:szCs w:val="24"/>
        </w:rPr>
      </w:pPr>
      <w:r>
        <w:rPr>
          <w:rFonts w:eastAsia="ヒラギノ角ゴ Pro W3" w:cs="Arial" w:ascii="Arial" w:hAnsi="Arial"/>
          <w:b w:val="false"/>
          <w:bCs w:val="false"/>
          <w:sz w:val="24"/>
          <w:szCs w:val="24"/>
        </w:rPr>
        <w:t>12.5. Zelar pelo asseio e comportamento dos seus estagiários, podendo a</w:t>
        <w:br/>
        <w:t>CONTRATANTE exigir a substituição daqueles que não se portarem condignamente e</w:t>
        <w:br/>
        <w:t>com urbanidade no desempenho de suas funções, sem prejuízo da aplicação das</w:t>
        <w:br/>
        <w:t>penalidades previstas neste instrumento;</w:t>
      </w:r>
    </w:p>
    <w:p>
      <w:pPr>
        <w:pStyle w:val="Normal"/>
        <w:spacing w:before="60" w:after="60"/>
        <w:jc w:val="both"/>
        <w:rPr>
          <w:rFonts w:ascii="Arial" w:hAnsi="Arial"/>
          <w:sz w:val="24"/>
          <w:szCs w:val="24"/>
        </w:rPr>
      </w:pPr>
      <w:r>
        <w:rPr>
          <w:rFonts w:eastAsia="ヒラギノ角ゴ Pro W3" w:cs="Arial" w:ascii="Arial" w:hAnsi="Arial"/>
          <w:b w:val="false"/>
          <w:bCs w:val="false"/>
          <w:sz w:val="24"/>
          <w:szCs w:val="24"/>
        </w:rPr>
        <w:t>12.6. A FAMS fará o repasse mensal à CONTRATADA  todos os custos correspondentes à bolsa-auxílio, auxílio-transporte e auxilio-alimentação a</w:t>
        <w:br/>
        <w:t>serem pagos aos estagiários, sem prejuízo do pagamento da taxa de administração;</w:t>
      </w:r>
    </w:p>
    <w:p>
      <w:pPr>
        <w:pStyle w:val="Normal"/>
        <w:spacing w:before="60" w:after="60"/>
        <w:jc w:val="both"/>
        <w:rPr>
          <w:rFonts w:ascii="Arial" w:hAnsi="Arial"/>
          <w:sz w:val="24"/>
          <w:szCs w:val="24"/>
        </w:rPr>
      </w:pPr>
      <w:r>
        <w:rPr>
          <w:rFonts w:eastAsia="ヒラギノ角ゴ Pro W3" w:cs="Arial" w:ascii="Arial" w:hAnsi="Arial"/>
          <w:b w:val="false"/>
          <w:bCs w:val="false"/>
          <w:sz w:val="24"/>
          <w:szCs w:val="24"/>
        </w:rPr>
        <w:t>12.7. Prestar todas as informações necessárias ao fiel cumprimento do presente</w:t>
        <w:br/>
        <w:t>instrumento;</w:t>
      </w:r>
    </w:p>
    <w:p>
      <w:pPr>
        <w:pStyle w:val="Normal"/>
        <w:spacing w:before="60" w:after="60"/>
        <w:jc w:val="both"/>
        <w:rPr>
          <w:rFonts w:ascii="Arial" w:hAnsi="Arial"/>
          <w:sz w:val="24"/>
          <w:szCs w:val="24"/>
        </w:rPr>
      </w:pPr>
      <w:r>
        <w:rPr>
          <w:rFonts w:eastAsia="ヒラギノ角ゴ Pro W3" w:cs="Arial" w:ascii="Arial" w:hAnsi="Arial"/>
          <w:b w:val="false"/>
          <w:bCs w:val="false"/>
          <w:sz w:val="24"/>
          <w:szCs w:val="24"/>
        </w:rPr>
        <w:t>12.8. Efetuar, de acordo com a legislação vigente, o recolhimento à Receita Federal do</w:t>
        <w:br/>
        <w:t>valor Imposto de Renda retido sobre as Bolsas-Auxílio pagas aos estagiários;</w:t>
      </w:r>
    </w:p>
    <w:p>
      <w:pPr>
        <w:pStyle w:val="Normal"/>
        <w:spacing w:before="60" w:after="60"/>
        <w:jc w:val="both"/>
        <w:rPr>
          <w:rFonts w:ascii="Arial" w:hAnsi="Arial"/>
          <w:sz w:val="24"/>
          <w:szCs w:val="24"/>
        </w:rPr>
      </w:pPr>
      <w:r>
        <w:rPr>
          <w:rFonts w:eastAsia="ヒラギノ角ゴ Pro W3" w:cs="Arial" w:ascii="Arial" w:hAnsi="Arial"/>
          <w:b w:val="false"/>
          <w:bCs w:val="false"/>
          <w:sz w:val="24"/>
          <w:szCs w:val="24"/>
        </w:rPr>
        <w:t>12.9. Emitir e fornecer aos estagiários, anualmente, o informe sobre Bolsas-Auxílios</w:t>
        <w:br/>
        <w:t>concedidas, para fins de declaração do Imposto de Renda.</w:t>
      </w:r>
    </w:p>
    <w:p>
      <w:pPr>
        <w:pStyle w:val="Normal"/>
        <w:spacing w:before="60" w:after="60"/>
        <w:jc w:val="both"/>
        <w:rPr>
          <w:rFonts w:ascii="Arial" w:hAnsi="Arial" w:eastAsia="ヒラギノ角ゴ Pro W3" w:cs="Arial"/>
          <w:b w:val="false"/>
          <w:bCs w:val="false"/>
          <w:sz w:val="24"/>
          <w:szCs w:val="24"/>
        </w:rPr>
      </w:pPr>
      <w:r>
        <w:rPr>
          <w:rFonts w:eastAsia="ヒラギノ角ゴ Pro W3" w:cs="Arial" w:ascii="Arial" w:hAnsi="Arial"/>
          <w:b w:val="false"/>
          <w:bCs w:val="false"/>
          <w:sz w:val="24"/>
          <w:szCs w:val="24"/>
        </w:rPr>
      </w:r>
    </w:p>
    <w:p>
      <w:pPr>
        <w:pStyle w:val="NoSpacing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13. DAS SANÇÕES:</w:t>
      </w:r>
    </w:p>
    <w:p>
      <w:pPr>
        <w:pStyle w:val="Normal"/>
        <w:spacing w:before="60" w:after="60"/>
        <w:jc w:val="both"/>
        <w:rPr>
          <w:rFonts w:ascii="Arial" w:hAnsi="Arial"/>
          <w:sz w:val="24"/>
          <w:szCs w:val="24"/>
        </w:rPr>
      </w:pPr>
      <w:r>
        <w:rPr>
          <w:rFonts w:eastAsia="ヒラギノ角ゴ Pro W3" w:cs="Arial" w:ascii="Arial" w:hAnsi="Arial"/>
          <w:b w:val="false"/>
          <w:bCs w:val="false"/>
          <w:sz w:val="24"/>
          <w:szCs w:val="24"/>
        </w:rPr>
        <w:t>13.1. A inexecução total ou parcial do Contrato, assim como a execução irregular ou o atraso injustificado, sujeitará a Contratada, sem prejuízo da rescisão do Contrato, às seguintes penalidades:</w:t>
      </w:r>
    </w:p>
    <w:p>
      <w:pPr>
        <w:pStyle w:val="Normal"/>
        <w:spacing w:before="60" w:after="60"/>
        <w:jc w:val="both"/>
        <w:rPr>
          <w:rFonts w:ascii="Arial" w:hAnsi="Arial"/>
          <w:sz w:val="24"/>
          <w:szCs w:val="24"/>
        </w:rPr>
      </w:pPr>
      <w:r>
        <w:rPr>
          <w:rFonts w:eastAsia="ヒラギノ角ゴ Pro W3" w:cs="Arial" w:ascii="Arial" w:hAnsi="Arial"/>
          <w:b w:val="false"/>
          <w:bCs w:val="false"/>
          <w:sz w:val="24"/>
          <w:szCs w:val="24"/>
        </w:rPr>
        <w:t>a) advertência;</w:t>
      </w:r>
    </w:p>
    <w:p>
      <w:pPr>
        <w:pStyle w:val="Normal"/>
        <w:spacing w:before="60" w:after="60"/>
        <w:jc w:val="both"/>
        <w:rPr>
          <w:rFonts w:ascii="Arial" w:hAnsi="Arial"/>
          <w:sz w:val="24"/>
          <w:szCs w:val="24"/>
        </w:rPr>
      </w:pPr>
      <w:r>
        <w:rPr>
          <w:rFonts w:eastAsia="ヒラギノ角ゴ Pro W3" w:cs="Arial" w:ascii="Arial" w:hAnsi="Arial"/>
          <w:b w:val="false"/>
          <w:bCs w:val="false"/>
          <w:sz w:val="24"/>
          <w:szCs w:val="24"/>
        </w:rPr>
        <w:t>b) multa;</w:t>
      </w:r>
    </w:p>
    <w:p>
      <w:pPr>
        <w:pStyle w:val="Normal"/>
        <w:spacing w:before="60" w:after="60"/>
        <w:jc w:val="both"/>
        <w:rPr>
          <w:rFonts w:ascii="Arial" w:hAnsi="Arial"/>
          <w:sz w:val="24"/>
          <w:szCs w:val="24"/>
        </w:rPr>
      </w:pPr>
      <w:r>
        <w:rPr>
          <w:rFonts w:eastAsia="ヒラギノ角ゴ Pro W3" w:cs="Arial" w:ascii="Arial" w:hAnsi="Arial"/>
          <w:b w:val="false"/>
          <w:bCs w:val="false"/>
          <w:sz w:val="24"/>
          <w:szCs w:val="24"/>
        </w:rPr>
        <w:t>c) impedimento de licitar e contratar;</w:t>
      </w:r>
    </w:p>
    <w:p>
      <w:pPr>
        <w:pStyle w:val="Normal"/>
        <w:spacing w:before="60" w:after="60"/>
        <w:jc w:val="both"/>
        <w:rPr>
          <w:rFonts w:ascii="Arial" w:hAnsi="Arial"/>
          <w:sz w:val="24"/>
          <w:szCs w:val="24"/>
        </w:rPr>
      </w:pPr>
      <w:r>
        <w:rPr>
          <w:rFonts w:eastAsia="ヒラギノ角ゴ Pro W3" w:cs="Arial" w:ascii="Arial" w:hAnsi="Arial"/>
          <w:b w:val="false"/>
          <w:bCs w:val="false"/>
          <w:sz w:val="24"/>
          <w:szCs w:val="24"/>
        </w:rPr>
        <w:t>d) declaração de inidoneidade para licitar ou contratar.</w:t>
      </w:r>
    </w:p>
    <w:p>
      <w:pPr>
        <w:pStyle w:val="Normal"/>
        <w:spacing w:before="60" w:after="60"/>
        <w:jc w:val="both"/>
        <w:rPr>
          <w:rFonts w:ascii="Arial" w:hAnsi="Arial"/>
          <w:sz w:val="24"/>
          <w:szCs w:val="24"/>
        </w:rPr>
      </w:pPr>
      <w:r>
        <w:rPr>
          <w:rFonts w:eastAsia="ヒラギノ角ゴ Pro W3" w:cs="Arial" w:ascii="Arial" w:hAnsi="Arial"/>
          <w:b w:val="false"/>
          <w:bCs w:val="false"/>
          <w:sz w:val="24"/>
          <w:szCs w:val="24"/>
        </w:rPr>
        <w:t xml:space="preserve">13.2. </w:t>
      </w:r>
      <w:r>
        <w:rPr>
          <w:rFonts w:eastAsia="" w:cs="Times New Roman" w:ascii="Arial" w:hAnsi="Arial" w:eastAsiaTheme="minorEastAsia"/>
          <w:b w:val="false"/>
          <w:bCs w:val="false"/>
          <w:sz w:val="24"/>
          <w:szCs w:val="24"/>
        </w:rPr>
        <w:t>Nenhuma sanção será aplicada sem o devido processo administrativo.</w:t>
      </w:r>
    </w:p>
    <w:p>
      <w:pPr>
        <w:pStyle w:val="Normal"/>
        <w:spacing w:before="60" w:after="60"/>
        <w:jc w:val="both"/>
        <w:rPr>
          <w:rFonts w:ascii="Arial" w:hAnsi="Arial"/>
          <w:sz w:val="24"/>
          <w:szCs w:val="24"/>
        </w:rPr>
      </w:pPr>
      <w:r>
        <w:rPr>
          <w:rFonts w:eastAsia="" w:cs="Times New Roman" w:ascii="Arial" w:hAnsi="Arial" w:eastAsiaTheme="minorEastAsia"/>
          <w:b w:val="false"/>
          <w:bCs w:val="false"/>
          <w:sz w:val="24"/>
          <w:szCs w:val="24"/>
        </w:rPr>
        <w:t xml:space="preserve">13.3. </w:t>
      </w:r>
      <w:r>
        <w:rPr>
          <w:rFonts w:eastAsia="" w:cs="Times New Roman" w:ascii="Arial" w:hAnsi="Arial" w:eastAsiaTheme="minorEastAsia"/>
          <w:b w:val="false"/>
          <w:bCs w:val="false"/>
          <w:color w:val="auto"/>
          <w:kern w:val="0"/>
          <w:sz w:val="24"/>
          <w:szCs w:val="24"/>
          <w:lang w:val="pt-BR" w:eastAsia="pt-BR" w:bidi="ar-SA"/>
        </w:rPr>
        <w:t>A aplicação das penalidades ocorrerá no prazo de 15 (quinze) dias úteis, a contar da intimação do ato, e no caso de sanção de multa, após defesa prévia do interessado.</w:t>
      </w:r>
    </w:p>
    <w:p>
      <w:pPr>
        <w:pStyle w:val="Normal"/>
        <w:spacing w:before="60" w:after="60"/>
        <w:jc w:val="both"/>
        <w:rPr>
          <w:rFonts w:ascii="Arial" w:hAnsi="Arial"/>
          <w:sz w:val="24"/>
          <w:szCs w:val="24"/>
        </w:rPr>
      </w:pPr>
      <w:r>
        <w:rPr>
          <w:rFonts w:eastAsia="" w:cs="Times New Roman" w:ascii="Arial" w:hAnsi="Arial" w:eastAsiaTheme="minorEastAsia"/>
          <w:b w:val="false"/>
          <w:bCs w:val="false"/>
          <w:color w:val="auto"/>
          <w:kern w:val="0"/>
          <w:sz w:val="24"/>
          <w:szCs w:val="24"/>
          <w:lang w:val="pt-BR" w:eastAsia="pt-BR" w:bidi="ar-SA"/>
        </w:rPr>
        <w:t>13.4. No caso de aplicação das penalidades previstas nas alíneas “a”, “b” e “c” do item 13.1, caberá apresentação de recurso no prazo de 15 (quinze) dias úteis, a contar da intimação do ato.</w:t>
      </w:r>
    </w:p>
    <w:p>
      <w:pPr>
        <w:pStyle w:val="Normal"/>
        <w:spacing w:before="60" w:after="60"/>
        <w:jc w:val="both"/>
        <w:rPr>
          <w:rFonts w:ascii="Arial" w:hAnsi="Arial"/>
          <w:sz w:val="24"/>
          <w:szCs w:val="24"/>
        </w:rPr>
      </w:pPr>
      <w:r>
        <w:rPr>
          <w:rFonts w:eastAsia="" w:cs="Times New Roman" w:ascii="Arial" w:hAnsi="Arial" w:eastAsiaTheme="minorEastAsia"/>
          <w:b w:val="false"/>
          <w:bCs w:val="false"/>
          <w:color w:val="auto"/>
          <w:kern w:val="0"/>
          <w:sz w:val="24"/>
          <w:szCs w:val="24"/>
          <w:lang w:val="pt-BR" w:eastAsia="pt-BR" w:bidi="ar-SA"/>
        </w:rPr>
        <w:t>13.5. No caso de aplicação da penalidade prevista na alínea “d” do item 13.1, caberá pedido de reconsideração no prazo de 15 (quinze) dias úteis, a contar da intimação do ato.</w:t>
      </w:r>
    </w:p>
    <w:p>
      <w:pPr>
        <w:pStyle w:val="Normal"/>
        <w:spacing w:before="60" w:after="60"/>
        <w:jc w:val="both"/>
        <w:rPr>
          <w:rFonts w:ascii="Arial" w:hAnsi="Arial"/>
          <w:sz w:val="24"/>
          <w:szCs w:val="24"/>
        </w:rPr>
      </w:pPr>
      <w:r>
        <w:rPr>
          <w:rFonts w:eastAsia="" w:cs="Times New Roman" w:ascii="Arial" w:hAnsi="Arial" w:eastAsiaTheme="minorEastAsia"/>
          <w:b w:val="false"/>
          <w:bCs w:val="false"/>
          <w:color w:val="auto"/>
          <w:kern w:val="0"/>
          <w:sz w:val="24"/>
          <w:szCs w:val="24"/>
          <w:lang w:val="pt-BR" w:eastAsia="pt-BR" w:bidi="ar-SA"/>
        </w:rPr>
        <w:t>13.6. Nos prazos de defesa prévia e recurso, será aberta vista do processo à Contratada.</w:t>
      </w:r>
    </w:p>
    <w:p>
      <w:pPr>
        <w:pStyle w:val="Normal"/>
        <w:spacing w:before="60" w:after="60"/>
        <w:jc w:val="both"/>
        <w:rPr>
          <w:rFonts w:ascii="Arial" w:hAnsi="Arial"/>
          <w:sz w:val="24"/>
          <w:szCs w:val="24"/>
        </w:rPr>
      </w:pPr>
      <w:r>
        <w:rPr>
          <w:rFonts w:eastAsia="" w:cs="Times New Roman" w:ascii="Arial" w:hAnsi="Arial" w:eastAsiaTheme="minorEastAsia"/>
          <w:b w:val="false"/>
          <w:bCs w:val="false"/>
          <w:color w:val="auto"/>
          <w:kern w:val="0"/>
          <w:sz w:val="24"/>
          <w:szCs w:val="24"/>
          <w:lang w:val="pt-BR" w:eastAsia="pt-BR" w:bidi="ar-SA"/>
        </w:rPr>
        <w:t>13.7. A advertência será aplicada exclusivamente na hipótese de inexecução parcial do contrato, quando não se justificar aplicação de penalidade mais grave.</w:t>
      </w:r>
    </w:p>
    <w:p>
      <w:pPr>
        <w:pStyle w:val="Normal"/>
        <w:spacing w:before="60" w:after="60"/>
        <w:jc w:val="both"/>
        <w:rPr>
          <w:rFonts w:ascii="Arial" w:hAnsi="Arial"/>
          <w:sz w:val="24"/>
          <w:szCs w:val="24"/>
        </w:rPr>
      </w:pPr>
      <w:r>
        <w:rPr>
          <w:rFonts w:eastAsia="" w:cs="Times New Roman" w:ascii="Arial" w:hAnsi="Arial" w:eastAsiaTheme="minorEastAsia"/>
          <w:b w:val="false"/>
          <w:bCs w:val="false"/>
          <w:color w:val="auto"/>
          <w:kern w:val="0"/>
          <w:sz w:val="24"/>
          <w:szCs w:val="24"/>
          <w:lang w:val="pt-BR" w:eastAsia="pt-BR" w:bidi="ar-SA"/>
        </w:rPr>
        <w:t>13.8. A CONTRATADA ficará sujeita às seguintes multas:</w:t>
      </w:r>
    </w:p>
    <w:p>
      <w:pPr>
        <w:pStyle w:val="Normal"/>
        <w:spacing w:before="60" w:after="60"/>
        <w:jc w:val="left"/>
        <w:rPr>
          <w:rFonts w:ascii="Arial" w:hAnsi="Arial"/>
          <w:sz w:val="24"/>
          <w:szCs w:val="24"/>
        </w:rPr>
      </w:pPr>
      <w:r>
        <w:rPr>
          <w:rFonts w:eastAsia="" w:ascii="Arial" w:hAnsi="Arial" w:eastAsiaTheme="minorEastAsia"/>
          <w:b w:val="false"/>
          <w:bCs w:val="false"/>
          <w:kern w:val="0"/>
          <w:sz w:val="24"/>
          <w:szCs w:val="24"/>
        </w:rPr>
        <w:t>a) 30% (trinta por cento) sobre o valor total da taxa administrativa do CIEE, no caso</w:t>
        <w:br/>
        <w:t>de inexecução total;</w:t>
        <w:br/>
        <w:t xml:space="preserve">b) </w:t>
      </w:r>
      <w:r>
        <w:rPr>
          <w:rFonts w:eastAsia="" w:cs="Times New Roman" w:ascii="Arial" w:hAnsi="Arial" w:eastAsiaTheme="minorEastAsia"/>
          <w:b w:val="false"/>
          <w:bCs w:val="false"/>
          <w:kern w:val="0"/>
          <w:sz w:val="24"/>
          <w:szCs w:val="24"/>
        </w:rPr>
        <w:t>1% (um por cento) ao dia, sobre o valor total da taxa administrativa do CIEE, na hipótese de atraso na prestação dos serviços</w:t>
      </w:r>
      <w:r>
        <w:rPr>
          <w:rFonts w:eastAsia="" w:ascii="Arial" w:hAnsi="Arial" w:eastAsiaTheme="minorEastAsia"/>
          <w:b w:val="false"/>
          <w:bCs w:val="false"/>
          <w:kern w:val="0"/>
          <w:sz w:val="24"/>
          <w:szCs w:val="24"/>
        </w:rPr>
        <w:t>;</w:t>
        <w:br/>
        <w:t xml:space="preserve">c) </w:t>
      </w:r>
      <w:r>
        <w:rPr>
          <w:rFonts w:eastAsia="" w:cs="Times New Roman" w:ascii="Arial" w:hAnsi="Arial" w:eastAsiaTheme="minorEastAsia"/>
          <w:b w:val="false"/>
          <w:bCs w:val="false"/>
          <w:kern w:val="0"/>
          <w:sz w:val="24"/>
          <w:szCs w:val="24"/>
        </w:rPr>
        <w:t>30% (trinta por cento) sobre o valor remanescente do contrato, no caso de inadimplemento parcial, ou seja, na hipótese de execução de serviços incompletos;</w:t>
      </w:r>
      <w:r>
        <w:rPr>
          <w:rFonts w:eastAsia="" w:ascii="Arial" w:hAnsi="Arial" w:eastAsiaTheme="minorEastAsia"/>
          <w:b w:val="false"/>
          <w:bCs w:val="false"/>
          <w:kern w:val="0"/>
          <w:sz w:val="24"/>
          <w:szCs w:val="24"/>
        </w:rPr>
        <w:br/>
        <w:t>d) 10% (dez por cento) sobre o valor total da taxa administrativa do CIEE, no caso de</w:t>
        <w:br/>
        <w:t>descumprimento de qualquer outra cláusula ou condição do Contrato, não mencionada</w:t>
        <w:br/>
        <w:t>nos incisos anteriores.</w:t>
      </w:r>
    </w:p>
    <w:p>
      <w:pPr>
        <w:pStyle w:val="Normal"/>
        <w:spacing w:before="60" w:after="60"/>
        <w:jc w:val="both"/>
        <w:rPr>
          <w:rFonts w:ascii="Arial" w:hAnsi="Arial"/>
          <w:sz w:val="24"/>
          <w:szCs w:val="24"/>
        </w:rPr>
      </w:pPr>
      <w:r>
        <w:rPr>
          <w:rFonts w:eastAsia="ヒラギノ角ゴ Pro W3" w:cs="Arial" w:ascii="Arial" w:hAnsi="Arial"/>
          <w:b w:val="false"/>
          <w:bCs w:val="false"/>
          <w:sz w:val="24"/>
          <w:szCs w:val="24"/>
        </w:rPr>
        <w:t xml:space="preserve">13.9. </w:t>
      </w:r>
      <w:r>
        <w:rPr>
          <w:rFonts w:eastAsia="" w:cs="Times New Roman" w:ascii="Arial" w:hAnsi="Arial" w:eastAsiaTheme="minorEastAsia"/>
          <w:b w:val="false"/>
          <w:bCs w:val="false"/>
          <w:sz w:val="24"/>
          <w:szCs w:val="24"/>
        </w:rPr>
        <w:t>A multa poderá ser aplicada cumulativamente com as demais sanções, não terá caráter compensatório e a sua cobrança não exime a CONTRATADA, do pagamento de indenização por perdas e danos, que eventualmente venha a dar causa.</w:t>
      </w:r>
    </w:p>
    <w:p>
      <w:pPr>
        <w:pStyle w:val="Normal"/>
        <w:spacing w:before="60" w:after="60"/>
        <w:jc w:val="both"/>
        <w:rPr>
          <w:rFonts w:ascii="Arial" w:hAnsi="Arial"/>
          <w:sz w:val="24"/>
          <w:szCs w:val="24"/>
        </w:rPr>
      </w:pPr>
      <w:r>
        <w:rPr>
          <w:rFonts w:eastAsia="" w:cs="Times New Roman" w:ascii="Arial" w:hAnsi="Arial" w:eastAsiaTheme="minorEastAsia"/>
          <w:b w:val="false"/>
          <w:bCs w:val="false"/>
          <w:sz w:val="24"/>
          <w:szCs w:val="24"/>
        </w:rPr>
        <w:t>13.10. A multa aplicada à CONTRATADA e os prejuízos por ela causados à Fundação serão deduzidos de qualquer crédito a ela devido, cobrados diretamente ou judicialmente.</w:t>
      </w:r>
    </w:p>
    <w:p>
      <w:pPr>
        <w:pStyle w:val="Normal"/>
        <w:spacing w:before="60" w:after="60"/>
        <w:jc w:val="both"/>
        <w:rPr>
          <w:rFonts w:ascii="Arial" w:hAnsi="Arial"/>
          <w:sz w:val="24"/>
          <w:szCs w:val="24"/>
        </w:rPr>
      </w:pPr>
      <w:r>
        <w:rPr>
          <w:rFonts w:eastAsia="" w:cs="Times New Roman" w:ascii="Arial" w:hAnsi="Arial" w:eastAsiaTheme="minorEastAsia"/>
          <w:b w:val="false"/>
          <w:bCs w:val="false"/>
          <w:sz w:val="24"/>
          <w:szCs w:val="24"/>
        </w:rPr>
        <w:t>13.11. A CONTRATADA desde logo autoriza o CONTRATANTE a descontar dos valores por ele devidos o montante das multas a ela aplicadas.</w:t>
      </w:r>
    </w:p>
    <w:p>
      <w:pPr>
        <w:pStyle w:val="Normal"/>
        <w:spacing w:before="60" w:after="60"/>
        <w:jc w:val="both"/>
        <w:rPr>
          <w:rFonts w:ascii="Arial" w:hAnsi="Arial"/>
          <w:sz w:val="24"/>
          <w:szCs w:val="24"/>
        </w:rPr>
      </w:pPr>
      <w:r>
        <w:rPr>
          <w:rFonts w:eastAsia="" w:ascii="Arial" w:hAnsi="Arial" w:eastAsiaTheme="minorEastAsia"/>
          <w:b w:val="false"/>
          <w:bCs w:val="false"/>
          <w:sz w:val="24"/>
          <w:szCs w:val="24"/>
        </w:rPr>
        <w:t>13.12. O impedimento de licitar e contratar poderá ser aplicado quando:</w:t>
      </w:r>
    </w:p>
    <w:p>
      <w:pPr>
        <w:pStyle w:val="Normal"/>
        <w:spacing w:before="60" w:after="60"/>
        <w:jc w:val="both"/>
        <w:rPr>
          <w:rFonts w:ascii="Arial" w:hAnsi="Arial"/>
          <w:sz w:val="24"/>
          <w:szCs w:val="24"/>
        </w:rPr>
      </w:pPr>
      <w:r>
        <w:rPr>
          <w:rFonts w:eastAsia="" w:ascii="Arial" w:hAnsi="Arial" w:eastAsiaTheme="minorEastAsia"/>
          <w:b w:val="false"/>
          <w:bCs w:val="false"/>
          <w:sz w:val="24"/>
          <w:szCs w:val="24"/>
        </w:rPr>
        <w:t>a) ocorrer a inexecução parcial do contrato que cause grave dano à Fundação, ao funcionamento dos serviços públicos ou ao interesse coletivo;</w:t>
      </w:r>
    </w:p>
    <w:p>
      <w:pPr>
        <w:pStyle w:val="Normal"/>
        <w:spacing w:before="60" w:after="60"/>
        <w:jc w:val="both"/>
        <w:rPr>
          <w:rFonts w:ascii="Arial" w:hAnsi="Arial"/>
          <w:sz w:val="24"/>
          <w:szCs w:val="24"/>
        </w:rPr>
      </w:pPr>
      <w:r>
        <w:rPr>
          <w:rFonts w:eastAsia="" w:ascii="Arial" w:hAnsi="Arial" w:eastAsiaTheme="minorEastAsia"/>
          <w:b w:val="false"/>
          <w:bCs w:val="false"/>
          <w:sz w:val="24"/>
          <w:szCs w:val="24"/>
        </w:rPr>
        <w:t>b) ocorrer a inexecução total do contrato;</w:t>
      </w:r>
    </w:p>
    <w:p>
      <w:pPr>
        <w:pStyle w:val="Normal"/>
        <w:spacing w:before="60" w:after="60"/>
        <w:jc w:val="both"/>
        <w:rPr>
          <w:rFonts w:ascii="Arial" w:hAnsi="Arial"/>
          <w:sz w:val="24"/>
          <w:szCs w:val="24"/>
        </w:rPr>
      </w:pPr>
      <w:r>
        <w:rPr>
          <w:rFonts w:eastAsia="" w:ascii="Arial" w:hAnsi="Arial" w:eastAsiaTheme="minorEastAsia"/>
          <w:b w:val="false"/>
          <w:bCs w:val="false"/>
          <w:sz w:val="24"/>
          <w:szCs w:val="24"/>
        </w:rPr>
        <w:t>c) não for entregue a documentação exigida para o certame;</w:t>
      </w:r>
    </w:p>
    <w:p>
      <w:pPr>
        <w:pStyle w:val="Normal"/>
        <w:spacing w:before="60" w:after="60"/>
        <w:jc w:val="both"/>
        <w:rPr>
          <w:rFonts w:ascii="Arial" w:hAnsi="Arial"/>
          <w:sz w:val="24"/>
          <w:szCs w:val="24"/>
        </w:rPr>
      </w:pPr>
      <w:r>
        <w:rPr>
          <w:rFonts w:eastAsia="" w:ascii="Arial" w:hAnsi="Arial" w:eastAsiaTheme="minorEastAsia"/>
          <w:b w:val="false"/>
          <w:bCs w:val="false"/>
          <w:sz w:val="24"/>
          <w:szCs w:val="24"/>
        </w:rPr>
        <w:t>d) não for mantida a proposta, salvo em decorrência de fato superveniente devidamente justificado;</w:t>
      </w:r>
    </w:p>
    <w:p>
      <w:pPr>
        <w:pStyle w:val="Normal"/>
        <w:spacing w:before="60" w:after="60"/>
        <w:jc w:val="both"/>
        <w:rPr>
          <w:rFonts w:ascii="Arial" w:hAnsi="Arial"/>
          <w:sz w:val="24"/>
          <w:szCs w:val="24"/>
        </w:rPr>
      </w:pPr>
      <w:r>
        <w:rPr>
          <w:rFonts w:eastAsia="" w:ascii="Arial" w:hAnsi="Arial" w:eastAsiaTheme="minorEastAsia"/>
          <w:b w:val="false"/>
          <w:bCs w:val="false"/>
          <w:sz w:val="24"/>
          <w:szCs w:val="24"/>
        </w:rPr>
        <w:t>e) não for celebrado o contrato ou não for entregue a documentação exigida para a contratação, quando convocado dentro do prazo de validade de sua proposta;</w:t>
      </w:r>
    </w:p>
    <w:p>
      <w:pPr>
        <w:pStyle w:val="Normal"/>
        <w:spacing w:before="60" w:after="60"/>
        <w:jc w:val="both"/>
        <w:rPr>
          <w:rFonts w:ascii="Arial" w:hAnsi="Arial"/>
          <w:sz w:val="24"/>
          <w:szCs w:val="24"/>
        </w:rPr>
      </w:pPr>
      <w:r>
        <w:rPr>
          <w:rFonts w:eastAsia="" w:ascii="Arial" w:hAnsi="Arial" w:eastAsiaTheme="minorEastAsia"/>
          <w:b w:val="false"/>
          <w:bCs w:val="false"/>
          <w:sz w:val="24"/>
          <w:szCs w:val="24"/>
        </w:rPr>
        <w:t>f) houver o retardamento da execução ou da entrega do objeto da licitação sem motivo justificado;</w:t>
      </w:r>
    </w:p>
    <w:p>
      <w:pPr>
        <w:pStyle w:val="Normal"/>
        <w:spacing w:before="60" w:after="60"/>
        <w:jc w:val="both"/>
        <w:rPr>
          <w:rFonts w:ascii="Arial" w:hAnsi="Arial"/>
          <w:sz w:val="24"/>
          <w:szCs w:val="24"/>
        </w:rPr>
      </w:pPr>
      <w:r>
        <w:rPr>
          <w:rFonts w:eastAsia="" w:ascii="Arial" w:hAnsi="Arial" w:eastAsiaTheme="minorEastAsia"/>
          <w:b w:val="false"/>
          <w:bCs w:val="false"/>
          <w:sz w:val="24"/>
          <w:szCs w:val="24"/>
        </w:rPr>
        <w:t>g) não for comprovada a condição de Microempresa (ME), Empresa de Pequeno Porte (EPP), e Cooperativa de Consumo (COOP), na licitação de lotes de cotas exclusivas ou reservadas (artigo 48, incisos I e III da Lei Complementar nº 123/2006).</w:t>
      </w:r>
    </w:p>
    <w:p>
      <w:pPr>
        <w:pStyle w:val="Normal"/>
        <w:spacing w:before="60" w:after="60"/>
        <w:jc w:val="both"/>
        <w:rPr>
          <w:rFonts w:ascii="Arial" w:hAnsi="Arial"/>
          <w:sz w:val="24"/>
          <w:szCs w:val="24"/>
        </w:rPr>
      </w:pPr>
      <w:r>
        <w:rPr>
          <w:rFonts w:eastAsia="" w:ascii="Arial" w:hAnsi="Arial" w:eastAsiaTheme="minorEastAsia"/>
          <w:b w:val="false"/>
          <w:bCs w:val="false"/>
          <w:sz w:val="24"/>
          <w:szCs w:val="24"/>
        </w:rPr>
        <w:t>13.13. A declaração de inidoneidade poderá ser aplicada pelo Diretor-Presidente quando ocorrer:</w:t>
      </w:r>
    </w:p>
    <w:p>
      <w:pPr>
        <w:pStyle w:val="Normal"/>
        <w:spacing w:before="60" w:after="60"/>
        <w:jc w:val="both"/>
        <w:rPr>
          <w:rFonts w:ascii="Arial" w:hAnsi="Arial"/>
          <w:sz w:val="24"/>
          <w:szCs w:val="24"/>
        </w:rPr>
      </w:pPr>
      <w:r>
        <w:rPr>
          <w:rFonts w:eastAsia="" w:ascii="Arial" w:hAnsi="Arial" w:eastAsiaTheme="minorEastAsia"/>
          <w:b w:val="false"/>
          <w:bCs w:val="false"/>
          <w:sz w:val="24"/>
          <w:szCs w:val="24"/>
        </w:rPr>
        <w:t>a) apresentação de declaração ou documentação falsa exigida para o certame ou declaração falsa durante a licitação ou a execução do contrato;</w:t>
      </w:r>
    </w:p>
    <w:p>
      <w:pPr>
        <w:pStyle w:val="Normal"/>
        <w:spacing w:before="60" w:after="60"/>
        <w:jc w:val="both"/>
        <w:rPr>
          <w:rFonts w:ascii="Arial" w:hAnsi="Arial"/>
          <w:sz w:val="24"/>
          <w:szCs w:val="24"/>
        </w:rPr>
      </w:pPr>
      <w:r>
        <w:rPr>
          <w:rFonts w:eastAsia="" w:ascii="Arial" w:hAnsi="Arial" w:eastAsiaTheme="minorEastAsia"/>
          <w:b w:val="false"/>
          <w:bCs w:val="false"/>
          <w:sz w:val="24"/>
          <w:szCs w:val="24"/>
        </w:rPr>
        <w:t>b) fraude na licitação ou prática de ato fraudulento na execução do contrato;</w:t>
      </w:r>
    </w:p>
    <w:p>
      <w:pPr>
        <w:pStyle w:val="Normal"/>
        <w:spacing w:before="60" w:after="60"/>
        <w:jc w:val="both"/>
        <w:rPr>
          <w:rFonts w:ascii="Arial" w:hAnsi="Arial"/>
          <w:sz w:val="24"/>
          <w:szCs w:val="24"/>
        </w:rPr>
      </w:pPr>
      <w:r>
        <w:rPr>
          <w:rFonts w:eastAsia="" w:ascii="Arial" w:hAnsi="Arial" w:eastAsiaTheme="minorEastAsia"/>
          <w:b w:val="false"/>
          <w:bCs w:val="false"/>
          <w:sz w:val="24"/>
          <w:szCs w:val="24"/>
        </w:rPr>
        <w:t>c) comportamento de modo inidôneo ou cometimento de fraude de qualquer natureza;</w:t>
      </w:r>
    </w:p>
    <w:p>
      <w:pPr>
        <w:pStyle w:val="Normal"/>
        <w:spacing w:before="60" w:after="60"/>
        <w:jc w:val="both"/>
        <w:rPr>
          <w:rFonts w:ascii="Arial" w:hAnsi="Arial"/>
          <w:sz w:val="24"/>
          <w:szCs w:val="24"/>
        </w:rPr>
      </w:pPr>
      <w:r>
        <w:rPr>
          <w:rFonts w:eastAsia="" w:ascii="Arial" w:hAnsi="Arial" w:eastAsiaTheme="minorEastAsia"/>
          <w:b w:val="false"/>
          <w:bCs w:val="false"/>
          <w:sz w:val="24"/>
          <w:szCs w:val="24"/>
        </w:rPr>
        <w:t>d) prática de atos ilícitos com vistas a frustrar os objetivos da licitação;</w:t>
      </w:r>
    </w:p>
    <w:p>
      <w:pPr>
        <w:pStyle w:val="Normal"/>
        <w:spacing w:before="60" w:after="60"/>
        <w:jc w:val="both"/>
        <w:rPr>
          <w:rFonts w:ascii="Arial" w:hAnsi="Arial" w:eastAsia="" w:eastAsiaTheme="minorEastAsia"/>
          <w:b w:val="false"/>
          <w:bCs w:val="false"/>
          <w:sz w:val="24"/>
          <w:szCs w:val="24"/>
        </w:rPr>
      </w:pPr>
      <w:r>
        <w:rPr>
          <w:rFonts w:eastAsia="" w:ascii="Arial" w:hAnsi="Arial" w:eastAsiaTheme="minorEastAsia"/>
          <w:b w:val="false"/>
          <w:bCs w:val="false"/>
          <w:sz w:val="24"/>
          <w:szCs w:val="24"/>
        </w:rPr>
        <w:t>e) prática de ato lesivo previsto no art. 5º da Lei nº 12.846/2013.</w:t>
      </w:r>
    </w:p>
    <w:p>
      <w:pPr>
        <w:pStyle w:val="Normal"/>
        <w:spacing w:before="60" w:after="60"/>
        <w:jc w:val="both"/>
        <w:rPr>
          <w:rFonts w:ascii="Arial" w:hAnsi="Arial" w:eastAsia="" w:eastAsiaTheme="minorEastAsia"/>
          <w:b w:val="false"/>
          <w:bCs w:val="false"/>
          <w:sz w:val="24"/>
          <w:szCs w:val="24"/>
        </w:rPr>
      </w:pPr>
      <w:r>
        <w:rPr>
          <w:rFonts w:eastAsia="" w:eastAsiaTheme="minorEastAsia" w:ascii="Arial" w:hAnsi="Arial"/>
          <w:b w:val="false"/>
          <w:bCs w:val="false"/>
          <w:sz w:val="24"/>
          <w:szCs w:val="24"/>
        </w:rPr>
      </w:r>
    </w:p>
    <w:p>
      <w:pPr>
        <w:pStyle w:val="NoSpacing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14. DAS NOTIFICAÇÕES E INTIMAÇÕES:</w:t>
      </w:r>
    </w:p>
    <w:p>
      <w:pPr>
        <w:pStyle w:val="Normal"/>
        <w:spacing w:before="60" w:after="60"/>
        <w:jc w:val="both"/>
        <w:rPr>
          <w:rFonts w:ascii="Arial" w:hAnsi="Arial"/>
          <w:sz w:val="24"/>
          <w:szCs w:val="24"/>
        </w:rPr>
      </w:pPr>
      <w:r>
        <w:rPr>
          <w:rFonts w:eastAsia="" w:cs="Times New Roman" w:ascii="Arial" w:hAnsi="Arial" w:eastAsiaTheme="minorEastAsia"/>
          <w:b w:val="false"/>
          <w:bCs w:val="false"/>
          <w:sz w:val="24"/>
          <w:szCs w:val="24"/>
        </w:rPr>
        <w:t xml:space="preserve">14.1. </w:t>
      </w:r>
      <w:r>
        <w:rPr>
          <w:rFonts w:eastAsia="" w:cs="Times New Roman" w:ascii="Arial" w:hAnsi="Arial" w:eastAsiaTheme="minorEastAsia"/>
          <w:b w:val="false"/>
          <w:bCs w:val="false"/>
          <w:color w:val="auto"/>
          <w:kern w:val="0"/>
          <w:sz w:val="24"/>
          <w:szCs w:val="24"/>
          <w:lang w:val="pt-BR" w:eastAsia="pt-BR" w:bidi="ar-SA"/>
        </w:rPr>
        <w:t>A CONTRATADA obriga-se a indicar até a data da assinatura do contrato endereço eletrônico válido e funcional destinado ao recebimento de notificações, intimações, comunicações oficiais e demais atos relacionados à execução contratual.</w:t>
      </w:r>
    </w:p>
    <w:p>
      <w:pPr>
        <w:pStyle w:val="Normal"/>
        <w:spacing w:before="60" w:after="60"/>
        <w:jc w:val="both"/>
        <w:rPr>
          <w:rFonts w:ascii="Arial" w:hAnsi="Arial"/>
          <w:sz w:val="24"/>
          <w:szCs w:val="24"/>
        </w:rPr>
      </w:pPr>
      <w:r>
        <w:rPr>
          <w:rFonts w:eastAsia="" w:ascii="Arial" w:hAnsi="Arial" w:eastAsiaTheme="minorEastAsia"/>
          <w:b w:val="false"/>
          <w:bCs w:val="false"/>
          <w:kern w:val="0"/>
          <w:sz w:val="24"/>
          <w:szCs w:val="24"/>
        </w:rPr>
        <w:t>14.2. O endereço eletrônico informado será considerado oficial para todos os fins contratuais, reputando-se válidas e eficazes as comunicações encaminhadas pela CONTRATANTE, independentemente de confirmação de recebimento ou leitura.</w:t>
      </w:r>
    </w:p>
    <w:p>
      <w:pPr>
        <w:pStyle w:val="Normal"/>
        <w:spacing w:before="60" w:after="60"/>
        <w:jc w:val="both"/>
        <w:rPr>
          <w:rFonts w:ascii="Arial" w:hAnsi="Arial"/>
          <w:sz w:val="24"/>
          <w:szCs w:val="24"/>
        </w:rPr>
      </w:pPr>
      <w:r>
        <w:rPr>
          <w:rFonts w:eastAsia="" w:ascii="Arial" w:hAnsi="Arial" w:eastAsiaTheme="minorEastAsia"/>
          <w:b w:val="false"/>
          <w:bCs w:val="false"/>
          <w:kern w:val="0"/>
          <w:sz w:val="24"/>
          <w:szCs w:val="24"/>
        </w:rPr>
        <w:t>14.3. A CONTRATADA compromete-se a manter o endereço eletrônico ativo, válido e acessível durante toda a vigência contratual, inclusive durante eventuais prorrogações e até o integral cumprimento das obrigações decorrentes do presente ajuste.</w:t>
      </w:r>
    </w:p>
    <w:p>
      <w:pPr>
        <w:pStyle w:val="Normal"/>
        <w:spacing w:before="60" w:after="60"/>
        <w:jc w:val="both"/>
        <w:rPr>
          <w:rFonts w:ascii="Arial" w:hAnsi="Arial"/>
          <w:sz w:val="24"/>
          <w:szCs w:val="24"/>
        </w:rPr>
      </w:pPr>
      <w:r>
        <w:rPr>
          <w:rFonts w:eastAsia="" w:ascii="Arial" w:hAnsi="Arial" w:eastAsiaTheme="minorEastAsia"/>
          <w:b w:val="false"/>
          <w:bCs w:val="false"/>
          <w:kern w:val="0"/>
          <w:sz w:val="24"/>
          <w:szCs w:val="24"/>
        </w:rPr>
        <w:t>14.4. Qualquer alteração do endereço eletrônico deverá ser comunicada formalmente à CONTRATANTE com antecedência mínima de 48 (quarenta e oito) horas.</w:t>
      </w:r>
    </w:p>
    <w:p>
      <w:pPr>
        <w:pStyle w:val="Normal"/>
        <w:spacing w:before="60" w:after="60"/>
        <w:jc w:val="both"/>
        <w:rPr>
          <w:rFonts w:ascii="Arial" w:hAnsi="Arial"/>
          <w:sz w:val="24"/>
          <w:szCs w:val="24"/>
        </w:rPr>
      </w:pPr>
      <w:r>
        <w:rPr>
          <w:rFonts w:eastAsia="" w:ascii="Arial" w:hAnsi="Arial" w:eastAsiaTheme="minorEastAsia"/>
          <w:b w:val="false"/>
          <w:bCs w:val="false"/>
          <w:kern w:val="0"/>
          <w:sz w:val="24"/>
          <w:szCs w:val="24"/>
        </w:rPr>
        <w:t>14.5. As notificações encaminhadas após as 17h00 ou em dias não úteis serão consideradas recebidas no primeiro dia útil subsequente.</w:t>
      </w:r>
    </w:p>
    <w:p>
      <w:pPr>
        <w:pStyle w:val="Normal"/>
        <w:spacing w:before="60" w:after="60"/>
        <w:jc w:val="both"/>
        <w:rPr>
          <w:rFonts w:ascii="Arial" w:hAnsi="Arial"/>
          <w:sz w:val="24"/>
          <w:szCs w:val="24"/>
        </w:rPr>
      </w:pPr>
      <w:r>
        <w:rPr>
          <w:rFonts w:eastAsia="" w:ascii="Arial" w:hAnsi="Arial" w:eastAsiaTheme="minorEastAsia"/>
          <w:b w:val="false"/>
          <w:bCs w:val="false"/>
          <w:kern w:val="0"/>
          <w:sz w:val="24"/>
          <w:szCs w:val="24"/>
        </w:rPr>
        <w:t>14.6. A ausência de consulta ao endereço eletrônico informado não poderá ser utilizada como justificativa para descumprimento de obrigações contratuais, perda de prazo ou invalidação de atos praticados pela Fundação.</w:t>
      </w:r>
    </w:p>
    <w:p>
      <w:pPr>
        <w:pStyle w:val="Normal"/>
        <w:spacing w:before="60" w:after="60"/>
        <w:jc w:val="both"/>
        <w:rPr>
          <w:rFonts w:ascii="Arial" w:hAnsi="Arial" w:eastAsia="ヒラギノ角ゴ Pro W3" w:cs="Arial"/>
          <w:b w:val="false"/>
          <w:bCs w:val="false"/>
          <w:sz w:val="24"/>
          <w:szCs w:val="24"/>
        </w:rPr>
      </w:pPr>
      <w:r>
        <w:rPr>
          <w:rFonts w:eastAsia="ヒラギノ角ゴ Pro W3" w:cs="Arial" w:ascii="Arial" w:hAnsi="Arial"/>
          <w:b w:val="false"/>
          <w:bCs w:val="false"/>
          <w:sz w:val="24"/>
          <w:szCs w:val="24"/>
        </w:rPr>
      </w:r>
    </w:p>
    <w:p>
      <w:pPr>
        <w:pStyle w:val="NoSpacing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 xml:space="preserve">15. </w:t>
      </w:r>
      <w:r>
        <w:rPr>
          <w:rFonts w:eastAsia="SimSun" w:cs="Times New Roman" w:ascii="Arial" w:hAnsi="Arial"/>
          <w:b/>
          <w:bCs/>
          <w:color w:val="auto"/>
          <w:kern w:val="2"/>
          <w:sz w:val="24"/>
          <w:szCs w:val="24"/>
          <w:u w:val="none"/>
          <w:lang w:val="pt-BR" w:eastAsia="ar-SA" w:bidi="ar-SA"/>
        </w:rPr>
        <w:t>DA LEI GERAL DE PROTEÇÃO DE DADOS PESSOAIS</w:t>
      </w:r>
      <w:r>
        <w:rPr>
          <w:rFonts w:cs="Arial" w:ascii="Arial" w:hAnsi="Arial"/>
          <w:b/>
          <w:sz w:val="24"/>
          <w:szCs w:val="24"/>
        </w:rPr>
        <w:t>:</w:t>
      </w:r>
    </w:p>
    <w:p>
      <w:pPr>
        <w:pStyle w:val="Normal"/>
        <w:spacing w:before="60" w:after="60"/>
        <w:jc w:val="both"/>
        <w:rPr>
          <w:rFonts w:ascii="Arial" w:hAnsi="Arial"/>
          <w:sz w:val="24"/>
          <w:szCs w:val="24"/>
        </w:rPr>
      </w:pPr>
      <w:r>
        <w:rPr>
          <w:rFonts w:eastAsia="ヒラギノ角ゴ Pro W3" w:cs="Arial" w:ascii="Arial" w:hAnsi="Arial"/>
          <w:b w:val="false"/>
          <w:bCs w:val="false"/>
          <w:sz w:val="24"/>
          <w:szCs w:val="24"/>
        </w:rPr>
        <w:t xml:space="preserve">15.1. </w:t>
      </w:r>
      <w:r>
        <w:rPr>
          <w:rFonts w:eastAsia="" w:cs="Times New Roman" w:ascii="Arial" w:hAnsi="Arial" w:eastAsiaTheme="minorEastAsia"/>
          <w:b w:val="false"/>
          <w:bCs w:val="false"/>
          <w:color w:val="auto"/>
          <w:kern w:val="0"/>
          <w:sz w:val="24"/>
          <w:szCs w:val="24"/>
          <w:lang w:val="pt-BR" w:eastAsia="pt-BR" w:bidi="ar-SA"/>
        </w:rPr>
        <w:t>As partes deste instrumento deverão observar as disposições da Lei Federal nº 13.709/2018 (Lei Geral de Proteção de Dados Pessoais) e alterações, quando do tratamento de dados pessoais e dados pessoais sensíveis a que tenham acesso, para propósito de execução e acompanhamento desde ajuste, não podendo divulgar, revelar, produzir, utilizar ou deles dar conhecimento a terceiros estranhos à esta avença, a não ser por força de obrigação legal ou regulatória.</w:t>
      </w:r>
    </w:p>
    <w:p>
      <w:pPr>
        <w:pStyle w:val="Normal"/>
        <w:spacing w:before="60" w:after="60"/>
        <w:jc w:val="both"/>
        <w:rPr>
          <w:rFonts w:ascii="Arial" w:hAnsi="Arial" w:eastAsia="ヒラギノ角ゴ Pro W3" w:cs="Arial"/>
          <w:b/>
          <w:sz w:val="24"/>
          <w:szCs w:val="24"/>
        </w:rPr>
      </w:pPr>
      <w:r>
        <w:rPr>
          <w:rFonts w:eastAsia="ヒラギノ角ゴ Pro W3" w:cs="Arial" w:ascii="Arial" w:hAnsi="Arial"/>
          <w:b/>
          <w:sz w:val="24"/>
          <w:szCs w:val="24"/>
        </w:rPr>
      </w:r>
    </w:p>
    <w:p>
      <w:pPr>
        <w:pStyle w:val="NoSpacing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16. RECURSOS ORÇAMENTÁRIOS</w:t>
      </w:r>
      <w:r>
        <w:rPr>
          <w:rFonts w:cs="Arial" w:ascii="Arial" w:hAnsi="Arial"/>
          <w:sz w:val="24"/>
          <w:szCs w:val="24"/>
        </w:rPr>
        <w:t>:</w:t>
      </w:r>
    </w:p>
    <w:p>
      <w:pPr>
        <w:pStyle w:val="NoSpacing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16.1. </w:t>
      </w:r>
      <w:r>
        <w:rPr>
          <w:rFonts w:cs="Times New Roman" w:ascii="Arial" w:hAnsi="Arial"/>
          <w:sz w:val="24"/>
          <w:szCs w:val="24"/>
        </w:rPr>
        <w:t xml:space="preserve">Todas as despesas decorrentes da execução deste Contrato serão custeadas pela Dotação Orçamentária n.º </w:t>
      </w:r>
      <w:r>
        <w:rPr>
          <w:rFonts w:eastAsia="" w:cs="Times New Roman" w:ascii="Arial" w:hAnsi="Arial" w:eastAsiaTheme="minorEastAsia"/>
          <w:color w:val="auto"/>
          <w:kern w:val="0"/>
          <w:sz w:val="24"/>
          <w:szCs w:val="24"/>
          <w:lang w:val="pt-BR" w:eastAsia="pt-BR" w:bidi="ar-SA"/>
        </w:rPr>
        <w:t>30.10.13.391.0093.1900.3.3.90.39.99 – Fonte de Recurso 0</w:t>
      </w:r>
      <w:r>
        <w:rPr>
          <w:rFonts w:eastAsia="" w:cs="Times New Roman" w:ascii="Arial" w:hAnsi="Arial" w:eastAsiaTheme="minorEastAsia"/>
          <w:color w:val="auto"/>
          <w:kern w:val="0"/>
          <w:sz w:val="24"/>
          <w:szCs w:val="24"/>
          <w:lang w:val="pt-BR" w:eastAsia="pt-BR" w:bidi="ar-SA"/>
        </w:rPr>
        <w:t>8</w:t>
      </w:r>
      <w:r>
        <w:rPr>
          <w:rFonts w:eastAsia="" w:cs="Times New Roman" w:ascii="Arial" w:hAnsi="Arial" w:eastAsiaTheme="minorEastAsia"/>
          <w:color w:val="auto"/>
          <w:kern w:val="0"/>
          <w:sz w:val="24"/>
          <w:szCs w:val="24"/>
          <w:lang w:val="pt-BR" w:eastAsia="pt-BR" w:bidi="ar-SA"/>
        </w:rPr>
        <w:t xml:space="preserve"> – </w:t>
      </w:r>
      <w:r>
        <w:rPr>
          <w:rFonts w:eastAsia="" w:cs="Times New Roman" w:ascii="Arial" w:hAnsi="Arial" w:eastAsiaTheme="minorEastAsia"/>
          <w:color w:val="auto"/>
          <w:kern w:val="0"/>
          <w:sz w:val="24"/>
          <w:szCs w:val="24"/>
          <w:lang w:val="pt-BR" w:eastAsia="pt-BR" w:bidi="ar-SA"/>
        </w:rPr>
        <w:t>=Emendas</w:t>
      </w:r>
      <w:r>
        <w:rPr>
          <w:rFonts w:eastAsia="" w:cs="Times New Roman" w:ascii="Arial" w:hAnsi="Arial" w:eastAsiaTheme="minorEastAsia"/>
          <w:color w:val="auto"/>
          <w:kern w:val="0"/>
          <w:sz w:val="24"/>
          <w:szCs w:val="24"/>
          <w:lang w:val="pt-BR" w:eastAsia="pt-BR" w:bidi="ar-SA"/>
        </w:rPr>
        <w:t>.</w:t>
      </w:r>
    </w:p>
    <w:p>
      <w:pPr>
        <w:pStyle w:val="NoSpacing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rPr>
          <w:rFonts w:ascii="Arial" w:hAnsi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Santos, 08 de julho de 2026.</w:t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rPr>
          <w:rFonts w:ascii="Arial" w:hAnsi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_______________________ </w:t>
        <w:tab/>
        <w:tab/>
        <w:t xml:space="preserve">              ______________________</w:t>
      </w:r>
    </w:p>
    <w:p>
      <w:pPr>
        <w:pStyle w:val="Normal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 xml:space="preserve">        </w:t>
      </w:r>
      <w:r>
        <w:rPr>
          <w:rFonts w:cs="Arial" w:ascii="Arial" w:hAnsi="Arial"/>
          <w:b/>
          <w:sz w:val="24"/>
          <w:szCs w:val="24"/>
        </w:rPr>
        <w:t>Diretoria Técnica</w:t>
        <w:tab/>
        <w:tab/>
        <w:tab/>
        <w:tab/>
        <w:t xml:space="preserve">     Presidente</w:t>
      </w:r>
    </w:p>
    <w:p>
      <w:pPr>
        <w:pStyle w:val="Normal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 xml:space="preserve">     </w:t>
      </w:r>
      <w:r>
        <w:rPr>
          <w:rFonts w:cs="Arial" w:ascii="Arial" w:hAnsi="Arial"/>
          <w:b/>
          <w:sz w:val="24"/>
          <w:szCs w:val="24"/>
        </w:rPr>
        <w:t>(assinatura/carimbo)</w:t>
        <w:tab/>
        <w:tab/>
        <w:t xml:space="preserve"> </w:t>
        <w:tab/>
        <w:t xml:space="preserve">       (assinatura/carimbo)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140" w:right="806" w:gutter="0" w:header="227" w:top="563" w:footer="227" w:bottom="1418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Calibri Light">
    <w:charset w:val="00"/>
    <w:family w:val="roman"/>
    <w:pitch w:val="variable"/>
  </w:font>
  <w:font w:name="Lucida Sans Unicode">
    <w:charset w:val="00"/>
    <w:family w:val="swiss"/>
    <w:pitch w:val="variable"/>
  </w:font>
  <w:font w:name="Ecofont_Spranq_eco_Sans">
    <w:charset w:val="00"/>
    <w:family w:val="swiss"/>
    <w:pitch w:val="variable"/>
  </w:font>
  <w:font w:name="Tahoma">
    <w:charset w:val="00"/>
    <w:family w:val="swiss"/>
    <w:pitch w:val="variable"/>
  </w:font>
  <w:font w:name="OpenSymbol">
    <w:altName w:val="Arial Unicode MS"/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id w:val="137614686"/>
      <w:docPartObj>
        <w:docPartGallery w:val="Page Numbers (Bottom of Page)"/>
        <w:docPartUnique w:val="true"/>
      </w:docPartObj>
    </w:sdtPr>
    <w:sdtContent>
      <w:p>
        <w:pPr>
          <w:pStyle w:val="Footer"/>
          <w:jc w:val="right"/>
          <w:rPr/>
        </w:pPr>
        <w:r>
          <w:rPr/>
          <w:fldChar w:fldCharType="begin"/>
        </w:r>
        <w:r>
          <w:rPr/>
          <w:instrText xml:space="preserve"> PAGE </w:instrText>
        </w:r>
        <w:r>
          <w:rPr/>
          <w:fldChar w:fldCharType="separate"/>
        </w:r>
        <w:r>
          <w:rPr/>
          <w:t>10</w:t>
        </w:r>
        <w:r>
          <w:rPr/>
          <w:fldChar w:fldCharType="end"/>
        </w:r>
      </w:p>
    </w:sdtContent>
  </w:sdt>
  <w:p>
    <w:pPr>
      <w:pStyle w:val="Footer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id w:val="137614686"/>
      <w:docPartObj>
        <w:docPartGallery w:val="Page Numbers (Bottom of Page)"/>
        <w:docPartUnique w:val="true"/>
      </w:docPartObj>
    </w:sdtPr>
    <w:sdtContent>
      <w:p>
        <w:pPr>
          <w:pStyle w:val="Footer"/>
          <w:jc w:val="right"/>
          <w:rPr/>
        </w:pPr>
        <w:r>
          <w:rPr/>
          <w:fldChar w:fldCharType="begin"/>
        </w:r>
        <w:r>
          <w:rPr/>
          <w:instrText xml:space="preserve"> PAGE </w:instrText>
        </w:r>
        <w:r>
          <w:rPr/>
          <w:fldChar w:fldCharType="separate"/>
        </w:r>
        <w:r>
          <w:rPr/>
          <w:t>10</w:t>
        </w:r>
        <w:r>
          <w:rPr/>
          <w:fldChar w:fldCharType="end"/>
        </w:r>
      </w:p>
    </w:sdtContent>
  </w:sdt>
  <w:p>
    <w:pPr>
      <w:pStyle w:val="Foo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pBdr>
        <w:bottom w:val="single" w:sz="4" w:space="1" w:color="000000"/>
      </w:pBdr>
      <w:tabs>
        <w:tab w:val="clear" w:pos="4252"/>
        <w:tab w:val="clear" w:pos="8504"/>
      </w:tabs>
      <w:jc w:val="center"/>
      <w:rPr/>
    </w:pPr>
    <w:r>
      <w:rPr/>
      <w:drawing>
        <wp:inline distT="0" distB="0" distL="0" distR="0">
          <wp:extent cx="1733550" cy="856615"/>
          <wp:effectExtent l="0" t="0" r="0" b="0"/>
          <wp:docPr id="1" name="Imagem 0" descr="logo_fams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0" descr="logo_fams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733550" cy="8566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/>
      <w:t xml:space="preserve"> </w:t>
    </w:r>
  </w:p>
  <w:p>
    <w:pPr>
      <w:pStyle w:val="Header"/>
      <w:tabs>
        <w:tab w:val="clear" w:pos="4252"/>
        <w:tab w:val="clear" w:pos="8504"/>
      </w:tabs>
      <w:jc w:val="cent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pBdr>
        <w:bottom w:val="single" w:sz="4" w:space="1" w:color="000000"/>
      </w:pBdr>
      <w:tabs>
        <w:tab w:val="clear" w:pos="4252"/>
        <w:tab w:val="clear" w:pos="8504"/>
      </w:tabs>
      <w:jc w:val="center"/>
      <w:rPr/>
    </w:pPr>
    <w:r>
      <w:rPr/>
      <w:drawing>
        <wp:inline distT="0" distB="0" distL="0" distR="0">
          <wp:extent cx="1733550" cy="856615"/>
          <wp:effectExtent l="0" t="0" r="0" b="0"/>
          <wp:docPr id="2" name="Imagem 0" descr="logo_fams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0" descr="logo_fams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733550" cy="8566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/>
      <w:t xml:space="preserve"> </w:t>
    </w:r>
  </w:p>
  <w:p>
    <w:pPr>
      <w:pStyle w:val="Header"/>
      <w:tabs>
        <w:tab w:val="clear" w:pos="4252"/>
        <w:tab w:val="clear" w:pos="8504"/>
      </w:tabs>
      <w:jc w:val="cent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%1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%2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%3"/>
      <w:lvlJc w:val="left"/>
      <w:pPr>
        <w:tabs>
          <w:tab w:val="num" w:pos="0"/>
        </w:tabs>
        <w:ind w:left="720" w:hanging="720"/>
      </w:pPr>
      <w:rPr/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864" w:hanging="864"/>
      </w:pPr>
      <w:rPr/>
    </w:lvl>
    <w:lvl w:ilvl="4">
      <w:start w:val="1"/>
      <w:numFmt w:val="none"/>
      <w:suff w:val="nothing"/>
      <w:lvlText w:val="%5"/>
      <w:lvlJc w:val="left"/>
      <w:pPr>
        <w:tabs>
          <w:tab w:val="num" w:pos="0"/>
        </w:tabs>
        <w:ind w:left="1008" w:hanging="1008"/>
      </w:pPr>
      <w:rPr/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1152" w:hanging="1152"/>
      </w:pPr>
      <w:rPr/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1296" w:hanging="1296"/>
      </w:pPr>
      <w:rPr/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1440" w:hanging="1440"/>
      </w:pPr>
      <w:rPr/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1584" w:hanging="1584"/>
      </w:pPr>
      <w:rPr/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upperRoman"/>
      <w:lvlText w:val="%2."/>
      <w:lvlJc w:val="left"/>
      <w:pPr>
        <w:tabs>
          <w:tab w:val="num" w:pos="0"/>
        </w:tabs>
        <w:ind w:left="858" w:hanging="432"/>
      </w:pPr>
      <w:rPr>
        <w:rFonts w:ascii="Arial" w:hAnsi="Arial" w:eastAsia="" w:cs="Arial" w:eastAsiaTheme="minorEastAsia"/>
        <w:b w:val="false"/>
        <w:i w:val="false"/>
        <w:strike w:val="false"/>
        <w:dstrike w:val="false"/>
        <w:color w:val="auto"/>
        <w:sz w:val="20"/>
        <w:szCs w:val="20"/>
        <w:u w:val="none"/>
      </w:rPr>
    </w:lvl>
    <w:lvl w:ilvl="2">
      <w:start w:val="1"/>
      <w:numFmt w:val="upperRoman"/>
      <w:lvlText w:val="%3."/>
      <w:lvlJc w:val="left"/>
      <w:pPr>
        <w:tabs>
          <w:tab w:val="num" w:pos="0"/>
        </w:tabs>
        <w:ind w:left="3198" w:hanging="504"/>
      </w:pPr>
      <w:rPr>
        <w:rFonts w:ascii="Arial" w:hAnsi="Arial" w:eastAsia="" w:cs="Arial" w:eastAsiaTheme="minorEastAsia"/>
        <w:b w:val="false"/>
        <w:i w:val="false"/>
        <w:strike w:val="false"/>
        <w:dstrike w:val="false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91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5"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6"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7"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8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hyphenationZone w:val="0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kern w:val="2"/>
        <w:sz w:val="22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caption" w:uiPriority="35" w:qFormat="1"/>
    <w:lsdException w:name="annotation reference" w:uiPriority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Body Text 2" w:uiPriority="0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da3c8c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Times New Roman" w:hAnsi="Times New Roman" w:eastAsia="Times New Roman" w:cs="Times New Roman"/>
      <w:color w:val="auto"/>
      <w:kern w:val="2"/>
      <w:sz w:val="20"/>
      <w:szCs w:val="20"/>
      <w:lang w:val="pt-BR" w:eastAsia="pt-BR" w:bidi="ar-SA"/>
    </w:rPr>
  </w:style>
  <w:style w:type="paragraph" w:styleId="Heading1">
    <w:name w:val="heading 1"/>
    <w:basedOn w:val="Normal"/>
    <w:next w:val="Normal"/>
    <w:link w:val="Ttulo1Char"/>
    <w:uiPriority w:val="9"/>
    <w:qFormat/>
    <w:rsid w:val="001f2edc"/>
    <w:pPr>
      <w:keepNext w:val="true"/>
      <w:keepLines/>
      <w:spacing w:before="240" w:after="0"/>
      <w:outlineLvl w:val="0"/>
    </w:pPr>
    <w:rPr>
      <w:rFonts w:ascii="Calibri Light" w:hAnsi="Calibri Light" w:eastAsia="" w:cs="" w:asciiTheme="majorHAnsi" w:cstheme="majorBidi" w:eastAsiaTheme="majorEastAsia" w:hAnsiTheme="majorHAnsi"/>
      <w:color w:themeColor="accent1" w:themeShade="bf" w:val="2F5496"/>
      <w:sz w:val="32"/>
      <w:szCs w:val="32"/>
    </w:rPr>
  </w:style>
  <w:style w:type="paragraph" w:styleId="Heading2">
    <w:name w:val="heading 2"/>
    <w:basedOn w:val="Ttulo"/>
    <w:next w:val="BodyText"/>
    <w:qFormat/>
    <w:pPr>
      <w:spacing w:before="200" w:after="120"/>
      <w:outlineLvl w:val="1"/>
    </w:pPr>
    <w:rPr>
      <w:rFonts w:ascii="Liberation Serif" w:hAnsi="Liberation Serif" w:eastAsia="Segoe UI" w:cs="Tahoma"/>
      <w:b/>
      <w:bCs/>
      <w:sz w:val="36"/>
      <w:szCs w:val="36"/>
    </w:rPr>
  </w:style>
  <w:style w:type="paragraph" w:styleId="Heading3">
    <w:name w:val="heading 3"/>
    <w:basedOn w:val="Normal"/>
    <w:next w:val="Normal"/>
    <w:link w:val="Ttulo3Char"/>
    <w:uiPriority w:val="9"/>
    <w:semiHidden/>
    <w:unhideWhenUsed/>
    <w:qFormat/>
    <w:rsid w:val="00083be4"/>
    <w:pPr>
      <w:keepNext w:val="true"/>
      <w:keepLines/>
      <w:spacing w:before="40" w:after="0"/>
      <w:outlineLvl w:val="2"/>
    </w:pPr>
    <w:rPr>
      <w:rFonts w:ascii="Calibri Light" w:hAnsi="Calibri Light" w:eastAsia="" w:cs="" w:asciiTheme="majorHAnsi" w:cstheme="majorBidi" w:eastAsiaTheme="majorEastAsia" w:hAnsiTheme="majorHAnsi"/>
      <w:color w:themeColor="accent1" w:themeShade="7f" w:val="1F3763"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orpodetexto2Char" w:customStyle="1">
    <w:name w:val="Corpo de texto 2 Char"/>
    <w:basedOn w:val="DefaultParagraphFont"/>
    <w:link w:val="BodyText2"/>
    <w:qFormat/>
    <w:rsid w:val="00da3c8c"/>
    <w:rPr>
      <w:rFonts w:ascii="Lucida Sans Unicode" w:hAnsi="Lucida Sans Unicode" w:eastAsia="Times New Roman" w:cs="Lucida Sans Unicode"/>
      <w:kern w:val="0"/>
      <w:lang w:eastAsia="pt-BR"/>
    </w:rPr>
  </w:style>
  <w:style w:type="character" w:styleId="Hyperlink">
    <w:name w:val="Hyperlink"/>
    <w:uiPriority w:val="99"/>
    <w:rsid w:val="00da3c8c"/>
    <w:rPr>
      <w:color w:val="0000FF"/>
      <w:u w:val="single"/>
    </w:rPr>
  </w:style>
  <w:style w:type="character" w:styleId="Nvel2-RedChar" w:customStyle="1">
    <w:name w:val="Nível 2 -Red Char"/>
    <w:basedOn w:val="DefaultParagraphFont"/>
    <w:link w:val="Nvel2-Red"/>
    <w:qFormat/>
    <w:rsid w:val="00da3c8c"/>
    <w:rPr>
      <w:rFonts w:ascii="Arial" w:hAnsi="Arial" w:eastAsia="" w:cs="Arial" w:eastAsiaTheme="minorEastAsia"/>
      <w:i/>
      <w:iCs/>
      <w:color w:val="FF0000"/>
      <w:kern w:val="0"/>
      <w:sz w:val="20"/>
      <w:szCs w:val="20"/>
      <w:lang w:eastAsia="pt-BR"/>
    </w:rPr>
  </w:style>
  <w:style w:type="character" w:styleId="Nivel2Char" w:customStyle="1">
    <w:name w:val="Nivel 2 Char"/>
    <w:basedOn w:val="DefaultParagraphFont"/>
    <w:link w:val="Nivel2"/>
    <w:qFormat/>
    <w:locked/>
    <w:rsid w:val="001f2edc"/>
    <w:rPr>
      <w:rFonts w:ascii="Arial" w:hAnsi="Arial" w:eastAsia="" w:cs="Arial" w:eastAsiaTheme="minorEastAsia"/>
      <w:color w:val="000000"/>
      <w:kern w:val="0"/>
      <w:sz w:val="20"/>
      <w:szCs w:val="20"/>
      <w:lang w:eastAsia="pt-BR"/>
    </w:rPr>
  </w:style>
  <w:style w:type="character" w:styleId="Ttulo1Char" w:customStyle="1">
    <w:name w:val="Título 1 Char"/>
    <w:basedOn w:val="DefaultParagraphFont"/>
    <w:uiPriority w:val="9"/>
    <w:qFormat/>
    <w:rsid w:val="001f2edc"/>
    <w:rPr>
      <w:rFonts w:ascii="Calibri Light" w:hAnsi="Calibri Light" w:eastAsia="" w:cs="" w:asciiTheme="majorHAnsi" w:cstheme="majorBidi" w:eastAsiaTheme="majorEastAsia" w:hAnsiTheme="majorHAnsi"/>
      <w:color w:themeColor="accent1" w:themeShade="bf" w:val="2F5496"/>
      <w:kern w:val="2"/>
      <w:sz w:val="32"/>
      <w:szCs w:val="32"/>
      <w:lang w:eastAsia="pt-BR"/>
    </w:rPr>
  </w:style>
  <w:style w:type="character" w:styleId="CabealhoChar" w:customStyle="1">
    <w:name w:val="Cabeçalho Char"/>
    <w:basedOn w:val="DefaultParagraphFont"/>
    <w:uiPriority w:val="99"/>
    <w:qFormat/>
    <w:rsid w:val="00cf3536"/>
    <w:rPr>
      <w:rFonts w:ascii="Times New Roman" w:hAnsi="Times New Roman" w:eastAsia="Times New Roman" w:cs="Times New Roman"/>
      <w:kern w:val="2"/>
      <w:sz w:val="20"/>
      <w:szCs w:val="20"/>
      <w:lang w:eastAsia="pt-BR"/>
    </w:rPr>
  </w:style>
  <w:style w:type="character" w:styleId="RodapChar" w:customStyle="1">
    <w:name w:val="Rodapé Char"/>
    <w:basedOn w:val="DefaultParagraphFont"/>
    <w:uiPriority w:val="99"/>
    <w:qFormat/>
    <w:rsid w:val="00cf3536"/>
    <w:rPr>
      <w:rFonts w:ascii="Times New Roman" w:hAnsi="Times New Roman" w:eastAsia="Times New Roman" w:cs="Times New Roman"/>
      <w:kern w:val="2"/>
      <w:sz w:val="20"/>
      <w:szCs w:val="20"/>
      <w:lang w:eastAsia="pt-BR"/>
    </w:rPr>
  </w:style>
  <w:style w:type="character" w:styleId="CommentReference">
    <w:name w:val="annotation reference"/>
    <w:basedOn w:val="DefaultParagraphFont"/>
    <w:unhideWhenUsed/>
    <w:qFormat/>
    <w:rsid w:val="00ca657a"/>
    <w:rPr>
      <w:sz w:val="16"/>
      <w:szCs w:val="16"/>
    </w:rPr>
  </w:style>
  <w:style w:type="character" w:styleId="TextodecomentrioChar" w:customStyle="1">
    <w:name w:val="Texto de comentário Char"/>
    <w:basedOn w:val="DefaultParagraphFont"/>
    <w:uiPriority w:val="99"/>
    <w:qFormat/>
    <w:rsid w:val="00ca657a"/>
    <w:rPr>
      <w:rFonts w:ascii="Ecofont_Spranq_eco_Sans" w:hAnsi="Ecofont_Spranq_eco_Sans" w:eastAsia="" w:cs="Tahoma" w:eastAsiaTheme="minorEastAsia"/>
      <w:kern w:val="0"/>
      <w:sz w:val="20"/>
      <w:szCs w:val="20"/>
      <w:lang w:eastAsia="pt-BR"/>
    </w:rPr>
  </w:style>
  <w:style w:type="character" w:styleId="ouChar" w:customStyle="1">
    <w:name w:val="ou Char"/>
    <w:basedOn w:val="DefaultParagraphFont"/>
    <w:link w:val="ou"/>
    <w:qFormat/>
    <w:rsid w:val="00ca657a"/>
    <w:rPr>
      <w:rFonts w:ascii="Arial" w:hAnsi="Arial" w:cs="Arial"/>
      <w:b/>
      <w:bCs/>
      <w:i/>
      <w:iCs/>
      <w:color w:val="FF0000"/>
      <w:kern w:val="0"/>
      <w:sz w:val="24"/>
      <w:szCs w:val="24"/>
      <w:u w:val="single"/>
      <w:lang w:eastAsia="pt-BR"/>
    </w:rPr>
  </w:style>
  <w:style w:type="character" w:styleId="Nvel3-RChar" w:customStyle="1">
    <w:name w:val="Nível 3-R Char"/>
    <w:basedOn w:val="DefaultParagraphFont"/>
    <w:link w:val="Nvel3-R"/>
    <w:qFormat/>
    <w:rsid w:val="00ca657a"/>
    <w:rPr>
      <w:rFonts w:ascii="Arial" w:hAnsi="Arial" w:eastAsia="" w:cs="Arial" w:eastAsiaTheme="minorEastAsia"/>
      <w:i/>
      <w:iCs/>
      <w:color w:val="FF0000"/>
      <w:kern w:val="0"/>
      <w:sz w:val="20"/>
      <w:szCs w:val="20"/>
      <w:lang w:eastAsia="pt-BR"/>
    </w:rPr>
  </w:style>
  <w:style w:type="character" w:styleId="Nvel1-SemNumChar" w:customStyle="1">
    <w:name w:val="Nível 1-Sem Num Char"/>
    <w:basedOn w:val="DefaultParagraphFont"/>
    <w:link w:val="Nvel1-SemNum"/>
    <w:qFormat/>
    <w:rsid w:val="00ca657a"/>
    <w:rPr>
      <w:rFonts w:ascii="Arial" w:hAnsi="Arial" w:eastAsia="" w:cs="Arial" w:eastAsiaTheme="majorEastAsia"/>
      <w:b/>
      <w:bCs/>
      <w:color w:val="FF0000"/>
      <w:kern w:val="0"/>
      <w:sz w:val="20"/>
      <w:szCs w:val="20"/>
      <w:lang w:eastAsia="pt-BR"/>
    </w:rPr>
  </w:style>
  <w:style w:type="character" w:styleId="Ttulo3Char" w:customStyle="1">
    <w:name w:val="Título 3 Char"/>
    <w:basedOn w:val="DefaultParagraphFont"/>
    <w:uiPriority w:val="9"/>
    <w:semiHidden/>
    <w:qFormat/>
    <w:rsid w:val="00083be4"/>
    <w:rPr>
      <w:rFonts w:ascii="Calibri Light" w:hAnsi="Calibri Light" w:eastAsia="" w:cs="" w:asciiTheme="majorHAnsi" w:cstheme="majorBidi" w:eastAsiaTheme="majorEastAsia" w:hAnsiTheme="majorHAnsi"/>
      <w:color w:themeColor="accent1" w:themeShade="7f" w:val="1F3763"/>
      <w:kern w:val="2"/>
      <w:sz w:val="24"/>
      <w:szCs w:val="24"/>
      <w:lang w:eastAsia="pt-BR"/>
    </w:rPr>
  </w:style>
  <w:style w:type="character" w:styleId="TextodebaloChar" w:customStyle="1">
    <w:name w:val="Texto de balão Char"/>
    <w:basedOn w:val="DefaultParagraphFont"/>
    <w:link w:val="BalloonText"/>
    <w:uiPriority w:val="99"/>
    <w:semiHidden/>
    <w:qFormat/>
    <w:rsid w:val="00811e16"/>
    <w:rPr>
      <w:rFonts w:ascii="Tahoma" w:hAnsi="Tahoma" w:cs="Tahoma"/>
      <w:kern w:val="0"/>
      <w:sz w:val="16"/>
      <w:szCs w:val="16"/>
    </w:rPr>
  </w:style>
  <w:style w:type="character" w:styleId="CorpodetextoChar" w:customStyle="1">
    <w:name w:val="Corpo de texto Char"/>
    <w:basedOn w:val="DefaultParagraphFont"/>
    <w:uiPriority w:val="99"/>
    <w:semiHidden/>
    <w:qFormat/>
    <w:rsid w:val="00665d2e"/>
    <w:rPr>
      <w:rFonts w:ascii="Times New Roman" w:hAnsi="Times New Roman" w:eastAsia="Times New Roman" w:cs="Times New Roman"/>
      <w:kern w:val="2"/>
      <w:sz w:val="20"/>
      <w:szCs w:val="20"/>
      <w:lang w:eastAsia="pt-BR"/>
    </w:rPr>
  </w:style>
  <w:style w:type="character" w:styleId="Strong">
    <w:name w:val="Strong"/>
    <w:basedOn w:val="DefaultParagraphFont"/>
    <w:uiPriority w:val="22"/>
    <w:qFormat/>
    <w:rsid w:val="003762e5"/>
    <w:rPr>
      <w:b/>
      <w:bCs/>
    </w:rPr>
  </w:style>
  <w:style w:type="character" w:styleId="Emphasis">
    <w:name w:val="Emphasis"/>
    <w:basedOn w:val="DefaultParagraphFont"/>
    <w:uiPriority w:val="20"/>
    <w:qFormat/>
    <w:rsid w:val="000e61f0"/>
    <w:rPr>
      <w:i/>
      <w:iCs/>
    </w:rPr>
  </w:style>
  <w:style w:type="character" w:styleId="Marcadores">
    <w:name w:val="Marcadores"/>
    <w:qFormat/>
    <w:rPr>
      <w:rFonts w:ascii="OpenSymbol" w:hAnsi="OpenSymbol" w:eastAsia="OpenSymbol" w:cs="OpenSymbol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link w:val="CorpodetextoChar"/>
    <w:uiPriority w:val="99"/>
    <w:semiHidden/>
    <w:unhideWhenUsed/>
    <w:rsid w:val="00665d2e"/>
    <w:pPr>
      <w:spacing w:before="0" w:after="12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Arial"/>
    </w:rPr>
  </w:style>
  <w:style w:type="paragraph" w:styleId="Standard" w:customStyle="1">
    <w:name w:val="Standard"/>
    <w:qFormat/>
    <w:rsid w:val="00da3c8c"/>
    <w:pPr>
      <w:widowControl/>
      <w:suppressAutoHyphens w:val="true"/>
      <w:bidi w:val="0"/>
      <w:spacing w:lineRule="auto" w:line="240" w:before="0" w:after="0"/>
      <w:jc w:val="left"/>
      <w:textAlignment w:val="baseline"/>
    </w:pPr>
    <w:rPr>
      <w:rFonts w:ascii="Times New Roman" w:hAnsi="Times New Roman" w:eastAsia="Times New Roman" w:cs="Times New Roman"/>
      <w:color w:val="auto"/>
      <w:kern w:val="2"/>
      <w:sz w:val="20"/>
      <w:szCs w:val="20"/>
      <w:lang w:val="pt-BR" w:eastAsia="ar-SA" w:bidi="ar-SA"/>
    </w:rPr>
  </w:style>
  <w:style w:type="paragraph" w:styleId="BodyText2">
    <w:name w:val="Body Text 2"/>
    <w:basedOn w:val="Normal"/>
    <w:link w:val="Corpodetexto2Char"/>
    <w:qFormat/>
    <w:rsid w:val="00da3c8c"/>
    <w:pPr>
      <w:widowControl/>
      <w:suppressAutoHyphens w:val="false"/>
      <w:ind w:right="-57"/>
      <w:jc w:val="both"/>
      <w:textAlignment w:val="auto"/>
    </w:pPr>
    <w:rPr>
      <w:rFonts w:ascii="Lucida Sans Unicode" w:hAnsi="Lucida Sans Unicode" w:cs="Lucida Sans Unicode"/>
      <w:kern w:val="0"/>
      <w:sz w:val="22"/>
      <w:szCs w:val="22"/>
    </w:rPr>
  </w:style>
  <w:style w:type="paragraph" w:styleId="Nvel2-Red" w:customStyle="1">
    <w:name w:val="Nível 2 -Red"/>
    <w:basedOn w:val="Normal"/>
    <w:link w:val="Nvel2-RedChar"/>
    <w:qFormat/>
    <w:rsid w:val="00da3c8c"/>
    <w:pPr>
      <w:widowControl/>
      <w:numPr>
        <w:ilvl w:val="1"/>
        <w:numId w:val="1"/>
      </w:numPr>
      <w:suppressAutoHyphens w:val="false"/>
      <w:spacing w:lineRule="auto" w:line="276" w:before="120" w:after="120"/>
      <w:ind w:hanging="0" w:left="0"/>
      <w:jc w:val="both"/>
      <w:textAlignment w:val="auto"/>
    </w:pPr>
    <w:rPr>
      <w:rFonts w:ascii="Arial" w:hAnsi="Arial" w:eastAsia="" w:cs="Arial" w:eastAsiaTheme="minorEastAsia"/>
      <w:i/>
      <w:iCs/>
      <w:color w:val="FF0000"/>
      <w:kern w:val="0"/>
    </w:rPr>
  </w:style>
  <w:style w:type="paragraph" w:styleId="Nvel3-R" w:customStyle="1">
    <w:name w:val="Nível 3-R"/>
    <w:basedOn w:val="Normal"/>
    <w:link w:val="Nvel3-RChar"/>
    <w:qFormat/>
    <w:rsid w:val="00da3c8c"/>
    <w:pPr>
      <w:widowControl/>
      <w:numPr>
        <w:ilvl w:val="2"/>
        <w:numId w:val="1"/>
      </w:numPr>
      <w:suppressAutoHyphens w:val="false"/>
      <w:spacing w:lineRule="auto" w:line="276" w:before="120" w:after="120"/>
      <w:ind w:hanging="504" w:left="3198"/>
      <w:jc w:val="both"/>
      <w:textAlignment w:val="auto"/>
    </w:pPr>
    <w:rPr>
      <w:rFonts w:ascii="Arial" w:hAnsi="Arial" w:eastAsia="" w:cs="Arial" w:eastAsiaTheme="minorEastAsia"/>
      <w:i/>
      <w:iCs/>
      <w:color w:val="FF0000"/>
      <w:kern w:val="0"/>
    </w:rPr>
  </w:style>
  <w:style w:type="paragraph" w:styleId="ListParagraph">
    <w:name w:val="List Paragraph"/>
    <w:basedOn w:val="Normal"/>
    <w:uiPriority w:val="34"/>
    <w:qFormat/>
    <w:rsid w:val="00b454cf"/>
    <w:pPr>
      <w:spacing w:before="0" w:after="0"/>
      <w:ind w:left="720"/>
      <w:contextualSpacing/>
    </w:pPr>
    <w:rPr/>
  </w:style>
  <w:style w:type="paragraph" w:styleId="Cabealho1" w:customStyle="1">
    <w:name w:val="Cabeçalho1"/>
    <w:autoRedefine/>
    <w:qFormat/>
    <w:rsid w:val="00d922ad"/>
    <w:pPr>
      <w:widowControl/>
      <w:tabs>
        <w:tab w:val="clear" w:pos="709"/>
        <w:tab w:val="left" w:pos="708" w:leader="none"/>
        <w:tab w:val="left" w:pos="1416" w:leader="none"/>
        <w:tab w:val="left" w:pos="2124" w:leader="none"/>
        <w:tab w:val="left" w:pos="2832" w:leader="none"/>
        <w:tab w:val="left" w:pos="3540" w:leader="none"/>
        <w:tab w:val="left" w:pos="4248" w:leader="none"/>
        <w:tab w:val="left" w:pos="4956" w:leader="none"/>
        <w:tab w:val="left" w:pos="5664" w:leader="none"/>
        <w:tab w:val="left" w:pos="6372" w:leader="none"/>
        <w:tab w:val="left" w:pos="7080" w:leader="none"/>
        <w:tab w:val="left" w:pos="7788" w:leader="none"/>
        <w:tab w:val="left" w:pos="8496" w:leader="none"/>
        <w:tab w:val="left" w:pos="9204" w:leader="none"/>
      </w:tabs>
      <w:suppressAutoHyphens w:val="true"/>
      <w:bidi w:val="0"/>
      <w:spacing w:lineRule="auto" w:line="240" w:before="0" w:after="0"/>
      <w:jc w:val="both"/>
    </w:pPr>
    <w:rPr>
      <w:rFonts w:ascii="Times New Roman" w:hAnsi="Times New Roman" w:eastAsia="ヒラギノ角ゴ Pro W3" w:cs="Times New Roman"/>
      <w:color w:val="000000"/>
      <w:kern w:val="0"/>
      <w:sz w:val="24"/>
      <w:szCs w:val="20"/>
      <w:lang w:val="pt-BR" w:eastAsia="pt-BR" w:bidi="ar-SA"/>
    </w:rPr>
  </w:style>
  <w:style w:type="paragraph" w:styleId="Nivel01" w:customStyle="1">
    <w:name w:val="Nivel 01"/>
    <w:basedOn w:val="Heading1"/>
    <w:next w:val="Normal"/>
    <w:qFormat/>
    <w:rsid w:val="001f2edc"/>
    <w:pPr>
      <w:widowControl/>
      <w:numPr>
        <w:ilvl w:val="0"/>
        <w:numId w:val="2"/>
      </w:numPr>
      <w:tabs>
        <w:tab w:val="clear" w:pos="709"/>
        <w:tab w:val="left" w:pos="360" w:leader="none"/>
        <w:tab w:val="left" w:pos="567" w:leader="none"/>
      </w:tabs>
      <w:suppressAutoHyphens w:val="false"/>
      <w:ind w:hanging="0" w:left="0"/>
      <w:jc w:val="both"/>
      <w:textAlignment w:val="auto"/>
    </w:pPr>
    <w:rPr>
      <w:rFonts w:ascii="Arial" w:hAnsi="Arial" w:cs="Arial"/>
      <w:b/>
      <w:bCs/>
      <w:color w:val="auto"/>
      <w:sz w:val="28"/>
      <w:szCs w:val="28"/>
      <w:lang w:eastAsia="ar-SA"/>
    </w:rPr>
  </w:style>
  <w:style w:type="paragraph" w:styleId="Nivel2" w:customStyle="1">
    <w:name w:val="Nivel 2"/>
    <w:basedOn w:val="Normal"/>
    <w:link w:val="Nivel2Char"/>
    <w:qFormat/>
    <w:rsid w:val="001f2edc"/>
    <w:pPr>
      <w:widowControl/>
      <w:numPr>
        <w:ilvl w:val="1"/>
        <w:numId w:val="2"/>
      </w:numPr>
      <w:suppressAutoHyphens w:val="false"/>
      <w:spacing w:lineRule="auto" w:line="276" w:before="120" w:after="120"/>
      <w:jc w:val="both"/>
      <w:textAlignment w:val="auto"/>
    </w:pPr>
    <w:rPr>
      <w:rFonts w:ascii="Arial" w:hAnsi="Arial" w:eastAsia="" w:cs="Arial" w:eastAsiaTheme="minorEastAsia"/>
      <w:color w:val="000000"/>
      <w:kern w:val="0"/>
    </w:rPr>
  </w:style>
  <w:style w:type="paragraph" w:styleId="Nivel3" w:customStyle="1">
    <w:name w:val="Nivel 3"/>
    <w:basedOn w:val="Normal"/>
    <w:qFormat/>
    <w:rsid w:val="001f2edc"/>
    <w:pPr>
      <w:widowControl/>
      <w:numPr>
        <w:ilvl w:val="2"/>
        <w:numId w:val="2"/>
      </w:numPr>
      <w:suppressAutoHyphens w:val="false"/>
      <w:spacing w:lineRule="auto" w:line="276" w:before="120" w:after="120"/>
      <w:jc w:val="both"/>
      <w:textAlignment w:val="auto"/>
    </w:pPr>
    <w:rPr>
      <w:rFonts w:ascii="Arial" w:hAnsi="Arial" w:eastAsia="" w:cs="Arial" w:eastAsiaTheme="minorEastAsia"/>
      <w:color w:val="000000"/>
      <w:kern w:val="0"/>
    </w:rPr>
  </w:style>
  <w:style w:type="paragraph" w:styleId="Nivel4" w:customStyle="1">
    <w:name w:val="Nivel 4"/>
    <w:basedOn w:val="Nivel3"/>
    <w:qFormat/>
    <w:rsid w:val="001f2edc"/>
    <w:pPr>
      <w:ind w:hanging="0" w:left="851"/>
    </w:pPr>
    <w:rPr>
      <w:color w:val="auto"/>
    </w:rPr>
  </w:style>
  <w:style w:type="paragraph" w:styleId="Nivel5" w:customStyle="1">
    <w:name w:val="Nivel 5"/>
    <w:basedOn w:val="Nivel4"/>
    <w:qFormat/>
    <w:rsid w:val="001f2edc"/>
    <w:pPr>
      <w:ind w:hanging="0" w:left="1276"/>
    </w:pPr>
    <w:rPr/>
  </w:style>
  <w:style w:type="paragraph" w:styleId="NormalWeb">
    <w:name w:val="Normal (Web)"/>
    <w:basedOn w:val="Normal"/>
    <w:uiPriority w:val="99"/>
    <w:unhideWhenUsed/>
    <w:qFormat/>
    <w:rsid w:val="00ab1e9c"/>
    <w:pPr>
      <w:widowControl/>
      <w:suppressAutoHyphens w:val="false"/>
      <w:spacing w:beforeAutospacing="1" w:afterAutospacing="1"/>
      <w:textAlignment w:val="auto"/>
    </w:pPr>
    <w:rPr>
      <w:kern w:val="0"/>
      <w:sz w:val="24"/>
      <w:szCs w:val="24"/>
    </w:rPr>
  </w:style>
  <w:style w:type="paragraph" w:styleId="Cabealhoerodap">
    <w:name w:val="Cabeçalho e rodapé"/>
    <w:basedOn w:val="Normal"/>
    <w:qFormat/>
    <w:pPr/>
    <w:rPr/>
  </w:style>
  <w:style w:type="paragraph" w:styleId="Cabealhoerodapuser">
    <w:name w:val="Cabeçalho e rodapé (user)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cf3536"/>
    <w:pPr>
      <w:tabs>
        <w:tab w:val="clear" w:pos="709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unhideWhenUsed/>
    <w:rsid w:val="00cf3536"/>
    <w:pPr>
      <w:tabs>
        <w:tab w:val="clear" w:pos="709"/>
        <w:tab w:val="center" w:pos="4252" w:leader="none"/>
        <w:tab w:val="right" w:pos="8504" w:leader="none"/>
      </w:tabs>
    </w:pPr>
    <w:rPr/>
  </w:style>
  <w:style w:type="paragraph" w:styleId="CommentText">
    <w:name w:val="annotation text"/>
    <w:basedOn w:val="Normal"/>
    <w:link w:val="TextodecomentrioChar"/>
    <w:uiPriority w:val="99"/>
    <w:unhideWhenUsed/>
    <w:qFormat/>
    <w:rsid w:val="00ca657a"/>
    <w:pPr>
      <w:widowControl/>
      <w:suppressAutoHyphens w:val="false"/>
      <w:textAlignment w:val="auto"/>
    </w:pPr>
    <w:rPr>
      <w:rFonts w:ascii="Ecofont_Spranq_eco_Sans" w:hAnsi="Ecofont_Spranq_eco_Sans" w:eastAsia="" w:cs="Tahoma" w:eastAsiaTheme="minorEastAsia"/>
      <w:kern w:val="0"/>
    </w:rPr>
  </w:style>
  <w:style w:type="paragraph" w:styleId="ou" w:customStyle="1">
    <w:name w:val="ou"/>
    <w:basedOn w:val="ListParagraph"/>
    <w:link w:val="ouChar"/>
    <w:qFormat/>
    <w:rsid w:val="00ca657a"/>
    <w:pPr>
      <w:widowControl/>
      <w:suppressAutoHyphens w:val="false"/>
      <w:spacing w:lineRule="auto" w:line="259" w:before="60" w:after="60"/>
      <w:ind w:left="0"/>
      <w:contextualSpacing w:val="false"/>
      <w:jc w:val="center"/>
      <w:textAlignment w:val="auto"/>
    </w:pPr>
    <w:rPr>
      <w:rFonts w:ascii="Arial" w:hAnsi="Arial" w:eastAsia="Calibri" w:cs="Arial" w:eastAsiaTheme="minorHAnsi"/>
      <w:b/>
      <w:bCs/>
      <w:i/>
      <w:iCs/>
      <w:color w:val="FF0000"/>
      <w:kern w:val="0"/>
      <w:sz w:val="24"/>
      <w:szCs w:val="24"/>
      <w:u w:val="single"/>
    </w:rPr>
  </w:style>
  <w:style w:type="paragraph" w:styleId="Nvel1-SemNum" w:customStyle="1">
    <w:name w:val="Nível 1-Sem Num"/>
    <w:basedOn w:val="Nivel01"/>
    <w:link w:val="Nvel1-SemNumChar"/>
    <w:qFormat/>
    <w:rsid w:val="00ca657a"/>
    <w:pPr>
      <w:numPr>
        <w:ilvl w:val="0"/>
        <w:numId w:val="0"/>
      </w:numPr>
      <w:ind w:hanging="0" w:left="357"/>
      <w:outlineLvl w:val="1"/>
    </w:pPr>
    <w:rPr>
      <w:color w:val="FF0000"/>
      <w:kern w:val="0"/>
      <w:sz w:val="20"/>
      <w:szCs w:val="20"/>
      <w:lang w:eastAsia="pt-BR"/>
    </w:rPr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811e16"/>
    <w:pPr>
      <w:widowControl/>
      <w:suppressAutoHyphens w:val="false"/>
      <w:textAlignment w:val="auto"/>
    </w:pPr>
    <w:rPr>
      <w:rFonts w:ascii="Tahoma" w:hAnsi="Tahoma" w:eastAsia="Calibri" w:cs="Tahoma" w:eastAsiaTheme="minorHAnsi"/>
      <w:kern w:val="0"/>
      <w:sz w:val="16"/>
      <w:szCs w:val="16"/>
      <w:lang w:eastAsia="en-US"/>
    </w:rPr>
  </w:style>
  <w:style w:type="paragraph" w:styleId="NoSpacing">
    <w:name w:val="No Spacing"/>
    <w:uiPriority w:val="1"/>
    <w:qFormat/>
    <w:rsid w:val="00811e16"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t-BR" w:eastAsia="en-US" w:bidi="ar-SA"/>
    </w:rPr>
  </w:style>
  <w:style w:type="paragraph" w:styleId="Compact" w:customStyle="1">
    <w:name w:val="Compact"/>
    <w:basedOn w:val="BodyText"/>
    <w:qFormat/>
    <w:rsid w:val="00665d2e"/>
    <w:pPr>
      <w:widowControl/>
      <w:suppressAutoHyphens w:val="false"/>
      <w:spacing w:before="36" w:after="36"/>
      <w:textAlignment w:val="auto"/>
    </w:pPr>
    <w:rPr>
      <w:rFonts w:ascii="Calibri" w:hAnsi="Calibri" w:eastAsia="Calibri" w:cs="" w:asciiTheme="minorHAnsi" w:cstheme="minorBidi" w:eastAsiaTheme="minorHAnsi" w:hAnsiTheme="minorHAnsi"/>
      <w:kern w:val="0"/>
      <w:sz w:val="24"/>
      <w:szCs w:val="24"/>
      <w:lang w:val="en-US" w:eastAsia="en-US"/>
    </w:rPr>
  </w:style>
  <w:style w:type="paragraph" w:styleId="Default">
    <w:name w:val="Default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"/>
      <w:color w:val="000000"/>
      <w:kern w:val="2"/>
      <w:sz w:val="24"/>
      <w:szCs w:val="22"/>
      <w:lang w:val="pt-BR" w:eastAsia="en-US" w:bidi="ar-SA"/>
    </w:rPr>
  </w:style>
  <w:style w:type="paragraph" w:styleId="Linhahorizontal">
    <w:name w:val="Linha horizontal"/>
    <w:basedOn w:val="Normal"/>
    <w:next w:val="BodyText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  <w:style w:type="paragraph" w:styleId="Contedodatabela">
    <w:name w:val="Conteúdo da tabela"/>
    <w:basedOn w:val="Normal"/>
    <w:qFormat/>
    <w:pPr>
      <w:widowControl w:val="false"/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numbering" w:styleId="Semlista" w:default="1">
    <w:name w:val="Sem lista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14E3DD-9EAB-4D89-88CB-F95EC4FAD4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931</TotalTime>
  <Application>LibreOffice/26.2.1.2$Windows_X86_64 LibreOffice_project/620$Build-2</Application>
  <AppVersion>15.0000</AppVersion>
  <Pages>10</Pages>
  <Words>3636</Words>
  <Characters>21557</Characters>
  <CharactersWithSpaces>25027</CharactersWithSpaces>
  <Paragraphs>250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2025-07-08T10:17:00Z</dcterms:created>
  <dc:creator>Joao Luiz Giamattey</dc:creator>
  <dc:description/>
  <dc:language>pt-BR</dc:language>
  <cp:lastModifiedBy/>
  <cp:lastPrinted>2026-08-03T12:46:52Z</cp:lastPrinted>
  <dcterms:modified xsi:type="dcterms:W3CDTF">2026-08-03T12:50:17Z</dcterms:modified>
  <cp:revision>89</cp:revision>
  <dc:subject/>
  <dc:title>Memorando nº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