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120"/>
        <w:ind w:hanging="3506" w:left="3506" w:right="0"/>
        <w:jc w:val="center"/>
        <w:rPr>
          <w:lang w:val="pt-BR"/>
        </w:rPr>
      </w:pPr>
      <w:r>
        <w:rPr>
          <w:lang w:val="pt-BR"/>
        </w:rPr>
      </w:r>
    </w:p>
    <w:p>
      <w:pPr>
        <w:pStyle w:val="Normal"/>
        <w:spacing w:lineRule="auto" w:line="276" w:before="0" w:after="120"/>
        <w:ind w:hanging="3506" w:left="3506" w:right="0"/>
        <w:jc w:val="center"/>
        <w:rPr>
          <w:lang w:val="pt-BR"/>
        </w:rPr>
      </w:pPr>
      <w:r>
        <w:rPr>
          <w:rFonts w:cs="Arial" w:ascii="Arial" w:hAnsi="Arial"/>
          <w:b/>
          <w:sz w:val="24"/>
          <w:szCs w:val="24"/>
          <w:lang w:val="pt-BR"/>
        </w:rPr>
        <w:t>EDITAL DE DISPENSA ELETRÔNICA n.º 36</w:t>
      </w:r>
      <w:r>
        <w:rPr>
          <w:rFonts w:cs="Arial" w:ascii="Arial" w:hAnsi="Arial"/>
          <w:b/>
          <w:sz w:val="24"/>
          <w:szCs w:val="24"/>
          <w:shd w:fill="FFFFFF" w:val="clear"/>
          <w:lang w:val="pt-BR"/>
        </w:rPr>
        <w:t>/2026</w:t>
      </w:r>
    </w:p>
    <w:p>
      <w:pPr>
        <w:pStyle w:val="Normal"/>
        <w:spacing w:lineRule="auto" w:line="276" w:before="0" w:after="120"/>
        <w:ind w:hanging="3506" w:left="3506" w:right="0"/>
        <w:jc w:val="center"/>
        <w:rPr>
          <w:lang w:val="pt-BR"/>
        </w:rPr>
      </w:pPr>
      <w:r>
        <w:rPr>
          <w:lang w:val="pt-BR"/>
        </w:rPr>
      </w:r>
    </w:p>
    <w:p>
      <w:pPr>
        <w:pStyle w:val="Normal"/>
        <w:spacing w:lineRule="auto" w:line="276" w:before="0" w:after="120"/>
        <w:jc w:val="both"/>
        <w:rPr>
          <w:lang w:val="pt-BR"/>
        </w:rPr>
      </w:pPr>
      <w:r>
        <w:rPr>
          <w:rFonts w:cs="Arial" w:ascii="Arial" w:hAnsi="Arial"/>
          <w:b/>
          <w:sz w:val="24"/>
          <w:szCs w:val="24"/>
          <w:lang w:val="pt-BR"/>
        </w:rPr>
        <w:t xml:space="preserve">PROCESSO n.º </w:t>
      </w:r>
      <w:r>
        <w:rPr>
          <w:rFonts w:eastAsia="SimSun" w:cs="Arial" w:ascii="Arial" w:hAnsi="Arial"/>
          <w:b/>
          <w:bCs/>
          <w:sz w:val="24"/>
          <w:szCs w:val="24"/>
          <w:lang w:val="pt-BR"/>
        </w:rPr>
        <w:t>39.615/2026-01</w:t>
      </w:r>
    </w:p>
    <w:p>
      <w:pPr>
        <w:pStyle w:val="Heading11"/>
        <w:spacing w:lineRule="auto" w:line="276" w:before="0" w:after="120"/>
        <w:ind w:hanging="0" w:left="0" w:right="0"/>
        <w:jc w:val="both"/>
        <w:rPr>
          <w:lang w:val="pt-BR"/>
        </w:rPr>
      </w:pPr>
      <w:r>
        <w:rPr>
          <w:rFonts w:cs="Arial" w:ascii="Arial" w:hAnsi="Arial"/>
          <w:sz w:val="24"/>
          <w:szCs w:val="24"/>
          <w:lang w:val="pt-BR"/>
        </w:rPr>
        <w:t xml:space="preserve">CRITÉRIO DE JULGAMENTO: </w:t>
      </w:r>
      <w:r>
        <w:rPr>
          <w:rFonts w:cs="Arial" w:ascii="Arial" w:hAnsi="Arial"/>
          <w:b w:val="false"/>
          <w:sz w:val="24"/>
          <w:szCs w:val="24"/>
          <w:lang w:val="pt-BR"/>
        </w:rPr>
        <w:t>TIPO</w:t>
      </w:r>
      <w:r>
        <w:rPr>
          <w:rFonts w:cs="Arial" w:ascii="Arial" w:hAnsi="Arial"/>
          <w:sz w:val="24"/>
          <w:szCs w:val="24"/>
          <w:lang w:val="pt-BR"/>
        </w:rPr>
        <w:t xml:space="preserve"> MENOR PREÇO POR LOTE</w:t>
      </w:r>
    </w:p>
    <w:p>
      <w:pPr>
        <w:pStyle w:val="Normal"/>
        <w:spacing w:lineRule="auto" w:line="276" w:before="0" w:after="120"/>
        <w:jc w:val="both"/>
        <w:rPr>
          <w:lang w:val="pt-BR"/>
        </w:rPr>
      </w:pPr>
      <w:r>
        <w:rPr>
          <w:rFonts w:cs="Arial" w:ascii="Arial" w:hAnsi="Arial"/>
          <w:b/>
          <w:sz w:val="24"/>
          <w:szCs w:val="24"/>
          <w:lang w:val="pt-BR"/>
        </w:rPr>
        <w:t>DISPENSA DE LICITAÇÃO PARA</w:t>
      </w:r>
      <w:r>
        <w:rPr>
          <w:rFonts w:cs="Arial" w:ascii="Arial" w:hAnsi="Arial"/>
          <w:sz w:val="24"/>
          <w:szCs w:val="24"/>
          <w:lang w:val="pt-BR"/>
        </w:rPr>
        <w:t xml:space="preserve">: </w:t>
      </w:r>
      <w:r>
        <w:rPr>
          <w:rFonts w:eastAsia="Arial" w:cs="Arial" w:ascii="Arial" w:hAnsi="Arial"/>
          <w:b w:val="false"/>
          <w:bCs w:val="false"/>
          <w:color w:val="000000"/>
          <w:kern w:val="0"/>
          <w:sz w:val="24"/>
          <w:szCs w:val="24"/>
          <w:lang w:val="pt-BR" w:eastAsia="pt-BR"/>
        </w:rPr>
        <w:t>A</w:t>
      </w:r>
      <w:r>
        <w:rPr>
          <w:rFonts w:eastAsia="Times New Roman" w:cs="Arial" w:ascii="Arial" w:hAnsi="Arial"/>
          <w:b w:val="false"/>
          <w:bCs w:val="false"/>
          <w:color w:val="000000"/>
          <w:kern w:val="0"/>
          <w:sz w:val="24"/>
          <w:szCs w:val="24"/>
          <w:lang w:val="pt-BR" w:eastAsia="pt-BR"/>
        </w:rPr>
        <w:t>quisição de 1.000 (mil) hastes de plástico para pasta suspensa (tam. Ofício/A4), preferencialmente branca, e 200 (duzentas) folhas para acondicionamento de negativos fotográficos em filme 35 mm, modelo 35-7BXW ou equivalente, destinadas ao Acervo Iconográfico da Fundação Arquivo e Memória de Santos – FAMS, de forma única, com julgamento e adjudicação por item, sendo vencedor, em cada item, o licitante que ofertar o menor preço.</w:t>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z w:val="24"/>
          <w:szCs w:val="24"/>
          <w:lang w:val="pt-BR"/>
        </w:rPr>
        <w:t xml:space="preserve">Recebimento das Propostas </w:t>
      </w:r>
      <w:r>
        <w:rPr>
          <w:rFonts w:cs="Arial" w:ascii="Arial" w:hAnsi="Arial"/>
          <w:b/>
          <w:spacing w:val="-4"/>
          <w:sz w:val="24"/>
          <w:szCs w:val="24"/>
          <w:lang w:val="pt-BR"/>
        </w:rPr>
        <w:t>até:</w:t>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spacing w:val="-4"/>
          <w:sz w:val="24"/>
          <w:szCs w:val="24"/>
          <w:lang w:val="pt-BR"/>
        </w:rPr>
        <w:t xml:space="preserve">Data limite: </w:t>
      </w:r>
      <w:r>
        <w:rPr>
          <w:rFonts w:cs="Arial" w:ascii="Arial" w:hAnsi="Arial"/>
          <w:b/>
          <w:bCs/>
          <w:spacing w:val="-4"/>
          <w:sz w:val="24"/>
          <w:szCs w:val="24"/>
          <w:lang w:val="pt-BR"/>
        </w:rPr>
        <w:t>22</w:t>
      </w:r>
      <w:r>
        <w:rPr>
          <w:rFonts w:cs="Arial" w:ascii="Arial" w:hAnsi="Arial"/>
          <w:b/>
          <w:spacing w:val="-4"/>
          <w:sz w:val="24"/>
          <w:szCs w:val="24"/>
          <w:lang w:val="pt-BR"/>
        </w:rPr>
        <w:t>/09/2026</w:t>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spacing w:val="-4"/>
          <w:sz w:val="24"/>
          <w:szCs w:val="24"/>
          <w:lang w:val="pt-BR"/>
        </w:rPr>
        <w:t xml:space="preserve">Horário: </w:t>
      </w:r>
      <w:r>
        <w:rPr>
          <w:rFonts w:cs="Arial" w:ascii="Arial" w:hAnsi="Arial"/>
          <w:b/>
          <w:spacing w:val="-4"/>
          <w:sz w:val="24"/>
          <w:szCs w:val="24"/>
          <w:lang w:val="pt-BR"/>
        </w:rPr>
        <w:t>09h29min</w:t>
      </w:r>
    </w:p>
    <w:p>
      <w:pPr>
        <w:pStyle w:val="PargrafodaLista"/>
        <w:widowControl w:val="false"/>
        <w:tabs>
          <w:tab w:val="clear" w:pos="709"/>
          <w:tab w:val="left" w:pos="849" w:leader="none"/>
        </w:tabs>
        <w:spacing w:lineRule="auto" w:line="276" w:before="0" w:after="120"/>
        <w:contextualSpacing/>
        <w:jc w:val="both"/>
        <w:rPr>
          <w:rFonts w:ascii="Arial" w:hAnsi="Arial" w:cs="Arial"/>
          <w:spacing w:val="-4"/>
          <w:sz w:val="24"/>
          <w:szCs w:val="24"/>
          <w:lang w:val="pt-BR"/>
        </w:rPr>
      </w:pPr>
      <w:r>
        <w:rPr>
          <w:rFonts w:cs="Arial" w:ascii="Arial" w:hAnsi="Arial"/>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Abertura das propostas:</w:t>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spacing w:val="-4"/>
          <w:sz w:val="24"/>
          <w:szCs w:val="24"/>
          <w:lang w:val="pt-BR"/>
        </w:rPr>
        <w:t xml:space="preserve">Data limite: </w:t>
      </w:r>
      <w:r>
        <w:rPr>
          <w:rFonts w:cs="Arial" w:ascii="Arial" w:hAnsi="Arial"/>
          <w:b/>
          <w:bCs/>
          <w:spacing w:val="-4"/>
          <w:sz w:val="24"/>
          <w:szCs w:val="24"/>
          <w:lang w:val="pt-BR"/>
        </w:rPr>
        <w:t>22</w:t>
      </w:r>
      <w:r>
        <w:rPr>
          <w:rFonts w:cs="Arial" w:ascii="Arial" w:hAnsi="Arial"/>
          <w:b/>
          <w:spacing w:val="-4"/>
          <w:sz w:val="24"/>
          <w:szCs w:val="24"/>
          <w:lang w:val="pt-BR"/>
        </w:rPr>
        <w:t>/09/2026</w:t>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spacing w:val="-4"/>
          <w:sz w:val="24"/>
          <w:szCs w:val="24"/>
          <w:lang w:val="pt-BR"/>
        </w:rPr>
        <w:t xml:space="preserve">Horário: </w:t>
      </w:r>
      <w:r>
        <w:rPr>
          <w:rFonts w:cs="Arial" w:ascii="Arial" w:hAnsi="Arial"/>
          <w:b/>
          <w:spacing w:val="-4"/>
          <w:sz w:val="24"/>
          <w:szCs w:val="24"/>
          <w:lang w:val="pt-BR"/>
        </w:rPr>
        <w:t>09h30min</w:t>
      </w:r>
    </w:p>
    <w:p>
      <w:pPr>
        <w:pStyle w:val="PargrafodaLista"/>
        <w:widowControl w:val="false"/>
        <w:tabs>
          <w:tab w:val="clear" w:pos="709"/>
          <w:tab w:val="left" w:pos="849" w:leader="none"/>
        </w:tabs>
        <w:spacing w:lineRule="auto" w:line="276" w:before="0" w:after="120"/>
        <w:contextualSpacing/>
        <w:jc w:val="both"/>
        <w:rPr>
          <w:rFonts w:ascii="Arial" w:hAnsi="Arial" w:cs="Arial"/>
          <w:spacing w:val="-4"/>
          <w:sz w:val="24"/>
          <w:szCs w:val="24"/>
          <w:lang w:val="pt-BR"/>
        </w:rPr>
      </w:pPr>
      <w:r>
        <w:rPr>
          <w:rFonts w:cs="Arial" w:ascii="Arial" w:hAnsi="Arial"/>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Início da Disputa de Preços:</w:t>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spacing w:val="-4"/>
          <w:sz w:val="24"/>
          <w:szCs w:val="24"/>
          <w:lang w:val="pt-BR"/>
        </w:rPr>
        <w:t xml:space="preserve">Data limite: </w:t>
      </w:r>
      <w:r>
        <w:rPr>
          <w:rFonts w:cs="Arial" w:ascii="Arial" w:hAnsi="Arial"/>
          <w:b/>
          <w:bCs/>
          <w:spacing w:val="-4"/>
          <w:sz w:val="24"/>
          <w:szCs w:val="24"/>
          <w:lang w:val="pt-BR"/>
        </w:rPr>
        <w:t>22</w:t>
      </w:r>
      <w:r>
        <w:rPr>
          <w:rFonts w:cs="Arial" w:ascii="Arial" w:hAnsi="Arial"/>
          <w:b/>
          <w:spacing w:val="-4"/>
          <w:sz w:val="24"/>
          <w:szCs w:val="24"/>
          <w:lang w:val="pt-BR"/>
        </w:rPr>
        <w:t>/09/2026</w:t>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spacing w:val="-4"/>
          <w:sz w:val="24"/>
          <w:szCs w:val="24"/>
          <w:lang w:val="pt-BR"/>
        </w:rPr>
        <w:t xml:space="preserve">Horário: </w:t>
      </w:r>
      <w:r>
        <w:rPr>
          <w:rFonts w:cs="Arial" w:ascii="Arial" w:hAnsi="Arial"/>
          <w:b/>
          <w:bCs/>
          <w:spacing w:val="-4"/>
          <w:sz w:val="24"/>
          <w:szCs w:val="24"/>
          <w:lang w:val="pt-BR"/>
        </w:rPr>
        <w:t>10h00min</w:t>
      </w:r>
    </w:p>
    <w:p>
      <w:pPr>
        <w:pStyle w:val="PargrafodaLista"/>
        <w:widowControl w:val="false"/>
        <w:tabs>
          <w:tab w:val="clear" w:pos="709"/>
          <w:tab w:val="left" w:pos="849" w:leader="none"/>
        </w:tabs>
        <w:spacing w:lineRule="auto" w:line="276" w:before="0" w:after="120"/>
        <w:contextualSpacing/>
        <w:jc w:val="both"/>
        <w:rPr>
          <w:rFonts w:ascii="Arial" w:hAnsi="Arial" w:cs="Arial"/>
          <w:spacing w:val="-4"/>
          <w:sz w:val="24"/>
          <w:szCs w:val="24"/>
          <w:lang w:val="pt-BR"/>
        </w:rPr>
      </w:pPr>
      <w:r>
        <w:rPr>
          <w:rFonts w:cs="Arial" w:ascii="Arial" w:hAnsi="Arial"/>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Valor Total Estimado da Contratação:</w:t>
      </w:r>
    </w:p>
    <w:p>
      <w:pPr>
        <w:pStyle w:val="PargrafodaLista"/>
        <w:spacing w:lineRule="auto" w:line="276"/>
        <w:jc w:val="left"/>
        <w:rPr>
          <w:lang w:val="pt-BR"/>
        </w:rPr>
      </w:pPr>
      <w:r>
        <w:rPr>
          <w:rFonts w:ascii="Arial" w:hAnsi="Arial"/>
          <w:sz w:val="24"/>
          <w:szCs w:val="24"/>
          <w:lang w:val="pt-BR"/>
        </w:rPr>
        <w:t xml:space="preserve">Lote 01 – Hastes para pasta suspensa: </w:t>
      </w:r>
      <w:r>
        <w:rPr>
          <w:rFonts w:ascii="Arial" w:hAnsi="Arial"/>
          <w:b/>
          <w:bCs/>
          <w:sz w:val="24"/>
          <w:szCs w:val="24"/>
          <w:lang w:val="pt-BR"/>
        </w:rPr>
        <w:t>R$ 1.040,00 (um mil e quarenta reais)</w:t>
      </w:r>
      <w:r>
        <w:rPr>
          <w:rFonts w:ascii="Arial" w:hAnsi="Arial"/>
          <w:sz w:val="24"/>
          <w:szCs w:val="24"/>
          <w:lang w:val="pt-BR"/>
        </w:rPr>
        <w:t>.</w:t>
        <w:br/>
        <w:t xml:space="preserve">Lote 02 – Folhas para acondicionamento de negativos: </w:t>
      </w:r>
      <w:r>
        <w:rPr>
          <w:rFonts w:ascii="Arial" w:hAnsi="Arial"/>
          <w:b/>
          <w:bCs/>
          <w:sz w:val="24"/>
          <w:szCs w:val="24"/>
          <w:lang w:val="pt-BR"/>
        </w:rPr>
        <w:t>R$ 1.166,00 (um mil cento e sessenta e seis reais).</w:t>
      </w:r>
      <w:r>
        <w:rPr>
          <w:rFonts w:ascii="Arial" w:hAnsi="Arial"/>
          <w:sz w:val="24"/>
          <w:szCs w:val="24"/>
          <w:lang w:val="pt-BR"/>
        </w:rPr>
        <w:b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 xml:space="preserve">Critério de Julgamento: </w:t>
      </w:r>
      <w:r>
        <w:rPr>
          <w:rFonts w:cs="Arial" w:ascii="Arial" w:hAnsi="Arial"/>
          <w:b w:val="false"/>
          <w:bCs w:val="false"/>
          <w:spacing w:val="-4"/>
          <w:sz w:val="24"/>
          <w:szCs w:val="24"/>
          <w:lang w:val="pt-BR"/>
        </w:rPr>
        <w:t>Menor preço por lote.</w:t>
      </w:r>
    </w:p>
    <w:p>
      <w:pPr>
        <w:pStyle w:val="PargrafodaLista"/>
        <w:widowControl w:val="false"/>
        <w:tabs>
          <w:tab w:val="clear" w:pos="709"/>
          <w:tab w:val="left" w:pos="849" w:leader="none"/>
        </w:tabs>
        <w:spacing w:lineRule="auto" w:line="276" w:before="0" w:after="120"/>
        <w:contextualSpacing/>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 xml:space="preserve">Modo de Disputa: </w:t>
      </w:r>
      <w:r>
        <w:rPr>
          <w:rFonts w:cs="Arial" w:ascii="Arial" w:hAnsi="Arial"/>
          <w:spacing w:val="-4"/>
          <w:sz w:val="24"/>
          <w:szCs w:val="24"/>
          <w:lang w:val="pt-BR"/>
        </w:rPr>
        <w:t>Aberto</w:t>
      </w:r>
    </w:p>
    <w:p>
      <w:pPr>
        <w:pStyle w:val="PargrafodaLista"/>
        <w:widowControl w:val="false"/>
        <w:tabs>
          <w:tab w:val="clear" w:pos="709"/>
          <w:tab w:val="left" w:pos="849" w:leader="none"/>
        </w:tabs>
        <w:spacing w:lineRule="auto" w:line="276" w:before="0" w:after="120"/>
        <w:contextualSpacing/>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 xml:space="preserve">Preferência ME / EPP / MEI / Equiparadas: </w:t>
      </w:r>
      <w:r>
        <w:rPr>
          <w:rFonts w:cs="Arial" w:ascii="Arial" w:hAnsi="Arial"/>
          <w:spacing w:val="-4"/>
          <w:sz w:val="24"/>
          <w:szCs w:val="24"/>
          <w:lang w:val="pt-BR"/>
        </w:rPr>
        <w:t>Sim</w:t>
      </w:r>
    </w:p>
    <w:p>
      <w:pPr>
        <w:pStyle w:val="PargrafodaLista"/>
        <w:widowControl w:val="false"/>
        <w:tabs>
          <w:tab w:val="clear" w:pos="709"/>
          <w:tab w:val="left" w:pos="849" w:leader="none"/>
        </w:tabs>
        <w:spacing w:lineRule="auto" w:line="276" w:before="0" w:after="120"/>
        <w:contextualSpacing/>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 xml:space="preserve">Esclarecimentos: </w:t>
      </w:r>
      <w:hyperlink r:id="rId2">
        <w:r>
          <w:rPr>
            <w:rStyle w:val="Hyperlink"/>
            <w:rFonts w:cs="Arial" w:ascii="Arial" w:hAnsi="Arial"/>
            <w:spacing w:val="-4"/>
            <w:sz w:val="24"/>
            <w:szCs w:val="24"/>
            <w:lang w:val="pt-BR"/>
          </w:rPr>
          <w:t>https://bllcompras.com</w:t>
        </w:r>
        <w:r>
          <w:rPr>
            <w:rStyle w:val="Hyperlink"/>
            <w:rFonts w:cs="Arial" w:ascii="Arial" w:hAnsi="Arial"/>
            <w:sz w:val="24"/>
            <w:szCs w:val="24"/>
            <w:lang w:val="pt-BR"/>
          </w:rPr>
          <w:t>/</w:t>
        </w:r>
      </w:hyperlink>
    </w:p>
    <w:p>
      <w:pPr>
        <w:pStyle w:val="PargrafodaLista"/>
        <w:widowControl w:val="false"/>
        <w:tabs>
          <w:tab w:val="clear" w:pos="709"/>
          <w:tab w:val="left" w:pos="849" w:leader="none"/>
        </w:tabs>
        <w:spacing w:lineRule="auto" w:line="276" w:before="0" w:after="120"/>
        <w:contextualSpacing/>
        <w:jc w:val="both"/>
        <w:rPr>
          <w:rFonts w:ascii="Arial" w:hAnsi="Arial" w:cs="Arial"/>
          <w:spacing w:val="-4"/>
          <w:sz w:val="24"/>
          <w:szCs w:val="24"/>
          <w:lang w:val="pt-BR"/>
        </w:rPr>
      </w:pPr>
      <w:r>
        <w:rPr>
          <w:rFonts w:cs="Arial" w:ascii="Arial" w:hAnsi="Arial"/>
          <w:spacing w:val="-4"/>
          <w:sz w:val="24"/>
          <w:szCs w:val="24"/>
          <w:lang w:val="pt-BR"/>
        </w:rPr>
      </w:r>
    </w:p>
    <w:p>
      <w:pPr>
        <w:pStyle w:val="PargrafodaLista"/>
        <w:widowControl w:val="false"/>
        <w:numPr>
          <w:ilvl w:val="0"/>
          <w:numId w:val="5"/>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 xml:space="preserve">Referência de Tempo: </w:t>
      </w:r>
      <w:r>
        <w:rPr>
          <w:rFonts w:cs="Arial" w:ascii="Arial" w:hAnsi="Arial"/>
          <w:spacing w:val="-4"/>
          <w:sz w:val="24"/>
          <w:szCs w:val="24"/>
          <w:lang w:val="pt-BR"/>
        </w:rPr>
        <w:t>Para todas as referências de tempo será observado o horário de Brasília/DF.</w:t>
      </w:r>
      <w:r>
        <w:br w:type="page"/>
      </w:r>
    </w:p>
    <w:p>
      <w:pPr>
        <w:pStyle w:val="Normal"/>
        <w:spacing w:lineRule="auto" w:line="276" w:before="0" w:after="200"/>
        <w:jc w:val="center"/>
        <w:rPr>
          <w:lang w:val="pt-BR"/>
        </w:rPr>
      </w:pPr>
      <w:r>
        <w:rPr>
          <w:lang w:val="pt-BR"/>
        </w:rPr>
      </w:r>
    </w:p>
    <w:p>
      <w:pPr>
        <w:pStyle w:val="Normal"/>
        <w:spacing w:lineRule="auto" w:line="276" w:before="0" w:after="200"/>
        <w:jc w:val="center"/>
        <w:rPr>
          <w:lang w:val="pt-BR"/>
        </w:rPr>
      </w:pPr>
      <w:r>
        <w:rPr>
          <w:rFonts w:cs="Arial" w:ascii="Arial" w:hAnsi="Arial"/>
          <w:b/>
          <w:spacing w:val="-4"/>
          <w:sz w:val="24"/>
          <w:szCs w:val="24"/>
          <w:lang w:val="pt-BR"/>
        </w:rPr>
        <w:t>ÍNDICE</w:t>
      </w:r>
    </w:p>
    <w:p>
      <w:pPr>
        <w:pStyle w:val="Normal"/>
        <w:widowControl w:val="false"/>
        <w:tabs>
          <w:tab w:val="clear" w:pos="709"/>
          <w:tab w:val="left" w:pos="849" w:leader="none"/>
        </w:tabs>
        <w:spacing w:lineRule="auto" w:line="276" w:before="0" w:after="120"/>
        <w:jc w:val="both"/>
        <w:rPr>
          <w:rFonts w:ascii="Arial" w:hAnsi="Arial" w:cs="Arial"/>
          <w:b/>
          <w:spacing w:val="-4"/>
          <w:sz w:val="24"/>
          <w:szCs w:val="24"/>
          <w:lang w:val="pt-BR"/>
        </w:rPr>
      </w:pPr>
      <w:r>
        <w:rPr>
          <w:rFonts w:cs="Arial" w:ascii="Arial" w:hAnsi="Arial"/>
          <w:b/>
          <w:spacing w:val="-4"/>
          <w:sz w:val="24"/>
          <w:szCs w:val="24"/>
          <w:lang w:val="pt-BR"/>
        </w:rPr>
      </w:r>
    </w:p>
    <w:p>
      <w:pPr>
        <w:pStyle w:val="Normal"/>
        <w:widowControl w:val="false"/>
        <w:tabs>
          <w:tab w:val="clear" w:pos="709"/>
          <w:tab w:val="left" w:pos="849" w:leader="none"/>
        </w:tabs>
        <w:spacing w:lineRule="auto" w:line="276" w:before="0" w:after="120"/>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numPr>
          <w:ilvl w:val="0"/>
          <w:numId w:val="9"/>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EDITAL:</w:t>
      </w:r>
    </w:p>
    <w:p>
      <w:pPr>
        <w:pStyle w:val="PargrafodaLista"/>
        <w:widowControl w:val="false"/>
        <w:tabs>
          <w:tab w:val="clear" w:pos="709"/>
          <w:tab w:val="left" w:pos="849" w:leader="none"/>
        </w:tabs>
        <w:spacing w:lineRule="auto" w:line="276" w:before="0" w:after="120"/>
        <w:contextualSpacing/>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tabs>
          <w:tab w:val="clear" w:pos="709"/>
          <w:tab w:val="left" w:pos="849" w:leader="none"/>
        </w:tabs>
        <w:spacing w:lineRule="auto" w:line="276" w:before="0" w:after="120"/>
        <w:contextualSpacing/>
        <w:jc w:val="both"/>
        <w:rPr>
          <w:lang w:val="pt-BR"/>
        </w:rPr>
      </w:pPr>
      <w:r>
        <w:rPr>
          <w:rFonts w:cs="Arial" w:ascii="Arial" w:hAnsi="Arial"/>
          <w:b/>
          <w:spacing w:val="-4"/>
          <w:sz w:val="24"/>
          <w:szCs w:val="24"/>
          <w:lang w:val="pt-BR"/>
        </w:rPr>
        <w:t>ITEM /ASSUNTO</w:t>
      </w:r>
    </w:p>
    <w:p>
      <w:pPr>
        <w:pStyle w:val="PargrafodaLista"/>
        <w:widowControl w:val="false"/>
        <w:tabs>
          <w:tab w:val="clear" w:pos="709"/>
          <w:tab w:val="left" w:pos="849" w:leader="none"/>
        </w:tabs>
        <w:spacing w:lineRule="auto" w:line="276" w:before="0" w:after="120"/>
        <w:contextualSpacing/>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DISPOSIÇÕES PRELIMINARES</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OBJETO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PARTICIPAÇÃO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RECEBIMENTO DAS PROPOSTAS E DATA DA SESSÃO PÚBLICA DA DISPENSA DE LICITAÇÃO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REFERÊNCIA DE TEMPO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CRITÉRIOS DE JULGAMENTO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SANÇÕES ADMINISTRATIVAS</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shd w:fill="FFFFFF" w:val="clear"/>
          <w:lang w:val="pt-BR"/>
        </w:rPr>
        <w:t>FORMALIZAÇÃO DA AUTORIZAÇÃO DE FORNECIMENTO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shd w:fill="FFFFFF" w:val="clear"/>
          <w:lang w:val="pt-BR"/>
        </w:rPr>
        <w:t>CONDIÇÕES DA AUTORIZAÇÃO DE FORNECIMENTO</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DISPOSIÇÕES FINAIS</w:t>
      </w:r>
    </w:p>
    <w:p>
      <w:pPr>
        <w:pStyle w:val="PargrafodaLista"/>
        <w:widowControl w:val="false"/>
        <w:numPr>
          <w:ilvl w:val="1"/>
          <w:numId w:val="9"/>
        </w:numPr>
        <w:tabs>
          <w:tab w:val="clear" w:pos="709"/>
          <w:tab w:val="left" w:pos="849" w:leader="none"/>
        </w:tabs>
        <w:spacing w:lineRule="auto" w:line="276" w:before="0" w:after="120"/>
        <w:ind w:hanging="720" w:left="1440" w:right="0"/>
        <w:contextualSpacing/>
        <w:jc w:val="both"/>
        <w:rPr>
          <w:lang w:val="pt-BR"/>
        </w:rPr>
      </w:pPr>
      <w:r>
        <w:rPr>
          <w:rFonts w:cs="Arial" w:ascii="Arial" w:hAnsi="Arial"/>
          <w:spacing w:val="-4"/>
          <w:sz w:val="24"/>
          <w:szCs w:val="24"/>
          <w:lang w:val="pt-BR"/>
        </w:rPr>
        <w:t>RECURSOS ORÇAMENTÁRIOS</w:t>
      </w:r>
    </w:p>
    <w:p>
      <w:pPr>
        <w:pStyle w:val="Normal"/>
        <w:widowControl w:val="false"/>
        <w:tabs>
          <w:tab w:val="clear" w:pos="709"/>
          <w:tab w:val="left" w:pos="849" w:leader="none"/>
        </w:tabs>
        <w:spacing w:lineRule="auto" w:line="276" w:before="0" w:after="120"/>
        <w:jc w:val="both"/>
        <w:rPr>
          <w:rFonts w:ascii="Arial" w:hAnsi="Arial" w:cs="Arial"/>
          <w:spacing w:val="-4"/>
          <w:sz w:val="24"/>
          <w:szCs w:val="24"/>
          <w:lang w:val="pt-BR"/>
        </w:rPr>
      </w:pPr>
      <w:r>
        <w:rPr>
          <w:rFonts w:cs="Arial" w:ascii="Arial" w:hAnsi="Arial"/>
          <w:spacing w:val="-4"/>
          <w:sz w:val="24"/>
          <w:szCs w:val="24"/>
          <w:lang w:val="pt-BR"/>
        </w:rPr>
      </w:r>
    </w:p>
    <w:p>
      <w:pPr>
        <w:pStyle w:val="Normal"/>
        <w:widowControl w:val="false"/>
        <w:tabs>
          <w:tab w:val="clear" w:pos="709"/>
          <w:tab w:val="left" w:pos="849" w:leader="none"/>
        </w:tabs>
        <w:spacing w:lineRule="auto" w:line="276" w:before="0" w:after="120"/>
        <w:jc w:val="both"/>
        <w:rPr>
          <w:rFonts w:ascii="Arial" w:hAnsi="Arial" w:cs="Arial"/>
          <w:spacing w:val="-4"/>
          <w:sz w:val="24"/>
          <w:szCs w:val="24"/>
          <w:lang w:val="pt-BR"/>
        </w:rPr>
      </w:pPr>
      <w:r>
        <w:rPr>
          <w:rFonts w:cs="Arial" w:ascii="Arial" w:hAnsi="Arial"/>
          <w:spacing w:val="-4"/>
          <w:sz w:val="24"/>
          <w:szCs w:val="24"/>
          <w:lang w:val="pt-BR"/>
        </w:rPr>
      </w:r>
    </w:p>
    <w:p>
      <w:pPr>
        <w:pStyle w:val="PargrafodaLista"/>
        <w:widowControl w:val="false"/>
        <w:numPr>
          <w:ilvl w:val="0"/>
          <w:numId w:val="9"/>
        </w:numPr>
        <w:tabs>
          <w:tab w:val="clear" w:pos="709"/>
          <w:tab w:val="left" w:pos="849" w:leader="none"/>
        </w:tabs>
        <w:spacing w:lineRule="auto" w:line="276" w:before="0" w:after="120"/>
        <w:ind w:hanging="360" w:left="720" w:right="0"/>
        <w:contextualSpacing/>
        <w:jc w:val="both"/>
        <w:rPr>
          <w:lang w:val="pt-BR"/>
        </w:rPr>
      </w:pPr>
      <w:r>
        <w:rPr>
          <w:rFonts w:cs="Arial" w:ascii="Arial" w:hAnsi="Arial"/>
          <w:b/>
          <w:spacing w:val="-4"/>
          <w:sz w:val="24"/>
          <w:szCs w:val="24"/>
          <w:lang w:val="pt-BR"/>
        </w:rPr>
        <w:t>ANEXOS AO EDITAL:</w:t>
      </w:r>
    </w:p>
    <w:p>
      <w:pPr>
        <w:pStyle w:val="PargrafodaLista"/>
        <w:widowControl w:val="false"/>
        <w:tabs>
          <w:tab w:val="clear" w:pos="709"/>
          <w:tab w:val="left" w:pos="849" w:leader="none"/>
        </w:tabs>
        <w:spacing w:lineRule="auto" w:line="276" w:before="0" w:after="120"/>
        <w:contextualSpacing/>
        <w:jc w:val="both"/>
        <w:rPr>
          <w:rFonts w:ascii="Arial" w:hAnsi="Arial" w:cs="Arial"/>
          <w:b/>
          <w:spacing w:val="-4"/>
          <w:sz w:val="24"/>
          <w:szCs w:val="24"/>
          <w:lang w:val="pt-BR"/>
        </w:rPr>
      </w:pPr>
      <w:r>
        <w:rPr>
          <w:rFonts w:cs="Arial" w:ascii="Arial" w:hAnsi="Arial"/>
          <w:b/>
          <w:spacing w:val="-4"/>
          <w:sz w:val="24"/>
          <w:szCs w:val="24"/>
          <w:lang w:val="pt-BR"/>
        </w:rPr>
      </w:r>
    </w:p>
    <w:p>
      <w:pPr>
        <w:pStyle w:val="PargrafodaLista"/>
        <w:widowControl w:val="false"/>
        <w:numPr>
          <w:ilvl w:val="0"/>
          <w:numId w:val="2"/>
        </w:numPr>
        <w:tabs>
          <w:tab w:val="clear" w:pos="709"/>
          <w:tab w:val="left" w:pos="849" w:leader="none"/>
        </w:tabs>
        <w:spacing w:lineRule="auto" w:line="276" w:before="0" w:after="120"/>
        <w:ind w:hanging="360" w:left="1353" w:right="0"/>
        <w:contextualSpacing/>
        <w:jc w:val="both"/>
        <w:rPr>
          <w:lang w:val="pt-BR"/>
        </w:rPr>
      </w:pPr>
      <w:r>
        <w:rPr>
          <w:rFonts w:cs="Arial" w:ascii="Arial" w:hAnsi="Arial"/>
          <w:spacing w:val="-4"/>
          <w:sz w:val="24"/>
          <w:szCs w:val="24"/>
          <w:lang w:val="pt-BR"/>
        </w:rPr>
        <w:t>ANEXO I -</w:t>
        <w:tab/>
        <w:t>TERMO DE REFERÊNCIA</w:t>
      </w:r>
    </w:p>
    <w:p>
      <w:pPr>
        <w:pStyle w:val="PargrafodaLista"/>
        <w:widowControl w:val="false"/>
        <w:numPr>
          <w:ilvl w:val="0"/>
          <w:numId w:val="2"/>
        </w:numPr>
        <w:tabs>
          <w:tab w:val="clear" w:pos="709"/>
          <w:tab w:val="left" w:pos="849" w:leader="none"/>
        </w:tabs>
        <w:spacing w:lineRule="auto" w:line="276" w:before="0" w:after="120"/>
        <w:ind w:hanging="360" w:left="1353" w:right="0"/>
        <w:contextualSpacing/>
        <w:jc w:val="both"/>
        <w:rPr>
          <w:lang w:val="pt-BR"/>
        </w:rPr>
      </w:pPr>
      <w:r>
        <w:rPr>
          <w:rFonts w:cs="Arial" w:ascii="Arial" w:hAnsi="Arial"/>
          <w:spacing w:val="-4"/>
          <w:sz w:val="24"/>
          <w:szCs w:val="24"/>
          <w:lang w:val="pt-BR"/>
        </w:rPr>
        <w:t>ANEXO II -</w:t>
        <w:tab/>
        <w:t>RELAÇÃO DOS DOCUMENTOS DE HABILITAÇÃO</w:t>
      </w:r>
    </w:p>
    <w:p>
      <w:pPr>
        <w:pStyle w:val="PargrafodaLista"/>
        <w:widowControl w:val="false"/>
        <w:numPr>
          <w:ilvl w:val="0"/>
          <w:numId w:val="2"/>
        </w:numPr>
        <w:tabs>
          <w:tab w:val="clear" w:pos="709"/>
          <w:tab w:val="left" w:pos="849" w:leader="none"/>
        </w:tabs>
        <w:spacing w:lineRule="auto" w:line="276" w:before="0" w:after="120"/>
        <w:ind w:hanging="360" w:left="1353" w:right="0"/>
        <w:contextualSpacing/>
        <w:jc w:val="both"/>
        <w:rPr>
          <w:lang w:val="pt-BR"/>
        </w:rPr>
      </w:pPr>
      <w:r>
        <w:rPr>
          <w:rFonts w:cs="Arial" w:ascii="Arial" w:hAnsi="Arial"/>
          <w:spacing w:val="-4"/>
          <w:sz w:val="24"/>
          <w:szCs w:val="24"/>
          <w:lang w:val="pt-BR"/>
        </w:rPr>
        <w:t>ANEXO III -</w:t>
        <w:tab/>
        <w:t>MODELO DE PROPOSTA COMERCIAL</w:t>
      </w:r>
    </w:p>
    <w:p>
      <w:pPr>
        <w:pStyle w:val="PargrafodaLista"/>
        <w:widowControl w:val="false"/>
        <w:numPr>
          <w:ilvl w:val="0"/>
          <w:numId w:val="2"/>
        </w:numPr>
        <w:tabs>
          <w:tab w:val="clear" w:pos="709"/>
          <w:tab w:val="left" w:pos="849" w:leader="none"/>
        </w:tabs>
        <w:spacing w:lineRule="auto" w:line="276" w:before="0" w:after="120"/>
        <w:ind w:hanging="360" w:left="1353" w:right="0"/>
        <w:contextualSpacing/>
        <w:jc w:val="both"/>
        <w:rPr>
          <w:lang w:val="pt-BR"/>
        </w:rPr>
      </w:pPr>
      <w:r>
        <w:rPr>
          <w:rFonts w:cs="Arial" w:ascii="Arial" w:hAnsi="Arial"/>
          <w:spacing w:val="-4"/>
          <w:sz w:val="24"/>
          <w:szCs w:val="24"/>
          <w:lang w:val="pt-BR"/>
        </w:rPr>
        <w:t>ANEXO IV -</w:t>
        <w:tab/>
        <w:t>AUTORIZAÇÃO DE FORNECIMENTO</w:t>
      </w:r>
      <w:r>
        <w:br w:type="page"/>
      </w:r>
    </w:p>
    <w:p>
      <w:pPr>
        <w:pStyle w:val="Normal"/>
        <w:spacing w:lineRule="auto" w:line="276" w:before="0" w:after="200"/>
        <w:jc w:val="center"/>
        <w:rPr>
          <w:lang w:val="pt-BR"/>
        </w:rPr>
      </w:pPr>
      <w:r>
        <w:rPr>
          <w:lang w:val="pt-BR"/>
        </w:rPr>
      </w:r>
    </w:p>
    <w:p>
      <w:pPr>
        <w:pStyle w:val="Normal"/>
        <w:spacing w:lineRule="auto" w:line="276" w:before="0" w:after="200"/>
        <w:jc w:val="center"/>
        <w:rPr>
          <w:lang w:val="pt-BR"/>
        </w:rPr>
      </w:pPr>
      <w:r>
        <w:rPr>
          <w:rFonts w:cs="Arial" w:ascii="Arial" w:hAnsi="Arial"/>
          <w:b/>
          <w:sz w:val="24"/>
          <w:szCs w:val="24"/>
          <w:lang w:val="pt-BR"/>
        </w:rPr>
        <w:t>DISPENSA ELETRÔNICA – EDITAL n.° 36</w:t>
      </w:r>
      <w:r>
        <w:rPr>
          <w:rFonts w:cs="Arial" w:ascii="Arial" w:hAnsi="Arial"/>
          <w:b/>
          <w:sz w:val="24"/>
          <w:szCs w:val="24"/>
          <w:shd w:fill="FFFFFF" w:val="clear"/>
          <w:lang w:val="pt-BR"/>
        </w:rPr>
        <w:t>/2026</w:t>
      </w:r>
    </w:p>
    <w:p>
      <w:pPr>
        <w:pStyle w:val="Normal"/>
        <w:spacing w:lineRule="auto" w:line="276" w:before="0" w:after="0"/>
        <w:jc w:val="center"/>
        <w:rPr>
          <w:lang w:val="pt-BR"/>
        </w:rPr>
      </w:pPr>
      <w:r>
        <w:rPr>
          <w:rFonts w:cs="Arial" w:ascii="Arial" w:hAnsi="Arial"/>
          <w:sz w:val="24"/>
          <w:szCs w:val="24"/>
          <w:lang w:val="pt-BR"/>
        </w:rPr>
        <w:t>(Processo Administrativo n.° 39.615/2026-01)</w:t>
      </w:r>
    </w:p>
    <w:p>
      <w:pPr>
        <w:pStyle w:val="Normal"/>
        <w:spacing w:lineRule="auto" w:line="276" w:before="0" w:after="0"/>
        <w:jc w:val="both"/>
        <w:rPr>
          <w:rFonts w:ascii="Arial" w:hAnsi="Arial" w:cs="Arial"/>
          <w:sz w:val="24"/>
          <w:szCs w:val="24"/>
          <w:lang w:val="pt-BR"/>
        </w:rPr>
      </w:pPr>
      <w:r>
        <w:rPr>
          <w:rFonts w:cs="Arial" w:ascii="Arial" w:hAnsi="Arial"/>
          <w:sz w:val="24"/>
          <w:szCs w:val="24"/>
          <w:lang w:val="pt-BR"/>
        </w:rPr>
      </w:r>
    </w:p>
    <w:p>
      <w:pPr>
        <w:pStyle w:val="PargrafodaLista"/>
        <w:numPr>
          <w:ilvl w:val="1"/>
          <w:numId w:val="10"/>
        </w:numPr>
        <w:spacing w:lineRule="auto" w:line="276" w:before="0" w:after="120"/>
        <w:ind w:hanging="720" w:left="720" w:right="851"/>
        <w:contextualSpacing/>
        <w:jc w:val="both"/>
        <w:rPr>
          <w:lang w:val="pt-BR"/>
        </w:rPr>
      </w:pPr>
      <w:r>
        <w:rPr>
          <w:rFonts w:cs="Arial" w:ascii="Arial" w:hAnsi="Arial"/>
          <w:b/>
          <w:sz w:val="24"/>
          <w:szCs w:val="24"/>
          <w:lang w:val="pt-BR"/>
        </w:rPr>
        <w:t>DISPOSIÇÕES PRELIMINARES</w:t>
      </w:r>
    </w:p>
    <w:p>
      <w:pPr>
        <w:pStyle w:val="PargrafodaLista"/>
        <w:spacing w:lineRule="auto" w:line="276" w:before="0" w:after="120"/>
        <w:contextualSpacing/>
        <w:jc w:val="both"/>
        <w:rPr>
          <w:lang w:val="pt-BR"/>
        </w:rPr>
      </w:pPr>
      <w:r>
        <w:rPr>
          <w:rFonts w:cs="Arial" w:ascii="Arial" w:hAnsi="Arial"/>
          <w:sz w:val="24"/>
          <w:szCs w:val="24"/>
          <w:lang w:val="pt-BR"/>
        </w:rPr>
        <w:t xml:space="preserve">A </w:t>
      </w:r>
      <w:r>
        <w:rPr>
          <w:rFonts w:cs="Arial" w:ascii="Arial" w:hAnsi="Arial"/>
          <w:b/>
          <w:sz w:val="24"/>
          <w:szCs w:val="24"/>
          <w:lang w:val="pt-BR"/>
        </w:rPr>
        <w:t>FUNDAÇÃO ARQUIVO E MEMÓRIA DE SANTOS</w:t>
      </w:r>
      <w:r>
        <w:rPr>
          <w:rFonts w:cs="Arial" w:ascii="Arial" w:hAnsi="Arial"/>
          <w:sz w:val="24"/>
          <w:szCs w:val="24"/>
          <w:lang w:val="pt-BR"/>
        </w:rPr>
        <w:t>, sediada à Rua Visconde do Rio Branco, n.º 48, Centro Histórico, Santos/SP, por meio de seu Agente de Contratação e da utilização de recursos da tecnologia da informação – INTERNET – torna público que, de acordo com a Lei Federal n.º 14.133, de 01 de abril de 2021, o Decreto Municipal n.º 10.222 de 20 de outubro de 2023 e os termos deste Edital, realizará processo de DISPENSA ELETRÔNICA na forma abaixo.</w:t>
      </w:r>
    </w:p>
    <w:p>
      <w:pPr>
        <w:pStyle w:val="PargrafodaLista"/>
        <w:spacing w:lineRule="auto" w:line="276" w:before="0" w:after="120"/>
        <w:contextualSpacing/>
        <w:jc w:val="both"/>
        <w:rPr>
          <w:lang w:val="pt-BR"/>
        </w:rPr>
      </w:pPr>
      <w:r>
        <w:rPr>
          <w:rFonts w:cs="Arial" w:ascii="Arial" w:hAnsi="Arial"/>
          <w:sz w:val="24"/>
          <w:szCs w:val="24"/>
          <w:lang w:val="pt-BR"/>
        </w:rPr>
        <w:t xml:space="preserve">A DISPENSA ELETRÔNICA será realizada em sessão pública, através da utilização de tecnologia da informação, compostos por um conjunto de programas de computador que permitem confrontação sucessiva através do envio de lances dos licitantes com plena visibilidade para o Agente de Contratação (condutor do processo) e total transparência dos resultados para a sociedade. O sistema se encontra inserido diretamente na INTERNET, onde o acesso às informações é protegido por </w:t>
      </w:r>
      <w:r>
        <w:rPr>
          <w:rFonts w:cs="Arial" w:ascii="Arial" w:hAnsi="Arial"/>
          <w:b/>
          <w:sz w:val="24"/>
          <w:szCs w:val="24"/>
          <w:lang w:val="pt-BR"/>
        </w:rPr>
        <w:t>HTTPS (Hyper Text Transfer Protocol Secure)</w:t>
      </w:r>
      <w:r>
        <w:rPr>
          <w:rFonts w:cs="Arial" w:ascii="Arial" w:hAnsi="Arial"/>
          <w:sz w:val="24"/>
          <w:szCs w:val="24"/>
          <w:lang w:val="pt-BR"/>
        </w:rPr>
        <w:t>.</w:t>
      </w:r>
    </w:p>
    <w:p>
      <w:pPr>
        <w:pStyle w:val="PargrafodaLista"/>
        <w:spacing w:lineRule="auto" w:line="276" w:before="0" w:after="120"/>
        <w:contextualSpacing/>
        <w:jc w:val="both"/>
        <w:rPr/>
      </w:pPr>
      <w:r>
        <w:rPr>
          <w:rFonts w:cs="Arial" w:ascii="Arial" w:hAnsi="Arial"/>
          <w:sz w:val="24"/>
          <w:szCs w:val="24"/>
          <w:lang w:val="pt-BR"/>
        </w:rPr>
        <w:t xml:space="preserve">Os trabalhos serão conduzidos, por servidor público municipal da Fundação Arquivo e Memória de Santos, denominado </w:t>
      </w:r>
      <w:r>
        <w:rPr>
          <w:rFonts w:cs="Arial" w:ascii="Arial" w:hAnsi="Arial"/>
          <w:b/>
          <w:sz w:val="24"/>
          <w:szCs w:val="24"/>
          <w:lang w:val="pt-BR"/>
        </w:rPr>
        <w:t>AGENTE DE CONTRATAÇÃO (Condutor do Processo)</w:t>
      </w:r>
      <w:r>
        <w:rPr>
          <w:rFonts w:cs="Arial" w:ascii="Arial" w:hAnsi="Arial"/>
          <w:sz w:val="24"/>
          <w:szCs w:val="24"/>
          <w:lang w:val="pt-BR"/>
        </w:rPr>
        <w:t>, mediante a inserção e monitoramento de dados gerados ou transferidos para a Plataforma “BLL COMPRAS”, constante da página eletrônica da Bolsa de Licitações e Leilões do Brasil (</w:t>
      </w:r>
      <w:hyperlink r:id="rId3">
        <w:r>
          <w:rPr>
            <w:rStyle w:val="Hyperlink"/>
            <w:rFonts w:cs="Arial" w:ascii="Arial" w:hAnsi="Arial"/>
            <w:sz w:val="24"/>
            <w:szCs w:val="24"/>
            <w:lang w:val="pt-BR"/>
          </w:rPr>
          <w:t>bllcompras.com</w:t>
        </w:r>
      </w:hyperlink>
      <w:r>
        <w:rPr>
          <w:rFonts w:cs="Arial" w:ascii="Arial" w:hAnsi="Arial"/>
          <w:sz w:val="24"/>
          <w:szCs w:val="24"/>
          <w:lang w:val="pt-BR"/>
        </w:rPr>
        <w:t>).</w:t>
      </w:r>
    </w:p>
    <w:p>
      <w:pPr>
        <w:pStyle w:val="PargrafodaLista"/>
        <w:spacing w:lineRule="auto" w:line="276" w:before="0" w:after="120"/>
        <w:contextualSpacing/>
        <w:jc w:val="both"/>
        <w:rPr>
          <w:lang w:val="pt-BR"/>
        </w:rPr>
      </w:pPr>
      <w:r>
        <w:rPr>
          <w:rFonts w:cs="Arial" w:ascii="Arial" w:hAnsi="Arial"/>
          <w:sz w:val="24"/>
          <w:szCs w:val="24"/>
          <w:lang w:val="pt-BR"/>
        </w:rPr>
        <w:t>Para fins de participação nesta dispensa de licitação, ficam adotadas as seguintes definições:</w:t>
      </w:r>
    </w:p>
    <w:p>
      <w:pPr>
        <w:pStyle w:val="PargrafodaLista"/>
        <w:numPr>
          <w:ilvl w:val="0"/>
          <w:numId w:val="15"/>
        </w:numPr>
        <w:spacing w:lineRule="auto" w:line="276" w:before="0" w:after="120"/>
        <w:ind w:hanging="360" w:left="1080" w:right="0"/>
        <w:contextualSpacing/>
        <w:jc w:val="both"/>
        <w:rPr>
          <w:lang w:val="pt-BR"/>
        </w:rPr>
      </w:pPr>
      <w:r>
        <w:rPr>
          <w:rFonts w:cs="Arial" w:ascii="Arial" w:hAnsi="Arial"/>
          <w:sz w:val="24"/>
          <w:szCs w:val="24"/>
          <w:lang w:val="pt-BR"/>
        </w:rPr>
        <w:t>cota de ampla participação: destinada à participação de todo e qualquer interessado que atenda a todas as exigências contidas neste Edital e seus Anexos, com valor total acima de R$ 80.000,00 (oitenta mil reais);</w:t>
      </w:r>
    </w:p>
    <w:p>
      <w:pPr>
        <w:pStyle w:val="PargrafodaLista"/>
        <w:numPr>
          <w:ilvl w:val="0"/>
          <w:numId w:val="15"/>
        </w:numPr>
        <w:spacing w:lineRule="auto" w:line="276" w:before="0" w:after="120"/>
        <w:ind w:hanging="360" w:left="1080" w:right="0"/>
        <w:contextualSpacing/>
        <w:jc w:val="both"/>
        <w:rPr>
          <w:lang w:val="pt-BR"/>
        </w:rPr>
      </w:pPr>
      <w:r>
        <w:rPr>
          <w:rFonts w:cs="Arial" w:ascii="Arial" w:hAnsi="Arial"/>
          <w:sz w:val="24"/>
          <w:szCs w:val="24"/>
          <w:lang w:val="pt-BR"/>
        </w:rPr>
        <w:t>cota exclusiva para Microempresa (ME), Empresa de Pequeno Porte (EPP), ou Cooperativa de Consumo (COOP): destinada exclusivamente à Microempresas (ME), Empresas de Pequeno Porte (EPP) ou Cooperativas de Consumo (COOP), nos termos do inciso I do artigo 48 da Lei Complementar nº 123/2006, com valor até R$ 80.000,00 (oitenta mil reais);</w:t>
      </w:r>
    </w:p>
    <w:p>
      <w:pPr>
        <w:pStyle w:val="PargrafodaLista"/>
        <w:numPr>
          <w:ilvl w:val="0"/>
          <w:numId w:val="15"/>
        </w:numPr>
        <w:spacing w:lineRule="auto" w:line="276" w:before="0" w:after="120"/>
        <w:ind w:hanging="360" w:left="1080" w:right="0"/>
        <w:contextualSpacing/>
        <w:jc w:val="both"/>
        <w:rPr>
          <w:lang w:val="pt-BR"/>
        </w:rPr>
      </w:pPr>
      <w:r>
        <w:rPr>
          <w:rFonts w:cs="Arial" w:ascii="Arial" w:hAnsi="Arial"/>
          <w:sz w:val="24"/>
          <w:szCs w:val="24"/>
          <w:lang w:val="pt-BR"/>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pPr>
        <w:pStyle w:val="PargrafodaLista"/>
        <w:spacing w:lineRule="auto" w:line="276" w:before="0" w:after="120"/>
        <w:ind w:hanging="0" w:left="1843" w:right="567"/>
        <w:contextualSpacing/>
        <w:jc w:val="both"/>
        <w:rPr>
          <w:rFonts w:ascii="Arial" w:hAnsi="Arial" w:cs="Arial"/>
          <w:sz w:val="24"/>
          <w:szCs w:val="24"/>
          <w:lang w:val="pt-BR"/>
        </w:rPr>
      </w:pPr>
      <w:r>
        <w:rPr>
          <w:rFonts w:cs="Arial" w:ascii="Arial" w:hAnsi="Arial"/>
          <w:sz w:val="24"/>
          <w:szCs w:val="24"/>
          <w:lang w:val="pt-BR"/>
        </w:rPr>
      </w:r>
    </w:p>
    <w:p>
      <w:pPr>
        <w:pStyle w:val="PargrafodaLista"/>
        <w:numPr>
          <w:ilvl w:val="1"/>
          <w:numId w:val="10"/>
        </w:numPr>
        <w:spacing w:lineRule="auto" w:line="276" w:before="0" w:after="120"/>
        <w:ind w:hanging="720" w:left="720" w:right="567"/>
        <w:contextualSpacing/>
        <w:jc w:val="both"/>
        <w:rPr>
          <w:lang w:val="pt-BR"/>
        </w:rPr>
      </w:pPr>
      <w:r>
        <w:rPr>
          <w:rFonts w:cs="Arial" w:ascii="Arial" w:hAnsi="Arial"/>
          <w:b/>
          <w:sz w:val="24"/>
          <w:szCs w:val="24"/>
          <w:lang w:val="pt-BR"/>
        </w:rPr>
        <w:t>OBJETO</w:t>
      </w:r>
    </w:p>
    <w:p>
      <w:pPr>
        <w:pStyle w:val="Normal"/>
        <w:spacing w:lineRule="auto" w:line="276" w:before="0" w:after="120"/>
        <w:ind w:left="708" w:right="0"/>
        <w:jc w:val="both"/>
        <w:rPr>
          <w:lang w:val="pt-BR"/>
        </w:rPr>
      </w:pPr>
      <w:r>
        <w:rPr>
          <w:rFonts w:cs="Arial" w:ascii="Arial" w:hAnsi="Arial"/>
          <w:sz w:val="24"/>
          <w:szCs w:val="24"/>
          <w:lang w:val="pt-BR"/>
        </w:rPr>
        <w:t>A descrição detalhada do Objeto da presente Dispensa Eletrônica, consta ao ANEXO I – TERMO DE REFERÊNCIA deste Edital.</w:t>
      </w:r>
    </w:p>
    <w:p>
      <w:pPr>
        <w:pStyle w:val="PargrafodaLista"/>
        <w:numPr>
          <w:ilvl w:val="1"/>
          <w:numId w:val="10"/>
        </w:numPr>
        <w:spacing w:lineRule="auto" w:line="276" w:before="0" w:after="120"/>
        <w:ind w:hanging="720" w:left="720" w:right="0"/>
        <w:contextualSpacing/>
        <w:jc w:val="both"/>
        <w:rPr>
          <w:lang w:val="pt-BR"/>
        </w:rPr>
      </w:pPr>
      <w:r>
        <w:rPr>
          <w:rFonts w:cs="Arial" w:ascii="Arial" w:hAnsi="Arial"/>
          <w:b/>
          <w:sz w:val="24"/>
          <w:szCs w:val="24"/>
          <w:lang w:val="pt-BR"/>
        </w:rPr>
        <w:t>PARTICIPAÇÃO</w:t>
      </w:r>
    </w:p>
    <w:p>
      <w:pPr>
        <w:pStyle w:val="PargrafodaLista"/>
        <w:numPr>
          <w:ilvl w:val="2"/>
          <w:numId w:val="10"/>
        </w:numPr>
        <w:spacing w:lineRule="auto" w:line="276" w:before="0" w:after="120"/>
        <w:ind w:hanging="720" w:left="1418" w:right="0"/>
        <w:contextualSpacing/>
        <w:jc w:val="both"/>
        <w:rPr>
          <w:lang w:val="pt-BR"/>
        </w:rPr>
      </w:pPr>
      <w:r>
        <w:rPr>
          <w:rFonts w:cs="Arial" w:ascii="Arial" w:hAnsi="Arial"/>
          <w:sz w:val="24"/>
          <w:szCs w:val="24"/>
          <w:lang w:val="pt-BR"/>
        </w:rPr>
        <w:t>Poderão participar desta DISPENSA ELETRÔNICA os interessados que atenderem a todas as exigências contidas neste EDITAL e seus ANEXOS.</w:t>
      </w:r>
    </w:p>
    <w:p>
      <w:pPr>
        <w:pStyle w:val="PargrafodaLista"/>
        <w:numPr>
          <w:ilvl w:val="2"/>
          <w:numId w:val="10"/>
        </w:numPr>
        <w:spacing w:lineRule="auto" w:line="276" w:before="0" w:after="120"/>
        <w:ind w:hanging="720" w:left="1430" w:right="0"/>
        <w:contextualSpacing/>
        <w:jc w:val="both"/>
        <w:rPr>
          <w:lang w:val="pt-BR"/>
        </w:rPr>
      </w:pPr>
      <w:r>
        <w:rPr>
          <w:rFonts w:cs="Arial" w:ascii="Arial" w:hAnsi="Arial"/>
          <w:sz w:val="24"/>
          <w:szCs w:val="24"/>
          <w:lang w:val="pt-BR"/>
        </w:rPr>
        <w:t>Para fins do disposto no artigo 48 da Lei Complementar n.º 123/2006, fica a participação nos itens das cotas exclusivas (inciso I) ou reservadas (inciso III), limitada às Microempresas (ME) e Empresas de Pequeno Porte (EPP), bem como, às Cooperativas de Consumo (COOP), equiparadas nos termos do artigo 34 da Lei Federal n.º 11.488/2007.</w:t>
      </w:r>
    </w:p>
    <w:p>
      <w:pPr>
        <w:pStyle w:val="PargrafodaLista"/>
        <w:numPr>
          <w:ilvl w:val="2"/>
          <w:numId w:val="10"/>
        </w:numPr>
        <w:spacing w:lineRule="auto" w:line="276" w:before="0" w:after="120"/>
        <w:ind w:hanging="720" w:left="1430" w:right="0"/>
        <w:contextualSpacing/>
        <w:jc w:val="both"/>
        <w:rPr>
          <w:lang w:val="pt-BR"/>
        </w:rPr>
      </w:pPr>
      <w:r>
        <w:rPr>
          <w:rFonts w:cs="Arial" w:ascii="Arial" w:hAnsi="Arial"/>
          <w:sz w:val="24"/>
          <w:szCs w:val="24"/>
          <w:lang w:val="pt-BR"/>
        </w:rPr>
        <w:t>A obtenção do benefício a que se refere o item anterior fica limitada às microempresas e às empresas de pequeno porte que, no ano-calendário de realização da licitação, ainda não tenham celebrado contratos com a Fundação Arquivo e Memória de Santos, cujos valores somados extrapolem a receita bruta máxima admitida para fins de enquadramento como empresa de pequeno porte.</w:t>
      </w:r>
    </w:p>
    <w:p>
      <w:pPr>
        <w:pStyle w:val="PargrafodaLista"/>
        <w:numPr>
          <w:ilvl w:val="2"/>
          <w:numId w:val="10"/>
        </w:numPr>
        <w:spacing w:lineRule="auto" w:line="276" w:before="0" w:after="120"/>
        <w:ind w:hanging="720" w:left="1430" w:right="0"/>
        <w:contextualSpacing/>
        <w:jc w:val="both"/>
        <w:rPr>
          <w:lang w:val="pt-BR"/>
        </w:rPr>
      </w:pPr>
      <w:r>
        <w:rPr>
          <w:rFonts w:cs="Arial" w:ascii="Arial" w:hAnsi="Arial"/>
          <w:sz w:val="24"/>
          <w:szCs w:val="24"/>
          <w:lang w:val="pt-BR"/>
        </w:rPr>
        <w:t xml:space="preserve">Será concedido tratamento favorecido para as microempresas e empresas de pequeno porte, para as sociedades cooperativas mencionadas no art. 16 da Lei Federal n.º 14.133/2021 para o agricultor familiar, o produtor rural pessoa física e para o micro empreendedor individual – MEI, nos limites previstos da </w:t>
      </w:r>
      <w:r>
        <w:rPr>
          <w:rFonts w:cs="Arial" w:ascii="Arial" w:hAnsi="Arial"/>
          <w:sz w:val="24"/>
          <w:szCs w:val="24"/>
          <w:u w:val="single"/>
          <w:lang w:val="pt-BR"/>
        </w:rPr>
        <w:t>Lei Complementar n.º 123/2006</w:t>
      </w:r>
      <w:r>
        <w:rPr>
          <w:rFonts w:cs="Arial" w:ascii="Arial" w:hAnsi="Arial"/>
          <w:sz w:val="24"/>
          <w:szCs w:val="24"/>
          <w:lang w:val="pt-BR"/>
        </w:rPr>
        <w:t xml:space="preserve"> e do Decreto n.º 8.538/2015.</w:t>
      </w:r>
    </w:p>
    <w:p>
      <w:pPr>
        <w:pStyle w:val="PargrafodaLista"/>
        <w:numPr>
          <w:ilvl w:val="2"/>
          <w:numId w:val="10"/>
        </w:numPr>
        <w:spacing w:lineRule="auto" w:line="276" w:before="0" w:after="120"/>
        <w:ind w:hanging="720" w:left="1430" w:right="0"/>
        <w:contextualSpacing/>
        <w:jc w:val="both"/>
        <w:rPr>
          <w:lang w:val="pt-BR"/>
        </w:rPr>
      </w:pPr>
      <w:r>
        <w:rPr>
          <w:rFonts w:cs="Arial" w:ascii="Arial" w:hAnsi="Arial"/>
          <w:sz w:val="24"/>
          <w:szCs w:val="24"/>
          <w:lang w:val="pt-BR"/>
        </w:rPr>
        <w:t>Não poderão participar nesta Dispensa de Licitação:</w:t>
      </w:r>
    </w:p>
    <w:p>
      <w:pPr>
        <w:pStyle w:val="PargrafodaLista"/>
        <w:numPr>
          <w:ilvl w:val="0"/>
          <w:numId w:val="14"/>
        </w:numPr>
        <w:spacing w:lineRule="auto" w:line="276" w:before="0" w:after="120"/>
        <w:ind w:hanging="360" w:left="1134" w:right="0"/>
        <w:contextualSpacing/>
        <w:jc w:val="both"/>
        <w:rPr>
          <w:lang w:val="pt-BR"/>
        </w:rPr>
      </w:pPr>
      <w:r>
        <w:rPr>
          <w:rFonts w:cs="Arial" w:ascii="Arial" w:hAnsi="Arial"/>
          <w:sz w:val="24"/>
          <w:szCs w:val="24"/>
          <w:lang w:val="pt-BR"/>
        </w:rPr>
        <w:t>Empresas que estejam enquadradas nas disposições do art. 14 da Lei Federal n.º 14.133/2021;</w:t>
      </w:r>
    </w:p>
    <w:p>
      <w:pPr>
        <w:pStyle w:val="PargrafodaLista"/>
        <w:numPr>
          <w:ilvl w:val="0"/>
          <w:numId w:val="14"/>
        </w:numPr>
        <w:spacing w:lineRule="auto" w:line="276" w:before="0" w:after="120"/>
        <w:ind w:hanging="360" w:left="1134" w:right="0"/>
        <w:contextualSpacing/>
        <w:jc w:val="both"/>
        <w:rPr>
          <w:lang w:val="pt-BR"/>
        </w:rPr>
      </w:pPr>
      <w:r>
        <w:rPr>
          <w:rFonts w:cs="Arial" w:ascii="Arial" w:hAnsi="Arial"/>
          <w:sz w:val="24"/>
          <w:szCs w:val="24"/>
          <w:lang w:val="pt-BR"/>
        </w:rPr>
        <w:t>Organizações da Sociedade Civil de Interesse Público – OSCIP, atuando nessa condição;</w:t>
      </w:r>
    </w:p>
    <w:p>
      <w:pPr>
        <w:pStyle w:val="PargrafodaLista"/>
        <w:numPr>
          <w:ilvl w:val="0"/>
          <w:numId w:val="14"/>
        </w:numPr>
        <w:spacing w:lineRule="auto" w:line="276" w:before="0" w:after="120"/>
        <w:ind w:hanging="360" w:left="1134" w:right="0"/>
        <w:contextualSpacing/>
        <w:jc w:val="both"/>
        <w:rPr>
          <w:lang w:val="pt-BR"/>
        </w:rPr>
      </w:pPr>
      <w:r>
        <w:rPr>
          <w:rFonts w:cs="Arial" w:ascii="Arial" w:hAnsi="Arial"/>
          <w:sz w:val="24"/>
          <w:szCs w:val="24"/>
          <w:lang w:val="pt-BR"/>
        </w:rPr>
        <w:t xml:space="preserve">Não poderá participar, direta ou indiretamente, da dispensa de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r>
        <w:rPr>
          <w:rFonts w:cs="Arial" w:ascii="Arial" w:hAnsi="Arial"/>
          <w:sz w:val="24"/>
          <w:szCs w:val="24"/>
          <w:u w:val="single"/>
          <w:lang w:val="pt-BR"/>
        </w:rPr>
        <w:t>§1º do art. 9º da Lei Federal n.º 14.133/2021</w:t>
      </w:r>
      <w:r>
        <w:rPr>
          <w:rFonts w:cs="Arial" w:ascii="Arial" w:hAnsi="Arial"/>
          <w:sz w:val="24"/>
          <w:szCs w:val="24"/>
          <w:lang w:val="pt-BR"/>
        </w:rPr>
        <w:t>.</w:t>
      </w:r>
    </w:p>
    <w:p>
      <w:pPr>
        <w:pStyle w:val="PargrafodaLista"/>
        <w:numPr>
          <w:ilvl w:val="3"/>
          <w:numId w:val="11"/>
        </w:numPr>
        <w:spacing w:lineRule="auto" w:line="276" w:before="0" w:after="120"/>
        <w:ind w:hanging="284" w:left="1418" w:right="0"/>
        <w:contextualSpacing/>
        <w:jc w:val="both"/>
        <w:rPr>
          <w:lang w:val="pt-BR"/>
        </w:rPr>
      </w:pPr>
      <w:r>
        <w:rPr>
          <w:rFonts w:cs="Arial" w:ascii="Arial" w:hAnsi="Arial"/>
          <w:sz w:val="24"/>
          <w:szCs w:val="24"/>
          <w:lang w:val="pt-BR"/>
        </w:rPr>
        <w:t>A vedação de que trata o item anterior se estende a terceiro que auxilie a conclusão da contratação na qualidade de integrante de equipe de apoio, profissional especializado ou funcionário ou representante que preste assessoria técnica.</w:t>
      </w:r>
    </w:p>
    <w:p>
      <w:pPr>
        <w:pStyle w:val="PargrafodaLista"/>
        <w:widowControl w:val="false"/>
        <w:numPr>
          <w:ilvl w:val="1"/>
          <w:numId w:val="10"/>
        </w:numPr>
        <w:tabs>
          <w:tab w:val="clear" w:pos="709"/>
          <w:tab w:val="left" w:pos="849" w:leader="none"/>
        </w:tabs>
        <w:spacing w:lineRule="auto" w:line="276" w:before="0" w:after="120"/>
        <w:ind w:hanging="720" w:left="720" w:right="0"/>
        <w:contextualSpacing/>
        <w:jc w:val="both"/>
        <w:rPr>
          <w:lang w:val="pt-BR"/>
        </w:rPr>
      </w:pPr>
      <w:r>
        <w:rPr>
          <w:rFonts w:cs="Arial" w:ascii="Arial" w:hAnsi="Arial"/>
          <w:b/>
          <w:spacing w:val="-4"/>
          <w:sz w:val="24"/>
          <w:szCs w:val="24"/>
          <w:lang w:val="pt-BR"/>
        </w:rPr>
        <w:t>RECEBIMENTO DAS PROPOSTAS E DATA DA SESSÃO PÚBLICA DA DISPENSA DE LICITAÇÃO</w:t>
      </w:r>
    </w:p>
    <w:p>
      <w:pPr>
        <w:pStyle w:val="Normal"/>
        <w:spacing w:lineRule="auto" w:line="276" w:before="0" w:after="120"/>
        <w:ind w:left="708" w:right="0"/>
        <w:jc w:val="both"/>
        <w:rPr/>
      </w:pPr>
      <w:r>
        <w:rPr>
          <w:rFonts w:cs="Arial" w:ascii="Arial" w:hAnsi="Arial"/>
          <w:sz w:val="24"/>
          <w:szCs w:val="24"/>
          <w:lang w:val="pt-BR"/>
        </w:rPr>
        <w:t>O interessado em participar da Dispensa de Licitação deverá observar a data e horário da sessão pública, conforme previsto no AVISO DE EDITAL, publicado no sítio oficial desta Fundação (</w:t>
      </w:r>
      <w:hyperlink r:id="rId4">
        <w:r>
          <w:rPr>
            <w:rStyle w:val="Hyperlink"/>
            <w:rFonts w:cs="Arial" w:ascii="Arial" w:hAnsi="Arial"/>
            <w:sz w:val="24"/>
            <w:szCs w:val="24"/>
            <w:lang w:val="pt-BR"/>
          </w:rPr>
          <w:t>www.fundasantos.org.br</w:t>
        </w:r>
      </w:hyperlink>
      <w:r>
        <w:rPr>
          <w:rFonts w:cs="Arial" w:ascii="Arial" w:hAnsi="Arial"/>
          <w:sz w:val="24"/>
          <w:szCs w:val="24"/>
          <w:lang w:val="pt-BR"/>
        </w:rPr>
        <w:t>) e no Diário Oficial do Município de Santos (D.O.M.), constante da folha de rosto deste Edital, o que será o prazo limite para inserção da proposta.</w:t>
      </w:r>
    </w:p>
    <w:p>
      <w:pPr>
        <w:pStyle w:val="PargrafodaLista"/>
        <w:widowControl w:val="false"/>
        <w:numPr>
          <w:ilvl w:val="1"/>
          <w:numId w:val="10"/>
        </w:numPr>
        <w:tabs>
          <w:tab w:val="clear" w:pos="709"/>
          <w:tab w:val="left" w:pos="849" w:leader="none"/>
        </w:tabs>
        <w:spacing w:lineRule="auto" w:line="276" w:before="0" w:after="120"/>
        <w:ind w:hanging="720" w:left="720" w:right="0"/>
        <w:contextualSpacing/>
        <w:jc w:val="both"/>
        <w:rPr>
          <w:lang w:val="pt-BR"/>
        </w:rPr>
      </w:pPr>
      <w:r>
        <w:rPr>
          <w:rFonts w:cs="Arial" w:ascii="Arial" w:hAnsi="Arial"/>
          <w:b/>
          <w:spacing w:val="-4"/>
          <w:sz w:val="24"/>
          <w:szCs w:val="24"/>
          <w:lang w:val="pt-BR"/>
        </w:rPr>
        <w:t>REFERÊNCIA DE TEMPO</w:t>
      </w:r>
    </w:p>
    <w:p>
      <w:pPr>
        <w:pStyle w:val="PargrafodaLista"/>
        <w:widowControl w:val="false"/>
        <w:numPr>
          <w:ilvl w:val="2"/>
          <w:numId w:val="10"/>
        </w:numPr>
        <w:tabs>
          <w:tab w:val="clear" w:pos="709"/>
          <w:tab w:val="left" w:pos="849" w:leader="none"/>
        </w:tabs>
        <w:spacing w:lineRule="auto" w:line="276" w:before="0" w:after="120"/>
        <w:ind w:hanging="720" w:left="1430" w:right="0"/>
        <w:contextualSpacing/>
        <w:jc w:val="both"/>
        <w:rPr>
          <w:lang w:val="pt-BR"/>
        </w:rPr>
      </w:pPr>
      <w:r>
        <w:rPr>
          <w:rFonts w:cs="Arial" w:ascii="Arial" w:hAnsi="Arial"/>
          <w:sz w:val="24"/>
          <w:szCs w:val="24"/>
          <w:lang w:val="pt-BR"/>
        </w:rPr>
        <w:t xml:space="preserve">Todas as referências de Tempo do Edital, do Aviso de Edital e durante a Sessão Pública observarão obrigatoriamente o </w:t>
      </w:r>
      <w:r>
        <w:rPr>
          <w:rFonts w:cs="Arial" w:ascii="Arial" w:hAnsi="Arial"/>
          <w:b/>
          <w:sz w:val="24"/>
          <w:szCs w:val="24"/>
          <w:lang w:val="pt-BR"/>
        </w:rPr>
        <w:t xml:space="preserve">Horário de Brasília – DF </w:t>
      </w:r>
      <w:r>
        <w:rPr>
          <w:rFonts w:cs="Arial" w:ascii="Arial" w:hAnsi="Arial"/>
          <w:sz w:val="24"/>
          <w:szCs w:val="24"/>
          <w:lang w:val="pt-BR"/>
        </w:rPr>
        <w:t>e, desta forma, serão registrados no Sistema Eletrônico e na documentação relativa ao certame.</w:t>
      </w:r>
    </w:p>
    <w:p>
      <w:pPr>
        <w:pStyle w:val="PargrafodaLista"/>
        <w:widowControl w:val="false"/>
        <w:numPr>
          <w:ilvl w:val="2"/>
          <w:numId w:val="10"/>
        </w:numPr>
        <w:tabs>
          <w:tab w:val="clear" w:pos="709"/>
          <w:tab w:val="left" w:pos="849" w:leader="none"/>
        </w:tabs>
        <w:spacing w:lineRule="auto" w:line="276" w:before="0" w:after="120"/>
        <w:ind w:hanging="720" w:left="1430" w:right="0"/>
        <w:contextualSpacing/>
        <w:jc w:val="both"/>
        <w:rPr>
          <w:lang w:val="pt-BR"/>
        </w:rPr>
      </w:pPr>
      <w:r>
        <w:rPr>
          <w:rFonts w:cs="Arial" w:ascii="Arial" w:hAnsi="Arial"/>
          <w:sz w:val="24"/>
          <w:szCs w:val="24"/>
          <w:lang w:val="pt-BR"/>
        </w:rPr>
        <w:t xml:space="preserve">A Etapa de Lances da sessão pública durará </w:t>
      </w:r>
      <w:r>
        <w:rPr>
          <w:rFonts w:cs="Arial" w:ascii="Arial" w:hAnsi="Arial"/>
          <w:b/>
          <w:sz w:val="24"/>
          <w:szCs w:val="24"/>
          <w:lang w:val="pt-BR"/>
        </w:rPr>
        <w:t>01 (uma) hora</w:t>
      </w:r>
      <w:r>
        <w:rPr>
          <w:rFonts w:cs="Arial" w:ascii="Arial" w:hAnsi="Arial"/>
          <w:sz w:val="24"/>
          <w:szCs w:val="24"/>
          <w:lang w:val="pt-BR"/>
        </w:rPr>
        <w:t>.</w:t>
      </w:r>
    </w:p>
    <w:p>
      <w:pPr>
        <w:pStyle w:val="PargrafodaLista"/>
        <w:widowControl w:val="false"/>
        <w:numPr>
          <w:ilvl w:val="1"/>
          <w:numId w:val="10"/>
        </w:numPr>
        <w:tabs>
          <w:tab w:val="clear" w:pos="709"/>
          <w:tab w:val="left" w:pos="849" w:leader="none"/>
        </w:tabs>
        <w:spacing w:lineRule="auto" w:line="276" w:before="0" w:after="120"/>
        <w:ind w:hanging="720" w:left="720" w:right="0"/>
        <w:contextualSpacing/>
        <w:jc w:val="both"/>
        <w:rPr>
          <w:lang w:val="pt-BR"/>
        </w:rPr>
      </w:pPr>
      <w:r>
        <w:rPr>
          <w:rFonts w:cs="Arial" w:ascii="Arial" w:hAnsi="Arial"/>
          <w:b/>
          <w:spacing w:val="-4"/>
          <w:sz w:val="24"/>
          <w:szCs w:val="24"/>
          <w:lang w:val="pt-BR"/>
        </w:rPr>
        <w:t>CRITÉRIOS DE JULGAMENTO</w:t>
      </w:r>
    </w:p>
    <w:p>
      <w:pPr>
        <w:pStyle w:val="Normal"/>
        <w:spacing w:lineRule="auto" w:line="276" w:before="0" w:after="120"/>
        <w:ind w:left="708" w:right="0"/>
        <w:jc w:val="both"/>
        <w:rPr>
          <w:lang w:val="pt-BR"/>
        </w:rPr>
      </w:pPr>
      <w:r>
        <w:rPr>
          <w:rFonts w:cs="Arial" w:ascii="Arial" w:hAnsi="Arial"/>
          <w:b/>
          <w:sz w:val="24"/>
          <w:szCs w:val="24"/>
          <w:lang w:val="pt-BR"/>
        </w:rPr>
        <w:t>1.6.1.</w:t>
      </w:r>
      <w:r>
        <w:rPr>
          <w:rFonts w:cs="Arial" w:ascii="Arial" w:hAnsi="Arial"/>
          <w:sz w:val="24"/>
          <w:szCs w:val="24"/>
          <w:lang w:val="pt-BR"/>
        </w:rPr>
        <w:t xml:space="preserve"> Para julgamento será adotado o critério de </w:t>
      </w:r>
      <w:r>
        <w:rPr>
          <w:rFonts w:cs="Arial" w:ascii="Arial" w:hAnsi="Arial"/>
          <w:b/>
          <w:sz w:val="24"/>
          <w:szCs w:val="24"/>
          <w:lang w:val="pt-BR"/>
        </w:rPr>
        <w:t>MENOR PREÇO</w:t>
      </w:r>
      <w:r>
        <w:rPr>
          <w:rFonts w:eastAsia="Calibri" w:cs="Arial" w:ascii="Arial" w:hAnsi="Arial"/>
          <w:b/>
          <w:bCs/>
          <w:kern w:val="0"/>
          <w:sz w:val="24"/>
          <w:szCs w:val="24"/>
          <w:lang w:val="pt-BR" w:eastAsia="en-US"/>
        </w:rPr>
        <w:t xml:space="preserve"> POR LOTE</w:t>
      </w:r>
      <w:r>
        <w:rPr>
          <w:rFonts w:eastAsia="Calibri" w:cs="Arial" w:ascii="Arial" w:hAnsi="Arial"/>
          <w:b w:val="false"/>
          <w:bCs w:val="false"/>
          <w:kern w:val="0"/>
          <w:sz w:val="24"/>
          <w:szCs w:val="24"/>
          <w:lang w:val="pt-BR" w:eastAsia="en-US"/>
        </w:rPr>
        <w:t>, observados os preços unitários máximos estabelecidos e os demais critérios de aceitabilidade previstos neste instrumento.</w:t>
      </w:r>
    </w:p>
    <w:p>
      <w:pPr>
        <w:pStyle w:val="Normal"/>
        <w:tabs>
          <w:tab w:val="clear" w:pos="709"/>
          <w:tab w:val="left" w:pos="9923" w:leader="none"/>
        </w:tabs>
        <w:spacing w:lineRule="auto" w:line="276" w:before="0" w:after="120"/>
        <w:ind w:left="708" w:right="0"/>
        <w:jc w:val="both"/>
        <w:rPr>
          <w:lang w:val="pt-BR"/>
        </w:rPr>
      </w:pPr>
      <w:r>
        <w:rPr>
          <w:rFonts w:cs="Arial" w:ascii="Arial" w:hAnsi="Arial"/>
          <w:b/>
          <w:bCs/>
          <w:sz w:val="24"/>
          <w:szCs w:val="24"/>
          <w:lang w:val="pt-BR"/>
        </w:rPr>
        <w:t xml:space="preserve">1.6.2. </w:t>
      </w:r>
      <w:r>
        <w:rPr>
          <w:rFonts w:eastAsia="Times New Roman" w:cs="Arial" w:ascii="Arial" w:hAnsi="Arial"/>
          <w:color w:val="auto"/>
          <w:sz w:val="24"/>
          <w:szCs w:val="24"/>
          <w:lang w:val="pt-BR"/>
        </w:rPr>
        <w:t xml:space="preserve">O Agente de Contratação solicitará ao licitante mais bem classificado que, no prazo de </w:t>
      </w:r>
      <w:r>
        <w:rPr>
          <w:rFonts w:eastAsia="Times New Roman" w:cs="Arial" w:ascii="Arial" w:hAnsi="Arial"/>
          <w:b/>
          <w:bCs/>
          <w:color w:val="auto"/>
          <w:sz w:val="24"/>
          <w:szCs w:val="24"/>
          <w:lang w:val="pt-BR"/>
        </w:rPr>
        <w:t>2 (duas) horas</w:t>
      </w:r>
      <w:r>
        <w:rPr>
          <w:rFonts w:eastAsia="Times New Roman" w:cs="Arial" w:ascii="Arial" w:hAnsi="Arial"/>
          <w:color w:val="auto"/>
          <w:sz w:val="24"/>
          <w:szCs w:val="24"/>
          <w:lang w:val="pt-BR"/>
        </w:rPr>
        <w:t xml:space="preserve">, envie a proposta adequada ao último lance ofertado após a negociação realizada, acompanhada, se for o caso, dos documentos complementares, quando necessários à confirmação daqueles exigidos neste Edital e já apresentados na Plataforma “BLL Compras” constante da página eletrônica da Bolsa de Licitações e Leilões do Brasil (bllcompras.com). </w:t>
      </w:r>
    </w:p>
    <w:p>
      <w:pPr>
        <w:pStyle w:val="Normal"/>
        <w:tabs>
          <w:tab w:val="clear" w:pos="709"/>
          <w:tab w:val="left" w:pos="9923" w:leader="none"/>
        </w:tabs>
        <w:spacing w:lineRule="auto" w:line="276" w:before="0" w:after="120"/>
        <w:ind w:left="708" w:right="0"/>
        <w:jc w:val="both"/>
        <w:rPr>
          <w:lang w:val="pt-BR"/>
        </w:rPr>
      </w:pPr>
      <w:r>
        <w:rPr>
          <w:rFonts w:cs="Arial" w:ascii="Arial" w:hAnsi="Arial"/>
          <w:b/>
          <w:bCs/>
          <w:sz w:val="24"/>
          <w:szCs w:val="24"/>
          <w:lang w:val="pt-BR"/>
        </w:rPr>
        <w:t>1.6.3.</w:t>
      </w:r>
      <w:r>
        <w:rPr>
          <w:rFonts w:cs="Arial" w:ascii="Arial" w:hAnsi="Arial"/>
          <w:sz w:val="24"/>
          <w:szCs w:val="24"/>
          <w:lang w:val="pt-BR"/>
        </w:rPr>
        <w:t xml:space="preserve"> Os documentos exigidos para habilitação serão enviados exclusivamente por meio do sistema da Plataforma “BLL Compras” constante da página eletrônica da Bolsa de Licitações e Leilões do Brasil (bllcompras.com), em formato digital, no prazo de </w:t>
      </w:r>
      <w:r>
        <w:rPr>
          <w:rFonts w:cs="Arial" w:ascii="Arial" w:hAnsi="Arial"/>
          <w:b/>
          <w:bCs/>
          <w:sz w:val="24"/>
          <w:szCs w:val="24"/>
          <w:lang w:val="pt-BR"/>
        </w:rPr>
        <w:t>4 (quatro) horas</w:t>
      </w:r>
      <w:r>
        <w:rPr>
          <w:rFonts w:cs="Arial" w:ascii="Arial" w:hAnsi="Arial"/>
          <w:sz w:val="24"/>
          <w:szCs w:val="24"/>
          <w:lang w:val="pt-BR"/>
        </w:rPr>
        <w:t>, prorrogável por igual período, contado da solicitação do Agente de Contratação.</w:t>
      </w:r>
    </w:p>
    <w:p>
      <w:pPr>
        <w:pStyle w:val="PargrafodaLista"/>
        <w:widowControl w:val="false"/>
        <w:numPr>
          <w:ilvl w:val="1"/>
          <w:numId w:val="10"/>
        </w:numPr>
        <w:tabs>
          <w:tab w:val="clear" w:pos="709"/>
          <w:tab w:val="left" w:pos="849" w:leader="none"/>
        </w:tabs>
        <w:spacing w:lineRule="auto" w:line="276" w:before="0" w:after="120"/>
        <w:ind w:hanging="720" w:left="720" w:right="0"/>
        <w:contextualSpacing/>
        <w:jc w:val="both"/>
        <w:rPr>
          <w:lang w:val="pt-BR"/>
        </w:rPr>
      </w:pPr>
      <w:r>
        <w:rPr>
          <w:rFonts w:cs="Arial" w:ascii="Arial" w:hAnsi="Arial"/>
          <w:b/>
          <w:spacing w:val="-4"/>
          <w:sz w:val="24"/>
          <w:szCs w:val="24"/>
          <w:lang w:val="pt-BR"/>
        </w:rPr>
        <w:t>SANÇÕES ADMINISTRATIVAS</w:t>
      </w:r>
    </w:p>
    <w:p>
      <w:pPr>
        <w:pStyle w:val="PargrafodaLista"/>
        <w:numPr>
          <w:ilvl w:val="0"/>
          <w:numId w:val="12"/>
        </w:numPr>
        <w:spacing w:lineRule="auto" w:line="276"/>
        <w:ind w:hanging="93" w:left="802" w:right="0"/>
        <w:jc w:val="both"/>
        <w:rPr>
          <w:lang w:val="pt-BR"/>
        </w:rPr>
      </w:pPr>
      <w:r>
        <w:rPr>
          <w:rFonts w:cs="Arial" w:ascii="Arial" w:hAnsi="Arial"/>
          <w:sz w:val="24"/>
          <w:szCs w:val="24"/>
          <w:lang w:val="pt-BR"/>
        </w:rPr>
        <w:t>A Fundação Arquivo e Memória de Santos – FAMS poderá aplicar à Licitante Vencedora (empresa fornecedora) multa de:</w:t>
      </w:r>
    </w:p>
    <w:p>
      <w:pPr>
        <w:pStyle w:val="PargrafodaLista"/>
        <w:numPr>
          <w:ilvl w:val="0"/>
          <w:numId w:val="12"/>
        </w:numPr>
        <w:spacing w:lineRule="auto" w:line="276"/>
        <w:ind w:hanging="93" w:left="802" w:right="0"/>
        <w:jc w:val="both"/>
        <w:rPr>
          <w:lang w:val="pt-BR"/>
        </w:rPr>
      </w:pPr>
      <w:r>
        <w:rPr>
          <w:rFonts w:cs="Arial" w:ascii="Arial" w:hAnsi="Arial"/>
          <w:sz w:val="24"/>
          <w:szCs w:val="24"/>
          <w:lang w:val="pt-BR"/>
        </w:rPr>
        <w:t>30% (trinta por cento) sobre o valor total da Autorização de Fornecimento no caso de inexecução total;</w:t>
      </w:r>
    </w:p>
    <w:p>
      <w:pPr>
        <w:pStyle w:val="PargrafodaLista"/>
        <w:numPr>
          <w:ilvl w:val="0"/>
          <w:numId w:val="12"/>
        </w:numPr>
        <w:spacing w:lineRule="auto" w:line="276"/>
        <w:ind w:hanging="93" w:left="802" w:right="0"/>
        <w:jc w:val="both"/>
        <w:rPr>
          <w:lang w:val="pt-BR"/>
        </w:rPr>
      </w:pPr>
      <w:r>
        <w:rPr>
          <w:rFonts w:cs="Arial" w:ascii="Arial" w:hAnsi="Arial"/>
          <w:sz w:val="24"/>
          <w:szCs w:val="24"/>
          <w:lang w:val="pt-BR"/>
        </w:rPr>
        <w:t>30% (trinta por cento) sobre o valor total da Autorização de Fornecimento no caso de inadimplemento parcial, ou seja, na hipótese de fornecimento incompleto.</w:t>
      </w:r>
    </w:p>
    <w:p>
      <w:pPr>
        <w:pStyle w:val="PargrafodaLista"/>
        <w:numPr>
          <w:ilvl w:val="0"/>
          <w:numId w:val="12"/>
        </w:numPr>
        <w:spacing w:lineRule="auto" w:line="276"/>
        <w:ind w:hanging="93" w:left="802" w:right="0"/>
        <w:jc w:val="both"/>
        <w:rPr>
          <w:lang w:val="pt-BR"/>
        </w:rPr>
      </w:pPr>
      <w:r>
        <w:rPr>
          <w:rFonts w:cs="Arial" w:ascii="Arial" w:hAnsi="Arial"/>
          <w:sz w:val="24"/>
          <w:szCs w:val="24"/>
          <w:lang w:val="pt-BR"/>
        </w:rPr>
        <w:t>01% (um por cento) ao dia, sobre o valor total da Autorização de Fornecimento, na hipótese de atraso na entrega do Objeto no prazo e nas condições fixadas neste Edital.</w:t>
      </w:r>
    </w:p>
    <w:p>
      <w:pPr>
        <w:pStyle w:val="PargrafodaLista"/>
        <w:numPr>
          <w:ilvl w:val="0"/>
          <w:numId w:val="12"/>
        </w:numPr>
        <w:spacing w:lineRule="auto" w:line="276"/>
        <w:ind w:hanging="93" w:left="802" w:right="0"/>
        <w:jc w:val="both"/>
        <w:rPr>
          <w:lang w:val="pt-BR"/>
        </w:rPr>
      </w:pPr>
      <w:r>
        <w:rPr>
          <w:rFonts w:cs="Arial" w:ascii="Arial" w:hAnsi="Arial"/>
          <w:sz w:val="24"/>
          <w:szCs w:val="24"/>
          <w:lang w:val="pt-BR"/>
        </w:rPr>
        <w:t>10% (dez por cento) sobre o valor total da Autorização de Fornecimento, no caso de descumprimento de qualquer outra cláusula ou condição da Autorização de Fornecimento, não mencionada nos incisos anteriores.</w:t>
      </w:r>
    </w:p>
    <w:p>
      <w:pPr>
        <w:pStyle w:val="PargrafodaLista"/>
        <w:widowControl w:val="false"/>
        <w:numPr>
          <w:ilvl w:val="1"/>
          <w:numId w:val="10"/>
        </w:numPr>
        <w:tabs>
          <w:tab w:val="clear" w:pos="709"/>
          <w:tab w:val="left" w:pos="849" w:leader="none"/>
        </w:tabs>
        <w:spacing w:lineRule="auto" w:line="276" w:before="0" w:after="120"/>
        <w:ind w:hanging="720" w:left="708" w:right="0"/>
        <w:contextualSpacing/>
        <w:jc w:val="both"/>
        <w:rPr>
          <w:lang w:val="pt-BR"/>
        </w:rPr>
      </w:pPr>
      <w:r>
        <w:rPr>
          <w:rFonts w:cs="Arial" w:ascii="Arial" w:hAnsi="Arial"/>
          <w:b/>
          <w:spacing w:val="-4"/>
          <w:sz w:val="24"/>
          <w:szCs w:val="24"/>
          <w:lang w:val="pt-BR"/>
        </w:rPr>
        <w:t>FORMALIZAÇÃO DA AUTORIZAÇÃO DE FORNECIMENTO</w:t>
      </w:r>
    </w:p>
    <w:p>
      <w:pPr>
        <w:pStyle w:val="PargrafodaLista"/>
        <w:widowControl w:val="false"/>
        <w:tabs>
          <w:tab w:val="clear" w:pos="709"/>
          <w:tab w:val="left" w:pos="849" w:leader="none"/>
        </w:tabs>
        <w:spacing w:lineRule="auto" w:line="276" w:before="0" w:after="120"/>
        <w:ind w:hanging="0" w:left="708" w:right="0"/>
        <w:contextualSpacing/>
        <w:jc w:val="both"/>
        <w:rPr>
          <w:rFonts w:ascii="Arial" w:hAnsi="Arial" w:cs="Arial"/>
          <w:b/>
          <w:sz w:val="24"/>
          <w:szCs w:val="24"/>
          <w:lang w:val="pt-BR"/>
        </w:rPr>
      </w:pPr>
      <w:r>
        <w:rPr>
          <w:rFonts w:cs="Arial" w:ascii="Arial" w:hAnsi="Arial"/>
          <w:b/>
          <w:sz w:val="24"/>
          <w:szCs w:val="24"/>
          <w:lang w:val="pt-BR"/>
        </w:rPr>
      </w:r>
    </w:p>
    <w:p>
      <w:pPr>
        <w:pStyle w:val="PargrafodaLista"/>
        <w:widowControl w:val="false"/>
        <w:numPr>
          <w:ilvl w:val="2"/>
          <w:numId w:val="10"/>
        </w:numPr>
        <w:tabs>
          <w:tab w:val="clear" w:pos="709"/>
          <w:tab w:val="left" w:pos="849" w:leader="none"/>
        </w:tabs>
        <w:spacing w:lineRule="auto" w:line="276" w:before="0" w:after="120"/>
        <w:ind w:hanging="720" w:left="1430" w:right="0"/>
        <w:contextualSpacing/>
        <w:jc w:val="both"/>
        <w:rPr>
          <w:lang w:val="pt-BR"/>
        </w:rPr>
      </w:pPr>
      <w:r>
        <w:rPr>
          <w:rFonts w:cs="Arial" w:ascii="Arial" w:hAnsi="Arial"/>
          <w:sz w:val="24"/>
          <w:szCs w:val="24"/>
          <w:lang w:val="pt-BR"/>
        </w:rPr>
        <w:t>Homologada a Dispensa pela autoridade competente, a Fundação Arquivo e Memória de Santos – FAMS elaborará a respectiva A.F. – Autorização de Fornecimento, encaminhando-a em seguida ao Fornecedor.</w:t>
      </w:r>
    </w:p>
    <w:p>
      <w:pPr>
        <w:pStyle w:val="PargrafodaLista"/>
        <w:widowControl w:val="false"/>
        <w:numPr>
          <w:ilvl w:val="2"/>
          <w:numId w:val="10"/>
        </w:numPr>
        <w:tabs>
          <w:tab w:val="clear" w:pos="709"/>
          <w:tab w:val="left" w:pos="849" w:leader="none"/>
        </w:tabs>
        <w:spacing w:lineRule="auto" w:line="276" w:before="0" w:after="120"/>
        <w:ind w:hanging="720" w:left="1430" w:right="0"/>
        <w:contextualSpacing/>
        <w:jc w:val="both"/>
        <w:rPr>
          <w:lang w:val="pt-BR"/>
        </w:rPr>
      </w:pPr>
      <w:r>
        <w:rPr>
          <w:rFonts w:cs="Arial" w:ascii="Arial" w:hAnsi="Arial"/>
          <w:sz w:val="24"/>
          <w:szCs w:val="24"/>
          <w:lang w:val="pt-BR"/>
        </w:rPr>
        <w:t xml:space="preserve">A recusa injustificada do Licitante Vencedor (Empresa Fornecedora) da devolutiva do documento devidamente assinada pelo representante legal da empresa, em até 02 (dois) dias corridos contados da data do recebimento da convocação ensejará a aplicação de multa de 30% (trinta por cento) do valor total do Objeto licitatório e, ainda, o </w:t>
      </w:r>
      <w:r>
        <w:rPr>
          <w:rFonts w:eastAsia="Times New Roman" w:cs="Arial" w:ascii="Arial" w:hAnsi="Arial"/>
          <w:color w:val="auto"/>
          <w:sz w:val="24"/>
          <w:szCs w:val="24"/>
          <w:lang w:val="pt-BR"/>
        </w:rPr>
        <w:t>impedimento de licitar e contratar com a Fundação.</w:t>
      </w:r>
    </w:p>
    <w:p>
      <w:pPr>
        <w:pStyle w:val="PargrafodaLista"/>
        <w:spacing w:lineRule="auto" w:line="276" w:before="0" w:after="120"/>
        <w:ind w:hanging="0" w:left="1430" w:right="0"/>
        <w:contextualSpacing/>
        <w:jc w:val="both"/>
        <w:rPr>
          <w:rFonts w:ascii="Arial" w:hAnsi="Arial" w:cs="Arial"/>
          <w:sz w:val="24"/>
          <w:szCs w:val="24"/>
          <w:lang w:val="pt-BR"/>
        </w:rPr>
      </w:pPr>
      <w:r>
        <w:rPr>
          <w:rFonts w:cs="Arial" w:ascii="Arial" w:hAnsi="Arial"/>
          <w:sz w:val="24"/>
          <w:szCs w:val="24"/>
          <w:lang w:val="pt-BR"/>
        </w:rPr>
      </w:r>
    </w:p>
    <w:p>
      <w:pPr>
        <w:pStyle w:val="PargrafodaLista"/>
        <w:widowControl w:val="false"/>
        <w:numPr>
          <w:ilvl w:val="1"/>
          <w:numId w:val="10"/>
        </w:numPr>
        <w:tabs>
          <w:tab w:val="clear" w:pos="709"/>
          <w:tab w:val="left" w:pos="849" w:leader="none"/>
        </w:tabs>
        <w:spacing w:lineRule="auto" w:line="276" w:before="0" w:after="120"/>
        <w:ind w:hanging="720" w:left="708" w:right="0"/>
        <w:contextualSpacing/>
        <w:jc w:val="both"/>
        <w:rPr>
          <w:lang w:val="pt-BR"/>
        </w:rPr>
      </w:pPr>
      <w:r>
        <w:rPr>
          <w:rFonts w:cs="Arial" w:ascii="Arial" w:hAnsi="Arial"/>
          <w:b/>
          <w:spacing w:val="-4"/>
          <w:sz w:val="24"/>
          <w:szCs w:val="24"/>
          <w:lang w:val="pt-BR"/>
        </w:rPr>
        <w:t>CONDIÇÕES DA AUTORIZAÇÃO DE FORNECIMENTO</w:t>
      </w:r>
    </w:p>
    <w:p>
      <w:pPr>
        <w:pStyle w:val="PargrafodaLista"/>
        <w:widowControl w:val="false"/>
        <w:numPr>
          <w:ilvl w:val="2"/>
          <w:numId w:val="10"/>
        </w:numPr>
        <w:tabs>
          <w:tab w:val="clear" w:pos="709"/>
          <w:tab w:val="left" w:pos="849" w:leader="none"/>
        </w:tabs>
        <w:spacing w:lineRule="auto" w:line="276" w:before="0" w:after="120"/>
        <w:ind w:hanging="720" w:left="1430" w:right="0"/>
        <w:contextualSpacing/>
        <w:jc w:val="both"/>
        <w:rPr>
          <w:lang w:val="pt-BR"/>
        </w:rPr>
      </w:pPr>
      <w:r>
        <w:rPr>
          <w:rFonts w:cs="Arial" w:ascii="Arial" w:hAnsi="Arial"/>
          <w:sz w:val="24"/>
          <w:szCs w:val="24"/>
          <w:lang w:val="pt-BR"/>
        </w:rPr>
        <w:t>Constam da Minuta do ANEXO IV deste Edital.</w:t>
      </w:r>
    </w:p>
    <w:p>
      <w:pPr>
        <w:pStyle w:val="PargrafodaLista"/>
        <w:widowControl w:val="false"/>
        <w:tabs>
          <w:tab w:val="clear" w:pos="709"/>
          <w:tab w:val="left" w:pos="849" w:leader="none"/>
        </w:tabs>
        <w:spacing w:lineRule="auto" w:line="276" w:before="0" w:after="120"/>
        <w:ind w:hanging="0" w:left="1430" w:right="0"/>
        <w:contextualSpacing/>
        <w:jc w:val="both"/>
        <w:rPr>
          <w:rFonts w:ascii="Arial" w:hAnsi="Arial" w:cs="Arial"/>
          <w:sz w:val="24"/>
          <w:szCs w:val="24"/>
          <w:lang w:val="pt-BR"/>
        </w:rPr>
      </w:pPr>
      <w:r>
        <w:rPr>
          <w:rFonts w:cs="Arial" w:ascii="Arial" w:hAnsi="Arial"/>
          <w:sz w:val="24"/>
          <w:szCs w:val="24"/>
          <w:lang w:val="pt-BR"/>
        </w:rPr>
      </w:r>
    </w:p>
    <w:p>
      <w:pPr>
        <w:pStyle w:val="PargrafodaLista"/>
        <w:widowControl w:val="false"/>
        <w:numPr>
          <w:ilvl w:val="1"/>
          <w:numId w:val="10"/>
        </w:numPr>
        <w:tabs>
          <w:tab w:val="clear" w:pos="709"/>
          <w:tab w:val="left" w:pos="849" w:leader="none"/>
        </w:tabs>
        <w:spacing w:lineRule="auto" w:line="276" w:before="0" w:after="120"/>
        <w:ind w:hanging="720" w:left="720" w:right="0"/>
        <w:contextualSpacing/>
        <w:jc w:val="both"/>
        <w:rPr>
          <w:lang w:val="pt-BR"/>
        </w:rPr>
      </w:pPr>
      <w:r>
        <w:rPr>
          <w:rFonts w:cs="Arial" w:ascii="Arial" w:hAnsi="Arial"/>
          <w:b/>
          <w:spacing w:val="-4"/>
          <w:sz w:val="24"/>
          <w:szCs w:val="24"/>
          <w:lang w:val="pt-BR"/>
        </w:rPr>
        <w:t>DISPOSIÇÕES FINAIS</w:t>
      </w:r>
    </w:p>
    <w:p>
      <w:pPr>
        <w:pStyle w:val="Normal"/>
        <w:spacing w:lineRule="auto" w:line="276" w:before="0" w:after="120"/>
        <w:ind w:left="720" w:right="0"/>
        <w:jc w:val="both"/>
        <w:rPr>
          <w:lang w:val="pt-BR"/>
        </w:rPr>
      </w:pPr>
      <w:r>
        <w:rPr>
          <w:rFonts w:cs="Arial" w:ascii="Arial" w:hAnsi="Arial"/>
          <w:b/>
          <w:sz w:val="24"/>
          <w:szCs w:val="24"/>
          <w:lang w:val="pt-BR"/>
        </w:rPr>
        <w:t xml:space="preserve">1.10.1. </w:t>
      </w:r>
      <w:r>
        <w:rPr>
          <w:rFonts w:cs="Arial" w:ascii="Arial" w:hAnsi="Arial"/>
          <w:sz w:val="24"/>
          <w:szCs w:val="24"/>
          <w:lang w:val="pt-BR"/>
        </w:rPr>
        <w:t>Será divulgada ata da sessão pública no sistema eletrônico.</w:t>
      </w:r>
    </w:p>
    <w:p>
      <w:pPr>
        <w:pStyle w:val="Normal"/>
        <w:spacing w:lineRule="auto" w:line="276" w:before="0" w:after="120"/>
        <w:ind w:left="720" w:right="0"/>
        <w:jc w:val="both"/>
        <w:rPr>
          <w:lang w:val="pt-BR"/>
        </w:rPr>
      </w:pPr>
      <w:r>
        <w:rPr>
          <w:rFonts w:cs="Arial" w:ascii="Arial" w:hAnsi="Arial"/>
          <w:b/>
          <w:sz w:val="24"/>
          <w:szCs w:val="24"/>
          <w:lang w:val="pt-BR"/>
        </w:rPr>
        <w:t>1.10.2.</w:t>
      </w:r>
      <w:r>
        <w:rPr>
          <w:rFonts w:cs="Arial" w:ascii="Arial" w:hAnsi="Arial"/>
          <w:sz w:val="24"/>
          <w:szCs w:val="24"/>
          <w:lang w:val="pt-BR"/>
        </w:rPr>
        <w:t xml:space="preserve"> Não havendo expediente ou ocorrendo qualquer feito superveniente que impeça a realização do certame na data marcada, a sessão será automaticamente transferida para o primeiro dia útil subseqüente, no mesmo horário anteriormente estabelecido, desde que não haja comunicação em contrário, pelo Agente de Contratação (condutor do processo);</w:t>
      </w:r>
    </w:p>
    <w:p>
      <w:pPr>
        <w:pStyle w:val="Normal"/>
        <w:spacing w:lineRule="auto" w:line="276" w:before="0" w:after="120"/>
        <w:ind w:left="720" w:right="0"/>
        <w:jc w:val="both"/>
        <w:rPr>
          <w:lang w:val="pt-BR"/>
        </w:rPr>
      </w:pPr>
      <w:r>
        <w:rPr>
          <w:rFonts w:cs="Arial" w:ascii="Arial" w:hAnsi="Arial"/>
          <w:b/>
          <w:sz w:val="24"/>
          <w:szCs w:val="24"/>
          <w:lang w:val="pt-BR"/>
        </w:rPr>
        <w:t>1.10.3.</w:t>
      </w:r>
      <w:r>
        <w:rPr>
          <w:rFonts w:cs="Arial" w:ascii="Arial" w:hAnsi="Arial"/>
          <w:sz w:val="24"/>
          <w:szCs w:val="24"/>
          <w:lang w:val="pt-BR"/>
        </w:rPr>
        <w:t xml:space="preserve"> A Homologação do resultado desta Dispensa de Licitação não implicará direito à contratação;</w:t>
      </w:r>
    </w:p>
    <w:p>
      <w:pPr>
        <w:pStyle w:val="Normal"/>
        <w:spacing w:lineRule="auto" w:line="276" w:before="0" w:after="120"/>
        <w:ind w:left="720" w:right="0"/>
        <w:jc w:val="both"/>
        <w:rPr>
          <w:lang w:val="pt-BR"/>
        </w:rPr>
      </w:pPr>
      <w:r>
        <w:rPr>
          <w:rFonts w:cs="Arial" w:ascii="Arial" w:hAnsi="Arial"/>
          <w:b/>
          <w:sz w:val="24"/>
          <w:szCs w:val="24"/>
          <w:lang w:val="pt-BR"/>
        </w:rPr>
        <w:t>1.10.4.</w:t>
      </w:r>
      <w:r>
        <w:rPr>
          <w:rFonts w:cs="Arial" w:ascii="Arial" w:hAnsi="Arial"/>
          <w:sz w:val="24"/>
          <w:szCs w:val="24"/>
          <w:lang w:val="pt-BR"/>
        </w:rPr>
        <w:t xml:space="preserve"> As normas disciplinadoras da Dispensa de Licitação serão sempre interpretadas em favor da ampliação da disputa entre os interessados, desde que não comprometam o interesse da Fundação, o princípio da isonomia, a finalidade e a segurança da contratação;</w:t>
      </w:r>
    </w:p>
    <w:p>
      <w:pPr>
        <w:pStyle w:val="Normal"/>
        <w:spacing w:lineRule="auto" w:line="276" w:before="0" w:after="120"/>
        <w:ind w:left="720" w:right="0"/>
        <w:jc w:val="both"/>
        <w:rPr>
          <w:lang w:val="pt-BR"/>
        </w:rPr>
      </w:pPr>
      <w:r>
        <w:rPr>
          <w:rFonts w:cs="Arial" w:ascii="Arial" w:hAnsi="Arial"/>
          <w:b/>
          <w:sz w:val="24"/>
          <w:szCs w:val="24"/>
          <w:lang w:val="pt-BR"/>
        </w:rPr>
        <w:t>1.10.5.</w:t>
      </w:r>
      <w:r>
        <w:rPr>
          <w:rFonts w:cs="Arial" w:ascii="Arial" w:hAnsi="Arial"/>
          <w:sz w:val="24"/>
          <w:szCs w:val="24"/>
          <w:lang w:val="pt-BR"/>
        </w:rPr>
        <w:t xml:space="preserve"> Os participantes desta Licitação assumem todos os custos de preparação e apresentação de suas propostas e a Fundação não será, em nenhum caso, responsável por esses custos, independentemente da condução ou do resultado da Dispensa Eletrônica;</w:t>
      </w:r>
    </w:p>
    <w:p>
      <w:pPr>
        <w:pStyle w:val="Normal"/>
        <w:spacing w:lineRule="auto" w:line="276" w:before="0" w:after="120"/>
        <w:ind w:left="720" w:right="0"/>
        <w:jc w:val="both"/>
        <w:rPr>
          <w:lang w:val="pt-BR"/>
        </w:rPr>
      </w:pPr>
      <w:r>
        <w:rPr>
          <w:rFonts w:cs="Arial" w:ascii="Arial" w:hAnsi="Arial"/>
          <w:b/>
          <w:sz w:val="24"/>
          <w:szCs w:val="24"/>
          <w:lang w:val="pt-BR"/>
        </w:rPr>
        <w:t>1.10.6.</w:t>
      </w:r>
      <w:r>
        <w:rPr>
          <w:rFonts w:cs="Arial" w:ascii="Arial" w:hAnsi="Arial"/>
          <w:sz w:val="24"/>
          <w:szCs w:val="24"/>
          <w:lang w:val="pt-BR"/>
        </w:rPr>
        <w:t xml:space="preserve"> Na contagem dos prazos estabelecidos neste Edital e seus Anexos, excluir-se-á o dia do início e incluir-se-á o do vencimento. Só se iniciam e vencem os prazos em dias de expediente da Fundação;</w:t>
      </w:r>
    </w:p>
    <w:p>
      <w:pPr>
        <w:pStyle w:val="Normal"/>
        <w:spacing w:lineRule="auto" w:line="276" w:before="0" w:after="120"/>
        <w:ind w:left="720" w:right="0"/>
        <w:jc w:val="both"/>
        <w:rPr>
          <w:lang w:val="pt-BR"/>
        </w:rPr>
      </w:pPr>
      <w:r>
        <w:rPr>
          <w:rFonts w:cs="Arial" w:ascii="Arial" w:hAnsi="Arial"/>
          <w:b/>
          <w:sz w:val="24"/>
          <w:szCs w:val="24"/>
          <w:lang w:val="pt-BR"/>
        </w:rPr>
        <w:t>1.10.7.</w:t>
      </w:r>
      <w:r>
        <w:rPr>
          <w:rFonts w:cs="Arial" w:ascii="Arial" w:hAnsi="Arial"/>
          <w:sz w:val="24"/>
          <w:szCs w:val="24"/>
          <w:lang w:val="pt-BR"/>
        </w:rPr>
        <w:t xml:space="preserve"> O desatendimento de exigências formais não essenciais, não importará o afastamento do participante da licitação, desde que seja possível o aproveitamento do ato, observando os princípios da isonomia e do interesse público;</w:t>
      </w:r>
    </w:p>
    <w:p>
      <w:pPr>
        <w:pStyle w:val="Normal"/>
        <w:spacing w:lineRule="auto" w:line="276" w:before="0" w:after="120"/>
        <w:ind w:left="720" w:right="0"/>
        <w:jc w:val="both"/>
        <w:rPr>
          <w:lang w:val="pt-BR"/>
        </w:rPr>
      </w:pPr>
      <w:r>
        <w:rPr>
          <w:rFonts w:cs="Arial" w:ascii="Arial" w:hAnsi="Arial"/>
          <w:b/>
          <w:sz w:val="24"/>
          <w:szCs w:val="24"/>
          <w:lang w:val="pt-BR"/>
        </w:rPr>
        <w:t>1.10.8.</w:t>
      </w:r>
      <w:r>
        <w:rPr>
          <w:rFonts w:cs="Arial" w:ascii="Arial" w:hAnsi="Arial"/>
          <w:sz w:val="24"/>
          <w:szCs w:val="24"/>
          <w:lang w:val="pt-BR"/>
        </w:rPr>
        <w:t xml:space="preserve"> Em caso de divergência entre disposições deste Edital e de seus Anexos ou demais peças que compõem o processo, prevalecerão as deste Edital;</w:t>
      </w:r>
    </w:p>
    <w:p>
      <w:pPr>
        <w:pStyle w:val="Normal"/>
        <w:spacing w:lineRule="auto" w:line="276" w:before="0" w:after="120"/>
        <w:ind w:left="720" w:right="0"/>
        <w:jc w:val="both"/>
        <w:rPr/>
      </w:pPr>
      <w:r>
        <w:rPr>
          <w:rFonts w:cs="Arial" w:ascii="Arial" w:hAnsi="Arial"/>
          <w:b/>
          <w:sz w:val="24"/>
          <w:szCs w:val="24"/>
          <w:lang w:val="pt-BR"/>
        </w:rPr>
        <w:t>1.10.9.</w:t>
      </w:r>
      <w:r>
        <w:rPr>
          <w:rFonts w:cs="Arial" w:ascii="Arial" w:hAnsi="Arial"/>
          <w:sz w:val="24"/>
          <w:szCs w:val="24"/>
          <w:lang w:val="pt-BR"/>
        </w:rPr>
        <w:t xml:space="preserve"> O Edital e seus Anexos estão disponíveis, na íntegra, no Portal Nacional de Contratações Públicas (PNCP), na Plataforma da B.L.L. Bolsa de Licitações e Leilões do Brasil, no endereço eletrônico: </w:t>
      </w:r>
      <w:hyperlink r:id="rId5">
        <w:r>
          <w:rPr>
            <w:rStyle w:val="Hyperlink"/>
            <w:rFonts w:cs="Arial" w:ascii="Arial" w:hAnsi="Arial"/>
            <w:sz w:val="24"/>
            <w:szCs w:val="24"/>
            <w:lang w:val="pt-BR"/>
          </w:rPr>
          <w:t>bllcompras.com</w:t>
        </w:r>
      </w:hyperlink>
      <w:r>
        <w:rPr>
          <w:rFonts w:cs="Arial" w:ascii="Arial" w:hAnsi="Arial"/>
          <w:sz w:val="24"/>
          <w:szCs w:val="24"/>
          <w:lang w:val="pt-BR"/>
        </w:rPr>
        <w:t xml:space="preserve"> e no sítio eletrônico da FAMS - Fundação Arquivo e Memória de Santos, no endereço eletrônico: </w:t>
      </w:r>
      <w:hyperlink r:id="rId6">
        <w:r>
          <w:rPr>
            <w:rStyle w:val="Hyperlink"/>
            <w:rFonts w:cs="Arial" w:ascii="Arial" w:hAnsi="Arial"/>
            <w:sz w:val="24"/>
            <w:szCs w:val="24"/>
            <w:lang w:val="pt-BR"/>
          </w:rPr>
          <w:t>www.fundasantos.org.br</w:t>
        </w:r>
      </w:hyperlink>
      <w:r>
        <w:rPr>
          <w:rFonts w:cs="Arial" w:ascii="Arial" w:hAnsi="Arial"/>
          <w:sz w:val="24"/>
          <w:szCs w:val="24"/>
          <w:lang w:val="pt-BR"/>
        </w:rPr>
        <w:t>.</w:t>
      </w:r>
    </w:p>
    <w:p>
      <w:pPr>
        <w:pStyle w:val="Normal"/>
        <w:spacing w:lineRule="auto" w:line="276" w:before="0" w:after="120"/>
        <w:ind w:left="720" w:right="0"/>
        <w:jc w:val="both"/>
        <w:rPr>
          <w:lang w:val="pt-BR"/>
        </w:rPr>
      </w:pPr>
      <w:r>
        <w:rPr>
          <w:rFonts w:cs="Arial" w:ascii="Arial" w:hAnsi="Arial"/>
          <w:b/>
          <w:sz w:val="24"/>
          <w:szCs w:val="24"/>
          <w:lang w:val="pt-BR"/>
        </w:rPr>
        <w:t>1.10.10.</w:t>
      </w:r>
      <w:r>
        <w:rPr>
          <w:rFonts w:cs="Arial" w:ascii="Arial" w:hAnsi="Arial"/>
          <w:sz w:val="24"/>
          <w:szCs w:val="24"/>
          <w:lang w:val="pt-BR"/>
        </w:rPr>
        <w:t xml:space="preserve"> O licitante deverá informar, </w:t>
      </w:r>
      <w:r>
        <w:rPr>
          <w:rFonts w:cs="Arial" w:ascii="Arial" w:hAnsi="Arial"/>
          <w:b/>
          <w:sz w:val="24"/>
          <w:szCs w:val="24"/>
          <w:lang w:val="pt-BR"/>
        </w:rPr>
        <w:t>obrigatoriamente</w:t>
      </w:r>
      <w:r>
        <w:rPr>
          <w:rFonts w:cs="Arial" w:ascii="Arial" w:hAnsi="Arial"/>
          <w:sz w:val="24"/>
          <w:szCs w:val="24"/>
          <w:lang w:val="pt-BR"/>
        </w:rPr>
        <w:t>, quando se tratar de produto(s), marca, modelo e demais características, sob pena de desclassificação.</w:t>
      </w:r>
    </w:p>
    <w:p>
      <w:pPr>
        <w:pStyle w:val="Normal"/>
        <w:spacing w:lineRule="auto" w:line="276" w:before="0" w:after="120"/>
        <w:ind w:left="720" w:right="0"/>
        <w:jc w:val="both"/>
        <w:rPr>
          <w:lang w:val="pt-BR"/>
        </w:rPr>
      </w:pPr>
      <w:r>
        <w:rPr>
          <w:rFonts w:cs="Arial" w:ascii="Arial" w:hAnsi="Arial"/>
          <w:b/>
          <w:sz w:val="24"/>
          <w:szCs w:val="24"/>
          <w:lang w:val="pt-BR"/>
        </w:rPr>
        <w:t>1.10.11.</w:t>
      </w:r>
      <w:r>
        <w:rPr>
          <w:rFonts w:cs="Arial" w:ascii="Arial" w:hAnsi="Arial"/>
          <w:sz w:val="24"/>
          <w:szCs w:val="24"/>
          <w:lang w:val="pt-BR"/>
        </w:rPr>
        <w:t xml:space="preserve"> Quaisquer esclarecimentos formais devem ser realizados através do campo próprio no sistema da Plataforma “BLL Compras”, </w:t>
      </w:r>
      <w:r>
        <w:rPr>
          <w:rFonts w:cs="Arial" w:ascii="Arial" w:hAnsi="Arial"/>
          <w:b/>
          <w:bCs/>
          <w:sz w:val="24"/>
          <w:szCs w:val="24"/>
          <w:lang w:val="pt-BR"/>
        </w:rPr>
        <w:t>em até 1 (um) dia antes da sessão, até as 9:00 horas.</w:t>
      </w:r>
    </w:p>
    <w:p>
      <w:pPr>
        <w:pStyle w:val="Normal"/>
        <w:spacing w:lineRule="auto" w:line="276" w:before="0" w:after="120"/>
        <w:ind w:left="720" w:right="0"/>
        <w:jc w:val="both"/>
        <w:rPr>
          <w:lang w:val="pt-BR"/>
        </w:rPr>
      </w:pPr>
      <w:r>
        <w:rPr>
          <w:rFonts w:cs="Arial" w:ascii="Arial" w:hAnsi="Arial"/>
          <w:b/>
          <w:sz w:val="24"/>
          <w:szCs w:val="24"/>
          <w:lang w:val="pt-BR"/>
        </w:rPr>
        <w:t>1.10.12.</w:t>
      </w:r>
      <w:r>
        <w:rPr>
          <w:rFonts w:cs="Arial" w:ascii="Arial" w:hAnsi="Arial"/>
          <w:sz w:val="24"/>
          <w:szCs w:val="24"/>
          <w:lang w:val="pt-BR"/>
        </w:rPr>
        <w:t xml:space="preserve"> O intervalo mínimo de diferença de valores ou percentuais entre os lances, quando a disputa for por menor preço, que incidirá em relação ao que cobrir a melhor oferta é de </w:t>
      </w:r>
      <w:r>
        <w:rPr>
          <w:rFonts w:cs="Arial" w:ascii="Arial" w:hAnsi="Arial"/>
          <w:b/>
          <w:bCs/>
          <w:sz w:val="24"/>
          <w:szCs w:val="24"/>
          <w:lang w:val="pt-BR"/>
        </w:rPr>
        <w:t>R$ 1,00 (um real).</w:t>
      </w:r>
    </w:p>
    <w:p>
      <w:pPr>
        <w:pStyle w:val="PargrafodaLista"/>
        <w:widowControl w:val="false"/>
        <w:numPr>
          <w:ilvl w:val="1"/>
          <w:numId w:val="10"/>
        </w:numPr>
        <w:tabs>
          <w:tab w:val="clear" w:pos="709"/>
          <w:tab w:val="left" w:pos="849" w:leader="none"/>
        </w:tabs>
        <w:spacing w:lineRule="auto" w:line="276" w:before="0" w:after="120"/>
        <w:ind w:hanging="720" w:left="720" w:right="0"/>
        <w:contextualSpacing/>
        <w:jc w:val="both"/>
        <w:rPr>
          <w:lang w:val="pt-BR"/>
        </w:rPr>
      </w:pPr>
      <w:r>
        <w:rPr>
          <w:rFonts w:cs="Arial" w:ascii="Arial" w:hAnsi="Arial"/>
          <w:b/>
          <w:spacing w:val="-4"/>
          <w:sz w:val="24"/>
          <w:szCs w:val="24"/>
          <w:lang w:val="pt-BR"/>
        </w:rPr>
        <w:t>RECURSOS ORÇAMENTÁRIOS</w:t>
      </w:r>
    </w:p>
    <w:p>
      <w:pPr>
        <w:pStyle w:val="PargrafodaLista"/>
        <w:widowControl w:val="false"/>
        <w:numPr>
          <w:ilvl w:val="2"/>
          <w:numId w:val="10"/>
        </w:numPr>
        <w:spacing w:lineRule="auto" w:line="276" w:before="0" w:after="120"/>
        <w:ind w:hanging="0" w:left="709" w:right="0"/>
        <w:contextualSpacing/>
        <w:jc w:val="both"/>
        <w:rPr>
          <w:lang w:val="pt-BR"/>
        </w:rPr>
      </w:pPr>
      <w:r>
        <w:rPr>
          <w:rFonts w:cs="Arial" w:ascii="Arial" w:hAnsi="Arial"/>
          <w:sz w:val="24"/>
          <w:szCs w:val="24"/>
          <w:lang w:val="pt-BR"/>
        </w:rPr>
        <w:t xml:space="preserve">As despesas decorrentes da presente aquisição correrão a conta da Dotação Orçamentária n.º </w:t>
      </w:r>
      <w:r>
        <w:rPr>
          <w:rFonts w:cs="Arial" w:ascii="Arial" w:hAnsi="Arial"/>
          <w:b/>
          <w:sz w:val="24"/>
          <w:szCs w:val="24"/>
          <w:lang w:val="pt-BR"/>
        </w:rPr>
        <w:t>30.10.13.391.0093.2450.3.3.90.30</w:t>
      </w:r>
      <w:r>
        <w:rPr>
          <w:rFonts w:cs="Arial" w:ascii="Arial" w:hAnsi="Arial"/>
          <w:b/>
          <w:sz w:val="24"/>
          <w:szCs w:val="24"/>
          <w:shd w:fill="FFFFFF" w:val="clear"/>
          <w:lang w:val="pt-BR"/>
        </w:rPr>
        <w:t xml:space="preserve">.00; </w:t>
      </w:r>
      <w:r>
        <w:rPr>
          <w:rFonts w:cs="Arial" w:ascii="Arial" w:hAnsi="Arial"/>
          <w:b/>
          <w:sz w:val="24"/>
          <w:szCs w:val="24"/>
          <w:lang w:val="pt-BR"/>
        </w:rPr>
        <w:t>Pré-empenho n.º: 18</w:t>
      </w:r>
      <w:r>
        <w:rPr>
          <w:rFonts w:cs="Arial" w:ascii="Arial" w:hAnsi="Arial"/>
          <w:b/>
          <w:sz w:val="24"/>
          <w:szCs w:val="24"/>
          <w:shd w:fill="auto" w:val="clear"/>
          <w:lang w:val="pt-BR"/>
        </w:rPr>
        <w:t>/26</w:t>
      </w:r>
      <w:r>
        <w:rPr>
          <w:rFonts w:cs="Arial" w:ascii="Arial" w:hAnsi="Arial"/>
          <w:b/>
          <w:sz w:val="24"/>
          <w:szCs w:val="24"/>
          <w:lang w:val="pt-BR"/>
        </w:rPr>
        <w:t xml:space="preserve"> – Fonte de Recurso: </w:t>
      </w:r>
      <w:r>
        <w:rPr>
          <w:rFonts w:cs="Arial" w:ascii="Arial" w:hAnsi="Arial"/>
          <w:b/>
          <w:sz w:val="24"/>
          <w:szCs w:val="24"/>
          <w:shd w:fill="auto" w:val="clear"/>
          <w:lang w:val="pt-BR"/>
        </w:rPr>
        <w:t>01</w:t>
      </w:r>
      <w:r>
        <w:rPr>
          <w:rFonts w:cs="Arial" w:ascii="Arial" w:hAnsi="Arial"/>
          <w:b/>
          <w:sz w:val="24"/>
          <w:szCs w:val="24"/>
          <w:lang w:val="pt-BR"/>
        </w:rPr>
        <w:t>.</w:t>
      </w:r>
    </w:p>
    <w:p>
      <w:pPr>
        <w:pStyle w:val="PargrafodaLista"/>
        <w:widowControl w:val="false"/>
        <w:spacing w:lineRule="auto" w:line="276" w:before="0" w:after="120"/>
        <w:ind w:hanging="0" w:left="709" w:right="0"/>
        <w:contextualSpacing/>
        <w:jc w:val="both"/>
        <w:rPr>
          <w:rFonts w:ascii="Arial" w:hAnsi="Arial" w:cs="Arial"/>
          <w:sz w:val="24"/>
          <w:szCs w:val="24"/>
          <w:lang w:val="pt-BR"/>
        </w:rPr>
      </w:pPr>
      <w:r>
        <w:rPr>
          <w:rFonts w:cs="Arial" w:ascii="Arial" w:hAnsi="Arial"/>
          <w:sz w:val="24"/>
          <w:szCs w:val="24"/>
          <w:lang w:val="pt-BR"/>
        </w:rPr>
      </w:r>
    </w:p>
    <w:p>
      <w:pPr>
        <w:pStyle w:val="Normal"/>
        <w:spacing w:lineRule="auto" w:line="276" w:before="0" w:after="120"/>
        <w:jc w:val="both"/>
        <w:rPr>
          <w:lang w:val="pt-BR"/>
        </w:rPr>
      </w:pPr>
      <w:r>
        <w:rPr>
          <w:rFonts w:cs="Arial" w:ascii="Arial" w:hAnsi="Arial"/>
          <w:sz w:val="24"/>
          <w:szCs w:val="24"/>
          <w:lang w:val="pt-BR"/>
        </w:rPr>
        <w:t xml:space="preserve">Santos, </w:t>
      </w:r>
      <w:r>
        <w:rPr>
          <w:rFonts w:cs="Arial" w:ascii="Arial" w:hAnsi="Arial"/>
          <w:sz w:val="24"/>
          <w:szCs w:val="24"/>
          <w:lang w:val="pt-BR"/>
        </w:rPr>
        <w:t>14</w:t>
      </w:r>
      <w:r>
        <w:rPr>
          <w:rFonts w:cs="Arial" w:ascii="Arial" w:hAnsi="Arial"/>
          <w:sz w:val="24"/>
          <w:szCs w:val="24"/>
          <w:shd w:fill="auto" w:val="clear"/>
          <w:lang w:val="pt-BR"/>
        </w:rPr>
        <w:t xml:space="preserve"> </w:t>
      </w:r>
      <w:r>
        <w:rPr>
          <w:rFonts w:cs="Arial" w:ascii="Arial" w:hAnsi="Arial"/>
          <w:sz w:val="24"/>
          <w:szCs w:val="24"/>
          <w:lang w:val="pt-BR"/>
        </w:rPr>
        <w:t xml:space="preserve">de </w:t>
      </w:r>
      <w:r>
        <w:rPr>
          <w:rFonts w:cs="Arial" w:ascii="Arial" w:hAnsi="Arial"/>
          <w:sz w:val="24"/>
          <w:szCs w:val="24"/>
          <w:lang w:val="pt-BR"/>
        </w:rPr>
        <w:t>setembro</w:t>
      </w:r>
      <w:r>
        <w:rPr>
          <w:rFonts w:cs="Arial" w:ascii="Arial" w:hAnsi="Arial"/>
          <w:sz w:val="24"/>
          <w:szCs w:val="24"/>
          <w:lang w:val="pt-BR"/>
        </w:rPr>
        <w:t xml:space="preserve"> de 2026.</w:t>
      </w:r>
    </w:p>
    <w:p>
      <w:pPr>
        <w:pStyle w:val="Normal"/>
        <w:spacing w:lineRule="auto" w:line="276" w:before="0" w:after="120"/>
        <w:jc w:val="both"/>
        <w:rPr>
          <w:rFonts w:ascii="Arial" w:hAnsi="Arial" w:cs="Arial"/>
          <w:sz w:val="24"/>
          <w:szCs w:val="24"/>
          <w:lang w:val="pt-BR"/>
        </w:rPr>
      </w:pPr>
      <w:r>
        <w:rPr>
          <w:rFonts w:cs="Arial" w:ascii="Arial" w:hAnsi="Arial"/>
          <w:sz w:val="24"/>
          <w:szCs w:val="24"/>
          <w:lang w:val="pt-BR"/>
        </w:rPr>
      </w:r>
    </w:p>
    <w:p>
      <w:pPr>
        <w:pStyle w:val="Normal"/>
        <w:spacing w:lineRule="auto" w:line="276" w:before="0" w:after="120"/>
        <w:jc w:val="both"/>
        <w:rPr>
          <w:rFonts w:ascii="Arial" w:hAnsi="Arial" w:cs="Arial"/>
          <w:sz w:val="24"/>
          <w:szCs w:val="24"/>
          <w:lang w:val="pt-BR"/>
        </w:rPr>
      </w:pPr>
      <w:r>
        <w:rPr>
          <w:rFonts w:cs="Arial" w:ascii="Arial" w:hAnsi="Arial"/>
          <w:sz w:val="24"/>
          <w:szCs w:val="24"/>
          <w:lang w:val="pt-BR"/>
        </w:rPr>
      </w:r>
    </w:p>
    <w:p>
      <w:pPr>
        <w:pStyle w:val="Normal"/>
        <w:spacing w:lineRule="auto" w:line="276" w:before="0" w:after="120"/>
        <w:jc w:val="center"/>
        <w:rPr>
          <w:lang w:val="pt-BR"/>
        </w:rPr>
      </w:pPr>
      <w:r>
        <w:rPr>
          <w:rFonts w:cs="Arial" w:ascii="Arial" w:hAnsi="Arial"/>
          <w:b/>
          <w:sz w:val="24"/>
          <w:szCs w:val="24"/>
          <w:lang w:val="pt-BR"/>
        </w:rPr>
        <w:t>MARCELO FERREIRA BUENO</w:t>
      </w:r>
    </w:p>
    <w:p>
      <w:pPr>
        <w:pStyle w:val="Normal"/>
        <w:spacing w:lineRule="auto" w:line="276" w:before="0" w:after="120"/>
        <w:jc w:val="center"/>
        <w:rPr>
          <w:lang w:val="pt-BR"/>
        </w:rPr>
      </w:pPr>
      <w:r>
        <w:rPr>
          <w:rFonts w:cs="Arial" w:ascii="Arial" w:hAnsi="Arial"/>
          <w:b/>
          <w:sz w:val="24"/>
          <w:szCs w:val="24"/>
          <w:lang w:val="pt-BR"/>
        </w:rPr>
        <w:t>Agente de Contratação</w:t>
      </w:r>
    </w:p>
    <w:p>
      <w:pPr>
        <w:pStyle w:val="Normal"/>
        <w:spacing w:lineRule="auto" w:line="276" w:before="0" w:after="120"/>
        <w:jc w:val="center"/>
        <w:rPr>
          <w:lang w:val="pt-BR"/>
        </w:rPr>
      </w:pPr>
      <w:r>
        <w:rPr>
          <w:rFonts w:cs="Arial" w:ascii="Arial" w:hAnsi="Arial"/>
          <w:sz w:val="24"/>
          <w:szCs w:val="24"/>
          <w:lang w:val="pt-BR"/>
        </w:rPr>
        <w:t>- FAMS –</w:t>
      </w:r>
      <w:r>
        <w:br w:type="page"/>
      </w:r>
    </w:p>
    <w:p>
      <w:pPr>
        <w:pStyle w:val="Normal"/>
        <w:spacing w:lineRule="auto" w:line="276" w:before="0" w:after="120"/>
        <w:jc w:val="center"/>
        <w:rPr>
          <w:lang w:val="pt-BR"/>
        </w:rPr>
      </w:pPr>
      <w:r>
        <w:rPr>
          <w:lang w:val="pt-BR"/>
        </w:rPr>
      </w:r>
    </w:p>
    <w:p>
      <w:pPr>
        <w:pStyle w:val="Normal"/>
        <w:spacing w:lineRule="auto" w:line="276" w:before="0" w:after="120"/>
        <w:jc w:val="center"/>
        <w:rPr>
          <w:lang w:val="pt-BR"/>
        </w:rPr>
      </w:pPr>
      <w:r>
        <w:rPr>
          <w:rFonts w:cs="Arial" w:ascii="Arial" w:hAnsi="Arial"/>
          <w:b/>
          <w:sz w:val="24"/>
          <w:szCs w:val="24"/>
          <w:lang w:val="pt-BR"/>
        </w:rPr>
        <w:t>ANEXO I – TERMO DE REFERÊNCIA</w:t>
      </w:r>
    </w:p>
    <w:p>
      <w:pPr>
        <w:pStyle w:val="Normal"/>
        <w:spacing w:lineRule="auto" w:line="276" w:before="0" w:after="120"/>
        <w:jc w:val="center"/>
        <w:rPr>
          <w:lang w:val="pt-BR"/>
        </w:rPr>
      </w:pPr>
      <w:r>
        <w:rPr>
          <w:lang w:val="pt-BR"/>
        </w:rPr>
      </w:r>
    </w:p>
    <w:p>
      <w:pPr>
        <w:pStyle w:val="Normal"/>
        <w:spacing w:lineRule="auto" w:line="276" w:before="0" w:after="120"/>
        <w:ind w:hanging="3506" w:left="3506" w:right="0"/>
        <w:jc w:val="both"/>
        <w:rPr>
          <w:lang w:val="pt-BR"/>
        </w:rPr>
      </w:pPr>
      <w:r>
        <w:rPr>
          <w:rFonts w:cs="Arial" w:ascii="Arial" w:hAnsi="Arial"/>
          <w:b/>
          <w:sz w:val="24"/>
          <w:szCs w:val="24"/>
          <w:lang w:val="pt-BR"/>
        </w:rPr>
        <w:t>EDITAL DE DISPENSA ELETRÔNICA n.º 36</w:t>
      </w:r>
      <w:r>
        <w:rPr>
          <w:rFonts w:cs="Arial" w:ascii="Arial" w:hAnsi="Arial"/>
          <w:b/>
          <w:sz w:val="24"/>
          <w:szCs w:val="24"/>
          <w:shd w:fill="FFFFFF" w:val="clear"/>
          <w:lang w:val="pt-BR"/>
        </w:rPr>
        <w:t>/2026</w:t>
      </w:r>
    </w:p>
    <w:p>
      <w:pPr>
        <w:pStyle w:val="Normal"/>
        <w:spacing w:lineRule="auto" w:line="276" w:before="0" w:after="120"/>
        <w:jc w:val="both"/>
        <w:rPr>
          <w:lang w:val="pt-BR"/>
        </w:rPr>
      </w:pPr>
      <w:r>
        <w:rPr>
          <w:rFonts w:cs="Arial" w:ascii="Arial" w:hAnsi="Arial"/>
          <w:b/>
          <w:sz w:val="24"/>
          <w:szCs w:val="24"/>
          <w:lang w:val="pt-BR"/>
        </w:rPr>
        <w:t xml:space="preserve">PROCESSO n.º </w:t>
      </w:r>
      <w:r>
        <w:rPr>
          <w:rFonts w:eastAsia="SimSun" w:cs="Arial" w:ascii="Arial" w:hAnsi="Arial"/>
          <w:b/>
          <w:bCs/>
          <w:sz w:val="24"/>
          <w:szCs w:val="24"/>
          <w:lang w:val="pt-BR"/>
        </w:rPr>
        <w:t>39.615/2026-01</w:t>
      </w:r>
    </w:p>
    <w:p>
      <w:pPr>
        <w:pStyle w:val="Normal"/>
        <w:spacing w:lineRule="auto" w:line="276"/>
        <w:jc w:val="both"/>
        <w:rPr>
          <w:lang w:val="pt-BR"/>
        </w:rPr>
      </w:pPr>
      <w:r>
        <w:rPr>
          <w:rFonts w:cs="Arial" w:ascii="Arial" w:hAnsi="Arial"/>
          <w:b/>
          <w:bCs/>
          <w:sz w:val="24"/>
          <w:szCs w:val="24"/>
          <w:lang w:val="pt-BR"/>
        </w:rPr>
        <w:t>1.</w:t>
      </w:r>
      <w:r>
        <w:rPr>
          <w:rFonts w:cs="Arial" w:ascii="Arial" w:hAnsi="Arial"/>
          <w:sz w:val="24"/>
          <w:szCs w:val="24"/>
          <w:lang w:val="pt-BR"/>
        </w:rPr>
        <w:t xml:space="preserve"> </w:t>
      </w:r>
      <w:r>
        <w:rPr>
          <w:rFonts w:cs="Arial" w:ascii="Arial" w:hAnsi="Arial"/>
          <w:b/>
          <w:bCs/>
          <w:sz w:val="24"/>
          <w:szCs w:val="24"/>
          <w:lang w:val="pt-BR"/>
        </w:rPr>
        <w:t>OBJETO:</w:t>
      </w:r>
      <w:r>
        <w:rPr>
          <w:rFonts w:cs="Arial" w:ascii="Arial" w:hAnsi="Arial"/>
          <w:sz w:val="24"/>
          <w:szCs w:val="24"/>
          <w:lang w:val="pt-BR"/>
        </w:rPr>
        <w:t xml:space="preserve"> Aquisição de 1.000 (mil) hastes de plástico para pasta suspensa (tam. Ofício/A4), preferencialmente branca, e 200 (duzentas) folhas para acondicionamento de negativos fotográficos em filme 35 mm, modelo 35-7BXW ou equivalente, destinadas ao Acervo Iconográfico da Fundação Arquivo e Memória de Santos – FAMS, de forma única.</w:t>
      </w:r>
    </w:p>
    <w:p>
      <w:pPr>
        <w:pStyle w:val="Standard"/>
        <w:spacing w:lineRule="auto" w:line="276" w:before="240" w:after="240"/>
        <w:jc w:val="both"/>
        <w:rPr>
          <w:lang w:val="pt-BR"/>
        </w:rPr>
      </w:pPr>
      <w:r>
        <w:rPr>
          <w:rFonts w:cs="Arial" w:ascii="Arial" w:hAnsi="Arial"/>
          <w:color w:val="000000"/>
          <w:kern w:val="0"/>
          <w:sz w:val="24"/>
          <w:szCs w:val="24"/>
          <w:lang w:val="pt-BR" w:eastAsia="pt-BR"/>
        </w:rPr>
        <w:t xml:space="preserve">1.2. Os bens desta contratação são caracterizados como </w:t>
      </w:r>
      <w:r>
        <w:rPr>
          <w:rFonts w:cs="Arial" w:ascii="Arial" w:hAnsi="Arial"/>
          <w:b/>
          <w:color w:val="000000"/>
          <w:kern w:val="0"/>
          <w:sz w:val="24"/>
          <w:szCs w:val="24"/>
          <w:u w:val="single"/>
          <w:shd w:fill="auto" w:val="clear"/>
          <w:lang w:val="pt-BR" w:eastAsia="pt-BR"/>
        </w:rPr>
        <w:t>COMUNS</w:t>
      </w:r>
      <w:r>
        <w:rPr>
          <w:rFonts w:cs="Arial" w:ascii="Arial" w:hAnsi="Arial"/>
          <w:color w:val="000000"/>
          <w:kern w:val="0"/>
          <w:sz w:val="24"/>
          <w:szCs w:val="24"/>
          <w:lang w:val="pt-BR" w:eastAsia="pt-BR"/>
        </w:rPr>
        <w:t>, tendo em vista que são dotados de padrões de desempenho e qualidade que podem ser objetivamente definidos no Edital, por meio de especificações usuais no mercado.</w:t>
      </w:r>
    </w:p>
    <w:p>
      <w:pPr>
        <w:pStyle w:val="Normal"/>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jc w:val="both"/>
        <w:rPr>
          <w:lang w:val="pt-BR"/>
        </w:rPr>
      </w:pPr>
      <w:r>
        <w:rPr>
          <w:rFonts w:eastAsia="ヒラギノ角ゴ Pro W3;Cambria" w:cs="Arial" w:ascii="Arial" w:hAnsi="Arial"/>
          <w:b/>
          <w:bCs/>
          <w:sz w:val="24"/>
          <w:szCs w:val="24"/>
          <w:lang w:val="pt-BR"/>
        </w:rPr>
        <w:t>2. FUNDAMENTAÇÃO:</w:t>
      </w:r>
    </w:p>
    <w:p>
      <w:pPr>
        <w:pStyle w:val="Normal"/>
        <w:spacing w:lineRule="auto" w:line="276"/>
        <w:jc w:val="both"/>
        <w:rPr>
          <w:lang w:val="pt-BR"/>
        </w:rPr>
      </w:pPr>
      <w:r>
        <w:rPr>
          <w:rFonts w:cs="Arial" w:ascii="Arial" w:hAnsi="Arial"/>
          <w:color w:val="000000"/>
          <w:kern w:val="0"/>
          <w:sz w:val="24"/>
          <w:szCs w:val="24"/>
          <w:lang w:val="pt-BR"/>
        </w:rPr>
        <w:t>2.1. A presente contratação fundamenta-se no Documento de Formalização de Demanda – DFD e no Estudo Técnico Preliminar elaborado para instrução do processo administrativo, nos termos do art. 18, §1º, inciso I, e do art. 6º, inciso XXIII, da Lei Federal nº 14.133/2021.</w:t>
      </w:r>
    </w:p>
    <w:p>
      <w:pPr>
        <w:pStyle w:val="BodyText"/>
        <w:widowControl/>
        <w:spacing w:lineRule="auto" w:line="276" w:before="0" w:after="283"/>
        <w:ind w:hanging="0" w:left="0" w:right="0"/>
        <w:jc w:val="both"/>
        <w:rPr>
          <w:lang w:val="pt-BR"/>
        </w:rPr>
      </w:pPr>
      <w:r>
        <w:rPr>
          <w:rFonts w:eastAsia="Times New Roman" w:cs="Arial" w:ascii="Arial" w:hAnsi="Arial"/>
          <w:b w:val="false"/>
          <w:bCs w:val="false"/>
          <w:color w:val="000000"/>
          <w:sz w:val="24"/>
          <w:szCs w:val="24"/>
          <w:lang w:val="pt-BR" w:eastAsia="pt-BR"/>
        </w:rPr>
        <w:t>2.2. A presente contratação visa garantir a conservação preventiva e a organização do acervo de películas fotográficas de 35 mm sob a guarda do Acervo Iconográfico da Fundação Arquivo e Memória de Santos – FAMS.</w:t>
      </w:r>
    </w:p>
    <w:p>
      <w:pPr>
        <w:pStyle w:val="BodyText"/>
        <w:widowControl/>
        <w:spacing w:lineRule="auto" w:line="276" w:before="0" w:after="283"/>
        <w:ind w:hanging="0" w:left="0" w:right="0"/>
        <w:jc w:val="both"/>
        <w:rPr>
          <w:lang w:val="pt-BR"/>
        </w:rPr>
      </w:pPr>
      <w:r>
        <w:rPr>
          <w:rFonts w:eastAsia="Times New Roman" w:cs="Arial" w:ascii="Arial" w:hAnsi="Arial"/>
          <w:b w:val="false"/>
          <w:bCs w:val="false"/>
          <w:color w:val="000000"/>
          <w:sz w:val="24"/>
          <w:szCs w:val="24"/>
          <w:lang w:val="pt-BR" w:eastAsia="pt-BR"/>
        </w:rPr>
        <w:t>2.3. As hastes de plástico atuarão no suporte e sustentação das pastas suspensas nos arquivos deslizantes e fichários, devendo possuir rigidez, durabilidade e compatibilidade com pastas de tamanho Ofício/A4; as folhas para acondicionamento de negativos, confeccionadas em material livre de ácidos e adequado à preservação de longo prazo, evitarão a degradação química do acervo fotográfico.</w:t>
      </w:r>
    </w:p>
    <w:p>
      <w:pPr>
        <w:pStyle w:val="BodyText"/>
        <w:widowControl/>
        <w:spacing w:lineRule="auto" w:line="276" w:before="0" w:after="283"/>
        <w:ind w:hanging="0" w:left="0" w:right="0"/>
        <w:jc w:val="both"/>
        <w:rPr>
          <w:lang w:val="pt-BR"/>
        </w:rPr>
      </w:pPr>
      <w:r>
        <w:rPr>
          <w:rFonts w:eastAsia="Times New Roman" w:cs="Arial" w:ascii="Arial" w:hAnsi="Arial"/>
          <w:b w:val="false"/>
          <w:bCs w:val="false"/>
          <w:color w:val="000000"/>
          <w:sz w:val="24"/>
          <w:szCs w:val="24"/>
          <w:lang w:val="pt-BR" w:eastAsia="pt-BR"/>
        </w:rPr>
        <w:t>2.4. A ausência desses materiais comprometerá diretamente a continuidade das atividades de organização, acondicionamento e preservação do acervo, podendo ocasionar danos ao patrimônio documental e fotográfico sob guarda da FAMS.</w:t>
      </w:r>
    </w:p>
    <w:p>
      <w:pPr>
        <w:pStyle w:val="BodyText"/>
        <w:widowControl/>
        <w:spacing w:lineRule="auto" w:line="276" w:before="0" w:after="283"/>
        <w:ind w:hanging="0" w:left="0" w:right="0"/>
        <w:jc w:val="both"/>
        <w:rPr>
          <w:lang w:val="pt-BR"/>
        </w:rPr>
      </w:pPr>
      <w:r>
        <w:rPr>
          <w:rFonts w:eastAsia="Times New Roman" w:cs="Arial" w:ascii="Arial" w:hAnsi="Arial"/>
          <w:b w:val="false"/>
          <w:bCs w:val="false"/>
          <w:color w:val="000000"/>
          <w:kern w:val="0"/>
          <w:sz w:val="24"/>
          <w:szCs w:val="24"/>
          <w:lang w:val="pt-BR" w:eastAsia="pt-BR"/>
        </w:rPr>
        <w:t>2.5. A presente contratação não configura fracionamento de despesa, tratando-se de aquisição única destinada ao atendimento da demanda do Acervo Iconográfico. O julgamento será realizado por item, pois os objetos da contratação podem ser disponibilizados por ramos comerciais distintos, não sendo necessariamente comercializados pelo mesmo fornecedor.</w:t>
      </w:r>
    </w:p>
    <w:p>
      <w:pPr>
        <w:pStyle w:val="Normal"/>
        <w:spacing w:lineRule="auto" w:line="276"/>
        <w:jc w:val="both"/>
        <w:rPr>
          <w:lang w:val="pt-BR"/>
        </w:rPr>
      </w:pPr>
      <w:r>
        <w:rPr>
          <w:rFonts w:eastAsia="SimSun;宋体" w:cs="Arial" w:ascii="Arial" w:hAnsi="Arial"/>
          <w:b w:val="false"/>
          <w:bCs w:val="false"/>
          <w:color w:val="000000"/>
          <w:sz w:val="24"/>
          <w:szCs w:val="24"/>
          <w:lang w:val="pt-BR" w:eastAsia="pt-BR"/>
        </w:rPr>
        <w:t>2.6. A contratação atende aos princípios da eficiência, planejamento, economicidade, continuidade do serviço público e interesse público previstos no art. 5º da Lei Federal nº 14.133/2021.</w:t>
      </w:r>
    </w:p>
    <w:p>
      <w:pPr>
        <w:pStyle w:val="Normal"/>
        <w:spacing w:lineRule="auto" w:line="276" w:before="120" w:after="240"/>
        <w:jc w:val="both"/>
        <w:rPr>
          <w:lang w:val="pt-BR"/>
        </w:rPr>
      </w:pPr>
      <w:r>
        <w:rPr>
          <w:rFonts w:eastAsia="SimSun;宋体" w:cs="Arial" w:ascii="Arial" w:hAnsi="Arial"/>
          <w:b/>
          <w:bCs/>
          <w:sz w:val="24"/>
          <w:szCs w:val="24"/>
          <w:lang w:val="pt-BR"/>
        </w:rPr>
        <w:t>3. DESCRIÇÃO DO OBJETO:</w:t>
      </w:r>
    </w:p>
    <w:tbl>
      <w:tblPr>
        <w:tblW w:w="10145" w:type="dxa"/>
        <w:jc w:val="left"/>
        <w:tblInd w:w="-294" w:type="dxa"/>
        <w:tblLayout w:type="fixed"/>
        <w:tblCellMar>
          <w:top w:w="55" w:type="dxa"/>
          <w:left w:w="55" w:type="dxa"/>
          <w:bottom w:w="55" w:type="dxa"/>
          <w:right w:w="55" w:type="dxa"/>
        </w:tblCellMar>
      </w:tblPr>
      <w:tblGrid>
        <w:gridCol w:w="665"/>
        <w:gridCol w:w="4134"/>
        <w:gridCol w:w="1092"/>
        <w:gridCol w:w="1132"/>
        <w:gridCol w:w="1472"/>
        <w:gridCol w:w="1650"/>
      </w:tblGrid>
      <w:tr>
        <w:trPr>
          <w:tblHeader w:val="true"/>
        </w:trPr>
        <w:tc>
          <w:tcPr>
            <w:tcW w:w="665"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Item</w:t>
            </w:r>
          </w:p>
        </w:tc>
        <w:tc>
          <w:tcPr>
            <w:tcW w:w="4134"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Descrição Técnica Mínima</w:t>
            </w:r>
          </w:p>
        </w:tc>
        <w:tc>
          <w:tcPr>
            <w:tcW w:w="1092"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Und.</w:t>
            </w:r>
          </w:p>
        </w:tc>
        <w:tc>
          <w:tcPr>
            <w:tcW w:w="1132"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Qtde.</w:t>
            </w:r>
          </w:p>
        </w:tc>
        <w:tc>
          <w:tcPr>
            <w:tcW w:w="1472"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Unitário (R$)</w:t>
            </w:r>
          </w:p>
        </w:tc>
        <w:tc>
          <w:tcPr>
            <w:tcW w:w="165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Total (R$)</w:t>
            </w:r>
          </w:p>
        </w:tc>
      </w:tr>
      <w:tr>
        <w:trPr/>
        <w:tc>
          <w:tcPr>
            <w:tcW w:w="66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1</w:t>
            </w:r>
          </w:p>
        </w:tc>
        <w:tc>
          <w:tcPr>
            <w:tcW w:w="4134"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Haste para pasta suspensa: em plástico rígido de alta durabilidade, compatível com pastas de tamanho Ofício/A4, cor preferencialmente branca.</w:t>
            </w:r>
          </w:p>
        </w:tc>
        <w:tc>
          <w:tcPr>
            <w:tcW w:w="109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113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1.000</w:t>
            </w:r>
          </w:p>
        </w:tc>
        <w:tc>
          <w:tcPr>
            <w:tcW w:w="1472" w:type="dxa"/>
            <w:tcBorders>
              <w:left w:val="single" w:sz="4" w:space="0" w:color="000000"/>
              <w:bottom w:val="single" w:sz="4" w:space="0" w:color="000000"/>
            </w:tcBorders>
            <w:vAlign w:val="center"/>
          </w:tcPr>
          <w:p>
            <w:pPr>
              <w:pStyle w:val="Normal"/>
              <w:widowControl/>
              <w:spacing w:lineRule="auto" w:line="276" w:before="0" w:after="0"/>
              <w:jc w:val="center"/>
              <w:rPr>
                <w:lang w:val="pt-BR"/>
              </w:rPr>
            </w:pPr>
            <w:r>
              <w:rPr>
                <w:rFonts w:eastAsia="ＭＳ 明朝" w:cs="Arial" w:ascii="Arial" w:hAnsi="Arial"/>
                <w:kern w:val="0"/>
                <w:sz w:val="24"/>
                <w:szCs w:val="24"/>
                <w:lang w:val="pt-BR" w:eastAsia="en-US"/>
              </w:rPr>
              <w:t>R$ 1,04</w:t>
            </w:r>
          </w:p>
        </w:tc>
        <w:tc>
          <w:tcPr>
            <w:tcW w:w="1650" w:type="dxa"/>
            <w:tcBorders>
              <w:left w:val="single" w:sz="4" w:space="0" w:color="000000"/>
              <w:bottom w:val="single" w:sz="4" w:space="0" w:color="000000"/>
              <w:right w:val="single" w:sz="4" w:space="0" w:color="000000"/>
            </w:tcBorders>
            <w:vAlign w:val="center"/>
          </w:tcPr>
          <w:p>
            <w:pPr>
              <w:pStyle w:val="Normal"/>
              <w:widowControl/>
              <w:spacing w:lineRule="auto" w:line="276" w:before="0" w:after="0"/>
              <w:jc w:val="center"/>
              <w:rPr>
                <w:lang w:val="pt-BR"/>
              </w:rPr>
            </w:pPr>
            <w:r>
              <w:rPr>
                <w:rFonts w:eastAsia="ＭＳ 明朝" w:cs="Arial" w:ascii="Arial" w:hAnsi="Arial"/>
                <w:kern w:val="0"/>
                <w:sz w:val="24"/>
                <w:szCs w:val="24"/>
                <w:lang w:val="pt-BR" w:eastAsia="en-US"/>
              </w:rPr>
              <w:t>R$ 1.040,00</w:t>
            </w:r>
          </w:p>
        </w:tc>
      </w:tr>
      <w:tr>
        <w:trPr/>
        <w:tc>
          <w:tcPr>
            <w:tcW w:w="66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Item</w:t>
            </w:r>
          </w:p>
        </w:tc>
        <w:tc>
          <w:tcPr>
            <w:tcW w:w="4134"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Descrição Técnica Mínima</w:t>
            </w:r>
          </w:p>
        </w:tc>
        <w:tc>
          <w:tcPr>
            <w:tcW w:w="109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Und.</w:t>
            </w:r>
          </w:p>
        </w:tc>
        <w:tc>
          <w:tcPr>
            <w:tcW w:w="113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Qtde.</w:t>
            </w:r>
          </w:p>
        </w:tc>
        <w:tc>
          <w:tcPr>
            <w:tcW w:w="147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Unitário (R$)</w:t>
            </w:r>
          </w:p>
        </w:tc>
        <w:tc>
          <w:tcPr>
            <w:tcW w:w="1650" w:type="dxa"/>
            <w:tcBorders>
              <w:left w:val="single" w:sz="4" w:space="0" w:color="000000"/>
              <w:bottom w:val="single" w:sz="4" w:space="0" w:color="000000"/>
              <w:right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Total (R$)</w:t>
            </w:r>
          </w:p>
        </w:tc>
      </w:tr>
      <w:tr>
        <w:trPr/>
        <w:tc>
          <w:tcPr>
            <w:tcW w:w="66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2</w:t>
            </w:r>
          </w:p>
        </w:tc>
        <w:tc>
          <w:tcPr>
            <w:tcW w:w="4134"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Folha para acondicionamento de negativos fotográficos em filme 35 mm, modelo 35-7BXW ou equivalente, com capacidade para 7 tiras de 6 fotogramas, confeccionada em polietileno e polipropileno transparentes, livre de ácidos, adequada para preservação arquivística de longo prazo. Cor: Transparente.</w:t>
            </w:r>
          </w:p>
        </w:tc>
        <w:tc>
          <w:tcPr>
            <w:tcW w:w="109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1132"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200</w:t>
            </w:r>
          </w:p>
        </w:tc>
        <w:tc>
          <w:tcPr>
            <w:tcW w:w="1472" w:type="dxa"/>
            <w:tcBorders>
              <w:left w:val="single" w:sz="4" w:space="0" w:color="000000"/>
              <w:bottom w:val="single" w:sz="4" w:space="0" w:color="000000"/>
            </w:tcBorders>
            <w:vAlign w:val="center"/>
          </w:tcPr>
          <w:p>
            <w:pPr>
              <w:pStyle w:val="Normal"/>
              <w:widowControl/>
              <w:spacing w:lineRule="auto" w:line="276" w:before="0" w:after="0"/>
              <w:jc w:val="center"/>
              <w:rPr>
                <w:lang w:val="pt-BR"/>
              </w:rPr>
            </w:pPr>
            <w:r>
              <w:rPr>
                <w:rFonts w:eastAsia="ＭＳ 明朝" w:cs="Arial" w:ascii="Arial" w:hAnsi="Arial"/>
                <w:kern w:val="0"/>
                <w:sz w:val="24"/>
                <w:szCs w:val="24"/>
                <w:lang w:val="pt-BR" w:eastAsia="en-US"/>
              </w:rPr>
              <w:t>R$ 5,83</w:t>
            </w:r>
          </w:p>
        </w:tc>
        <w:tc>
          <w:tcPr>
            <w:tcW w:w="1650" w:type="dxa"/>
            <w:tcBorders>
              <w:left w:val="single" w:sz="4" w:space="0" w:color="000000"/>
              <w:bottom w:val="single" w:sz="4" w:space="0" w:color="000000"/>
              <w:right w:val="single" w:sz="4" w:space="0" w:color="000000"/>
            </w:tcBorders>
            <w:vAlign w:val="center"/>
          </w:tcPr>
          <w:p>
            <w:pPr>
              <w:pStyle w:val="Normal"/>
              <w:widowControl/>
              <w:spacing w:lineRule="auto" w:line="276" w:before="0" w:after="0"/>
              <w:jc w:val="center"/>
              <w:rPr>
                <w:lang w:val="pt-BR"/>
              </w:rPr>
            </w:pPr>
            <w:r>
              <w:rPr>
                <w:rFonts w:eastAsia="ＭＳ 明朝" w:cs="Arial" w:ascii="Arial" w:hAnsi="Arial"/>
                <w:kern w:val="0"/>
                <w:sz w:val="24"/>
                <w:szCs w:val="24"/>
                <w:lang w:val="pt-BR" w:eastAsia="en-US"/>
              </w:rPr>
              <w:t>R$ 1.166,00</w:t>
            </w:r>
          </w:p>
        </w:tc>
      </w:tr>
    </w:tbl>
    <w:p>
      <w:pPr>
        <w:pStyle w:val="Normal"/>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before="171" w:after="371"/>
        <w:jc w:val="both"/>
        <w:rPr>
          <w:lang w:val="pt-BR"/>
        </w:rPr>
      </w:pPr>
      <w:r>
        <w:rPr>
          <w:rFonts w:eastAsia="ヒラギノ角ゴ Pro W3;Cambria" w:cs="Arial" w:ascii="Arial" w:hAnsi="Arial"/>
          <w:b/>
          <w:bCs/>
          <w:sz w:val="24"/>
          <w:szCs w:val="24"/>
          <w:lang w:val="pt-BR"/>
        </w:rPr>
        <w:t>4. REQUISITOS DA CONTRATAÇÃO:</w:t>
      </w:r>
    </w:p>
    <w:p>
      <w:pPr>
        <w:pStyle w:val="Normal"/>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jc w:val="both"/>
        <w:rPr>
          <w:lang w:val="pt-BR"/>
        </w:rPr>
      </w:pPr>
      <w:r>
        <w:rPr>
          <w:rFonts w:eastAsia="Times New Roman" w:cs="Arial" w:ascii="Arial" w:hAnsi="Arial"/>
          <w:b w:val="false"/>
          <w:bCs w:val="false"/>
          <w:kern w:val="0"/>
          <w:sz w:val="24"/>
          <w:szCs w:val="24"/>
          <w:lang w:val="pt-BR"/>
        </w:rPr>
        <w:t>4.1.</w:t>
      </w:r>
      <w:r>
        <w:rPr>
          <w:rFonts w:eastAsia="Times New Roman" w:cs="Arial" w:ascii="Arial" w:hAnsi="Arial"/>
          <w:kern w:val="0"/>
          <w:sz w:val="24"/>
          <w:szCs w:val="24"/>
          <w:lang w:val="pt-BR"/>
        </w:rPr>
        <w:t xml:space="preserve"> </w:t>
      </w:r>
      <w:r>
        <w:rPr>
          <w:rFonts w:eastAsia="Arial" w:cs="Arial" w:ascii="Arial" w:hAnsi="Arial"/>
          <w:b w:val="false"/>
          <w:bCs w:val="false"/>
          <w:kern w:val="0"/>
          <w:sz w:val="24"/>
          <w:szCs w:val="24"/>
          <w:lang w:val="pt-BR"/>
        </w:rPr>
        <w:t>Os materiais deverão:</w:t>
      </w:r>
    </w:p>
    <w:p>
      <w:pPr>
        <w:pStyle w:val="Normal"/>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jc w:val="left"/>
        <w:rPr>
          <w:lang w:val="pt-BR"/>
        </w:rPr>
      </w:pPr>
      <w:r>
        <w:rPr>
          <w:rFonts w:eastAsia="Arial" w:cs="Arial" w:ascii="Arial" w:hAnsi="Arial"/>
          <w:b w:val="false"/>
          <w:bCs w:val="false"/>
          <w:kern w:val="0"/>
          <w:sz w:val="24"/>
          <w:szCs w:val="24"/>
          <w:lang w:val="pt-BR"/>
        </w:rPr>
        <w:t xml:space="preserve">• </w:t>
      </w:r>
      <w:r>
        <w:rPr>
          <w:rFonts w:eastAsia="Arial" w:cs="Arial" w:ascii="Arial" w:hAnsi="Arial"/>
          <w:b w:val="false"/>
          <w:bCs w:val="false"/>
          <w:kern w:val="0"/>
          <w:sz w:val="24"/>
          <w:szCs w:val="24"/>
          <w:lang w:val="pt-BR"/>
        </w:rPr>
        <w:t>Ser novos e sem uso;</w:t>
        <w:br/>
        <w:t>• Possuir qualidade compatível com os padrões de mercado;</w:t>
        <w:br/>
        <w:t>• Ser entregues em embalagens originais;</w:t>
        <w:br/>
        <w:t>• Atender às normas sanitárias vigentes;</w:t>
        <w:br/>
        <w:t>• Possuir registro ou notificação na ANVISA quando aplicável;</w:t>
        <w:br/>
        <w:t>• Observar as especificações técnicas mínimas definidas no Termo de Referência.</w:t>
      </w:r>
    </w:p>
    <w:p>
      <w:pPr>
        <w:pStyle w:val="Heading2"/>
        <w:numPr>
          <w:ilvl w:val="0"/>
          <w:numId w:val="0"/>
        </w:numPr>
        <w:spacing w:lineRule="auto" w:line="276" w:before="280" w:after="0"/>
        <w:ind w:hanging="0" w:left="0" w:right="0"/>
        <w:jc w:val="both"/>
        <w:rPr>
          <w:lang w:val="pt-BR"/>
        </w:rPr>
      </w:pPr>
      <w:r>
        <w:rPr>
          <w:rFonts w:eastAsia="Times New Roman" w:cs="Arial" w:ascii="Arial" w:hAnsi="Arial"/>
          <w:b w:val="false"/>
          <w:bCs w:val="false"/>
          <w:kern w:val="0"/>
          <w:sz w:val="24"/>
          <w:szCs w:val="24"/>
          <w:lang w:val="pt-BR"/>
        </w:rPr>
        <w:t>4.2. Requisitos de habilitação</w:t>
      </w:r>
    </w:p>
    <w:p>
      <w:pPr>
        <w:pStyle w:val="BodyText"/>
        <w:widowControl/>
        <w:suppressAutoHyphens w:val="false"/>
        <w:spacing w:lineRule="auto" w:line="276" w:before="280" w:after="283"/>
        <w:jc w:val="both"/>
        <w:textAlignment w:val="auto"/>
        <w:rPr>
          <w:lang w:val="pt-BR"/>
        </w:rPr>
      </w:pPr>
      <w:r>
        <w:rPr>
          <w:rFonts w:cs="Arial" w:ascii="Arial" w:hAnsi="Arial"/>
          <w:kern w:val="0"/>
          <w:sz w:val="24"/>
          <w:szCs w:val="24"/>
          <w:lang w:val="pt-BR"/>
        </w:rPr>
        <w:t>A contratada deverá comprovar regularidade jurídica, fiscal, trabalhista e econômico-financeira, nos termos dos artigos 62 a 70 da Lei Federal nº 14.133/2021 e do Decreto Municipal n.º 10.222/2023.</w:t>
      </w:r>
    </w:p>
    <w:p>
      <w:pPr>
        <w:pStyle w:val="Heading2"/>
        <w:numPr>
          <w:ilvl w:val="0"/>
          <w:numId w:val="0"/>
        </w:numPr>
        <w:spacing w:lineRule="auto" w:line="276" w:before="280" w:after="0"/>
        <w:ind w:hanging="0" w:left="0" w:right="0"/>
        <w:jc w:val="both"/>
        <w:rPr>
          <w:lang w:val="pt-BR"/>
        </w:rPr>
      </w:pPr>
      <w:r>
        <w:rPr>
          <w:rFonts w:eastAsia="Times New Roman" w:cs="Arial" w:ascii="Arial" w:hAnsi="Arial"/>
          <w:b w:val="false"/>
          <w:bCs w:val="false"/>
          <w:kern w:val="0"/>
          <w:sz w:val="24"/>
          <w:szCs w:val="24"/>
          <w:lang w:val="pt-BR"/>
        </w:rPr>
        <w:t>4.3. Sustentabilidade</w:t>
      </w:r>
    </w:p>
    <w:p>
      <w:pPr>
        <w:pStyle w:val="BodyText"/>
        <w:widowControl/>
        <w:suppressAutoHyphens w:val="false"/>
        <w:spacing w:lineRule="auto" w:line="276" w:before="280" w:after="283"/>
        <w:jc w:val="both"/>
        <w:textAlignment w:val="auto"/>
        <w:rPr>
          <w:lang w:val="pt-BR"/>
        </w:rPr>
      </w:pPr>
      <w:r>
        <w:rPr>
          <w:rFonts w:cs="Arial" w:ascii="Arial" w:hAnsi="Arial"/>
          <w:kern w:val="0"/>
          <w:sz w:val="24"/>
          <w:szCs w:val="24"/>
          <w:lang w:val="pt-BR"/>
        </w:rPr>
        <w:t>A contratação observará, sempre que possível, critérios de sustentabilidade previstos no art. 5º e art. 11 da Lei Federal nº 14.133/2021, priorizando materiais recicláveis, produtos duráveis e redução de desperdícios.</w:t>
      </w:r>
    </w:p>
    <w:p>
      <w:pPr>
        <w:pStyle w:val="Nvel2-Red"/>
        <w:spacing w:lineRule="auto" w:line="276" w:before="120" w:after="288"/>
        <w:jc w:val="both"/>
        <w:rPr>
          <w:lang w:val="pt-BR"/>
        </w:rPr>
      </w:pPr>
      <w:r>
        <w:rPr>
          <w:rFonts w:cs="Arial"/>
          <w:b/>
          <w:bCs/>
          <w:i w:val="false"/>
          <w:iCs w:val="false"/>
          <w:color w:val="000000"/>
          <w:sz w:val="24"/>
          <w:szCs w:val="24"/>
          <w:lang w:val="pt-BR"/>
        </w:rPr>
        <w:t>5. EXECUÇÃO DO OBJETO:</w:t>
      </w:r>
    </w:p>
    <w:p>
      <w:pPr>
        <w:pStyle w:val="Heading2"/>
        <w:spacing w:lineRule="auto" w:line="276"/>
        <w:jc w:val="both"/>
        <w:rPr>
          <w:lang w:val="pt-BR"/>
        </w:rPr>
      </w:pPr>
      <w:r>
        <w:rPr>
          <w:rFonts w:eastAsia="Calibri" w:cs="Arial" w:ascii="Arial" w:hAnsi="Arial"/>
          <w:b w:val="false"/>
          <w:bCs w:val="false"/>
          <w:kern w:val="0"/>
          <w:sz w:val="24"/>
          <w:szCs w:val="24"/>
          <w:lang w:val="pt-BR" w:eastAsia="en-US"/>
        </w:rPr>
        <w:t>5.1.</w:t>
      </w:r>
      <w:r>
        <w:rPr>
          <w:rFonts w:eastAsia="Calibri" w:cs="Arial" w:ascii="Arial" w:hAnsi="Arial"/>
          <w:kern w:val="0"/>
          <w:sz w:val="24"/>
          <w:szCs w:val="24"/>
          <w:lang w:val="pt-BR" w:eastAsia="en-US"/>
        </w:rPr>
        <w:t xml:space="preserve"> </w:t>
      </w:r>
      <w:r>
        <w:rPr>
          <w:rFonts w:eastAsia="Calibri" w:cs="Arial" w:ascii="Arial" w:hAnsi="Arial"/>
          <w:b w:val="false"/>
          <w:bCs w:val="false"/>
          <w:kern w:val="0"/>
          <w:sz w:val="24"/>
          <w:szCs w:val="24"/>
          <w:lang w:val="pt-BR" w:eastAsia="en-US"/>
        </w:rPr>
        <w:t>Prazo e forma de entrega</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 xml:space="preserve">5.1.1. </w:t>
      </w:r>
      <w:r>
        <w:rPr>
          <w:rFonts w:eastAsia="Calibri" w:cs="Arial" w:ascii="Arial" w:hAnsi="Arial"/>
          <w:b/>
          <w:bCs/>
          <w:kern w:val="0"/>
          <w:sz w:val="24"/>
          <w:szCs w:val="24"/>
          <w:lang w:val="pt-BR" w:eastAsia="en-US"/>
        </w:rPr>
        <w:t>O fornecimento de cada item adjudicado ocorrerá de forma ÚNICA</w:t>
      </w:r>
      <w:r>
        <w:rPr>
          <w:rFonts w:eastAsia="Calibri" w:cs="Arial" w:ascii="Arial" w:hAnsi="Arial"/>
          <w:kern w:val="0"/>
          <w:sz w:val="24"/>
          <w:szCs w:val="24"/>
          <w:lang w:val="pt-BR" w:eastAsia="en-US"/>
        </w:rPr>
        <w:t xml:space="preserve">, no prazo de até 10 (dez) dias úteis, contados do recebimento da Autorização de Fornecimento – AF, emitida pela Fundação; </w:t>
      </w:r>
    </w:p>
    <w:p>
      <w:pPr>
        <w:pStyle w:val="Heading2"/>
        <w:widowControl/>
        <w:suppressAutoHyphens w:val="true"/>
        <w:spacing w:lineRule="auto" w:line="276"/>
        <w:jc w:val="both"/>
        <w:rPr>
          <w:lang w:val="pt-BR"/>
        </w:rPr>
      </w:pPr>
      <w:r>
        <w:rPr>
          <w:rFonts w:eastAsia="Calibri" w:cs="Arial" w:ascii="Arial" w:hAnsi="Arial"/>
          <w:b w:val="false"/>
          <w:bCs w:val="false"/>
          <w:kern w:val="0"/>
          <w:sz w:val="24"/>
          <w:szCs w:val="24"/>
          <w:lang w:val="pt-BR" w:eastAsia="en-US"/>
        </w:rPr>
        <w:t>5.2.</w:t>
      </w:r>
      <w:r>
        <w:rPr>
          <w:rFonts w:eastAsia="Calibri" w:cs="Arial" w:ascii="Arial" w:hAnsi="Arial"/>
          <w:kern w:val="0"/>
          <w:sz w:val="24"/>
          <w:szCs w:val="24"/>
          <w:lang w:val="pt-BR" w:eastAsia="en-US"/>
        </w:rPr>
        <w:t xml:space="preserve"> </w:t>
      </w:r>
      <w:r>
        <w:rPr>
          <w:rFonts w:eastAsia="Calibri" w:cs="Arial" w:ascii="Arial" w:hAnsi="Arial"/>
          <w:b w:val="false"/>
          <w:bCs w:val="false"/>
          <w:kern w:val="0"/>
          <w:sz w:val="24"/>
          <w:szCs w:val="24"/>
          <w:lang w:val="pt-BR" w:eastAsia="en-US"/>
        </w:rPr>
        <w:t>Local de entrega</w:t>
      </w:r>
    </w:p>
    <w:p>
      <w:pPr>
        <w:pStyle w:val="BodyText"/>
        <w:widowControl/>
        <w:suppressAutoHyphens w:val="true"/>
        <w:spacing w:lineRule="auto" w:line="276"/>
        <w:jc w:val="both"/>
        <w:rPr>
          <w:lang w:val="pt-BR"/>
        </w:rPr>
      </w:pPr>
      <w:r>
        <w:rPr>
          <w:rFonts w:eastAsia="Calibri" w:cs="Arial" w:ascii="Arial" w:hAnsi="Arial"/>
          <w:sz w:val="24"/>
          <w:szCs w:val="24"/>
          <w:lang w:val="pt-BR"/>
        </w:rPr>
        <w:t>5.2.1. O Objeto deverá ser entregue no horário das 09h às 16h, de segunda a sexta-feira, exceto feriados e pontos facultativos, na Fundação Arquivo e Memória de Santos – Arquivo Permanente – FAMS-AP, Rua Amador Bueno, n.º 61, Centro – Santos/SP.</w:t>
      </w:r>
    </w:p>
    <w:p>
      <w:pPr>
        <w:pStyle w:val="Heading2"/>
        <w:widowControl/>
        <w:suppressAutoHyphens w:val="true"/>
        <w:spacing w:lineRule="auto" w:line="276"/>
        <w:jc w:val="both"/>
        <w:rPr>
          <w:lang w:val="pt-BR"/>
        </w:rPr>
      </w:pPr>
      <w:r>
        <w:rPr>
          <w:rFonts w:eastAsia="Calibri" w:cs="Arial" w:ascii="Arial" w:hAnsi="Arial"/>
          <w:b w:val="false"/>
          <w:bCs w:val="false"/>
          <w:kern w:val="0"/>
          <w:sz w:val="24"/>
          <w:szCs w:val="24"/>
          <w:lang w:val="pt-BR" w:eastAsia="en-US"/>
        </w:rPr>
        <w:t>5.3.</w:t>
      </w:r>
      <w:r>
        <w:rPr>
          <w:rFonts w:eastAsia="Calibri" w:cs="Arial" w:ascii="Arial" w:hAnsi="Arial"/>
          <w:kern w:val="0"/>
          <w:sz w:val="24"/>
          <w:szCs w:val="24"/>
          <w:lang w:val="pt-BR" w:eastAsia="en-US"/>
        </w:rPr>
        <w:t xml:space="preserve"> </w:t>
      </w:r>
      <w:r>
        <w:rPr>
          <w:rFonts w:eastAsia="Calibri" w:cs="Arial" w:ascii="Arial" w:hAnsi="Arial"/>
          <w:b w:val="false"/>
          <w:bCs w:val="false"/>
          <w:kern w:val="0"/>
          <w:sz w:val="24"/>
          <w:szCs w:val="24"/>
          <w:lang w:val="pt-BR" w:eastAsia="en-US"/>
        </w:rPr>
        <w:t>Condições de entrega</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5.3.1. A entrega deverá ocorrer em perfeitas condições de uso, sem avarias, deformações ou defeitos de fabricação.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5.3.2. Os produtos deverão ser acondicionados adequadamente para evitar danos durante o transporte.</w:t>
      </w:r>
    </w:p>
    <w:p>
      <w:pPr>
        <w:pStyle w:val="Heading2"/>
        <w:widowControl/>
        <w:suppressAutoHyphens w:val="true"/>
        <w:spacing w:lineRule="auto" w:line="276"/>
        <w:jc w:val="both"/>
        <w:rPr>
          <w:lang w:val="pt-BR"/>
        </w:rPr>
      </w:pPr>
      <w:r>
        <w:rPr>
          <w:rFonts w:eastAsia="Calibri" w:cs="Arial" w:ascii="Arial" w:hAnsi="Arial"/>
          <w:b w:val="false"/>
          <w:bCs w:val="false"/>
          <w:kern w:val="0"/>
          <w:sz w:val="24"/>
          <w:szCs w:val="24"/>
          <w:lang w:val="pt-BR" w:eastAsia="en-US"/>
        </w:rPr>
        <w:t>5.4.</w:t>
      </w:r>
      <w:r>
        <w:rPr>
          <w:rFonts w:eastAsia="Calibri" w:cs="Arial" w:ascii="Arial" w:hAnsi="Arial"/>
          <w:kern w:val="0"/>
          <w:sz w:val="24"/>
          <w:szCs w:val="24"/>
          <w:lang w:val="pt-BR" w:eastAsia="en-US"/>
        </w:rPr>
        <w:t xml:space="preserve"> </w:t>
      </w:r>
      <w:r>
        <w:rPr>
          <w:rFonts w:eastAsia="Calibri" w:cs="Arial" w:ascii="Arial" w:hAnsi="Arial"/>
          <w:b w:val="false"/>
          <w:bCs w:val="false"/>
          <w:kern w:val="0"/>
          <w:sz w:val="24"/>
          <w:szCs w:val="24"/>
          <w:lang w:val="pt-BR" w:eastAsia="en-US"/>
        </w:rPr>
        <w:t>Recebimento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5.4.1. O recebimento do objeto observará o disposto no art. 140 da Lei Federal nº 14.133/2021, ocorrendo da seguinte forma:</w:t>
      </w:r>
    </w:p>
    <w:p>
      <w:pPr>
        <w:pStyle w:val="BodyText"/>
        <w:widowControl/>
        <w:suppressAutoHyphens w:val="true"/>
        <w:spacing w:lineRule="auto" w:line="276"/>
        <w:jc w:val="both"/>
        <w:rPr>
          <w:rFonts w:ascii="Arial" w:hAnsi="Arial" w:eastAsia="Calibri" w:cs="Arial"/>
          <w:b w:val="false"/>
          <w:bCs w:val="false"/>
          <w:kern w:val="0"/>
          <w:sz w:val="24"/>
          <w:szCs w:val="24"/>
          <w:lang w:val="pt-BR" w:eastAsia="en-US"/>
        </w:rPr>
      </w:pPr>
      <w:r>
        <w:rPr>
          <w:rFonts w:eastAsia="Calibri" w:cs="Arial" w:ascii="Arial" w:hAnsi="Arial"/>
          <w:b w:val="false"/>
          <w:bCs w:val="false"/>
          <w:kern w:val="0"/>
          <w:sz w:val="24"/>
          <w:szCs w:val="24"/>
          <w:lang w:val="pt-BR" w:eastAsia="en-US"/>
        </w:rPr>
      </w:r>
    </w:p>
    <w:p>
      <w:pPr>
        <w:pStyle w:val="Heading3"/>
        <w:widowControl/>
        <w:suppressAutoHyphens w:val="true"/>
        <w:spacing w:lineRule="auto" w:line="276" w:before="0" w:after="120"/>
        <w:jc w:val="both"/>
        <w:rPr>
          <w:lang w:val="pt-BR"/>
        </w:rPr>
      </w:pPr>
      <w:r>
        <w:rPr>
          <w:rFonts w:eastAsia="Calibri" w:cs="Arial" w:ascii="Arial" w:hAnsi="Arial"/>
          <w:b w:val="false"/>
          <w:bCs w:val="false"/>
          <w:color w:val="auto"/>
          <w:kern w:val="0"/>
          <w:sz w:val="24"/>
          <w:szCs w:val="24"/>
          <w:lang w:val="pt-BR" w:eastAsia="en-US"/>
        </w:rPr>
        <w:t>a) Recebimento provisório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Ocorrerá no ato da entrega dos materiais, para verificação preliminar das quantidades e das condições aparentes do objeto.</w:t>
      </w:r>
    </w:p>
    <w:p>
      <w:pPr>
        <w:pStyle w:val="BodyText"/>
        <w:widowControl/>
        <w:suppressAutoHyphens w:val="true"/>
        <w:spacing w:lineRule="auto" w:line="276"/>
        <w:jc w:val="both"/>
        <w:rPr>
          <w:rFonts w:ascii="Arial" w:hAnsi="Arial" w:eastAsia="Calibri" w:cs="Arial"/>
          <w:kern w:val="0"/>
          <w:sz w:val="24"/>
          <w:szCs w:val="24"/>
          <w:lang w:val="pt-BR" w:eastAsia="en-US"/>
        </w:rPr>
      </w:pPr>
      <w:r>
        <w:rPr>
          <w:rFonts w:eastAsia="Calibri" w:cs="Arial" w:ascii="Arial" w:hAnsi="Arial"/>
          <w:kern w:val="0"/>
          <w:sz w:val="24"/>
          <w:szCs w:val="24"/>
          <w:lang w:val="pt-BR" w:eastAsia="en-US"/>
        </w:rPr>
      </w:r>
    </w:p>
    <w:p>
      <w:pPr>
        <w:pStyle w:val="Heading3"/>
        <w:widowControl/>
        <w:suppressAutoHyphens w:val="true"/>
        <w:spacing w:lineRule="auto" w:line="276" w:before="0" w:after="120"/>
        <w:jc w:val="both"/>
        <w:rPr>
          <w:lang w:val="pt-BR"/>
        </w:rPr>
      </w:pPr>
      <w:r>
        <w:rPr>
          <w:rFonts w:eastAsia="Calibri" w:cs="Arial" w:ascii="Arial" w:hAnsi="Arial"/>
          <w:b w:val="false"/>
          <w:bCs w:val="false"/>
          <w:color w:val="auto"/>
          <w:kern w:val="0"/>
          <w:sz w:val="24"/>
          <w:szCs w:val="24"/>
          <w:lang w:val="pt-BR" w:eastAsia="en-US"/>
        </w:rPr>
        <w:t>b) Recebimento definitivo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 xml:space="preserve">Ocorrerá em até </w:t>
      </w:r>
      <w:r>
        <w:rPr>
          <w:rFonts w:eastAsia="Calibri" w:cs="Arial" w:ascii="Arial" w:hAnsi="Arial"/>
          <w:b/>
          <w:bCs/>
          <w:kern w:val="0"/>
          <w:sz w:val="24"/>
          <w:szCs w:val="24"/>
          <w:lang w:val="pt-BR" w:eastAsia="en-US"/>
        </w:rPr>
        <w:t>05 (cinco) dias úteis</w:t>
      </w:r>
      <w:r>
        <w:rPr>
          <w:rFonts w:eastAsia="Calibri" w:cs="Arial" w:ascii="Arial" w:hAnsi="Arial"/>
          <w:kern w:val="0"/>
          <w:sz w:val="24"/>
          <w:szCs w:val="24"/>
          <w:lang w:val="pt-BR" w:eastAsia="en-US"/>
        </w:rPr>
        <w:t xml:space="preserve"> após o recebimento provisório, mediante verificação da conformidade do material com as especificações técnicas previstas neste Termo de Referência.</w:t>
      </w:r>
    </w:p>
    <w:p>
      <w:pPr>
        <w:pStyle w:val="BodyText"/>
        <w:widowControl/>
        <w:suppressAutoHyphens w:val="true"/>
        <w:spacing w:lineRule="auto" w:line="276"/>
        <w:jc w:val="both"/>
        <w:rPr>
          <w:rFonts w:ascii="Arial" w:hAnsi="Arial" w:eastAsia="Calibri" w:cs="Arial"/>
          <w:kern w:val="0"/>
          <w:sz w:val="24"/>
          <w:szCs w:val="24"/>
          <w:lang w:val="pt-BR" w:eastAsia="en-US"/>
        </w:rPr>
      </w:pPr>
      <w:r>
        <w:rPr>
          <w:rFonts w:eastAsia="Calibri" w:cs="Arial" w:ascii="Arial" w:hAnsi="Arial"/>
          <w:kern w:val="0"/>
          <w:sz w:val="24"/>
          <w:szCs w:val="24"/>
          <w:lang w:val="pt-BR" w:eastAsia="en-US"/>
        </w:rPr>
      </w:r>
    </w:p>
    <w:p>
      <w:pPr>
        <w:pStyle w:val="BodyText"/>
        <w:widowControl/>
        <w:suppressAutoHyphens w:val="true"/>
        <w:bidi w:val="0"/>
        <w:spacing w:lineRule="auto" w:line="276"/>
        <w:jc w:val="both"/>
        <w:rPr>
          <w:lang w:val="pt-BR"/>
        </w:rPr>
      </w:pPr>
      <w:r>
        <w:rPr>
          <w:rFonts w:eastAsia="Calibri" w:cs="Arial" w:ascii="Arial" w:hAnsi="Arial"/>
          <w:color w:val="auto"/>
          <w:kern w:val="0"/>
          <w:sz w:val="24"/>
          <w:szCs w:val="24"/>
          <w:lang w:val="pt-BR" w:eastAsia="en-US"/>
        </w:rPr>
        <w:t>5.4.2. Constatadas irregularidades, a contratada será notificada para promover a substituição dos materiais rejeitados, sem ônus adicional para a Fundação.</w:t>
      </w:r>
    </w:p>
    <w:p>
      <w:pPr>
        <w:pStyle w:val="BodyText"/>
        <w:widowControl/>
        <w:suppressAutoHyphens w:val="true"/>
        <w:bidi w:val="0"/>
        <w:spacing w:lineRule="auto" w:line="276"/>
        <w:jc w:val="both"/>
        <w:rPr>
          <w:rFonts w:ascii="Arial" w:hAnsi="Arial" w:eastAsia="Calibri" w:cs="Arial"/>
          <w:b w:val="false"/>
          <w:bCs w:val="false"/>
          <w:color w:val="auto"/>
          <w:kern w:val="0"/>
          <w:sz w:val="24"/>
          <w:szCs w:val="24"/>
          <w:lang w:val="pt-BR" w:eastAsia="en-US"/>
        </w:rPr>
      </w:pPr>
      <w:r>
        <w:rPr>
          <w:rFonts w:eastAsia="Calibri" w:cs="Arial" w:ascii="Arial" w:hAnsi="Arial"/>
          <w:b w:val="false"/>
          <w:bCs w:val="false"/>
          <w:color w:val="auto"/>
          <w:kern w:val="0"/>
          <w:sz w:val="24"/>
          <w:szCs w:val="24"/>
          <w:lang w:val="pt-BR" w:eastAsia="en-US"/>
        </w:rPr>
      </w:r>
    </w:p>
    <w:p>
      <w:pPr>
        <w:pStyle w:val="BodyText"/>
        <w:keepNext w:val="true"/>
        <w:widowControl/>
        <w:suppressAutoHyphens w:val="true"/>
        <w:bidi w:val="0"/>
        <w:spacing w:lineRule="auto" w:line="276"/>
        <w:jc w:val="both"/>
        <w:rPr>
          <w:lang w:val="pt-BR"/>
        </w:rPr>
      </w:pPr>
      <w:r>
        <w:rPr>
          <w:rFonts w:eastAsia="Calibri" w:cs="Arial" w:ascii="Arial" w:hAnsi="Arial"/>
          <w:b w:val="false"/>
          <w:bCs w:val="false"/>
          <w:color w:val="auto"/>
          <w:kern w:val="0"/>
          <w:sz w:val="24"/>
          <w:szCs w:val="24"/>
          <w:lang w:val="pt-BR" w:eastAsia="en-US"/>
        </w:rPr>
        <w:t>5.5 Vigência</w:t>
      </w:r>
    </w:p>
    <w:p>
      <w:pPr>
        <w:pStyle w:val="BodyText"/>
        <w:widowControl/>
        <w:suppressAutoHyphens w:val="true"/>
        <w:bidi w:val="0"/>
        <w:spacing w:lineRule="auto" w:line="276"/>
        <w:jc w:val="both"/>
        <w:rPr>
          <w:lang w:val="pt-BR"/>
        </w:rPr>
      </w:pPr>
      <w:r>
        <w:rPr>
          <w:rFonts w:eastAsia="Calibri" w:cs="Arial" w:ascii="Arial" w:hAnsi="Arial"/>
          <w:b w:val="false"/>
          <w:bCs w:val="false"/>
          <w:color w:val="auto"/>
          <w:kern w:val="0"/>
          <w:sz w:val="24"/>
          <w:szCs w:val="24"/>
          <w:lang w:val="pt-BR" w:eastAsia="en-US"/>
        </w:rPr>
        <w:t xml:space="preserve">5.5.1. </w:t>
      </w:r>
      <w:r>
        <w:rPr>
          <w:rFonts w:eastAsia="Calibri" w:cs="Arial" w:ascii="Arial" w:hAnsi="Arial"/>
          <w:color w:val="auto"/>
          <w:kern w:val="0"/>
          <w:sz w:val="24"/>
          <w:szCs w:val="24"/>
          <w:lang w:val="pt-BR" w:eastAsia="en-US"/>
        </w:rPr>
        <w:t>O ajuste vigorará pelo período necessário ao cumprimento integral das obrigações decorrentes da Autorização de Fornecimento, observados os prazos de entrega, recebimento e pagamento previstos neste Termo de Referência.</w:t>
      </w:r>
    </w:p>
    <w:p>
      <w:pPr>
        <w:pStyle w:val="Standard"/>
        <w:tabs>
          <w:tab w:val="clear" w:pos="709"/>
          <w:tab w:val="right" w:pos="426" w:leader="none"/>
          <w:tab w:val="left" w:pos="1701" w:leader="none"/>
          <w:tab w:val="left" w:pos="9214" w:leader="none"/>
          <w:tab w:val="left" w:pos="10348" w:leader="none"/>
        </w:tabs>
        <w:spacing w:lineRule="auto" w:line="276" w:before="240" w:after="240"/>
        <w:jc w:val="both"/>
        <w:rPr>
          <w:lang w:val="pt-BR"/>
        </w:rPr>
      </w:pPr>
      <w:r>
        <w:rPr>
          <w:rFonts w:cs="Arial" w:ascii="Arial" w:hAnsi="Arial"/>
          <w:b/>
          <w:sz w:val="24"/>
          <w:szCs w:val="24"/>
          <w:lang w:val="pt-BR"/>
        </w:rPr>
        <w:t>6. PROCEDIMENTO DE FISCALIZAÇÃO E GERENCIAMENTO:</w:t>
      </w:r>
    </w:p>
    <w:p>
      <w:pPr>
        <w:pStyle w:val="BodyText"/>
        <w:widowControl/>
        <w:suppressAutoHyphens w:val="true"/>
        <w:bidi w:val="0"/>
        <w:spacing w:lineRule="auto" w:line="276"/>
        <w:jc w:val="both"/>
        <w:textAlignment w:val="baseline"/>
        <w:rPr>
          <w:lang w:val="pt-BR"/>
        </w:rPr>
      </w:pPr>
      <w:r>
        <w:rPr>
          <w:rFonts w:eastAsia="Calibri" w:cs="Arial" w:ascii="Arial" w:hAnsi="Arial"/>
          <w:color w:val="auto"/>
          <w:kern w:val="0"/>
          <w:sz w:val="24"/>
          <w:szCs w:val="24"/>
          <w:lang w:val="pt-BR" w:eastAsia="en-US"/>
        </w:rPr>
        <w:t>6.1. O ajuste deverá ser executado fielmente pelas partes, de acordo com as cláusulas avençadas e as normas da Lei n.º 14.133, de 2021, e cada parte responderá pelas consequências de sua inexecução total ou parcial;</w:t>
      </w:r>
    </w:p>
    <w:p>
      <w:pPr>
        <w:pStyle w:val="BodyText"/>
        <w:widowControl/>
        <w:suppressAutoHyphens w:val="true"/>
        <w:bidi w:val="0"/>
        <w:spacing w:lineRule="auto" w:line="276"/>
        <w:jc w:val="both"/>
        <w:textAlignment w:val="baseline"/>
        <w:rPr/>
      </w:pPr>
      <w:r>
        <w:rPr>
          <w:rFonts w:eastAsia="Calibri" w:cs="Arial" w:ascii="Arial" w:hAnsi="Arial"/>
          <w:color w:val="auto"/>
          <w:kern w:val="0"/>
          <w:sz w:val="24"/>
          <w:szCs w:val="24"/>
          <w:lang w:val="pt-BR" w:eastAsia="en-US"/>
        </w:rPr>
        <w:t xml:space="preserve">6.2. </w:t>
      </w:r>
      <w:r>
        <w:rPr>
          <w:rStyle w:val="Hyperlink"/>
          <w:rFonts w:eastAsia="Calibri" w:cs="Arial" w:ascii="Arial" w:hAnsi="Arial"/>
          <w:bCs/>
          <w:color w:val="000000"/>
          <w:kern w:val="0"/>
          <w:sz w:val="24"/>
          <w:szCs w:val="24"/>
          <w:u w:val="none"/>
          <w:lang w:val="pt-BR" w:eastAsia="en-US"/>
        </w:rPr>
        <w:t xml:space="preserve">A fiscalização e gerenciamento do ajuste serão realizados pelo </w:t>
      </w:r>
      <w:r>
        <w:rPr>
          <w:rFonts w:eastAsia="Calibri" w:cs="Arial" w:ascii="Arial" w:hAnsi="Arial"/>
          <w:color w:val="auto"/>
          <w:kern w:val="0"/>
          <w:sz w:val="24"/>
          <w:szCs w:val="24"/>
          <w:lang w:val="pt-BR" w:eastAsia="en-US"/>
        </w:rPr>
        <w:t>Responsável da Diretoria Técnica, ou pessoa por ele(a) designado(a).</w:t>
      </w:r>
    </w:p>
    <w:p>
      <w:pPr>
        <w:pStyle w:val="BodyText"/>
        <w:widowControl/>
        <w:suppressAutoHyphens w:val="true"/>
        <w:bidi w:val="0"/>
        <w:spacing w:lineRule="auto" w:line="276"/>
        <w:jc w:val="both"/>
        <w:textAlignment w:val="baseline"/>
        <w:rPr>
          <w:lang w:val="pt-BR"/>
        </w:rPr>
      </w:pPr>
      <w:r>
        <w:rPr>
          <w:rFonts w:eastAsia="Calibri" w:cs="Arial" w:ascii="Arial" w:hAnsi="Arial"/>
          <w:color w:val="auto"/>
          <w:kern w:val="0"/>
          <w:sz w:val="24"/>
          <w:szCs w:val="24"/>
          <w:lang w:val="pt-BR" w:eastAsia="en-US"/>
        </w:rPr>
        <w:t xml:space="preserve">6.3. </w:t>
      </w:r>
      <w:r>
        <w:rPr>
          <w:rFonts w:eastAsia="Calibri" w:cs="Arial" w:ascii="Arial" w:hAnsi="Arial"/>
          <w:kern w:val="0"/>
          <w:sz w:val="24"/>
          <w:szCs w:val="24"/>
          <w:lang w:val="pt-BR" w:eastAsia="en-US"/>
        </w:rPr>
        <w:t>Compete ao fiscal:</w:t>
      </w:r>
    </w:p>
    <w:p>
      <w:pPr>
        <w:pStyle w:val="BodyText"/>
        <w:widowControl/>
        <w:numPr>
          <w:ilvl w:val="0"/>
          <w:numId w:val="18"/>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acompanhar a execução do fornecimento;</w:t>
      </w:r>
    </w:p>
    <w:p>
      <w:pPr>
        <w:pStyle w:val="BodyText"/>
        <w:widowControl/>
        <w:numPr>
          <w:ilvl w:val="0"/>
          <w:numId w:val="18"/>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verificar conformidade quantitativa e qualitativa;</w:t>
      </w:r>
    </w:p>
    <w:p>
      <w:pPr>
        <w:pStyle w:val="BodyText"/>
        <w:widowControl/>
        <w:numPr>
          <w:ilvl w:val="0"/>
          <w:numId w:val="18"/>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atestar recebimento;</w:t>
      </w:r>
    </w:p>
    <w:p>
      <w:pPr>
        <w:pStyle w:val="BodyText"/>
        <w:widowControl/>
        <w:numPr>
          <w:ilvl w:val="0"/>
          <w:numId w:val="18"/>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comunicar irregularidades;</w:t>
      </w:r>
    </w:p>
    <w:p>
      <w:pPr>
        <w:pStyle w:val="BodyText"/>
        <w:widowControl/>
        <w:numPr>
          <w:ilvl w:val="0"/>
          <w:numId w:val="18"/>
        </w:numPr>
        <w:tabs>
          <w:tab w:val="clear" w:pos="709"/>
          <w:tab w:val="left" w:pos="0" w:leader="none"/>
        </w:tabs>
        <w:suppressAutoHyphens w:val="true"/>
        <w:bidi w:val="0"/>
        <w:spacing w:lineRule="auto" w:line="276"/>
        <w:ind w:hanging="283" w:left="709" w:right="0"/>
        <w:jc w:val="both"/>
        <w:rPr>
          <w:lang w:val="pt-BR"/>
        </w:rPr>
      </w:pPr>
      <w:r>
        <w:rPr>
          <w:rFonts w:eastAsia="Calibri" w:cs="Arial" w:ascii="Arial" w:hAnsi="Arial"/>
          <w:color w:val="auto"/>
          <w:kern w:val="0"/>
          <w:sz w:val="24"/>
          <w:szCs w:val="24"/>
          <w:lang w:val="pt-BR" w:eastAsia="en-US"/>
        </w:rPr>
        <w:t>solicitar substituição de materiais defeituosos.</w:t>
      </w:r>
    </w:p>
    <w:p>
      <w:pPr>
        <w:pStyle w:val="Standard"/>
        <w:tabs>
          <w:tab w:val="clear" w:pos="709"/>
          <w:tab w:val="right" w:pos="426" w:leader="none"/>
          <w:tab w:val="left" w:pos="1701" w:leader="none"/>
          <w:tab w:val="left" w:pos="9214" w:leader="none"/>
          <w:tab w:val="left" w:pos="10348" w:leader="none"/>
        </w:tabs>
        <w:spacing w:lineRule="auto" w:line="276" w:before="240" w:after="240"/>
        <w:jc w:val="both"/>
        <w:rPr/>
      </w:pPr>
      <w:r>
        <w:rPr>
          <w:rStyle w:val="Hyperlink"/>
          <w:rFonts w:cs="Arial" w:ascii="Arial" w:hAnsi="Arial"/>
          <w:b/>
          <w:bCs/>
          <w:color w:val="000000"/>
          <w:sz w:val="24"/>
          <w:szCs w:val="24"/>
          <w:u w:val="none"/>
          <w:lang w:val="pt-BR"/>
        </w:rPr>
        <w:t xml:space="preserve">7. </w:t>
      </w:r>
      <w:r>
        <w:rPr>
          <w:rFonts w:eastAsia="SimSun;宋体" w:cs="Arial" w:ascii="Arial" w:hAnsi="Arial"/>
          <w:b/>
          <w:sz w:val="24"/>
          <w:szCs w:val="24"/>
          <w:lang w:val="pt-BR"/>
        </w:rPr>
        <w:t>PAGAMENTO:</w:t>
      </w:r>
    </w:p>
    <w:p>
      <w:pPr>
        <w:pStyle w:val="Heading2"/>
        <w:spacing w:lineRule="auto" w:line="276"/>
        <w:jc w:val="both"/>
        <w:rPr>
          <w:lang w:val="pt-BR"/>
        </w:rPr>
      </w:pPr>
      <w:r>
        <w:rPr>
          <w:rFonts w:eastAsia="Calibri" w:cs="Arial" w:ascii="Arial" w:hAnsi="Arial"/>
          <w:b w:val="false"/>
          <w:bCs w:val="false"/>
          <w:kern w:val="0"/>
          <w:sz w:val="24"/>
          <w:szCs w:val="24"/>
          <w:lang w:val="pt-BR" w:eastAsia="en-US"/>
        </w:rPr>
        <w:t>7.1</w:t>
      </w:r>
      <w:r>
        <w:rPr>
          <w:rFonts w:eastAsia="Calibri" w:cs="Arial" w:ascii="Arial" w:hAnsi="Arial"/>
          <w:kern w:val="0"/>
          <w:sz w:val="24"/>
          <w:szCs w:val="24"/>
          <w:lang w:val="pt-BR" w:eastAsia="en-US"/>
        </w:rPr>
        <w:t xml:space="preserve"> </w:t>
      </w:r>
      <w:r>
        <w:rPr>
          <w:rFonts w:eastAsia="Calibri" w:cs="Arial" w:ascii="Arial" w:hAnsi="Arial"/>
          <w:b w:val="false"/>
          <w:bCs w:val="false"/>
          <w:kern w:val="0"/>
          <w:sz w:val="24"/>
          <w:szCs w:val="24"/>
          <w:lang w:val="pt-BR" w:eastAsia="en-US"/>
        </w:rPr>
        <w:t>Medição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7.1.1. A medição do objeto será realizada por entrega efetivamente executada e recebida pela Fundação Arquivo e Memória de Santos – FAMS, observando-se:</w:t>
      </w:r>
    </w:p>
    <w:p>
      <w:pPr>
        <w:pStyle w:val="BodyText"/>
        <w:widowControl/>
        <w:numPr>
          <w:ilvl w:val="0"/>
          <w:numId w:val="19"/>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a conformidade quantitativa;</w:t>
      </w:r>
    </w:p>
    <w:p>
      <w:pPr>
        <w:pStyle w:val="BodyText"/>
        <w:widowControl/>
        <w:numPr>
          <w:ilvl w:val="0"/>
          <w:numId w:val="19"/>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a conformidade qualitativa;</w:t>
      </w:r>
    </w:p>
    <w:p>
      <w:pPr>
        <w:pStyle w:val="BodyText"/>
        <w:widowControl/>
        <w:numPr>
          <w:ilvl w:val="0"/>
          <w:numId w:val="19"/>
        </w:numPr>
        <w:tabs>
          <w:tab w:val="clear" w:pos="709"/>
          <w:tab w:val="left" w:pos="0" w:leader="none"/>
        </w:tabs>
        <w:suppressAutoHyphens w:val="true"/>
        <w:spacing w:lineRule="auto" w:line="276"/>
        <w:ind w:hanging="283" w:left="709" w:right="0"/>
        <w:jc w:val="both"/>
        <w:rPr>
          <w:lang w:val="pt-BR"/>
        </w:rPr>
      </w:pPr>
      <w:r>
        <w:rPr>
          <w:rFonts w:eastAsia="Calibri" w:cs="Arial" w:ascii="Arial" w:hAnsi="Arial"/>
          <w:kern w:val="0"/>
          <w:sz w:val="24"/>
          <w:szCs w:val="24"/>
          <w:lang w:val="pt-BR" w:eastAsia="en-US"/>
        </w:rPr>
        <w:t>o atendimento integral às especificações constantes deste Termo de Referência.</w:t>
      </w:r>
    </w:p>
    <w:p>
      <w:pPr>
        <w:pStyle w:val="BodyText"/>
        <w:widowControl/>
        <w:numPr>
          <w:ilvl w:val="0"/>
          <w:numId w:val="0"/>
        </w:numPr>
        <w:tabs>
          <w:tab w:val="clear" w:pos="709"/>
          <w:tab w:val="left" w:pos="0" w:leader="none"/>
        </w:tabs>
        <w:suppressAutoHyphens w:val="true"/>
        <w:spacing w:lineRule="auto" w:line="276"/>
        <w:ind w:hanging="0" w:left="709" w:right="0"/>
        <w:jc w:val="both"/>
        <w:rPr>
          <w:rFonts w:ascii="Arial" w:hAnsi="Arial" w:eastAsia="Calibri" w:cs="Arial"/>
          <w:kern w:val="0"/>
          <w:sz w:val="24"/>
          <w:szCs w:val="24"/>
          <w:lang w:val="pt-BR" w:eastAsia="en-US"/>
        </w:rPr>
      </w:pPr>
      <w:r>
        <w:rPr>
          <w:rFonts w:eastAsia="Calibri" w:cs="Arial" w:ascii="Arial" w:hAnsi="Arial"/>
          <w:kern w:val="0"/>
          <w:sz w:val="24"/>
          <w:szCs w:val="24"/>
          <w:lang w:val="pt-BR" w:eastAsia="en-US"/>
        </w:rPr>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7.1.2. Cada fornecimento será conferido pelo fiscal do ajuste ou servidor designado, que procederá ao atesto do recebimento após verificação das condições do material entregue.</w:t>
      </w:r>
    </w:p>
    <w:p>
      <w:pPr>
        <w:pStyle w:val="Heading2"/>
        <w:spacing w:lineRule="auto" w:line="276"/>
        <w:jc w:val="both"/>
        <w:rPr>
          <w:lang w:val="pt-BR"/>
        </w:rPr>
      </w:pPr>
      <w:r>
        <w:rPr>
          <w:rFonts w:eastAsia="Calibri" w:cs="Arial" w:ascii="Arial" w:hAnsi="Arial"/>
          <w:kern w:val="0"/>
          <w:sz w:val="24"/>
          <w:szCs w:val="24"/>
          <w:lang w:val="pt-BR" w:eastAsia="en-US"/>
        </w:rPr>
        <w:t>7.2 Pagamento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7.2.1. O pagamento será efetuado após o recebimento definitivo do(s) respectivo(s) item(ns) adjudicado(s), de acordo com a Autorização de Fornecimento emitida.</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7.2.2. A contratada deverá apresentar a respectiva nota fiscal/fatura após a entrega e o recebimento definitivo do respectivo item adjudicado.</w:t>
      </w:r>
    </w:p>
    <w:p>
      <w:pPr>
        <w:pStyle w:val="BodyText"/>
        <w:widowControl/>
        <w:suppressAutoHyphens w:val="true"/>
        <w:spacing w:lineRule="auto" w:line="276"/>
        <w:jc w:val="both"/>
        <w:rPr>
          <w:lang w:val="pt-BR"/>
        </w:rPr>
      </w:pPr>
      <w:r>
        <w:rPr>
          <w:rFonts w:eastAsia="Calibri" w:cs="Arial" w:ascii="Arial" w:hAnsi="Arial"/>
          <w:kern w:val="0"/>
          <w:sz w:val="24"/>
          <w:szCs w:val="24"/>
          <w:lang w:val="pt-BR" w:eastAsia="en-US"/>
        </w:rPr>
        <w:t>7.2.3. O pagamento ficará condicionado:</w:t>
      </w:r>
    </w:p>
    <w:p>
      <w:pPr>
        <w:pStyle w:val="BodyText"/>
        <w:widowControl/>
        <w:numPr>
          <w:ilvl w:val="0"/>
          <w:numId w:val="20"/>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ao atesto do fiscal do ajuste;</w:t>
      </w:r>
    </w:p>
    <w:p>
      <w:pPr>
        <w:pStyle w:val="BodyText"/>
        <w:widowControl/>
        <w:numPr>
          <w:ilvl w:val="0"/>
          <w:numId w:val="20"/>
        </w:numPr>
        <w:tabs>
          <w:tab w:val="clear" w:pos="709"/>
          <w:tab w:val="left" w:pos="0" w:leader="none"/>
        </w:tabs>
        <w:suppressAutoHyphens w:val="true"/>
        <w:spacing w:lineRule="auto" w:line="276" w:before="0" w:after="0"/>
        <w:ind w:hanging="283" w:left="709" w:right="0"/>
        <w:jc w:val="both"/>
        <w:rPr>
          <w:lang w:val="pt-BR"/>
        </w:rPr>
      </w:pPr>
      <w:r>
        <w:rPr>
          <w:rFonts w:eastAsia="Calibri" w:cs="Arial" w:ascii="Arial" w:hAnsi="Arial"/>
          <w:kern w:val="0"/>
          <w:sz w:val="24"/>
          <w:szCs w:val="24"/>
          <w:lang w:val="pt-BR" w:eastAsia="en-US"/>
        </w:rPr>
        <w:t>à comprovação da regularidade fiscal e trabalhista;</w:t>
      </w:r>
    </w:p>
    <w:p>
      <w:pPr>
        <w:pStyle w:val="BodyText"/>
        <w:widowControl/>
        <w:numPr>
          <w:ilvl w:val="0"/>
          <w:numId w:val="20"/>
        </w:numPr>
        <w:tabs>
          <w:tab w:val="clear" w:pos="709"/>
          <w:tab w:val="left" w:pos="0" w:leader="none"/>
        </w:tabs>
        <w:suppressAutoHyphens w:val="true"/>
        <w:spacing w:lineRule="auto" w:line="276"/>
        <w:ind w:hanging="283" w:left="709" w:right="0"/>
        <w:jc w:val="both"/>
        <w:rPr>
          <w:lang w:val="pt-BR"/>
        </w:rPr>
      </w:pPr>
      <w:r>
        <w:rPr>
          <w:rFonts w:eastAsia="Calibri" w:cs="Arial" w:ascii="Arial" w:hAnsi="Arial"/>
          <w:kern w:val="0"/>
          <w:sz w:val="24"/>
          <w:szCs w:val="24"/>
          <w:lang w:val="pt-BR" w:eastAsia="en-US"/>
        </w:rPr>
        <w:t>à inexistência de pendências relacionadas ao ajuste/fornecimento.</w:t>
      </w:r>
    </w:p>
    <w:p>
      <w:pPr>
        <w:pStyle w:val="BodyText"/>
        <w:widowControl/>
        <w:suppressAutoHyphens w:val="true"/>
        <w:bidi w:val="0"/>
        <w:spacing w:lineRule="auto" w:line="276"/>
        <w:jc w:val="both"/>
        <w:textAlignment w:val="baseline"/>
        <w:rPr>
          <w:lang w:val="pt-BR"/>
        </w:rPr>
      </w:pPr>
      <w:r>
        <w:rPr>
          <w:rFonts w:eastAsia="Calibri" w:cs="Arial" w:ascii="Arial" w:hAnsi="Arial"/>
          <w:color w:val="auto"/>
          <w:kern w:val="0"/>
          <w:sz w:val="24"/>
          <w:szCs w:val="24"/>
          <w:lang w:val="pt-BR" w:eastAsia="en-US"/>
        </w:rPr>
        <w:t>7.2.4. O pagamento será efetuado em 20 (vinte) dias corridos, contados a partir da data de emissão da nota de liquidação. Eventuais boletos encaminhados pelos fornecedores serão tidos como inexistentes para todos os fins e efeitos.</w:t>
      </w:r>
    </w:p>
    <w:p>
      <w:pPr>
        <w:pStyle w:val="Heading2"/>
        <w:spacing w:lineRule="auto" w:line="276"/>
        <w:jc w:val="both"/>
        <w:rPr>
          <w:lang w:val="pt-BR"/>
        </w:rPr>
      </w:pPr>
      <w:r>
        <w:rPr>
          <w:rFonts w:eastAsia="Calibri" w:cs="Arial" w:ascii="Arial" w:hAnsi="Arial"/>
          <w:b/>
          <w:bCs/>
          <w:kern w:val="0"/>
          <w:sz w:val="24"/>
          <w:szCs w:val="24"/>
          <w:lang w:val="pt-BR" w:eastAsia="en-US"/>
        </w:rPr>
        <w:t xml:space="preserve">7.3 </w:t>
      </w:r>
      <w:r>
        <w:rPr>
          <w:rFonts w:eastAsia="Calibri" w:cs="Arial" w:ascii="Arial" w:hAnsi="Arial"/>
          <w:kern w:val="0"/>
          <w:sz w:val="24"/>
          <w:szCs w:val="24"/>
          <w:lang w:val="pt-BR" w:eastAsia="en-US"/>
        </w:rPr>
        <w:t>Reajuste</w:t>
      </w:r>
    </w:p>
    <w:p>
      <w:pPr>
        <w:pStyle w:val="BodyText"/>
        <w:widowControl/>
        <w:suppressAutoHyphens w:val="true"/>
        <w:spacing w:lineRule="auto" w:line="276"/>
        <w:jc w:val="both"/>
        <w:rPr>
          <w:lang w:val="pt-BR"/>
        </w:rPr>
      </w:pPr>
      <w:r>
        <w:rPr>
          <w:rFonts w:eastAsia="Calibri" w:cs="Arial" w:ascii="Arial" w:hAnsi="Arial"/>
          <w:b w:val="false"/>
          <w:bCs w:val="false"/>
          <w:kern w:val="0"/>
          <w:sz w:val="24"/>
          <w:szCs w:val="24"/>
          <w:lang w:val="pt-BR" w:eastAsia="en-US"/>
        </w:rPr>
        <w:t>7.3.1. Considerando tratar-se de contratação com fornecimento único e prazo estimado inferior a 12 (doze) meses, não haverá reajuste de preços, nos termos da Lei Federal nº 14.133/2021.</w:t>
      </w:r>
    </w:p>
    <w:p>
      <w:pPr>
        <w:pStyle w:val="BodyText"/>
        <w:widowControl/>
        <w:suppressAutoHyphens w:val="true"/>
        <w:spacing w:lineRule="auto" w:line="276"/>
        <w:jc w:val="both"/>
        <w:rPr>
          <w:lang w:val="pt-BR"/>
        </w:rPr>
      </w:pPr>
      <w:r>
        <w:rPr>
          <w:lang w:val="pt-BR"/>
        </w:rPr>
      </w:r>
    </w:p>
    <w:p>
      <w:pPr>
        <w:pStyle w:val="Standard"/>
        <w:tabs>
          <w:tab w:val="clear" w:pos="709"/>
          <w:tab w:val="right" w:pos="426" w:leader="none"/>
          <w:tab w:val="left" w:pos="1701" w:leader="none"/>
          <w:tab w:val="left" w:pos="9214" w:leader="none"/>
          <w:tab w:val="left" w:pos="10348" w:leader="none"/>
        </w:tabs>
        <w:spacing w:lineRule="auto" w:line="276" w:before="240" w:after="240"/>
        <w:jc w:val="both"/>
        <w:rPr>
          <w:lang w:val="pt-BR"/>
        </w:rPr>
      </w:pPr>
      <w:r>
        <w:rPr>
          <w:rFonts w:cs="Arial" w:ascii="Arial" w:hAnsi="Arial"/>
          <w:b/>
          <w:color w:val="000000"/>
          <w:sz w:val="24"/>
          <w:szCs w:val="24"/>
          <w:lang w:val="pt-BR"/>
        </w:rPr>
        <w:t>8. CRITÉRIO DE SELEÇÃO:</w:t>
      </w:r>
    </w:p>
    <w:p>
      <w:pPr>
        <w:pStyle w:val="BodyText"/>
        <w:spacing w:lineRule="auto" w:line="276"/>
        <w:ind w:hanging="0" w:left="0" w:right="0"/>
        <w:jc w:val="both"/>
        <w:rPr>
          <w:lang w:val="pt-BR"/>
        </w:rPr>
      </w:pPr>
      <w:r>
        <w:rPr>
          <w:rFonts w:eastAsia="Calibri" w:cs="Arial" w:ascii="Arial" w:hAnsi="Arial"/>
          <w:kern w:val="0"/>
          <w:sz w:val="24"/>
          <w:szCs w:val="24"/>
          <w:lang w:val="pt-BR" w:eastAsia="en-US"/>
        </w:rPr>
        <w:t xml:space="preserve">8.1. Considerando tratar-se de aquisição de </w:t>
      </w:r>
      <w:r>
        <w:rPr>
          <w:rFonts w:eastAsia="Calibri" w:cs="Arial" w:ascii="Arial" w:hAnsi="Arial"/>
          <w:b w:val="false"/>
          <w:bCs w:val="false"/>
          <w:kern w:val="0"/>
          <w:sz w:val="24"/>
          <w:szCs w:val="24"/>
          <w:lang w:val="pt-BR" w:eastAsia="en-US"/>
        </w:rPr>
        <w:t>bem comum</w:t>
      </w:r>
      <w:r>
        <w:rPr>
          <w:rFonts w:eastAsia="Calibri" w:cs="Arial" w:ascii="Arial" w:hAnsi="Arial"/>
          <w:kern w:val="0"/>
          <w:sz w:val="24"/>
          <w:szCs w:val="24"/>
          <w:lang w:val="pt-BR" w:eastAsia="en-US"/>
        </w:rPr>
        <w:t>, com padrões de desempenho e qualidade objetivamente definidos pelo mercado, a contratação poderá ocorrer mediante dispensa de licitação, fundamentada no art. 75, inciso II, da Lei Federal n.º 14.133/2021.</w:t>
      </w:r>
    </w:p>
    <w:p>
      <w:pPr>
        <w:pStyle w:val="BodyText"/>
        <w:widowControl/>
        <w:suppressAutoHyphens w:val="true"/>
        <w:spacing w:lineRule="auto" w:line="276"/>
        <w:ind w:hanging="0" w:left="0" w:right="0"/>
        <w:jc w:val="both"/>
        <w:rPr>
          <w:lang w:val="pt-BR"/>
        </w:rPr>
      </w:pPr>
      <w:r>
        <w:rPr>
          <w:rFonts w:eastAsia="Calibri" w:cs="Arial" w:ascii="Arial" w:hAnsi="Arial"/>
          <w:kern w:val="0"/>
          <w:sz w:val="24"/>
          <w:szCs w:val="24"/>
          <w:lang w:val="pt-BR" w:eastAsia="en-US"/>
        </w:rPr>
        <w:t xml:space="preserve">8.2. </w:t>
      </w:r>
      <w:r>
        <w:rPr>
          <w:rFonts w:eastAsia="Calibri" w:cs="Arial" w:ascii="Arial" w:hAnsi="Arial"/>
          <w:b/>
          <w:bCs/>
          <w:kern w:val="0"/>
          <w:sz w:val="24"/>
          <w:szCs w:val="24"/>
          <w:lang w:val="pt-BR" w:eastAsia="en-US"/>
        </w:rPr>
        <w:t>O julgamento das propostas deverá adotar o critério de menor preço por Lote,</w:t>
      </w:r>
      <w:r>
        <w:rPr>
          <w:rFonts w:eastAsia="Calibri" w:cs="Arial" w:ascii="Arial" w:hAnsi="Arial"/>
          <w:b w:val="false"/>
          <w:bCs w:val="false"/>
          <w:kern w:val="0"/>
          <w:sz w:val="24"/>
          <w:szCs w:val="24"/>
          <w:lang w:val="pt-BR" w:eastAsia="en-US"/>
        </w:rPr>
        <w:t xml:space="preserve"> observados os preços unitários máximos estabelecidos e os demais critérios de aceitabilidade previstos neste instrumento.</w:t>
      </w:r>
    </w:p>
    <w:p>
      <w:pPr>
        <w:pStyle w:val="Heading2"/>
        <w:widowControl/>
        <w:suppressAutoHyphens w:val="true"/>
        <w:spacing w:lineRule="auto" w:line="276" w:before="0" w:after="283"/>
        <w:jc w:val="both"/>
        <w:rPr>
          <w:lang w:val="pt-BR"/>
        </w:rPr>
      </w:pPr>
      <w:r>
        <w:rPr>
          <w:rFonts w:eastAsia="Calibri" w:cs="Arial" w:ascii="Arial" w:hAnsi="Arial"/>
          <w:b w:val="false"/>
          <w:bCs w:val="false"/>
          <w:kern w:val="0"/>
          <w:sz w:val="24"/>
          <w:szCs w:val="24"/>
          <w:lang w:val="pt-BR" w:eastAsia="en-US"/>
        </w:rPr>
        <w:t>8.3. A contratação deverá observar os procedimentos previstos no Decreto Municipal n.º 10.297/2023 e no Decreto Municipal n.º 10.222/2023.</w:t>
      </w:r>
    </w:p>
    <w:p>
      <w:pPr>
        <w:pStyle w:val="Nivel2"/>
        <w:numPr>
          <w:ilvl w:val="0"/>
          <w:numId w:val="0"/>
        </w:numPr>
        <w:spacing w:lineRule="auto" w:line="276" w:before="120" w:after="288"/>
        <w:ind w:hanging="0" w:left="0" w:right="0"/>
        <w:jc w:val="both"/>
        <w:rPr>
          <w:lang w:val="pt-BR"/>
        </w:rPr>
      </w:pPr>
      <w:r>
        <w:rPr>
          <w:rFonts w:eastAsia="Arial" w:cs="Arial"/>
          <w:b/>
          <w:bCs/>
          <w:color w:val="000000"/>
          <w:sz w:val="24"/>
          <w:szCs w:val="24"/>
          <w:lang w:val="pt-BR"/>
        </w:rPr>
        <w:t>9. ESTIMATIVAS DO VALOR DA CONTRATAÇÃO:</w:t>
      </w:r>
    </w:p>
    <w:p>
      <w:pPr>
        <w:pStyle w:val="BodyText"/>
        <w:spacing w:lineRule="auto" w:line="276"/>
        <w:ind w:hanging="0" w:left="0" w:right="0"/>
        <w:jc w:val="both"/>
        <w:rPr/>
      </w:pPr>
      <w:r>
        <w:rPr>
          <w:rFonts w:eastAsia="Calibri" w:cs="Arial" w:ascii="Arial" w:hAnsi="Arial"/>
          <w:color w:val="000000"/>
          <w:kern w:val="0"/>
          <w:sz w:val="24"/>
          <w:szCs w:val="24"/>
          <w:lang w:val="pt-BR" w:eastAsia="en-US"/>
        </w:rPr>
        <w:t xml:space="preserve">9.1. </w:t>
      </w:r>
      <w:r>
        <w:rPr>
          <w:rStyle w:val="Strong"/>
          <w:rFonts w:eastAsia="Calibri" w:cs="Arial" w:ascii="Arial" w:hAnsi="Arial"/>
          <w:b w:val="false"/>
          <w:bCs w:val="false"/>
          <w:color w:val="000000"/>
          <w:kern w:val="0"/>
          <w:sz w:val="24"/>
          <w:szCs w:val="24"/>
          <w:lang w:val="pt-BR" w:eastAsia="en-US"/>
        </w:rPr>
        <w:t xml:space="preserve">Com base na pesquisa mercadológica realizada, o valor estimado da contratação corresponde a </w:t>
      </w:r>
      <w:r>
        <w:rPr>
          <w:rStyle w:val="Strong"/>
          <w:rFonts w:eastAsia="Calibri" w:cs="Arial" w:ascii="Arial" w:hAnsi="Arial"/>
          <w:b/>
          <w:bCs/>
          <w:color w:val="000000"/>
          <w:kern w:val="0"/>
          <w:sz w:val="24"/>
          <w:szCs w:val="24"/>
          <w:lang w:val="pt-BR" w:eastAsia="en-US"/>
        </w:rPr>
        <w:t xml:space="preserve">Lote 01 – </w:t>
      </w:r>
      <w:r>
        <w:rPr>
          <w:rStyle w:val="Strong"/>
          <w:rFonts w:eastAsia="Calibri" w:cs="Arial" w:ascii="Arial" w:hAnsi="Arial"/>
          <w:b w:val="false"/>
          <w:bCs w:val="false"/>
          <w:color w:val="000000"/>
          <w:kern w:val="0"/>
          <w:sz w:val="24"/>
          <w:szCs w:val="24"/>
          <w:lang w:val="pt-BR" w:eastAsia="en-US"/>
        </w:rPr>
        <w:t>Hastes para pasta suspensa:</w:t>
      </w:r>
      <w:r>
        <w:rPr>
          <w:rStyle w:val="Strong"/>
          <w:rFonts w:eastAsia="Calibri" w:cs="Arial" w:ascii="Arial" w:hAnsi="Arial"/>
          <w:b/>
          <w:bCs/>
          <w:color w:val="000000"/>
          <w:kern w:val="0"/>
          <w:sz w:val="24"/>
          <w:szCs w:val="24"/>
          <w:lang w:val="pt-BR" w:eastAsia="en-US"/>
        </w:rPr>
        <w:t xml:space="preserve"> R$ 1.040,00 (um mil e quarenta reais); </w:t>
      </w:r>
      <w:r>
        <w:rPr>
          <w:rStyle w:val="Strong"/>
          <w:rFonts w:eastAsia="Calibri" w:cs="Arial" w:ascii="Arial" w:hAnsi="Arial"/>
          <w:b w:val="false"/>
          <w:bCs w:val="false"/>
          <w:color w:val="000000"/>
          <w:kern w:val="0"/>
          <w:sz w:val="24"/>
          <w:szCs w:val="24"/>
          <w:lang w:val="pt-BR" w:eastAsia="en-US"/>
        </w:rPr>
        <w:t xml:space="preserve">e </w:t>
      </w:r>
      <w:r>
        <w:rPr>
          <w:rStyle w:val="Strong"/>
          <w:rFonts w:eastAsia="Calibri" w:cs="Arial" w:ascii="Arial" w:hAnsi="Arial"/>
          <w:b/>
          <w:bCs/>
          <w:color w:val="000000"/>
          <w:kern w:val="0"/>
          <w:sz w:val="24"/>
          <w:szCs w:val="24"/>
          <w:lang w:val="pt-BR" w:eastAsia="en-US"/>
        </w:rPr>
        <w:t xml:space="preserve">Lote 02 – </w:t>
      </w:r>
      <w:r>
        <w:rPr>
          <w:rStyle w:val="Strong"/>
          <w:rFonts w:eastAsia="Calibri" w:cs="Arial" w:ascii="Arial" w:hAnsi="Arial"/>
          <w:b w:val="false"/>
          <w:bCs w:val="false"/>
          <w:color w:val="000000"/>
          <w:kern w:val="0"/>
          <w:sz w:val="24"/>
          <w:szCs w:val="24"/>
          <w:lang w:val="pt-BR" w:eastAsia="en-US"/>
        </w:rPr>
        <w:t>Folhas para acondicionamento de negativos:</w:t>
      </w:r>
      <w:r>
        <w:rPr>
          <w:rStyle w:val="Strong"/>
          <w:rFonts w:eastAsia="Calibri" w:cs="Arial" w:ascii="Arial" w:hAnsi="Arial"/>
          <w:b/>
          <w:bCs/>
          <w:color w:val="000000"/>
          <w:kern w:val="0"/>
          <w:sz w:val="24"/>
          <w:szCs w:val="24"/>
          <w:lang w:val="pt-BR" w:eastAsia="en-US"/>
        </w:rPr>
        <w:t xml:space="preserve"> R$ 1.166,00 (um mil cento e sessenta e seis reais).</w:t>
      </w:r>
    </w:p>
    <w:p>
      <w:pPr>
        <w:pStyle w:val="BodyText"/>
        <w:widowControl/>
        <w:suppressAutoHyphens w:val="true"/>
        <w:spacing w:lineRule="auto" w:line="276"/>
        <w:ind w:hanging="0" w:left="0" w:right="0"/>
        <w:jc w:val="both"/>
        <w:rPr>
          <w:lang w:val="pt-BR"/>
        </w:rPr>
      </w:pPr>
      <w:r>
        <w:rPr>
          <w:rFonts w:eastAsia="Calibri" w:cs="Arial" w:ascii="Arial" w:hAnsi="Arial"/>
          <w:color w:val="000000"/>
          <w:kern w:val="0"/>
          <w:sz w:val="24"/>
          <w:szCs w:val="24"/>
          <w:shd w:fill="FFFFFF" w:val="clear"/>
          <w:lang w:val="pt-BR" w:eastAsia="en-US"/>
        </w:rPr>
        <w:t>9.2. A estimativa observou os parâmetros previstos no art. 23 da Lei Federal n.º 14.133/2021 e nos artigos 24 a 30 do Decreto Municipal n.º 10.222/2023.</w:t>
      </w:r>
    </w:p>
    <w:p>
      <w:pPr>
        <w:pStyle w:val="BodyText"/>
        <w:widowControl/>
        <w:suppressAutoHyphens w:val="true"/>
        <w:spacing w:lineRule="auto" w:line="276"/>
        <w:ind w:hanging="0" w:left="0" w:right="0"/>
        <w:jc w:val="both"/>
        <w:rPr>
          <w:rFonts w:ascii="Arial" w:hAnsi="Arial" w:eastAsia="Calibri" w:cs="Arial"/>
          <w:color w:val="000000"/>
          <w:kern w:val="0"/>
          <w:sz w:val="24"/>
          <w:szCs w:val="24"/>
          <w:shd w:fill="FFFFFF" w:val="clear"/>
          <w:lang w:val="pt-BR" w:eastAsia="en-US"/>
        </w:rPr>
      </w:pPr>
      <w:r>
        <w:rPr>
          <w:rFonts w:eastAsia="Calibri" w:cs="Arial" w:ascii="Arial" w:hAnsi="Arial"/>
          <w:color w:val="000000"/>
          <w:kern w:val="0"/>
          <w:sz w:val="24"/>
          <w:szCs w:val="24"/>
          <w:shd w:fill="FFFFFF" w:val="clear"/>
          <w:lang w:val="pt-BR" w:eastAsia="en-US"/>
        </w:rPr>
      </w:r>
    </w:p>
    <w:p>
      <w:pPr>
        <w:pStyle w:val="Normal"/>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before="60" w:after="60"/>
        <w:jc w:val="both"/>
        <w:rPr>
          <w:lang w:val="pt-BR"/>
        </w:rPr>
      </w:pPr>
      <w:r>
        <w:rPr>
          <w:rFonts w:eastAsia="ヒラギノ角ゴ Pro W3;Cambria" w:cs="Arial" w:ascii="Arial" w:hAnsi="Arial"/>
          <w:b/>
          <w:sz w:val="24"/>
          <w:szCs w:val="24"/>
          <w:lang w:val="pt-BR"/>
        </w:rPr>
        <w:t>10. OBRIGAÇÕES DA CONTRATADA:</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Constituem obrigações da contratada:</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 – fornecer os materiais em estrita conformidade com as especificações técnicas previstas neste Termo de Referência;</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II – realizar as entregas nos prazos estabelecidos;</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III – responsabilizar-se integralmente pelas despesas de transporte, carga, descarga, tributos, encargos trabalhistas, previdenciários, fiscais, comerciais e demais custos decorrentes da execução do objeto;</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IV – substituir, às suas expensas, no prazo de até 05 (cinco) dias úteis, os materiais entregues com defeitos, avarias, desconformidades ou inadequações técnicas;</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 – manter, durante toda a execução da contratação, as condições de habilitação e qualificação exigidas;</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VI – comunicar imediatamente à contratante qualquer fato que possa comprometer a execução do fornecimento;</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VII – não transferir a terceiros, no todo ou em parte, as obrigações assumidas, sem prévia autorização da Fundação;</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VIII – responsabilizar-se pelos danos causados diretamente à Fundação ou a terceiros decorrentes de sua culpa ou dolo na execução do ajuste, nos termos do art. 120 da Lei Federal n.º 14.133/2021;</w:t>
      </w:r>
    </w:p>
    <w:p>
      <w:pPr>
        <w:pStyle w:val="BodyText"/>
        <w:suppressAutoHyphens w:val="true"/>
        <w:bidi w:val="0"/>
        <w:spacing w:lineRule="auto" w:line="276" w:before="60" w:after="60"/>
        <w:ind w:hanging="0" w:left="0" w:right="0"/>
        <w:jc w:val="both"/>
        <w:rPr>
          <w:lang w:val="pt-BR"/>
        </w:rPr>
      </w:pPr>
      <w:r>
        <w:rPr>
          <w:rFonts w:eastAsia="ヒラギノ角ゴ Pro W3" w:cs="Arial" w:ascii="Arial" w:hAnsi="Arial"/>
          <w:color w:val="auto"/>
          <w:sz w:val="24"/>
          <w:szCs w:val="24"/>
          <w:lang w:val="pt-BR"/>
        </w:rPr>
        <w:t>IX – observar integralmente as disposições da Lei Federal n.º 14.133/2021 e da regulamentação municipal aplicável.</w:t>
      </w:r>
    </w:p>
    <w:p>
      <w:pPr>
        <w:pStyle w:val="BodyText"/>
        <w:suppressAutoHyphens w:val="true"/>
        <w:bidi w:val="0"/>
        <w:spacing w:lineRule="auto" w:line="276" w:before="60" w:after="60"/>
        <w:ind w:hanging="0" w:left="0" w:right="0"/>
        <w:jc w:val="both"/>
        <w:rPr>
          <w:lang w:val="pt-BR"/>
        </w:rPr>
      </w:pPr>
      <w:r>
        <w:rPr>
          <w:lang w:val="pt-BR"/>
        </w:rPr>
      </w:r>
    </w:p>
    <w:p>
      <w:pPr>
        <w:pStyle w:val="Normal"/>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76" w:before="60" w:after="60"/>
        <w:jc w:val="both"/>
        <w:rPr>
          <w:lang w:val="pt-BR"/>
        </w:rPr>
      </w:pPr>
      <w:r>
        <w:rPr>
          <w:rFonts w:eastAsia="ヒラギノ角ゴ Pro W3;Cambria" w:cs="Arial" w:ascii="Arial" w:hAnsi="Arial"/>
          <w:b/>
          <w:sz w:val="24"/>
          <w:szCs w:val="24"/>
          <w:lang w:val="pt-BR"/>
        </w:rPr>
        <w:t>11. OBRIGAÇÕES DA CONTRATANTE:</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Constituem obrigações da Fundação Arquivo e Memória de Santos – FAMS:</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 – emitir a Autorização de Fornecimento ou instrumento equivalente;</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II – proporcionar as condições necessárias para a adequada execução do objeto;</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III – acompanhar, fiscalizar e avaliar o fornecimento, por meio de servidor designado;</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IV – receber o objeto provisória e definitivamente, na forma prevista neste Termo de Referência e na Lei Federal nº 14.133/2021;</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 – rejeitar, no todo ou em parte, materiais entregues em desacordo com as especificações estabelecidas;</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VI – comunicar formalmente à contratada quaisquer irregularidades verificadas na execução do fornecimento;</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VII – efetuar os pagamentos devidos nas condições e prazos estabelecidos;</w:t>
      </w:r>
    </w:p>
    <w:p>
      <w:pPr>
        <w:pStyle w:val="BodyText"/>
        <w:spacing w:lineRule="auto" w:line="276" w:before="60" w:after="60"/>
        <w:ind w:hanging="0" w:left="0" w:right="0"/>
        <w:jc w:val="both"/>
        <w:rPr>
          <w:lang w:val="pt-BR"/>
        </w:rPr>
      </w:pPr>
      <w:r>
        <w:rPr>
          <w:rFonts w:eastAsia="ヒラギノ角ゴ Pro W3" w:cs="Arial" w:ascii="Arial" w:hAnsi="Arial"/>
          <w:sz w:val="24"/>
          <w:szCs w:val="24"/>
          <w:lang w:val="pt-BR"/>
        </w:rPr>
        <w:t>VIII – exigir o cumprimento de todas as obrigações assumidas pela contratada, conforme condições estabelecidas neste Termo de Referência;</w:t>
      </w:r>
    </w:p>
    <w:p>
      <w:pPr>
        <w:pStyle w:val="BodyText"/>
        <w:suppressAutoHyphens w:val="true"/>
        <w:bidi w:val="0"/>
        <w:spacing w:lineRule="auto" w:line="276" w:before="60" w:after="60"/>
        <w:ind w:hanging="0" w:left="0" w:right="0"/>
        <w:jc w:val="both"/>
        <w:rPr>
          <w:lang w:val="pt-BR"/>
        </w:rPr>
      </w:pPr>
      <w:r>
        <w:rPr>
          <w:rFonts w:eastAsia="ヒラギノ角ゴ Pro W3" w:cs="Arial" w:ascii="Arial" w:hAnsi="Arial"/>
          <w:color w:val="auto"/>
          <w:sz w:val="24"/>
          <w:szCs w:val="24"/>
          <w:lang w:val="pt-BR"/>
        </w:rPr>
        <w:t>IX – aplicar as sanções administrativas cabíveis, quando constatado descumprimento do ajuste.</w:t>
      </w:r>
    </w:p>
    <w:p>
      <w:pPr>
        <w:pStyle w:val="Standard"/>
        <w:widowControl w:val="false"/>
        <w:suppressAutoHyphens w:val="false"/>
        <w:spacing w:lineRule="auto" w:line="276" w:before="240" w:after="240"/>
        <w:jc w:val="both"/>
        <w:rPr>
          <w:lang w:val="pt-BR"/>
        </w:rPr>
      </w:pPr>
      <w:r>
        <w:rPr>
          <w:rFonts w:eastAsia="SimSun;宋体" w:cs="Arial" w:ascii="Arial" w:hAnsi="Arial"/>
          <w:b/>
          <w:sz w:val="24"/>
          <w:szCs w:val="24"/>
          <w:lang w:val="pt-BR"/>
        </w:rPr>
        <w:t>12. RECURSOS ORÇAMENTÁRIOS:</w:t>
      </w:r>
    </w:p>
    <w:p>
      <w:pPr>
        <w:pStyle w:val="BodyText"/>
        <w:widowControl w:val="false"/>
        <w:suppressAutoHyphens w:val="true"/>
        <w:bidi w:val="0"/>
        <w:spacing w:lineRule="auto" w:line="276" w:before="60" w:after="60"/>
        <w:ind w:hanging="0" w:left="0" w:right="0"/>
        <w:jc w:val="both"/>
        <w:textAlignment w:val="baseline"/>
        <w:rPr>
          <w:lang w:val="pt-BR"/>
        </w:rPr>
      </w:pPr>
      <w:r>
        <w:rPr>
          <w:rFonts w:eastAsia="ヒラギノ角ゴ Pro W3" w:cs="Arial" w:ascii="Arial" w:hAnsi="Arial"/>
          <w:b w:val="false"/>
          <w:bCs w:val="false"/>
          <w:color w:val="000000"/>
          <w:kern w:val="2"/>
          <w:sz w:val="24"/>
          <w:szCs w:val="24"/>
          <w:shd w:fill="auto" w:val="clear"/>
          <w:lang w:val="pt-BR" w:eastAsia="pt-BR"/>
        </w:rPr>
        <w:t>12.1.</w:t>
      </w:r>
      <w:r>
        <w:rPr>
          <w:rFonts w:eastAsia="ヒラギノ角ゴ Pro W3" w:cs="Arial" w:ascii="Arial" w:hAnsi="Arial"/>
          <w:b/>
          <w:bCs/>
          <w:color w:val="000000"/>
          <w:kern w:val="2"/>
          <w:sz w:val="24"/>
          <w:szCs w:val="24"/>
          <w:shd w:fill="auto" w:val="clear"/>
          <w:lang w:val="pt-BR" w:eastAsia="pt-BR"/>
        </w:rPr>
        <w:t xml:space="preserve"> </w:t>
      </w:r>
      <w:r>
        <w:rPr>
          <w:rFonts w:eastAsia="ヒラギノ角ゴ Pro W3" w:cs="Arial" w:ascii="Arial" w:hAnsi="Arial"/>
          <w:b w:val="false"/>
          <w:bCs w:val="false"/>
          <w:color w:val="000000"/>
          <w:kern w:val="2"/>
          <w:sz w:val="24"/>
          <w:szCs w:val="24"/>
          <w:shd w:fill="auto" w:val="clear"/>
          <w:lang w:val="pt-BR" w:eastAsia="pt-BR"/>
        </w:rPr>
        <w:t xml:space="preserve">As despesas decorrentes da presente despesa correrão a conta das </w:t>
      </w:r>
      <w:r>
        <w:rPr>
          <w:rFonts w:eastAsia="ヒラギノ角ゴ Pro W3" w:cs="Arial" w:ascii="Arial" w:hAnsi="Arial"/>
          <w:b/>
          <w:bCs/>
          <w:color w:val="000000"/>
          <w:kern w:val="2"/>
          <w:sz w:val="24"/>
          <w:szCs w:val="24"/>
          <w:shd w:fill="auto" w:val="clear"/>
          <w:lang w:val="pt-BR" w:eastAsia="pt-BR"/>
        </w:rPr>
        <w:t>Dotações Orçamentárias</w:t>
      </w:r>
      <w:r>
        <w:rPr>
          <w:rFonts w:eastAsia="ヒラギノ角ゴ Pro W3" w:cs="Arial" w:ascii="Arial" w:hAnsi="Arial"/>
          <w:b w:val="false"/>
          <w:bCs w:val="false"/>
          <w:color w:val="000000"/>
          <w:kern w:val="2"/>
          <w:sz w:val="24"/>
          <w:szCs w:val="24"/>
          <w:shd w:fill="auto" w:val="clear"/>
          <w:lang w:val="pt-BR" w:eastAsia="pt-BR"/>
        </w:rPr>
        <w:t xml:space="preserve"> n.º 30.10.13.391.0093.2450.3.3.90.30</w:t>
      </w:r>
      <w:r>
        <w:rPr>
          <w:rFonts w:eastAsia="ヒラギノ角ゴ Pro W3" w:cs="Arial" w:ascii="Arial" w:hAnsi="Arial"/>
          <w:b w:val="false"/>
          <w:bCs w:val="false"/>
          <w:color w:val="000000"/>
          <w:kern w:val="2"/>
          <w:sz w:val="24"/>
          <w:szCs w:val="24"/>
          <w:shd w:fill="FFFFFF" w:val="clear"/>
          <w:lang w:val="pt-BR" w:eastAsia="pt-BR"/>
        </w:rPr>
        <w:t xml:space="preserve">.00; </w:t>
      </w:r>
      <w:r>
        <w:rPr>
          <w:rFonts w:eastAsia="ヒラギノ角ゴ Pro W3" w:cs="Arial" w:ascii="Arial" w:hAnsi="Arial"/>
          <w:b/>
          <w:bCs/>
          <w:color w:val="000000"/>
          <w:kern w:val="2"/>
          <w:sz w:val="24"/>
          <w:szCs w:val="24"/>
          <w:shd w:fill="auto" w:val="clear"/>
          <w:lang w:val="pt-BR" w:eastAsia="pt-BR"/>
        </w:rPr>
        <w:t>Pré-empenho n.º</w:t>
      </w:r>
      <w:r>
        <w:rPr>
          <w:rFonts w:eastAsia="ヒラギノ角ゴ Pro W3" w:cs="Arial" w:ascii="Arial" w:hAnsi="Arial"/>
          <w:b w:val="false"/>
          <w:bCs w:val="false"/>
          <w:color w:val="000000"/>
          <w:kern w:val="2"/>
          <w:sz w:val="24"/>
          <w:szCs w:val="24"/>
          <w:shd w:fill="auto" w:val="clear"/>
          <w:lang w:val="pt-BR" w:eastAsia="pt-BR"/>
        </w:rPr>
        <w:t xml:space="preserve">: 18/26 – </w:t>
      </w:r>
      <w:r>
        <w:rPr>
          <w:rFonts w:eastAsia="ヒラギノ角ゴ Pro W3" w:cs="Arial" w:ascii="Arial" w:hAnsi="Arial"/>
          <w:b/>
          <w:bCs/>
          <w:color w:val="000000"/>
          <w:kern w:val="2"/>
          <w:sz w:val="24"/>
          <w:szCs w:val="24"/>
          <w:shd w:fill="auto" w:val="clear"/>
          <w:lang w:val="pt-BR" w:eastAsia="pt-BR"/>
        </w:rPr>
        <w:t>Fonte de Recurso</w:t>
      </w:r>
      <w:r>
        <w:rPr>
          <w:rFonts w:eastAsia="ヒラギノ角ゴ Pro W3" w:cs="Arial" w:ascii="Arial" w:hAnsi="Arial"/>
          <w:b w:val="false"/>
          <w:bCs w:val="false"/>
          <w:color w:val="000000"/>
          <w:kern w:val="2"/>
          <w:sz w:val="24"/>
          <w:szCs w:val="24"/>
          <w:shd w:fill="auto" w:val="clear"/>
          <w:lang w:val="pt-BR" w:eastAsia="pt-BR"/>
        </w:rPr>
        <w:t>: 01.</w:t>
      </w:r>
    </w:p>
    <w:p>
      <w:pPr>
        <w:pStyle w:val="BodyText"/>
        <w:widowControl w:val="false"/>
        <w:suppressAutoHyphens w:val="true"/>
        <w:bidi w:val="0"/>
        <w:spacing w:lineRule="auto" w:line="276" w:before="60" w:after="60"/>
        <w:ind w:hanging="0" w:left="0" w:right="0"/>
        <w:jc w:val="both"/>
        <w:textAlignment w:val="baseline"/>
        <w:rPr>
          <w:rFonts w:ascii="Arial" w:hAnsi="Arial" w:eastAsia="ヒラギノ角ゴ Pro W3" w:cs="Arial"/>
          <w:b/>
          <w:bCs/>
          <w:color w:val="auto"/>
          <w:kern w:val="2"/>
          <w:sz w:val="24"/>
          <w:szCs w:val="24"/>
          <w:shd w:fill="auto" w:val="clear"/>
          <w:lang w:val="pt-BR" w:eastAsia="pt-BR"/>
        </w:rPr>
      </w:pPr>
      <w:r>
        <w:rPr>
          <w:rFonts w:eastAsia="ヒラギノ角ゴ Pro W3" w:cs="Arial" w:ascii="Arial" w:hAnsi="Arial"/>
          <w:b/>
          <w:bCs/>
          <w:color w:val="auto"/>
          <w:kern w:val="2"/>
          <w:sz w:val="24"/>
          <w:szCs w:val="24"/>
          <w:shd w:fill="auto" w:val="clear"/>
          <w:lang w:val="pt-BR" w:eastAsia="pt-BR"/>
        </w:rPr>
      </w:r>
      <w:r>
        <w:br w:type="page"/>
      </w:r>
    </w:p>
    <w:p>
      <w:pPr>
        <w:pStyle w:val="Normal"/>
        <w:spacing w:lineRule="auto" w:line="276" w:before="0" w:after="200"/>
        <w:jc w:val="center"/>
        <w:rPr>
          <w:lang w:val="pt-BR"/>
        </w:rPr>
      </w:pPr>
      <w:r>
        <w:rPr>
          <w:lang w:val="pt-BR"/>
        </w:rPr>
      </w:r>
    </w:p>
    <w:p>
      <w:pPr>
        <w:pStyle w:val="Normal"/>
        <w:spacing w:lineRule="auto" w:line="276" w:before="0" w:after="200"/>
        <w:jc w:val="center"/>
        <w:rPr>
          <w:lang w:val="pt-BR"/>
        </w:rPr>
      </w:pPr>
      <w:r>
        <w:rPr>
          <w:rFonts w:cs="Arial" w:ascii="Arial" w:hAnsi="Arial"/>
          <w:b/>
          <w:sz w:val="24"/>
          <w:szCs w:val="24"/>
          <w:lang w:val="pt-BR"/>
        </w:rPr>
        <w:t>ANEXO II – RELAÇÃO DOS DOCUMENTOS DE HABILITAÇÃO</w:t>
      </w:r>
    </w:p>
    <w:p>
      <w:pPr>
        <w:pStyle w:val="Normal"/>
        <w:spacing w:lineRule="auto" w:line="276" w:before="0" w:after="120"/>
        <w:ind w:hanging="3506" w:left="3506" w:right="0"/>
        <w:jc w:val="center"/>
        <w:rPr/>
      </w:pPr>
      <w:r>
        <w:rPr>
          <w:rFonts w:cs="Arial" w:ascii="Arial" w:hAnsi="Arial"/>
          <w:b/>
          <w:sz w:val="24"/>
          <w:szCs w:val="24"/>
          <w:lang w:val="pt-BR"/>
        </w:rPr>
        <w:t>EDITAL DE DISPENSA ELETRÔNICA n.º 36</w:t>
      </w:r>
      <w:r>
        <w:rPr>
          <w:rFonts w:cs="Arial" w:ascii="Arial" w:hAnsi="Arial"/>
          <w:b/>
          <w:sz w:val="24"/>
          <w:szCs w:val="24"/>
          <w:shd w:fill="FFFFFF" w:val="clear"/>
          <w:lang w:val="pt-BR"/>
        </w:rPr>
        <w:t>/2026</w:t>
      </w:r>
    </w:p>
    <w:p>
      <w:pPr>
        <w:pStyle w:val="Normal"/>
        <w:spacing w:lineRule="auto" w:line="276" w:before="0" w:after="120"/>
        <w:jc w:val="center"/>
        <w:rPr/>
      </w:pPr>
      <w:r>
        <w:rPr>
          <w:rFonts w:cs="Arial" w:ascii="Arial" w:hAnsi="Arial"/>
          <w:b/>
          <w:sz w:val="24"/>
          <w:szCs w:val="24"/>
          <w:lang w:val="pt-BR"/>
        </w:rPr>
        <w:t xml:space="preserve">PROCESSO n.º </w:t>
      </w:r>
      <w:r>
        <w:rPr>
          <w:rFonts w:eastAsia="SimSun" w:cs="Arial" w:ascii="Arial" w:hAnsi="Arial"/>
          <w:b/>
          <w:bCs/>
          <w:sz w:val="24"/>
          <w:szCs w:val="24"/>
          <w:lang w:val="pt-BR"/>
        </w:rPr>
        <w:t>39.615/2026-01</w:t>
      </w:r>
    </w:p>
    <w:p>
      <w:pPr>
        <w:pStyle w:val="PargrafodaLista"/>
        <w:numPr>
          <w:ilvl w:val="0"/>
          <w:numId w:val="17"/>
        </w:numPr>
        <w:spacing w:lineRule="auto" w:line="276"/>
        <w:ind w:hanging="360" w:left="720" w:right="0"/>
        <w:jc w:val="both"/>
        <w:rPr>
          <w:lang w:val="pt-BR"/>
        </w:rPr>
      </w:pPr>
      <w:r>
        <w:rPr>
          <w:rFonts w:cs="Arial" w:ascii="Arial" w:hAnsi="Arial"/>
          <w:b/>
          <w:sz w:val="24"/>
          <w:szCs w:val="24"/>
          <w:lang w:val="pt-BR"/>
        </w:rPr>
        <w:t>DOCUMENTAÇÃO HABILITATÓRIA</w:t>
      </w:r>
    </w:p>
    <w:p>
      <w:pPr>
        <w:pStyle w:val="Normal"/>
        <w:numPr>
          <w:ilvl w:val="1"/>
          <w:numId w:val="17"/>
        </w:numPr>
        <w:suppressAutoHyphens w:val="true"/>
        <w:spacing w:lineRule="auto" w:line="276" w:before="0" w:after="0"/>
        <w:jc w:val="both"/>
        <w:rPr>
          <w:lang w:val="pt-BR"/>
        </w:rPr>
      </w:pPr>
      <w:r>
        <w:rPr>
          <w:rFonts w:cs="Arial" w:ascii="Arial" w:hAnsi="Arial"/>
          <w:sz w:val="24"/>
          <w:szCs w:val="24"/>
          <w:lang w:val="pt-BR"/>
        </w:rPr>
        <w:t>O licitante classificado em primeiro lugar deverá encaminhar a seguinte documentação:</w:t>
      </w:r>
    </w:p>
    <w:p>
      <w:pPr>
        <w:pStyle w:val="Normal"/>
        <w:spacing w:lineRule="auto" w:line="276"/>
        <w:ind w:left="360" w:right="0"/>
        <w:jc w:val="both"/>
        <w:rPr>
          <w:rFonts w:ascii="Arial" w:hAnsi="Arial" w:cs="Arial"/>
          <w:sz w:val="24"/>
          <w:szCs w:val="24"/>
          <w:lang w:val="pt-BR"/>
        </w:rPr>
      </w:pPr>
      <w:r>
        <w:rPr>
          <w:rFonts w:cs="Arial" w:ascii="Arial" w:hAnsi="Arial"/>
          <w:sz w:val="24"/>
          <w:szCs w:val="24"/>
          <w:lang w:val="pt-BR"/>
        </w:rPr>
      </w:r>
    </w:p>
    <w:p>
      <w:pPr>
        <w:pStyle w:val="Normal"/>
        <w:spacing w:lineRule="auto" w:line="276"/>
        <w:ind w:left="360" w:right="0"/>
        <w:jc w:val="both"/>
        <w:rPr>
          <w:lang w:val="pt-BR"/>
        </w:rPr>
      </w:pPr>
      <w:r>
        <w:rPr>
          <w:rFonts w:cs="Arial" w:ascii="Arial" w:hAnsi="Arial"/>
          <w:b/>
          <w:sz w:val="24"/>
          <w:szCs w:val="24"/>
          <w:lang w:val="pt-BR"/>
        </w:rPr>
        <w:t>HABILITAÇÃO JURÍDICA</w:t>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Ato constitutivo, estatuto ou contrato social em vigor, devidamente registrado em se tratando de sociedades empresariais e, no caso de sociedade por ações, acompanhado de documentos de eleição de seus administradores;</w:t>
      </w:r>
    </w:p>
    <w:p>
      <w:pPr>
        <w:pStyle w:val="Normal"/>
        <w:suppressAutoHyphens w:val="true"/>
        <w:spacing w:lineRule="auto" w:line="276" w:before="0" w:after="0"/>
        <w:ind w:left="1440" w:right="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Registro comercial, no caso de empresa individual;</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Inscrição do ato constitutivo, no caso de sociedades simples, acompanhada de prova da composição da diretoria em exercício;</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Os documentos apresentados deverão estar acompanhados de todas as alterações ou da consolidação respectiva.</w:t>
      </w:r>
    </w:p>
    <w:p>
      <w:pPr>
        <w:pStyle w:val="Normal"/>
        <w:suppressAutoHyphens w:val="true"/>
        <w:spacing w:lineRule="auto" w:line="276" w:before="0" w:after="0"/>
        <w:ind w:left="1440" w:right="0"/>
        <w:jc w:val="both"/>
        <w:rPr>
          <w:rFonts w:ascii="Arial" w:hAnsi="Arial" w:cs="Arial"/>
          <w:sz w:val="24"/>
          <w:szCs w:val="24"/>
          <w:lang w:val="pt-BR"/>
        </w:rPr>
      </w:pPr>
      <w:r>
        <w:rPr>
          <w:rFonts w:cs="Arial" w:ascii="Arial" w:hAnsi="Arial"/>
          <w:sz w:val="24"/>
          <w:szCs w:val="24"/>
          <w:lang w:val="pt-BR"/>
        </w:rPr>
      </w:r>
    </w:p>
    <w:p>
      <w:pPr>
        <w:pStyle w:val="Normal"/>
        <w:spacing w:lineRule="auto" w:line="276"/>
        <w:ind w:firstLine="360" w:right="0"/>
        <w:jc w:val="both"/>
        <w:rPr>
          <w:lang w:val="pt-BR"/>
        </w:rPr>
      </w:pPr>
      <w:r>
        <w:rPr>
          <w:rFonts w:cs="Arial" w:ascii="Arial" w:hAnsi="Arial"/>
          <w:b/>
          <w:sz w:val="24"/>
          <w:szCs w:val="24"/>
          <w:lang w:val="pt-BR"/>
        </w:rPr>
        <w:t>HABILITAÇÃO FISCAL, SOCIAL E TRABALHISTA</w:t>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 xml:space="preserve">Prova de inscrição do </w:t>
      </w:r>
      <w:r>
        <w:rPr>
          <w:rFonts w:cs="Arial" w:ascii="Arial" w:hAnsi="Arial"/>
          <w:b/>
          <w:sz w:val="24"/>
          <w:szCs w:val="24"/>
          <w:lang w:val="pt-BR"/>
        </w:rPr>
        <w:t>CNPJ</w:t>
      </w:r>
      <w:r>
        <w:rPr>
          <w:rFonts w:cs="Arial" w:ascii="Arial" w:hAnsi="Arial"/>
          <w:sz w:val="24"/>
          <w:szCs w:val="24"/>
          <w:lang w:val="pt-BR"/>
        </w:rPr>
        <w:t>;</w:t>
      </w:r>
    </w:p>
    <w:p>
      <w:pPr>
        <w:pStyle w:val="Normal"/>
        <w:suppressAutoHyphens w:val="true"/>
        <w:spacing w:lineRule="auto" w:line="276" w:before="0" w:after="0"/>
        <w:ind w:left="1440" w:right="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 xml:space="preserve">Prova de regularidade relativa ao </w:t>
      </w:r>
      <w:r>
        <w:rPr>
          <w:rFonts w:cs="Arial" w:ascii="Arial" w:hAnsi="Arial"/>
          <w:b/>
          <w:sz w:val="24"/>
          <w:szCs w:val="24"/>
          <w:lang w:val="pt-BR"/>
        </w:rPr>
        <w:t>FGTS</w:t>
      </w:r>
      <w:r>
        <w:rPr>
          <w:rFonts w:cs="Arial" w:ascii="Arial" w:hAnsi="Arial"/>
          <w:sz w:val="24"/>
          <w:szCs w:val="24"/>
          <w:lang w:val="pt-BR"/>
        </w:rPr>
        <w:t>, demonstrando situação regular no cumprimento dos encargos sociais instituídos pela Lei (Certificado do F.G.T.S.);</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 xml:space="preserve">Prova de regularidade fiscal para com a </w:t>
      </w:r>
      <w:r>
        <w:rPr>
          <w:rFonts w:cs="Arial" w:ascii="Arial" w:hAnsi="Arial"/>
          <w:b/>
          <w:sz w:val="24"/>
          <w:szCs w:val="24"/>
          <w:lang w:val="pt-BR"/>
        </w:rPr>
        <w:t>Fazenda Federal</w:t>
      </w:r>
      <w:r>
        <w:rPr>
          <w:rFonts w:cs="Arial" w:ascii="Arial" w:hAnsi="Arial"/>
          <w:sz w:val="24"/>
          <w:szCs w:val="24"/>
          <w:lang w:val="pt-BR"/>
        </w:rPr>
        <w:t>: Certidão Negativa de Débitos Relativos a Créditos Tributários Federais e a Dívida Ativa da União ou Positiva com efeito de Negativa, emitida pela Receita Federal do Brasil, em conjunto com a Procuradoria-Geral da Fazenda Nacional – Portaria Conjunta PGFN/RFB nº 1.751, de 02 de outubro de 2014, ou outro meio equivalente admitido por Lei;</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 xml:space="preserve">Prova de regularidade fiscal para com a </w:t>
      </w:r>
      <w:r>
        <w:rPr>
          <w:rFonts w:cs="Arial" w:ascii="Arial" w:hAnsi="Arial"/>
          <w:b/>
          <w:sz w:val="24"/>
          <w:szCs w:val="24"/>
          <w:lang w:val="pt-BR"/>
        </w:rPr>
        <w:t>Fazenda Estadual</w:t>
      </w:r>
      <w:r>
        <w:rPr>
          <w:rFonts w:cs="Arial" w:ascii="Arial" w:hAnsi="Arial"/>
          <w:sz w:val="24"/>
          <w:szCs w:val="24"/>
          <w:lang w:val="pt-BR"/>
        </w:rPr>
        <w:t>, do domicílio ou sede do licitante, composta de Certidão Negativa de Tributos Estaduais ou Positiva com efeito de Negativa, expedida pela Secretaria da Fazenda do Governo do Estado, ou outro meio equivalente admitido por Lei;</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 xml:space="preserve">Prova de regularidade fiscal para com a </w:t>
      </w:r>
      <w:r>
        <w:rPr>
          <w:rFonts w:cs="Arial" w:ascii="Arial" w:hAnsi="Arial"/>
          <w:b/>
          <w:sz w:val="24"/>
          <w:szCs w:val="24"/>
          <w:lang w:val="pt-BR"/>
        </w:rPr>
        <w:t>Fazenda Municipal</w:t>
      </w:r>
      <w:r>
        <w:rPr>
          <w:rFonts w:cs="Arial" w:ascii="Arial" w:hAnsi="Arial"/>
          <w:sz w:val="24"/>
          <w:szCs w:val="24"/>
          <w:lang w:val="pt-BR"/>
        </w:rPr>
        <w:t>, do domicílio ou sede do licitante, composta de Certidão Negativa de Tributos Mobiliários ou Positiva com efeito de Negativa, expedida pela Secretaria de Finanças do Município, ou outro meio equivalente admitido por Lei;</w:t>
      </w:r>
    </w:p>
    <w:p>
      <w:pPr>
        <w:pStyle w:val="Normal"/>
        <w:numPr>
          <w:ilvl w:val="0"/>
          <w:numId w:val="0"/>
        </w:numPr>
        <w:suppressAutoHyphens w:val="true"/>
        <w:spacing w:lineRule="auto" w:line="276" w:before="0" w:after="0"/>
        <w:ind w:hanging="0" w:left="1440"/>
        <w:jc w:val="both"/>
        <w:rPr>
          <w:lang w:val="pt-BR"/>
        </w:rPr>
      </w:pPr>
      <w:r>
        <w:rPr>
          <w:lang w:val="pt-BR"/>
        </w:rPr>
      </w:r>
    </w:p>
    <w:p>
      <w:pPr>
        <w:pStyle w:val="Normal"/>
        <w:numPr>
          <w:ilvl w:val="2"/>
          <w:numId w:val="17"/>
        </w:numPr>
        <w:suppressAutoHyphens w:val="true"/>
        <w:spacing w:lineRule="auto" w:line="276" w:before="0" w:after="0"/>
        <w:jc w:val="both"/>
        <w:rPr>
          <w:lang w:val="pt-BR"/>
        </w:rPr>
      </w:pPr>
      <w:r>
        <w:rPr>
          <w:rFonts w:cs="Arial" w:ascii="Arial" w:hAnsi="Arial"/>
          <w:sz w:val="24"/>
          <w:szCs w:val="24"/>
          <w:lang w:val="pt-BR"/>
        </w:rPr>
        <w:t xml:space="preserve">Prova de inexistência de débitos inadimplidos perante a </w:t>
      </w:r>
      <w:r>
        <w:rPr>
          <w:rFonts w:cs="Arial" w:ascii="Arial" w:hAnsi="Arial"/>
          <w:b/>
          <w:sz w:val="24"/>
          <w:szCs w:val="24"/>
          <w:lang w:val="pt-BR"/>
        </w:rPr>
        <w:t>Justiça do Trabalho</w:t>
      </w:r>
      <w:r>
        <w:rPr>
          <w:rFonts w:cs="Arial" w:ascii="Arial" w:hAnsi="Arial"/>
          <w:sz w:val="24"/>
          <w:szCs w:val="24"/>
          <w:lang w:val="pt-BR"/>
        </w:rPr>
        <w:t>, mediante a apresentação de Certidão Negativa de Débitos Trabalhistas – CNDT ou Certidão Positiva de Débitos Trabalhistas com Efeitos Negativos, expedida nas páginas eletrônicas do Tribunal Superior do Trabalho (Lei Federal n.º 12.440/2011 e Resolução Administrativa n.º 1.470 de 24 de agosto de 2011).</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spacing w:lineRule="auto" w:line="276"/>
        <w:ind w:left="360" w:right="0"/>
        <w:jc w:val="both"/>
        <w:rPr>
          <w:lang w:val="pt-BR"/>
        </w:rPr>
      </w:pPr>
      <w:r>
        <w:rPr>
          <w:rFonts w:cs="Arial" w:ascii="Arial" w:hAnsi="Arial"/>
          <w:b/>
          <w:sz w:val="24"/>
          <w:szCs w:val="24"/>
          <w:lang w:val="pt-BR"/>
        </w:rPr>
        <w:t>QUALIFICAÇÃO ECONÔMICO-FINANCEIRA</w:t>
      </w:r>
    </w:p>
    <w:p>
      <w:pPr>
        <w:pStyle w:val="Normal"/>
        <w:numPr>
          <w:ilvl w:val="2"/>
          <w:numId w:val="17"/>
        </w:numPr>
        <w:suppressAutoHyphens w:val="true"/>
        <w:spacing w:lineRule="auto" w:line="276" w:before="0" w:after="0"/>
        <w:ind w:hanging="1018" w:left="1276" w:right="0"/>
        <w:jc w:val="both"/>
        <w:rPr>
          <w:lang w:val="pt-BR"/>
        </w:rPr>
      </w:pPr>
      <w:r>
        <w:rPr>
          <w:rFonts w:cs="Arial" w:ascii="Arial" w:hAnsi="Arial"/>
          <w:sz w:val="24"/>
          <w:szCs w:val="24"/>
          <w:lang w:val="pt-BR"/>
        </w:rPr>
        <w:t xml:space="preserve">Certidão Negativa de Falência expedida pelo distribuidor da sede da empresa        ou de execução patrimonial do domicílio da pessoa física ou de firma individual, cuja data de emissão não poderá ser superior a </w:t>
      </w:r>
      <w:r>
        <w:rPr>
          <w:rFonts w:cs="Arial" w:ascii="Arial" w:hAnsi="Arial"/>
          <w:b/>
          <w:sz w:val="24"/>
          <w:szCs w:val="24"/>
          <w:lang w:val="pt-BR"/>
        </w:rPr>
        <w:t>60 (sessenta)</w:t>
      </w:r>
      <w:r>
        <w:rPr>
          <w:rFonts w:cs="Arial" w:ascii="Arial" w:hAnsi="Arial"/>
          <w:sz w:val="24"/>
          <w:szCs w:val="24"/>
          <w:lang w:val="pt-BR"/>
        </w:rPr>
        <w:t xml:space="preserve"> dias da data da abertura desta licitação;</w:t>
      </w:r>
    </w:p>
    <w:p>
      <w:pPr>
        <w:pStyle w:val="PargrafodaLista"/>
        <w:suppressAutoHyphens w:val="true"/>
        <w:spacing w:lineRule="auto" w:line="276" w:before="0" w:after="0"/>
        <w:ind w:hanging="0" w:left="1800" w:right="0"/>
        <w:contextualSpacing/>
        <w:jc w:val="both"/>
        <w:rPr>
          <w:rFonts w:ascii="Arial" w:hAnsi="Arial" w:cs="Arial"/>
          <w:sz w:val="24"/>
          <w:szCs w:val="24"/>
          <w:lang w:val="pt-BR"/>
        </w:rPr>
      </w:pPr>
      <w:r>
        <w:rPr>
          <w:rFonts w:cs="Arial" w:ascii="Arial" w:hAnsi="Arial"/>
          <w:sz w:val="24"/>
          <w:szCs w:val="24"/>
          <w:lang w:val="pt-BR"/>
        </w:rPr>
      </w:r>
    </w:p>
    <w:p>
      <w:pPr>
        <w:pStyle w:val="Normal"/>
        <w:numPr>
          <w:ilvl w:val="0"/>
          <w:numId w:val="17"/>
        </w:numPr>
        <w:suppressAutoHyphens w:val="true"/>
        <w:spacing w:lineRule="auto" w:line="276" w:before="0" w:after="0"/>
        <w:jc w:val="both"/>
        <w:rPr>
          <w:lang w:val="pt-BR"/>
        </w:rPr>
      </w:pPr>
      <w:r>
        <w:rPr>
          <w:rFonts w:cs="Arial" w:ascii="Arial" w:hAnsi="Arial"/>
          <w:sz w:val="24"/>
          <w:szCs w:val="24"/>
          <w:lang w:val="pt-BR"/>
        </w:rPr>
        <w:t>Os documentos exigidos para fins de habilitação poderão ser apresentados em original, por cópia ou por verificação de autenticidade via internet;</w:t>
      </w:r>
    </w:p>
    <w:p>
      <w:pPr>
        <w:pStyle w:val="Normal"/>
        <w:suppressAutoHyphens w:val="true"/>
        <w:spacing w:lineRule="auto" w:line="276" w:before="0" w:after="0"/>
        <w:ind w:left="720" w:right="0"/>
        <w:jc w:val="both"/>
        <w:rPr>
          <w:rFonts w:ascii="Arial" w:hAnsi="Arial" w:cs="Arial"/>
          <w:sz w:val="24"/>
          <w:szCs w:val="24"/>
          <w:lang w:val="pt-BR"/>
        </w:rPr>
      </w:pPr>
      <w:r>
        <w:rPr>
          <w:rFonts w:cs="Arial" w:ascii="Arial" w:hAnsi="Arial"/>
          <w:sz w:val="24"/>
          <w:szCs w:val="24"/>
          <w:lang w:val="pt-BR"/>
        </w:rPr>
      </w:r>
    </w:p>
    <w:p>
      <w:pPr>
        <w:pStyle w:val="Normal"/>
        <w:numPr>
          <w:ilvl w:val="0"/>
          <w:numId w:val="17"/>
        </w:numPr>
        <w:suppressAutoHyphens w:val="true"/>
        <w:spacing w:lineRule="auto" w:line="276" w:before="0" w:after="0"/>
        <w:jc w:val="both"/>
        <w:rPr>
          <w:lang w:val="pt-BR"/>
        </w:rPr>
      </w:pPr>
      <w:r>
        <w:rPr>
          <w:rFonts w:cs="Arial" w:ascii="Arial" w:hAnsi="Arial"/>
          <w:sz w:val="24"/>
          <w:szCs w:val="24"/>
          <w:lang w:val="pt-BR"/>
        </w:rPr>
        <w:t>Nos documentos em que não houver prazo de validade assinalado, serão considerados válidos os emitidos até 90 (noventa) dias corridos, antes da data da abertura desta licitação, exceção feita ao item 1.1.11. deste Anexo;</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0"/>
          <w:numId w:val="17"/>
        </w:numPr>
        <w:suppressAutoHyphens w:val="true"/>
        <w:spacing w:lineRule="auto" w:line="276" w:before="0" w:after="0"/>
        <w:jc w:val="both"/>
        <w:rPr>
          <w:lang w:val="pt-BR"/>
        </w:rPr>
      </w:pPr>
      <w:r>
        <w:rPr>
          <w:rFonts w:cs="Arial" w:ascii="Arial" w:hAnsi="Arial"/>
          <w:sz w:val="24"/>
          <w:szCs w:val="24"/>
          <w:lang w:val="pt-BR"/>
        </w:rPr>
        <w:t>Todos os documentos deverão se reportar à sede ou filial que participou da licitação e quem executará o fornecimento:</w:t>
      </w:r>
    </w:p>
    <w:p>
      <w:pPr>
        <w:pStyle w:val="Normal"/>
        <w:numPr>
          <w:ilvl w:val="1"/>
          <w:numId w:val="17"/>
        </w:numPr>
        <w:suppressAutoHyphens w:val="true"/>
        <w:spacing w:lineRule="auto" w:line="276" w:before="0" w:after="0"/>
        <w:jc w:val="both"/>
        <w:rPr>
          <w:lang w:val="pt-BR"/>
        </w:rPr>
      </w:pPr>
      <w:r>
        <w:rPr>
          <w:rFonts w:cs="Arial" w:ascii="Arial" w:hAnsi="Arial"/>
          <w:sz w:val="24"/>
          <w:szCs w:val="24"/>
          <w:lang w:val="pt-BR"/>
        </w:rPr>
        <w:t>No caso de licitante desejar que um de seus estabelecimentos, que não o participante da Dispensa, execute o futuro fornecimento, deverão ser atendidos os seguintes requisitos:</w:t>
      </w:r>
    </w:p>
    <w:p>
      <w:pPr>
        <w:pStyle w:val="Normal"/>
        <w:numPr>
          <w:ilvl w:val="0"/>
          <w:numId w:val="3"/>
        </w:numPr>
        <w:suppressAutoHyphens w:val="true"/>
        <w:spacing w:lineRule="auto" w:line="276" w:before="0" w:after="0"/>
        <w:jc w:val="both"/>
        <w:rPr>
          <w:lang w:val="pt-BR"/>
        </w:rPr>
      </w:pPr>
      <w:r>
        <w:rPr>
          <w:rFonts w:cs="Arial" w:ascii="Arial" w:hAnsi="Arial"/>
          <w:sz w:val="24"/>
          <w:szCs w:val="24"/>
          <w:lang w:val="pt-BR"/>
        </w:rPr>
        <w:t>que o ato constitutivo da licitante (matriz) conste expressamente a filial;</w:t>
      </w:r>
    </w:p>
    <w:p>
      <w:pPr>
        <w:pStyle w:val="Normal"/>
        <w:numPr>
          <w:ilvl w:val="0"/>
          <w:numId w:val="3"/>
        </w:numPr>
        <w:suppressAutoHyphens w:val="true"/>
        <w:spacing w:lineRule="auto" w:line="276" w:before="0" w:after="0"/>
        <w:jc w:val="both"/>
        <w:rPr>
          <w:lang w:val="pt-BR"/>
        </w:rPr>
      </w:pPr>
      <w:r>
        <w:rPr>
          <w:rFonts w:cs="Arial" w:ascii="Arial" w:hAnsi="Arial"/>
          <w:sz w:val="24"/>
          <w:szCs w:val="24"/>
          <w:lang w:val="pt-BR"/>
        </w:rPr>
        <w:t>que a licitante informe que o objeto será executado pela filial, quando não então deverá ser comprovada a regularidade fiscal de ambos os estabelecimentos, com a apresentação das certidões negativas.</w:t>
      </w:r>
    </w:p>
    <w:p>
      <w:pPr>
        <w:pStyle w:val="Normal"/>
        <w:numPr>
          <w:ilvl w:val="0"/>
          <w:numId w:val="3"/>
        </w:numPr>
        <w:suppressAutoHyphens w:val="true"/>
        <w:spacing w:lineRule="auto" w:line="276" w:before="0" w:after="0"/>
        <w:jc w:val="both"/>
        <w:rPr>
          <w:lang w:val="pt-BR"/>
        </w:rPr>
      </w:pPr>
      <w:r>
        <w:rPr>
          <w:rFonts w:cs="Arial" w:ascii="Arial" w:hAnsi="Arial"/>
          <w:sz w:val="24"/>
          <w:szCs w:val="24"/>
          <w:lang w:val="pt-BR"/>
        </w:rPr>
        <w:t>Constatada eventual irregularidade, fica facultada à Administração a possibilidade de reter os pagamentos devidos, oficiando, ato contínuo, o INSS ou o Conselho Curador do FGTS, fazendo constar dos autos tal providência, sem prejuízo da adoção das sanções cabíveis ao ajuste.</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0"/>
          <w:numId w:val="17"/>
        </w:numPr>
        <w:suppressAutoHyphens w:val="true"/>
        <w:spacing w:lineRule="auto" w:line="276" w:before="0" w:after="0"/>
        <w:jc w:val="both"/>
        <w:rPr>
          <w:lang w:val="pt-BR"/>
        </w:rPr>
      </w:pPr>
      <w:r>
        <w:rPr>
          <w:rFonts w:cs="Arial" w:ascii="Arial" w:hAnsi="Arial"/>
          <w:sz w:val="24"/>
          <w:szCs w:val="24"/>
          <w:lang w:val="pt-BR"/>
        </w:rPr>
        <w:t>Não serão aceitos documentos sob a forma de protocolo ou com a validade vencida.</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Normal"/>
        <w:numPr>
          <w:ilvl w:val="0"/>
          <w:numId w:val="17"/>
        </w:numPr>
        <w:suppressAutoHyphens w:val="true"/>
        <w:spacing w:lineRule="auto" w:line="276" w:before="0" w:after="0"/>
        <w:jc w:val="both"/>
        <w:rPr>
          <w:lang w:val="pt-BR"/>
        </w:rPr>
      </w:pPr>
      <w:r>
        <w:rPr>
          <w:rFonts w:cs="Arial" w:ascii="Arial" w:hAnsi="Arial"/>
          <w:sz w:val="24"/>
          <w:szCs w:val="24"/>
          <w:lang w:val="pt-BR"/>
        </w:rPr>
        <w:t xml:space="preserve">Somente empresas que tenham o ramo de atividade compatível com o solicitado poderão participar da dispensa de licitação, o não cumprimento acarretará a inabilitação. </w:t>
      </w:r>
    </w:p>
    <w:p>
      <w:pPr>
        <w:pStyle w:val="Normal"/>
        <w:suppressAutoHyphens w:val="true"/>
        <w:spacing w:lineRule="auto" w:line="276" w:before="0" w:after="0"/>
        <w:jc w:val="both"/>
        <w:rPr>
          <w:rFonts w:ascii="Arial" w:hAnsi="Arial" w:cs="Arial"/>
          <w:sz w:val="24"/>
          <w:szCs w:val="24"/>
          <w:lang w:val="pt-BR"/>
        </w:rPr>
      </w:pPr>
      <w:r>
        <w:rPr>
          <w:rFonts w:cs="Arial" w:ascii="Arial" w:hAnsi="Arial"/>
          <w:sz w:val="24"/>
          <w:szCs w:val="24"/>
          <w:lang w:val="pt-BR"/>
        </w:rPr>
      </w:r>
    </w:p>
    <w:p>
      <w:pPr>
        <w:pStyle w:val="PargrafodaLista"/>
        <w:numPr>
          <w:ilvl w:val="0"/>
          <w:numId w:val="17"/>
        </w:numPr>
        <w:spacing w:lineRule="auto" w:line="276" w:before="0" w:after="120"/>
        <w:ind w:hanging="360" w:left="720" w:right="0"/>
        <w:contextualSpacing/>
        <w:jc w:val="both"/>
        <w:rPr>
          <w:lang w:val="pt-BR"/>
        </w:rPr>
      </w:pPr>
      <w:r>
        <w:rPr>
          <w:rFonts w:cs="Arial" w:ascii="Arial" w:hAnsi="Arial"/>
          <w:sz w:val="24"/>
          <w:szCs w:val="24"/>
          <w:lang w:val="pt-BR"/>
        </w:rPr>
        <w:t>OBS.: NOTA FISCAL ELETRÔNICA – de acordo com a Portaria CAT 001/11 – D.O.E. de 08/01/2011, as empresas situadas no estado de São Paulo, deverão emitir obrigatoriamente a Nota Fiscal Eletrônica. O Decreto n.º 50.435/2005 acrescentou ao art. 124 do Regulamento do ICMS, aprovado pelo Decreto nº 45.490/2000, os incisos XXII e XXIII na redação dada pelo Decreto n.º 52.097/2007, que dispõem sobre a emissão do Documento Fiscal Eletrônico (DFE) e do Documento Auxiliar da Nota Fiscal Eletrônica (DANFE).</w:t>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PargrafodaLista"/>
        <w:spacing w:lineRule="auto" w:line="276" w:before="0" w:after="120"/>
        <w:contextualSpacing/>
        <w:jc w:val="both"/>
        <w:rPr>
          <w:rFonts w:ascii="Arial" w:hAnsi="Arial" w:cs="Arial"/>
          <w:sz w:val="24"/>
          <w:szCs w:val="24"/>
          <w:lang w:val="pt-BR"/>
        </w:rPr>
      </w:pPr>
      <w:r>
        <w:rPr>
          <w:rFonts w:cs="Arial" w:ascii="Arial" w:hAnsi="Arial"/>
          <w:sz w:val="24"/>
          <w:szCs w:val="24"/>
          <w:lang w:val="pt-BR"/>
        </w:rPr>
      </w:r>
    </w:p>
    <w:p>
      <w:pPr>
        <w:pStyle w:val="Normal"/>
        <w:spacing w:lineRule="auto" w:line="276" w:before="0" w:after="120"/>
        <w:ind w:hanging="3506" w:left="3506" w:right="0"/>
        <w:jc w:val="center"/>
        <w:rPr>
          <w:lang w:val="pt-BR"/>
        </w:rPr>
      </w:pPr>
      <w:r>
        <w:rPr>
          <w:rFonts w:cs="Arial" w:ascii="Arial" w:hAnsi="Arial"/>
          <w:b/>
          <w:sz w:val="24"/>
          <w:szCs w:val="24"/>
          <w:lang w:val="pt-BR"/>
        </w:rPr>
        <w:t>ANEXO III – MODELO DE PROPOSTA COMERCIAL</w:t>
      </w:r>
    </w:p>
    <w:p>
      <w:pPr>
        <w:pStyle w:val="Normal"/>
        <w:spacing w:lineRule="auto" w:line="276" w:before="0" w:after="120"/>
        <w:jc w:val="center"/>
        <w:rPr/>
      </w:pPr>
      <w:r>
        <w:rPr>
          <w:rFonts w:cs="Arial" w:ascii="Arial" w:hAnsi="Arial"/>
          <w:b/>
          <w:sz w:val="24"/>
          <w:szCs w:val="24"/>
          <w:lang w:val="pt-BR"/>
        </w:rPr>
        <w:t>ATENÇÃO: A PROPOSTA COMERCIAL DEVERÁ SEGUIR O MODELO ABAIXO</w:t>
      </w:r>
    </w:p>
    <w:p>
      <w:pPr>
        <w:pStyle w:val="Normal"/>
        <w:spacing w:lineRule="auto" w:line="276" w:before="0" w:after="120"/>
        <w:ind w:hanging="3506" w:left="3506" w:right="0"/>
        <w:jc w:val="center"/>
        <w:rPr/>
      </w:pPr>
      <w:r>
        <w:rPr>
          <w:rFonts w:cs="Arial" w:ascii="Arial" w:hAnsi="Arial"/>
          <w:b/>
          <w:sz w:val="24"/>
          <w:szCs w:val="24"/>
          <w:lang w:val="pt-BR"/>
        </w:rPr>
        <w:t>EDITAL DE DISPENSA ELETRÔNICA n.º 36</w:t>
      </w:r>
      <w:r>
        <w:rPr>
          <w:rFonts w:cs="Arial" w:ascii="Arial" w:hAnsi="Arial"/>
          <w:b/>
          <w:sz w:val="24"/>
          <w:szCs w:val="24"/>
          <w:shd w:fill="FFFFFF" w:val="clear"/>
          <w:lang w:val="pt-BR"/>
        </w:rPr>
        <w:t>/2026</w:t>
      </w:r>
    </w:p>
    <w:p>
      <w:pPr>
        <w:pStyle w:val="Normal"/>
        <w:spacing w:lineRule="auto" w:line="276" w:before="0" w:after="120"/>
        <w:jc w:val="center"/>
        <w:rPr/>
      </w:pPr>
      <w:r>
        <w:rPr>
          <w:rFonts w:cs="Arial" w:ascii="Arial" w:hAnsi="Arial"/>
          <w:b/>
          <w:sz w:val="24"/>
          <w:szCs w:val="24"/>
          <w:lang w:val="pt-BR"/>
        </w:rPr>
        <w:t xml:space="preserve">PROCESSO n.º </w:t>
      </w:r>
      <w:r>
        <w:rPr>
          <w:rFonts w:eastAsia="SimSun" w:cs="Arial" w:ascii="Arial" w:hAnsi="Arial"/>
          <w:b/>
          <w:bCs/>
          <w:color w:val="000000"/>
          <w:sz w:val="24"/>
          <w:szCs w:val="24"/>
          <w:lang w:val="pt-BR"/>
        </w:rPr>
        <w:t>39.615/2026-01</w:t>
      </w:r>
    </w:p>
    <w:tbl>
      <w:tblPr>
        <w:tblW w:w="10221" w:type="dxa"/>
        <w:jc w:val="left"/>
        <w:tblInd w:w="55" w:type="dxa"/>
        <w:tblLayout w:type="fixed"/>
        <w:tblCellMar>
          <w:top w:w="0" w:type="dxa"/>
          <w:left w:w="70" w:type="dxa"/>
          <w:bottom w:w="0" w:type="dxa"/>
          <w:right w:w="70" w:type="dxa"/>
        </w:tblCellMar>
      </w:tblPr>
      <w:tblGrid>
        <w:gridCol w:w="1716"/>
        <w:gridCol w:w="2410"/>
        <w:gridCol w:w="6095"/>
      </w:tblGrid>
      <w:tr>
        <w:trPr>
          <w:trHeight w:val="397" w:hRule="atLeast"/>
        </w:trPr>
        <w:tc>
          <w:tcPr>
            <w:tcW w:w="10221" w:type="dxa"/>
            <w:gridSpan w:val="3"/>
            <w:tcBorders/>
            <w:vAlign w:val="center"/>
          </w:tcPr>
          <w:p>
            <w:pPr>
              <w:pStyle w:val="Normal"/>
              <w:spacing w:lineRule="auto" w:line="276" w:before="0" w:after="200"/>
              <w:jc w:val="both"/>
              <w:rPr>
                <w:lang w:val="pt-BR"/>
              </w:rPr>
            </w:pPr>
            <w:r>
              <w:rPr>
                <w:rFonts w:cs="Arial" w:ascii="Arial" w:hAnsi="Arial"/>
                <w:b/>
                <w:bCs/>
                <w:color w:val="000000"/>
                <w:sz w:val="24"/>
                <w:szCs w:val="24"/>
                <w:lang w:val="pt-BR"/>
              </w:rPr>
              <w:t>Empresa:</w:t>
            </w:r>
          </w:p>
        </w:tc>
      </w:tr>
      <w:tr>
        <w:trPr>
          <w:trHeight w:val="397" w:hRule="atLeast"/>
        </w:trPr>
        <w:tc>
          <w:tcPr>
            <w:tcW w:w="10221" w:type="dxa"/>
            <w:gridSpan w:val="3"/>
            <w:tcBorders/>
            <w:vAlign w:val="center"/>
          </w:tcPr>
          <w:p>
            <w:pPr>
              <w:pStyle w:val="Normal"/>
              <w:spacing w:lineRule="auto" w:line="276" w:before="0" w:after="200"/>
              <w:jc w:val="both"/>
              <w:rPr>
                <w:lang w:val="pt-BR"/>
              </w:rPr>
            </w:pPr>
            <w:r>
              <w:rPr>
                <w:rFonts w:cs="Arial" w:ascii="Arial" w:hAnsi="Arial"/>
                <w:b/>
                <w:bCs/>
                <w:color w:val="000000"/>
                <w:sz w:val="24"/>
                <w:szCs w:val="24"/>
                <w:lang w:val="pt-BR"/>
              </w:rPr>
              <w:t>Endereço:</w:t>
            </w:r>
          </w:p>
        </w:tc>
      </w:tr>
      <w:tr>
        <w:trPr>
          <w:trHeight w:val="397" w:hRule="atLeast"/>
        </w:trPr>
        <w:tc>
          <w:tcPr>
            <w:tcW w:w="4126" w:type="dxa"/>
            <w:gridSpan w:val="2"/>
            <w:tcBorders/>
            <w:vAlign w:val="center"/>
          </w:tcPr>
          <w:p>
            <w:pPr>
              <w:pStyle w:val="Normal"/>
              <w:spacing w:lineRule="auto" w:line="276" w:before="0" w:after="200"/>
              <w:jc w:val="both"/>
              <w:rPr>
                <w:lang w:val="pt-BR"/>
              </w:rPr>
            </w:pPr>
            <w:r>
              <w:rPr>
                <w:rFonts w:cs="Arial" w:ascii="Arial" w:hAnsi="Arial"/>
                <w:b/>
                <w:bCs/>
                <w:color w:val="000000"/>
                <w:sz w:val="24"/>
                <w:szCs w:val="24"/>
                <w:lang w:val="pt-BR"/>
              </w:rPr>
              <w:t>Bairro:</w:t>
            </w:r>
          </w:p>
        </w:tc>
        <w:tc>
          <w:tcPr>
            <w:tcW w:w="6095" w:type="dxa"/>
            <w:tcBorders/>
            <w:vAlign w:val="center"/>
          </w:tcPr>
          <w:p>
            <w:pPr>
              <w:pStyle w:val="Normal"/>
              <w:spacing w:lineRule="auto" w:line="276" w:before="0" w:after="200"/>
              <w:jc w:val="both"/>
              <w:rPr>
                <w:lang w:val="pt-BR"/>
              </w:rPr>
            </w:pPr>
            <w:r>
              <w:rPr>
                <w:rFonts w:cs="Arial" w:ascii="Arial" w:hAnsi="Arial"/>
                <w:b/>
                <w:bCs/>
                <w:color w:val="000000"/>
                <w:sz w:val="24"/>
                <w:szCs w:val="24"/>
                <w:lang w:val="pt-BR"/>
              </w:rPr>
              <w:t>Cidade:</w:t>
            </w:r>
          </w:p>
        </w:tc>
      </w:tr>
      <w:tr>
        <w:trPr>
          <w:trHeight w:val="397" w:hRule="atLeast"/>
        </w:trPr>
        <w:tc>
          <w:tcPr>
            <w:tcW w:w="1716" w:type="dxa"/>
            <w:tcBorders/>
            <w:vAlign w:val="center"/>
          </w:tcPr>
          <w:p>
            <w:pPr>
              <w:pStyle w:val="Normal"/>
              <w:spacing w:lineRule="auto" w:line="276" w:before="0" w:after="200"/>
              <w:jc w:val="both"/>
              <w:rPr>
                <w:lang w:val="pt-BR"/>
              </w:rPr>
            </w:pPr>
            <w:r>
              <w:rPr>
                <w:rFonts w:cs="Arial" w:ascii="Arial" w:hAnsi="Arial"/>
                <w:b/>
                <w:bCs/>
                <w:color w:val="000000"/>
                <w:sz w:val="24"/>
                <w:szCs w:val="24"/>
                <w:lang w:val="pt-BR"/>
              </w:rPr>
              <w:t>Estado:</w:t>
            </w:r>
          </w:p>
        </w:tc>
        <w:tc>
          <w:tcPr>
            <w:tcW w:w="2410" w:type="dxa"/>
            <w:tcBorders/>
            <w:vAlign w:val="center"/>
          </w:tcPr>
          <w:p>
            <w:pPr>
              <w:pStyle w:val="Normal"/>
              <w:spacing w:lineRule="auto" w:line="276" w:before="0" w:after="200"/>
              <w:jc w:val="both"/>
              <w:rPr>
                <w:lang w:val="pt-BR"/>
              </w:rPr>
            </w:pPr>
            <w:r>
              <w:rPr>
                <w:rFonts w:cs="Arial" w:ascii="Arial" w:hAnsi="Arial"/>
                <w:b/>
                <w:bCs/>
                <w:color w:val="000000"/>
                <w:sz w:val="24"/>
                <w:szCs w:val="24"/>
                <w:lang w:val="pt-BR"/>
              </w:rPr>
              <w:t>CEP.:</w:t>
            </w:r>
          </w:p>
        </w:tc>
        <w:tc>
          <w:tcPr>
            <w:tcW w:w="6095" w:type="dxa"/>
            <w:tcBorders/>
            <w:vAlign w:val="center"/>
          </w:tcPr>
          <w:p>
            <w:pPr>
              <w:pStyle w:val="Normal"/>
              <w:spacing w:lineRule="auto" w:line="276" w:before="0" w:after="200"/>
              <w:jc w:val="both"/>
              <w:rPr>
                <w:lang w:val="pt-BR"/>
              </w:rPr>
            </w:pPr>
            <w:r>
              <w:rPr>
                <w:rFonts w:cs="Arial" w:ascii="Arial" w:hAnsi="Arial"/>
                <w:b/>
                <w:bCs/>
                <w:color w:val="000000"/>
                <w:sz w:val="24"/>
                <w:szCs w:val="24"/>
                <w:lang w:val="pt-BR"/>
              </w:rPr>
              <w:t>Telefone</w:t>
            </w:r>
            <w:r>
              <w:rPr>
                <w:rFonts w:cs="Arial" w:ascii="Arial" w:hAnsi="Arial"/>
                <w:color w:val="000000"/>
                <w:sz w:val="24"/>
                <w:szCs w:val="24"/>
                <w:lang w:val="pt-BR"/>
              </w:rPr>
              <w:t>: ()</w:t>
            </w:r>
          </w:p>
        </w:tc>
      </w:tr>
      <w:tr>
        <w:trPr>
          <w:trHeight w:val="397" w:hRule="atLeast"/>
        </w:trPr>
        <w:tc>
          <w:tcPr>
            <w:tcW w:w="4126" w:type="dxa"/>
            <w:gridSpan w:val="2"/>
            <w:tcBorders/>
            <w:vAlign w:val="center"/>
          </w:tcPr>
          <w:p>
            <w:pPr>
              <w:pStyle w:val="Normal"/>
              <w:spacing w:lineRule="auto" w:line="276" w:before="0" w:after="200"/>
              <w:jc w:val="both"/>
              <w:rPr>
                <w:lang w:val="pt-BR"/>
              </w:rPr>
            </w:pPr>
            <w:r>
              <w:rPr>
                <w:rFonts w:cs="Arial" w:ascii="Arial" w:hAnsi="Arial"/>
                <w:b/>
                <w:bCs/>
                <w:color w:val="000000"/>
                <w:sz w:val="24"/>
                <w:szCs w:val="24"/>
                <w:lang w:val="pt-BR"/>
              </w:rPr>
              <w:t>CNPJ nº:</w:t>
            </w:r>
          </w:p>
        </w:tc>
        <w:tc>
          <w:tcPr>
            <w:tcW w:w="6095" w:type="dxa"/>
            <w:tcBorders/>
            <w:vAlign w:val="center"/>
          </w:tcPr>
          <w:p>
            <w:pPr>
              <w:pStyle w:val="Normal"/>
              <w:spacing w:lineRule="auto" w:line="276" w:before="0" w:after="200"/>
              <w:jc w:val="both"/>
              <w:rPr>
                <w:lang w:val="pt-BR"/>
              </w:rPr>
            </w:pPr>
            <w:r>
              <w:rPr>
                <w:rFonts w:cs="Arial" w:ascii="Arial" w:hAnsi="Arial"/>
                <w:b/>
                <w:color w:val="000000"/>
                <w:sz w:val="24"/>
                <w:szCs w:val="24"/>
                <w:lang w:val="pt-BR"/>
              </w:rPr>
              <w:t>Inscrição Estadual n.º:</w:t>
            </w:r>
          </w:p>
        </w:tc>
      </w:tr>
      <w:tr>
        <w:trPr>
          <w:trHeight w:val="397" w:hRule="atLeast"/>
        </w:trPr>
        <w:tc>
          <w:tcPr>
            <w:tcW w:w="10221" w:type="dxa"/>
            <w:gridSpan w:val="3"/>
            <w:tcBorders/>
            <w:vAlign w:val="center"/>
          </w:tcPr>
          <w:p>
            <w:pPr>
              <w:pStyle w:val="Normal"/>
              <w:spacing w:lineRule="auto" w:line="276" w:before="0" w:after="200"/>
              <w:jc w:val="both"/>
              <w:rPr>
                <w:lang w:val="pt-BR"/>
              </w:rPr>
            </w:pPr>
            <w:r>
              <w:rPr>
                <w:rFonts w:cs="Arial" w:ascii="Arial" w:hAnsi="Arial"/>
                <w:b/>
                <w:bCs/>
                <w:color w:val="000000"/>
                <w:sz w:val="24"/>
                <w:szCs w:val="24"/>
                <w:lang w:val="pt-BR"/>
              </w:rPr>
              <w:t>E-mail para contato:</w:t>
            </w:r>
          </w:p>
        </w:tc>
      </w:tr>
      <w:tr>
        <w:trPr>
          <w:trHeight w:val="397" w:hRule="atLeast"/>
        </w:trPr>
        <w:tc>
          <w:tcPr>
            <w:tcW w:w="10221" w:type="dxa"/>
            <w:gridSpan w:val="3"/>
            <w:tcBorders/>
            <w:vAlign w:val="center"/>
          </w:tcPr>
          <w:p>
            <w:pPr>
              <w:pStyle w:val="Normal"/>
              <w:spacing w:lineRule="auto" w:line="276" w:before="0" w:after="200"/>
              <w:jc w:val="both"/>
              <w:rPr>
                <w:lang w:val="pt-BR"/>
              </w:rPr>
            </w:pPr>
            <w:r>
              <w:rPr>
                <w:rFonts w:cs="Arial" w:ascii="Arial" w:hAnsi="Arial"/>
                <w:b/>
                <w:bCs/>
                <w:color w:val="000000"/>
                <w:sz w:val="24"/>
                <w:szCs w:val="24"/>
                <w:lang w:val="pt-BR"/>
              </w:rPr>
              <w:t>Nome Representante Legal:</w:t>
            </w:r>
          </w:p>
        </w:tc>
      </w:tr>
      <w:tr>
        <w:trPr>
          <w:trHeight w:val="397" w:hRule="atLeast"/>
        </w:trPr>
        <w:tc>
          <w:tcPr>
            <w:tcW w:w="10221" w:type="dxa"/>
            <w:gridSpan w:val="3"/>
            <w:tcBorders/>
            <w:vAlign w:val="center"/>
          </w:tcPr>
          <w:p>
            <w:pPr>
              <w:pStyle w:val="Normal"/>
              <w:spacing w:lineRule="auto" w:line="276" w:before="0" w:after="200"/>
              <w:jc w:val="both"/>
              <w:rPr>
                <w:lang w:val="pt-BR"/>
              </w:rPr>
            </w:pPr>
            <w:r>
              <w:rPr>
                <w:rFonts w:cs="Arial" w:ascii="Arial" w:hAnsi="Arial"/>
                <w:b/>
                <w:bCs/>
                <w:color w:val="000000"/>
                <w:sz w:val="24"/>
                <w:szCs w:val="24"/>
                <w:lang w:val="pt-BR"/>
              </w:rPr>
              <w:t>CPF:</w:t>
            </w:r>
          </w:p>
        </w:tc>
      </w:tr>
    </w:tbl>
    <w:p>
      <w:pPr>
        <w:pStyle w:val="Normal"/>
        <w:spacing w:lineRule="auto" w:line="276"/>
        <w:jc w:val="both"/>
        <w:rPr>
          <w:lang w:val="pt-BR"/>
        </w:rPr>
      </w:pPr>
      <w:r>
        <w:rPr>
          <w:rFonts w:cs="Arial" w:ascii="Arial" w:hAnsi="Arial"/>
          <w:sz w:val="24"/>
          <w:szCs w:val="24"/>
          <w:lang w:val="pt-BR"/>
        </w:rPr>
        <w:t>Pelo presente, formulamos Proposta Comercial para atender</w:t>
      </w:r>
      <w:r>
        <w:rPr>
          <w:rFonts w:cs="Arial" w:ascii="Arial" w:hAnsi="Arial"/>
          <w:color w:val="000000"/>
          <w:sz w:val="24"/>
          <w:szCs w:val="24"/>
          <w:lang w:val="pt-BR"/>
        </w:rPr>
        <w:t xml:space="preserve"> a Fundação Arquivo e Memória de Santos, </w:t>
      </w:r>
      <w:r>
        <w:rPr>
          <w:rFonts w:cs="Arial" w:ascii="Arial" w:hAnsi="Arial"/>
          <w:sz w:val="24"/>
          <w:szCs w:val="24"/>
          <w:lang w:val="pt-BR"/>
        </w:rPr>
        <w:t>de acordo com as condições, especificações e demais exigências estabelecidas pelo Edital n.º 36</w:t>
      </w:r>
      <w:r>
        <w:rPr>
          <w:rFonts w:cs="Arial" w:ascii="Arial" w:hAnsi="Arial"/>
          <w:sz w:val="24"/>
          <w:szCs w:val="24"/>
          <w:shd w:fill="FFFFFF" w:val="clear"/>
          <w:lang w:val="pt-BR"/>
        </w:rPr>
        <w:t>/26-FAMS</w:t>
      </w:r>
      <w:r>
        <w:rPr>
          <w:rFonts w:cs="Arial" w:ascii="Arial" w:hAnsi="Arial"/>
          <w:sz w:val="24"/>
          <w:szCs w:val="24"/>
          <w:lang w:val="pt-BR"/>
        </w:rPr>
        <w:t xml:space="preserve"> e seus ANEXOS, que rege a presente DISPENSA, nos seguintes itens:</w:t>
      </w:r>
    </w:p>
    <w:tbl>
      <w:tblPr>
        <w:tblW w:w="10723" w:type="dxa"/>
        <w:jc w:val="left"/>
        <w:tblInd w:w="-472" w:type="dxa"/>
        <w:tblLayout w:type="fixed"/>
        <w:tblCellMar>
          <w:top w:w="55" w:type="dxa"/>
          <w:left w:w="55" w:type="dxa"/>
          <w:bottom w:w="55" w:type="dxa"/>
          <w:right w:w="55" w:type="dxa"/>
        </w:tblCellMar>
      </w:tblPr>
      <w:tblGrid>
        <w:gridCol w:w="630"/>
        <w:gridCol w:w="3840"/>
        <w:gridCol w:w="915"/>
        <w:gridCol w:w="910"/>
        <w:gridCol w:w="1083"/>
        <w:gridCol w:w="1587"/>
        <w:gridCol w:w="1758"/>
      </w:tblGrid>
      <w:tr>
        <w:trPr>
          <w:tblHeader w:val="true"/>
        </w:trPr>
        <w:tc>
          <w:tcPr>
            <w:tcW w:w="630" w:type="dxa"/>
            <w:tcBorders>
              <w:top w:val="single" w:sz="4" w:space="0" w:color="000000"/>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Item</w:t>
            </w:r>
          </w:p>
        </w:tc>
        <w:tc>
          <w:tcPr>
            <w:tcW w:w="3840"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Descrição Técnica Mínima</w:t>
            </w:r>
          </w:p>
        </w:tc>
        <w:tc>
          <w:tcPr>
            <w:tcW w:w="915"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910"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Qtde.</w:t>
            </w:r>
          </w:p>
        </w:tc>
        <w:tc>
          <w:tcPr>
            <w:tcW w:w="1083"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Marca / Modelo</w:t>
            </w:r>
          </w:p>
        </w:tc>
        <w:tc>
          <w:tcPr>
            <w:tcW w:w="1587"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Unitário (R$)</w:t>
            </w:r>
          </w:p>
        </w:tc>
        <w:tc>
          <w:tcPr>
            <w:tcW w:w="175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Total (R$)</w:t>
            </w:r>
          </w:p>
        </w:tc>
      </w:tr>
      <w:tr>
        <w:trPr/>
        <w:tc>
          <w:tcPr>
            <w:tcW w:w="630"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1</w:t>
            </w:r>
          </w:p>
        </w:tc>
        <w:tc>
          <w:tcPr>
            <w:tcW w:w="3840" w:type="dxa"/>
            <w:tcBorders>
              <w:left w:val="single" w:sz="4" w:space="0" w:color="000000"/>
              <w:bottom w:val="single" w:sz="4" w:space="0" w:color="000000"/>
            </w:tcBorders>
            <w:vAlign w:val="center"/>
          </w:tcPr>
          <w:p>
            <w:pPr>
              <w:pStyle w:val="Normal"/>
              <w:spacing w:lineRule="auto" w:line="276" w:before="0" w:after="200"/>
              <w:jc w:val="left"/>
              <w:rPr>
                <w:lang w:val="pt-BR"/>
              </w:rPr>
            </w:pPr>
            <w:r>
              <w:rPr>
                <w:rFonts w:cs="Arial" w:ascii="Arial" w:hAnsi="Arial"/>
                <w:sz w:val="24"/>
                <w:szCs w:val="24"/>
                <w:lang w:val="pt-BR"/>
              </w:rPr>
              <w:t>Haste para pasta suspensa: em plástico rígido de alta durabilidade, compatível com pastas de tamanho Ofício/A4, cor preferencialmente branca.</w:t>
            </w:r>
          </w:p>
        </w:tc>
        <w:tc>
          <w:tcPr>
            <w:tcW w:w="91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91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1.000</w:t>
            </w:r>
          </w:p>
        </w:tc>
        <w:tc>
          <w:tcPr>
            <w:tcW w:w="1083"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587"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758" w:type="dxa"/>
            <w:tcBorders>
              <w:left w:val="single" w:sz="4" w:space="0" w:color="000000"/>
              <w:bottom w:val="single" w:sz="4" w:space="0" w:color="000000"/>
              <w:right w:val="single" w:sz="4" w:space="0" w:color="000000"/>
            </w:tcBorders>
            <w:vAlign w:val="center"/>
          </w:tcPr>
          <w:p>
            <w:pPr>
              <w:pStyle w:val="Normal"/>
              <w:widowControl/>
              <w:snapToGrid w:val="false"/>
              <w:spacing w:lineRule="auto" w:line="276" w:before="0" w:after="0"/>
              <w:jc w:val="both"/>
              <w:rPr>
                <w:rFonts w:ascii="Arial" w:hAnsi="Arial" w:cs="Arial"/>
                <w:sz w:val="24"/>
                <w:szCs w:val="24"/>
                <w:lang w:val="pt-BR"/>
              </w:rPr>
            </w:pPr>
            <w:r>
              <w:rPr>
                <w:rFonts w:cs="Arial" w:ascii="Arial" w:hAnsi="Arial"/>
                <w:sz w:val="24"/>
                <w:szCs w:val="24"/>
                <w:lang w:val="pt-BR"/>
              </w:rPr>
            </w:r>
          </w:p>
        </w:tc>
      </w:tr>
      <w:tr>
        <w:trPr/>
        <w:tc>
          <w:tcPr>
            <w:tcW w:w="8965" w:type="dxa"/>
            <w:gridSpan w:val="6"/>
            <w:tcBorders>
              <w:left w:val="single" w:sz="4" w:space="0" w:color="000000"/>
              <w:bottom w:val="single" w:sz="4" w:space="0" w:color="000000"/>
            </w:tcBorders>
            <w:vAlign w:val="center"/>
          </w:tcPr>
          <w:p>
            <w:pPr>
              <w:pStyle w:val="Normal"/>
              <w:spacing w:lineRule="auto" w:line="276" w:before="0" w:after="200"/>
              <w:jc w:val="right"/>
              <w:rPr>
                <w:lang w:val="pt-BR"/>
              </w:rPr>
            </w:pPr>
            <w:r>
              <w:rPr>
                <w:rFonts w:cs="Arial" w:ascii="Arial" w:hAnsi="Arial"/>
                <w:sz w:val="24"/>
                <w:szCs w:val="24"/>
                <w:lang w:val="pt-BR"/>
              </w:rPr>
              <w:t>Valor Total R$</w:t>
            </w:r>
          </w:p>
        </w:tc>
        <w:tc>
          <w:tcPr>
            <w:tcW w:w="1758" w:type="dxa"/>
            <w:tcBorders>
              <w:left w:val="single" w:sz="4" w:space="0" w:color="000000"/>
              <w:bottom w:val="single" w:sz="4" w:space="0" w:color="000000"/>
              <w:right w:val="single" w:sz="4" w:space="0" w:color="000000"/>
            </w:tcBorders>
            <w:vAlign w:val="center"/>
          </w:tcPr>
          <w:p>
            <w:pPr>
              <w:pStyle w:val="Normal"/>
              <w:snapToGrid w:val="false"/>
              <w:spacing w:lineRule="auto" w:line="276" w:before="0" w:after="200"/>
              <w:jc w:val="both"/>
              <w:rPr>
                <w:rFonts w:ascii="Arial" w:hAnsi="Arial" w:cs="Arial"/>
                <w:sz w:val="24"/>
                <w:szCs w:val="24"/>
                <w:lang w:val="pt-BR"/>
              </w:rPr>
            </w:pPr>
            <w:r>
              <w:rPr>
                <w:rFonts w:cs="Arial" w:ascii="Arial" w:hAnsi="Arial"/>
                <w:sz w:val="24"/>
                <w:szCs w:val="24"/>
                <w:lang w:val="pt-BR"/>
              </w:rPr>
            </w:r>
          </w:p>
        </w:tc>
      </w:tr>
      <w:tr>
        <w:trPr/>
        <w:tc>
          <w:tcPr>
            <w:tcW w:w="630"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Item</w:t>
            </w:r>
          </w:p>
        </w:tc>
        <w:tc>
          <w:tcPr>
            <w:tcW w:w="384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Descrição Técnica Mínima</w:t>
            </w:r>
          </w:p>
        </w:tc>
        <w:tc>
          <w:tcPr>
            <w:tcW w:w="91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91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Qtde.</w:t>
            </w:r>
          </w:p>
        </w:tc>
        <w:tc>
          <w:tcPr>
            <w:tcW w:w="1083"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Marca / Modelo</w:t>
            </w:r>
          </w:p>
        </w:tc>
        <w:tc>
          <w:tcPr>
            <w:tcW w:w="1587"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Unitário (R$)</w:t>
            </w:r>
          </w:p>
        </w:tc>
        <w:tc>
          <w:tcPr>
            <w:tcW w:w="1758" w:type="dxa"/>
            <w:tcBorders>
              <w:left w:val="single" w:sz="4" w:space="0" w:color="000000"/>
              <w:bottom w:val="single" w:sz="4" w:space="0" w:color="000000"/>
              <w:right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Valor Total    (R$)</w:t>
            </w:r>
          </w:p>
        </w:tc>
      </w:tr>
      <w:tr>
        <w:trPr/>
        <w:tc>
          <w:tcPr>
            <w:tcW w:w="630"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2</w:t>
            </w:r>
          </w:p>
        </w:tc>
        <w:tc>
          <w:tcPr>
            <w:tcW w:w="3840" w:type="dxa"/>
            <w:tcBorders>
              <w:left w:val="single" w:sz="4" w:space="0" w:color="000000"/>
              <w:bottom w:val="single" w:sz="4" w:space="0" w:color="000000"/>
            </w:tcBorders>
            <w:vAlign w:val="center"/>
          </w:tcPr>
          <w:p>
            <w:pPr>
              <w:pStyle w:val="Normal"/>
              <w:spacing w:lineRule="auto" w:line="276" w:before="0" w:after="200"/>
              <w:jc w:val="left"/>
              <w:rPr>
                <w:lang w:val="pt-BR"/>
              </w:rPr>
            </w:pPr>
            <w:r>
              <w:rPr>
                <w:rFonts w:cs="Arial" w:ascii="Arial" w:hAnsi="Arial"/>
                <w:sz w:val="24"/>
                <w:szCs w:val="24"/>
                <w:lang w:val="pt-BR"/>
              </w:rPr>
              <w:t>Folha para acondicionamento de negativos fotográficos em filme 35 mm, modelo 35-7BXW ou equivalente, com capacidade para 7 tiras de 6 fotogramas, confeccionada em polietileno e polipropileno transparentes, livre de ácidos, adequada para preservação arquivística de longo prazo. Cor: Transparente.</w:t>
            </w:r>
          </w:p>
        </w:tc>
        <w:tc>
          <w:tcPr>
            <w:tcW w:w="91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91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200</w:t>
            </w:r>
          </w:p>
        </w:tc>
        <w:tc>
          <w:tcPr>
            <w:tcW w:w="1083"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587"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758" w:type="dxa"/>
            <w:tcBorders>
              <w:left w:val="single" w:sz="4" w:space="0" w:color="000000"/>
              <w:bottom w:val="single" w:sz="4" w:space="0" w:color="000000"/>
              <w:right w:val="single" w:sz="4" w:space="0" w:color="000000"/>
            </w:tcBorders>
            <w:vAlign w:val="center"/>
          </w:tcPr>
          <w:p>
            <w:pPr>
              <w:pStyle w:val="Normal"/>
              <w:widowControl/>
              <w:snapToGrid w:val="false"/>
              <w:spacing w:lineRule="auto" w:line="276" w:before="0" w:after="0"/>
              <w:jc w:val="both"/>
              <w:rPr>
                <w:rFonts w:ascii="Arial" w:hAnsi="Arial" w:cs="Arial"/>
                <w:sz w:val="24"/>
                <w:szCs w:val="24"/>
                <w:lang w:val="pt-BR"/>
              </w:rPr>
            </w:pPr>
            <w:r>
              <w:rPr>
                <w:rFonts w:cs="Arial" w:ascii="Arial" w:hAnsi="Arial"/>
                <w:sz w:val="24"/>
                <w:szCs w:val="24"/>
                <w:lang w:val="pt-BR"/>
              </w:rPr>
            </w:r>
          </w:p>
        </w:tc>
      </w:tr>
      <w:tr>
        <w:trPr>
          <w:trHeight w:val="829" w:hRule="atLeast"/>
        </w:trPr>
        <w:tc>
          <w:tcPr>
            <w:tcW w:w="8965" w:type="dxa"/>
            <w:gridSpan w:val="6"/>
            <w:tcBorders>
              <w:left w:val="single" w:sz="4" w:space="0" w:color="000000"/>
              <w:bottom w:val="single" w:sz="4" w:space="0" w:color="000000"/>
            </w:tcBorders>
            <w:vAlign w:val="center"/>
          </w:tcPr>
          <w:p>
            <w:pPr>
              <w:pStyle w:val="Normal"/>
              <w:spacing w:lineRule="auto" w:line="276" w:before="0" w:after="200"/>
              <w:jc w:val="right"/>
              <w:rPr>
                <w:lang w:val="pt-BR"/>
              </w:rPr>
            </w:pPr>
            <w:r>
              <w:rPr>
                <w:rFonts w:cs="Arial" w:ascii="Arial" w:hAnsi="Arial"/>
                <w:sz w:val="24"/>
                <w:szCs w:val="24"/>
                <w:lang w:val="pt-BR"/>
              </w:rPr>
              <w:t>Valor Total R$</w:t>
            </w:r>
          </w:p>
        </w:tc>
        <w:tc>
          <w:tcPr>
            <w:tcW w:w="1758" w:type="dxa"/>
            <w:tcBorders>
              <w:left w:val="single" w:sz="4" w:space="0" w:color="000000"/>
              <w:bottom w:val="single" w:sz="4" w:space="0" w:color="000000"/>
              <w:right w:val="single" w:sz="4" w:space="0" w:color="000000"/>
            </w:tcBorders>
            <w:vAlign w:val="center"/>
          </w:tcPr>
          <w:p>
            <w:pPr>
              <w:pStyle w:val="Normal"/>
              <w:snapToGrid w:val="false"/>
              <w:spacing w:lineRule="auto" w:line="276" w:before="0" w:after="200"/>
              <w:jc w:val="both"/>
              <w:rPr>
                <w:rFonts w:ascii="Arial" w:hAnsi="Arial" w:cs="Arial"/>
                <w:sz w:val="24"/>
                <w:szCs w:val="24"/>
                <w:lang w:val="pt-BR"/>
              </w:rPr>
            </w:pPr>
            <w:r>
              <w:rPr>
                <w:rFonts w:cs="Arial" w:ascii="Arial" w:hAnsi="Arial"/>
                <w:sz w:val="24"/>
                <w:szCs w:val="24"/>
                <w:lang w:val="pt-BR"/>
              </w:rPr>
            </w:r>
          </w:p>
        </w:tc>
      </w:tr>
    </w:tbl>
    <w:p>
      <w:pPr>
        <w:pStyle w:val="Normal"/>
        <w:spacing w:lineRule="auto" w:line="276" w:before="0" w:after="120"/>
        <w:jc w:val="both"/>
        <w:rPr>
          <w:lang w:val="pt-BR"/>
        </w:rPr>
      </w:pPr>
      <w:r>
        <w:rPr>
          <w:rFonts w:eastAsia="Arial" w:cs="Arial" w:ascii="Arial" w:hAnsi="Arial"/>
          <w:b/>
          <w:i/>
          <w:sz w:val="24"/>
          <w:szCs w:val="24"/>
          <w:lang w:val="pt-BR"/>
        </w:rPr>
        <w:t xml:space="preserve"> </w:t>
      </w:r>
      <w:r>
        <w:rPr>
          <w:rFonts w:cs="Arial" w:ascii="Arial" w:hAnsi="Arial"/>
          <w:b/>
          <w:i/>
          <w:sz w:val="24"/>
          <w:szCs w:val="24"/>
          <w:highlight w:val="yellow"/>
          <w:lang w:val="pt-BR"/>
        </w:rPr>
        <w:t>(a ser preenchido pelo licitante)</w:t>
      </w:r>
    </w:p>
    <w:p>
      <w:pPr>
        <w:pStyle w:val="Normal"/>
        <w:spacing w:lineRule="auto" w:line="276" w:before="0" w:after="120"/>
        <w:jc w:val="left"/>
        <w:rPr>
          <w:lang w:val="pt-BR"/>
        </w:rPr>
      </w:pPr>
      <w:r>
        <w:rPr>
          <w:rFonts w:cs="Arial" w:ascii="Arial" w:hAnsi="Arial"/>
          <w:b/>
          <w:sz w:val="24"/>
          <w:szCs w:val="24"/>
          <w:lang w:val="pt-BR"/>
        </w:rPr>
        <w:t>Valor total da Proposta:</w:t>
      </w:r>
      <w:r>
        <w:rPr>
          <w:rFonts w:cs="Arial" w:ascii="Arial" w:hAnsi="Arial"/>
          <w:sz w:val="24"/>
          <w:szCs w:val="24"/>
          <w:lang w:val="pt-BR"/>
        </w:rPr>
        <w:t xml:space="preserve"> R$....................(....................)</w:t>
      </w:r>
    </w:p>
    <w:p>
      <w:pPr>
        <w:pStyle w:val="Normal"/>
        <w:spacing w:lineRule="auto" w:line="276" w:before="0" w:after="120"/>
        <w:jc w:val="both"/>
        <w:rPr>
          <w:lang w:val="pt-BR"/>
        </w:rPr>
      </w:pPr>
      <w:r>
        <w:rPr>
          <w:rFonts w:cs="Arial" w:ascii="Arial" w:hAnsi="Arial"/>
          <w:sz w:val="24"/>
          <w:szCs w:val="24"/>
          <w:lang w:val="pt-BR"/>
        </w:rPr>
        <w:t>Nos valores acima, estão incluídas todas as despesas originárias diretas e indiretas, decorrentes da execução do Objeto, inclusive tributos e/ou impostos, encargos sociais trabalhistas, previdenciários, fiscais e comerciais incidentes, taxas de administração, fretes, seguros e outros necessários ao cumprimento integral do objeto da contratação.</w:t>
      </w:r>
    </w:p>
    <w:p>
      <w:pPr>
        <w:pStyle w:val="Normal"/>
        <w:spacing w:lineRule="auto" w:line="276" w:before="0" w:after="120"/>
        <w:jc w:val="both"/>
        <w:rPr>
          <w:lang w:val="pt-BR"/>
        </w:rPr>
      </w:pPr>
      <w:r>
        <w:rPr>
          <w:rFonts w:cs="Arial" w:ascii="Arial" w:hAnsi="Arial"/>
          <w:b/>
          <w:sz w:val="24"/>
          <w:szCs w:val="24"/>
          <w:lang w:val="pt-BR"/>
        </w:rPr>
        <w:t>Validade da proposta:</w:t>
      </w:r>
      <w:r>
        <w:rPr>
          <w:rFonts w:cs="Arial" w:ascii="Arial" w:hAnsi="Arial"/>
          <w:sz w:val="24"/>
          <w:szCs w:val="24"/>
          <w:lang w:val="pt-BR"/>
        </w:rPr>
        <w:t xml:space="preserve"> 90 (noventa) dias.</w:t>
      </w:r>
    </w:p>
    <w:p>
      <w:pPr>
        <w:pStyle w:val="Corpodetexto21"/>
        <w:spacing w:lineRule="auto" w:line="276" w:before="0" w:after="120"/>
        <w:ind w:hanging="0" w:left="0" w:right="64"/>
        <w:jc w:val="both"/>
        <w:rPr>
          <w:lang w:val="pt-BR"/>
        </w:rPr>
      </w:pPr>
      <w:r>
        <w:rPr>
          <w:rFonts w:cs="Arial"/>
          <w:b/>
          <w:sz w:val="24"/>
          <w:szCs w:val="24"/>
          <w:lang w:val="pt-BR"/>
        </w:rPr>
        <w:t>Prazo para entrega:</w:t>
      </w:r>
    </w:p>
    <w:p>
      <w:pPr>
        <w:pStyle w:val="BodyText"/>
        <w:widowControl/>
        <w:numPr>
          <w:ilvl w:val="0"/>
          <w:numId w:val="21"/>
        </w:numPr>
        <w:suppressAutoHyphens w:val="true"/>
        <w:spacing w:lineRule="auto" w:line="276"/>
        <w:ind w:hanging="360" w:left="720" w:right="0"/>
        <w:jc w:val="both"/>
        <w:rPr>
          <w:lang w:val="pt-BR"/>
        </w:rPr>
      </w:pPr>
      <w:r>
        <w:rPr>
          <w:rFonts w:eastAsia="Calibri" w:cs="Arial" w:ascii="Arial" w:hAnsi="Arial"/>
          <w:b w:val="false"/>
          <w:bCs w:val="false"/>
          <w:kern w:val="0"/>
          <w:sz w:val="24"/>
          <w:szCs w:val="24"/>
          <w:lang w:val="pt-BR" w:eastAsia="en-US"/>
        </w:rPr>
        <w:t>O fornecimento de cada item ofertado ocorrerá de forma ÚNICA</w:t>
      </w:r>
      <w:r>
        <w:rPr>
          <w:rFonts w:eastAsia="Calibri" w:cs="Arial" w:ascii="Arial" w:hAnsi="Arial"/>
          <w:kern w:val="0"/>
          <w:sz w:val="24"/>
          <w:szCs w:val="24"/>
          <w:lang w:val="pt-BR" w:eastAsia="en-US"/>
        </w:rPr>
        <w:t xml:space="preserve">, no prazo de até 10 (dez) dias úteis, contados do recebimento da Autorização de Fornecimento – AF, emitida pela Fundação; </w:t>
      </w:r>
    </w:p>
    <w:p>
      <w:pPr>
        <w:pStyle w:val="BodyText"/>
        <w:widowControl/>
        <w:numPr>
          <w:ilvl w:val="0"/>
          <w:numId w:val="0"/>
        </w:numPr>
        <w:suppressAutoHyphens w:val="true"/>
        <w:spacing w:lineRule="auto" w:line="276"/>
        <w:ind w:hanging="0" w:left="720" w:right="0"/>
        <w:jc w:val="both"/>
        <w:rPr>
          <w:rFonts w:ascii="Arial" w:hAnsi="Arial" w:eastAsia="Calibri" w:cs="Arial"/>
          <w:kern w:val="0"/>
          <w:sz w:val="24"/>
          <w:szCs w:val="24"/>
          <w:lang w:val="pt-BR" w:eastAsia="en-US"/>
        </w:rPr>
      </w:pPr>
      <w:r>
        <w:rPr>
          <w:rFonts w:eastAsia="Calibri" w:cs="Arial" w:ascii="Arial" w:hAnsi="Arial"/>
          <w:kern w:val="0"/>
          <w:sz w:val="24"/>
          <w:szCs w:val="24"/>
          <w:lang w:val="pt-BR" w:eastAsia="en-US"/>
        </w:rPr>
      </w:r>
    </w:p>
    <w:p>
      <w:pPr>
        <w:pStyle w:val="Corpodetexto21"/>
        <w:spacing w:lineRule="auto" w:line="276" w:before="0" w:after="120"/>
        <w:ind w:hanging="0" w:left="0" w:right="64"/>
        <w:jc w:val="both"/>
        <w:rPr>
          <w:lang w:val="pt-BR"/>
        </w:rPr>
      </w:pPr>
      <w:r>
        <w:rPr>
          <w:rFonts w:cs="Arial"/>
          <w:b/>
          <w:sz w:val="24"/>
          <w:szCs w:val="24"/>
          <w:lang w:val="pt-BR"/>
        </w:rPr>
        <w:t xml:space="preserve">Local de entrega: </w:t>
      </w:r>
    </w:p>
    <w:p>
      <w:pPr>
        <w:pStyle w:val="BodyText"/>
        <w:widowControl/>
        <w:numPr>
          <w:ilvl w:val="0"/>
          <w:numId w:val="8"/>
        </w:numPr>
        <w:suppressAutoHyphens w:val="true"/>
        <w:ind w:hanging="360" w:left="720" w:right="0"/>
        <w:jc w:val="both"/>
        <w:rPr>
          <w:lang w:val="pt-BR"/>
        </w:rPr>
      </w:pPr>
      <w:r>
        <w:rPr>
          <w:rFonts w:eastAsia="Calibri" w:cs="Arial" w:ascii="Arial" w:hAnsi="Arial"/>
          <w:kern w:val="0"/>
          <w:sz w:val="24"/>
          <w:szCs w:val="24"/>
          <w:lang w:val="pt-BR" w:eastAsia="en-US"/>
        </w:rPr>
        <w:t>O Objeto deverá ser entregue no horário das 09h às 16h, de segunda a sexta-feira, exceto feriados e pontos facultativos, na Fundação Arquivo e Memória de Santos – Arquivo Permanente – FAMS-AP, Rua Amador Bueno, n.º 61, Centro – Santos/SP.</w:t>
      </w:r>
    </w:p>
    <w:p>
      <w:pPr>
        <w:pStyle w:val="BodyText"/>
        <w:widowControl/>
        <w:numPr>
          <w:ilvl w:val="0"/>
          <w:numId w:val="0"/>
        </w:numPr>
        <w:suppressAutoHyphens w:val="true"/>
        <w:ind w:hanging="0" w:left="1080" w:right="0"/>
        <w:jc w:val="both"/>
        <w:rPr>
          <w:rFonts w:ascii="Arial" w:hAnsi="Arial" w:eastAsia="Calibri" w:cs="Arial"/>
          <w:kern w:val="0"/>
          <w:sz w:val="24"/>
          <w:szCs w:val="24"/>
          <w:lang w:val="pt-BR" w:eastAsia="en-US"/>
        </w:rPr>
      </w:pPr>
      <w:r>
        <w:rPr>
          <w:rFonts w:eastAsia="Calibri" w:cs="Arial" w:ascii="Arial" w:hAnsi="Arial"/>
          <w:kern w:val="0"/>
          <w:sz w:val="24"/>
          <w:szCs w:val="24"/>
          <w:lang w:val="pt-BR" w:eastAsia="en-US"/>
        </w:rPr>
      </w:r>
    </w:p>
    <w:p>
      <w:pPr>
        <w:pStyle w:val="Corpodetexto21"/>
        <w:spacing w:lineRule="auto" w:line="276" w:before="0" w:after="120"/>
        <w:ind w:firstLine="4" w:left="0" w:right="64"/>
        <w:jc w:val="both"/>
        <w:rPr>
          <w:lang w:val="pt-BR"/>
        </w:rPr>
      </w:pPr>
      <w:r>
        <w:rPr>
          <w:rFonts w:cs="Arial"/>
          <w:b/>
          <w:sz w:val="24"/>
          <w:szCs w:val="24"/>
          <w:lang w:val="pt-BR"/>
        </w:rPr>
        <w:t xml:space="preserve">Condições de pagamento: </w:t>
      </w:r>
      <w:r>
        <w:rPr>
          <w:rFonts w:cs="Arial"/>
          <w:b w:val="false"/>
          <w:bCs w:val="false"/>
          <w:sz w:val="24"/>
          <w:szCs w:val="24"/>
          <w:lang w:val="pt-BR"/>
        </w:rPr>
        <w:t>O pagamento será efetuado em 20 (vinte) dias corridos, contados a partir da data de emissão da nota de liquidação. Eventuais boletos encaminhados pelos fornecedores serão tidos como inexistentes para todos os fins e efeitos.</w:t>
      </w:r>
    </w:p>
    <w:p>
      <w:pPr>
        <w:pStyle w:val="Normal"/>
        <w:spacing w:lineRule="auto" w:line="276" w:before="0" w:after="120"/>
        <w:jc w:val="both"/>
        <w:rPr>
          <w:lang w:val="pt-BR"/>
        </w:rPr>
      </w:pPr>
      <w:r>
        <w:rPr>
          <w:rFonts w:cs="Arial" w:ascii="Arial" w:hAnsi="Arial"/>
          <w:sz w:val="24"/>
          <w:szCs w:val="24"/>
          <w:lang w:val="pt-BR"/>
        </w:rPr>
        <w:t>Santos......./......./2026.</w:t>
      </w:r>
    </w:p>
    <w:p>
      <w:pPr>
        <w:pStyle w:val="Normal"/>
        <w:spacing w:lineRule="auto" w:line="276" w:before="0" w:after="120"/>
        <w:jc w:val="both"/>
        <w:rPr>
          <w:lang w:val="pt-BR"/>
        </w:rPr>
      </w:pPr>
      <w:r>
        <w:rPr>
          <w:lang w:val="pt-BR"/>
        </w:rPr>
      </w:r>
    </w:p>
    <w:p>
      <w:pPr>
        <w:pStyle w:val="Normal"/>
        <w:spacing w:lineRule="auto" w:line="276" w:before="0" w:after="120"/>
        <w:jc w:val="both"/>
        <w:rPr>
          <w:lang w:val="pt-BR"/>
        </w:rPr>
      </w:pPr>
      <w:r>
        <w:rPr>
          <w:lang w:val="pt-BR"/>
        </w:rPr>
      </w:r>
    </w:p>
    <w:p>
      <w:pPr>
        <w:pStyle w:val="Normal"/>
        <w:spacing w:lineRule="auto" w:line="276" w:before="0" w:after="0"/>
        <w:jc w:val="both"/>
        <w:rPr>
          <w:lang w:val="pt-BR"/>
        </w:rPr>
      </w:pPr>
      <w:r>
        <w:rPr>
          <w:rFonts w:cs="Arial" w:ascii="Arial" w:hAnsi="Arial"/>
          <w:sz w:val="24"/>
          <w:szCs w:val="24"/>
          <w:lang w:val="pt-BR"/>
        </w:rPr>
        <w:t>Assinatura do Representante Legal da Empresa</w:t>
      </w:r>
    </w:p>
    <w:p>
      <w:pPr>
        <w:pStyle w:val="Normal"/>
        <w:spacing w:lineRule="auto" w:line="276" w:before="0" w:after="0"/>
        <w:jc w:val="both"/>
        <w:rPr>
          <w:lang w:val="pt-BR"/>
        </w:rPr>
      </w:pPr>
      <w:r>
        <w:rPr>
          <w:rFonts w:eastAsia="Arial" w:cs="Arial" w:ascii="Arial" w:hAnsi="Arial"/>
          <w:sz w:val="24"/>
          <w:szCs w:val="24"/>
          <w:lang w:val="pt-BR"/>
        </w:rPr>
        <w:t xml:space="preserve">      </w:t>
      </w:r>
      <w:r>
        <w:rPr>
          <w:rFonts w:cs="Arial" w:ascii="Arial" w:hAnsi="Arial"/>
          <w:sz w:val="24"/>
          <w:szCs w:val="24"/>
          <w:lang w:val="pt-BR"/>
        </w:rPr>
        <w:t>(carimbo de identificação, se houver)</w:t>
      </w:r>
      <w:r>
        <w:br w:type="page"/>
      </w:r>
    </w:p>
    <w:p>
      <w:pPr>
        <w:pStyle w:val="Normal"/>
        <w:spacing w:lineRule="auto" w:line="276" w:before="0" w:after="200"/>
        <w:jc w:val="center"/>
        <w:rPr>
          <w:lang w:val="pt-BR"/>
        </w:rPr>
      </w:pPr>
      <w:r>
        <w:rPr>
          <w:rFonts w:cs="Arial" w:ascii="Arial" w:hAnsi="Arial"/>
          <w:b/>
          <w:sz w:val="24"/>
          <w:szCs w:val="24"/>
          <w:lang w:val="pt-BR"/>
        </w:rPr>
        <w:t xml:space="preserve">ANEXO IV – </w:t>
      </w:r>
      <w:r>
        <w:rPr>
          <w:rFonts w:cs="Arial" w:ascii="Arial" w:hAnsi="Arial"/>
          <w:b/>
          <w:spacing w:val="-4"/>
          <w:sz w:val="24"/>
          <w:szCs w:val="24"/>
          <w:lang w:val="pt-BR"/>
        </w:rPr>
        <w:t>AUTORIZAÇÃO DE FORNECIMENTO</w:t>
      </w:r>
    </w:p>
    <w:p>
      <w:pPr>
        <w:pStyle w:val="Normal"/>
        <w:spacing w:lineRule="auto" w:line="276" w:before="0" w:after="120"/>
        <w:ind w:hanging="3506" w:left="3506" w:right="0"/>
        <w:jc w:val="both"/>
        <w:rPr>
          <w:lang w:val="pt-BR"/>
        </w:rPr>
      </w:pPr>
      <w:r>
        <w:rPr>
          <w:rFonts w:cs="Arial" w:ascii="Arial" w:hAnsi="Arial"/>
          <w:b/>
          <w:sz w:val="24"/>
          <w:szCs w:val="24"/>
          <w:lang w:val="pt-BR"/>
        </w:rPr>
        <w:t>EDITAL DE DISPENSA ELETRÔNICA n.º 36</w:t>
      </w:r>
      <w:r>
        <w:rPr>
          <w:rFonts w:cs="Arial" w:ascii="Arial" w:hAnsi="Arial"/>
          <w:b/>
          <w:sz w:val="24"/>
          <w:szCs w:val="24"/>
          <w:shd w:fill="FFFFFF" w:val="clear"/>
          <w:lang w:val="pt-BR"/>
        </w:rPr>
        <w:t>/2026</w:t>
      </w:r>
    </w:p>
    <w:p>
      <w:pPr>
        <w:pStyle w:val="Normal"/>
        <w:spacing w:lineRule="auto" w:line="276" w:before="0" w:after="120"/>
        <w:jc w:val="both"/>
        <w:rPr>
          <w:lang w:val="pt-BR"/>
        </w:rPr>
      </w:pPr>
      <w:r>
        <w:rPr>
          <w:rFonts w:cs="Arial" w:ascii="Arial" w:hAnsi="Arial"/>
          <w:b/>
          <w:sz w:val="24"/>
          <w:szCs w:val="24"/>
          <w:lang w:val="pt-BR"/>
        </w:rPr>
        <w:t xml:space="preserve">PROCESSO n.º </w:t>
      </w:r>
      <w:r>
        <w:rPr>
          <w:rFonts w:eastAsia="SimSun" w:cs="Arial" w:ascii="Arial" w:hAnsi="Arial"/>
          <w:b/>
          <w:bCs/>
          <w:color w:val="000000"/>
          <w:sz w:val="24"/>
          <w:szCs w:val="24"/>
          <w:lang w:val="pt-BR"/>
        </w:rPr>
        <w:t>39.615/2026-01</w:t>
      </w:r>
    </w:p>
    <w:p>
      <w:pPr>
        <w:pStyle w:val="Normal"/>
        <w:spacing w:lineRule="auto" w:line="276" w:before="0" w:after="120"/>
        <w:jc w:val="both"/>
        <w:rPr>
          <w:lang w:val="pt-BR"/>
        </w:rPr>
      </w:pPr>
      <w:r>
        <w:rPr>
          <w:rFonts w:cs="Arial" w:ascii="Arial" w:hAnsi="Arial"/>
          <w:b/>
          <w:sz w:val="24"/>
          <w:szCs w:val="24"/>
          <w:lang w:val="pt-BR"/>
        </w:rPr>
        <w:t>Empenho n.º:</w:t>
      </w:r>
    </w:p>
    <w:p>
      <w:pPr>
        <w:pStyle w:val="Normal"/>
        <w:spacing w:lineRule="auto" w:line="276" w:before="0" w:after="120"/>
        <w:jc w:val="both"/>
        <w:rPr>
          <w:lang w:val="pt-BR"/>
        </w:rPr>
      </w:pPr>
      <w:r>
        <w:rPr>
          <w:rFonts w:cs="Arial" w:ascii="Arial" w:hAnsi="Arial"/>
          <w:b/>
          <w:sz w:val="24"/>
          <w:szCs w:val="24"/>
          <w:lang w:val="pt-BR"/>
        </w:rPr>
        <w:t>Unidade Requisitante:</w:t>
      </w:r>
    </w:p>
    <w:p>
      <w:pPr>
        <w:pStyle w:val="Normal"/>
        <w:spacing w:lineRule="auto" w:line="276" w:before="0" w:after="120"/>
        <w:jc w:val="both"/>
        <w:rPr>
          <w:lang w:val="pt-BR"/>
        </w:rPr>
      </w:pPr>
      <w:r>
        <w:rPr>
          <w:rFonts w:cs="Arial" w:ascii="Arial" w:hAnsi="Arial"/>
          <w:b/>
          <w:sz w:val="24"/>
          <w:szCs w:val="24"/>
          <w:lang w:val="pt-BR"/>
        </w:rPr>
        <w:t>Dotação Orçamentária n.º:</w:t>
      </w:r>
    </w:p>
    <w:p>
      <w:pPr>
        <w:pStyle w:val="Normal"/>
        <w:spacing w:lineRule="auto" w:line="276" w:before="0" w:after="120"/>
        <w:jc w:val="both"/>
        <w:rPr>
          <w:lang w:val="pt-BR"/>
        </w:rPr>
      </w:pPr>
      <w:r>
        <w:rPr>
          <w:rFonts w:cs="Arial" w:ascii="Arial" w:hAnsi="Arial"/>
          <w:b/>
          <w:sz w:val="24"/>
          <w:szCs w:val="24"/>
          <w:lang w:val="pt-BR"/>
        </w:rPr>
        <w:t>Fonte de Recursos n.º:</w:t>
      </w:r>
    </w:p>
    <w:p>
      <w:pPr>
        <w:pStyle w:val="Normal"/>
        <w:spacing w:lineRule="auto" w:line="276" w:before="0" w:after="120"/>
        <w:jc w:val="both"/>
        <w:rPr>
          <w:lang w:val="pt-BR"/>
        </w:rPr>
      </w:pPr>
      <w:r>
        <w:rPr>
          <w:rFonts w:cs="Arial" w:ascii="Arial" w:hAnsi="Arial"/>
          <w:b/>
          <w:sz w:val="24"/>
          <w:szCs w:val="24"/>
          <w:lang w:val="pt-BR"/>
        </w:rPr>
        <w:t>FORNECEDOR</w:t>
      </w:r>
      <w:r>
        <w:rPr>
          <w:rFonts w:cs="Arial" w:ascii="Arial" w:hAnsi="Arial"/>
          <w:sz w:val="24"/>
          <w:szCs w:val="24"/>
          <w:lang w:val="pt-BR"/>
        </w:rPr>
        <w:tab/>
        <w:t>:</w:t>
      </w:r>
      <w:r>
        <w:rPr>
          <w:rFonts w:cs="Arial" w:ascii="Arial" w:hAnsi="Arial"/>
          <w:b/>
          <w:sz w:val="24"/>
          <w:szCs w:val="24"/>
          <w:lang w:val="pt-BR"/>
        </w:rPr>
        <w:t xml:space="preserve"> </w:t>
      </w:r>
    </w:p>
    <w:p>
      <w:pPr>
        <w:pStyle w:val="Normal"/>
        <w:spacing w:lineRule="auto" w:line="276" w:before="0" w:after="120"/>
        <w:jc w:val="both"/>
        <w:rPr>
          <w:lang w:val="pt-BR"/>
        </w:rPr>
      </w:pPr>
      <w:r>
        <w:rPr>
          <w:rFonts w:cs="Arial" w:ascii="Arial" w:hAnsi="Arial"/>
          <w:b/>
          <w:sz w:val="24"/>
          <w:szCs w:val="24"/>
          <w:lang w:val="pt-BR"/>
        </w:rPr>
        <w:t>CNPJ</w:t>
      </w:r>
      <w:r>
        <w:rPr>
          <w:rFonts w:cs="Arial" w:ascii="Arial" w:hAnsi="Arial"/>
          <w:sz w:val="24"/>
          <w:szCs w:val="24"/>
          <w:lang w:val="pt-BR"/>
        </w:rPr>
        <w:tab/>
        <w:tab/>
        <w:tab/>
        <w:t xml:space="preserve">: </w:t>
      </w:r>
    </w:p>
    <w:p>
      <w:pPr>
        <w:pStyle w:val="Normal"/>
        <w:spacing w:lineRule="auto" w:line="276" w:before="0" w:after="120"/>
        <w:jc w:val="both"/>
        <w:rPr>
          <w:lang w:val="pt-BR"/>
        </w:rPr>
      </w:pPr>
      <w:r>
        <w:rPr>
          <w:rFonts w:cs="Arial" w:ascii="Arial" w:hAnsi="Arial"/>
          <w:b/>
          <w:sz w:val="24"/>
          <w:szCs w:val="24"/>
          <w:lang w:val="pt-BR"/>
        </w:rPr>
        <w:t>ENDEREÇO</w:t>
      </w:r>
      <w:r>
        <w:rPr>
          <w:rFonts w:cs="Arial" w:ascii="Arial" w:hAnsi="Arial"/>
          <w:sz w:val="24"/>
          <w:szCs w:val="24"/>
          <w:lang w:val="pt-BR"/>
        </w:rPr>
        <w:tab/>
        <w:tab/>
        <w:t xml:space="preserve">: </w:t>
      </w:r>
    </w:p>
    <w:p>
      <w:pPr>
        <w:pStyle w:val="Normal"/>
        <w:spacing w:lineRule="auto" w:line="276" w:before="0" w:after="120"/>
        <w:jc w:val="both"/>
        <w:rPr>
          <w:lang w:val="pt-BR"/>
        </w:rPr>
      </w:pPr>
      <w:r>
        <w:rPr>
          <w:rFonts w:cs="Arial" w:ascii="Arial" w:hAnsi="Arial"/>
          <w:b/>
          <w:sz w:val="24"/>
          <w:szCs w:val="24"/>
          <w:lang w:val="pt-BR"/>
        </w:rPr>
        <w:t>BAIRRO</w:t>
      </w:r>
      <w:r>
        <w:rPr>
          <w:rFonts w:cs="Arial" w:ascii="Arial" w:hAnsi="Arial"/>
          <w:sz w:val="24"/>
          <w:szCs w:val="24"/>
          <w:lang w:val="pt-BR"/>
        </w:rPr>
        <w:tab/>
        <w:tab/>
        <w:t xml:space="preserve">:                                                      </w:t>
      </w:r>
      <w:r>
        <w:rPr>
          <w:rFonts w:cs="Arial" w:ascii="Arial" w:hAnsi="Arial"/>
          <w:b/>
          <w:sz w:val="24"/>
          <w:szCs w:val="24"/>
          <w:lang w:val="pt-BR"/>
        </w:rPr>
        <w:t>TEL</w:t>
      </w:r>
      <w:r>
        <w:rPr>
          <w:rFonts w:cs="Arial" w:ascii="Arial" w:hAnsi="Arial"/>
          <w:sz w:val="24"/>
          <w:szCs w:val="24"/>
          <w:lang w:val="pt-BR"/>
        </w:rPr>
        <w:t xml:space="preserve">: (XX) </w:t>
      </w:r>
    </w:p>
    <w:p>
      <w:pPr>
        <w:pStyle w:val="Normal"/>
        <w:spacing w:lineRule="auto" w:line="276" w:before="0" w:after="120"/>
        <w:jc w:val="both"/>
        <w:rPr>
          <w:lang w:val="pt-BR"/>
        </w:rPr>
      </w:pPr>
      <w:r>
        <w:rPr>
          <w:rFonts w:cs="Arial" w:ascii="Arial" w:hAnsi="Arial"/>
          <w:b/>
          <w:sz w:val="24"/>
          <w:szCs w:val="24"/>
          <w:lang w:val="pt-BR"/>
        </w:rPr>
        <w:t>CIDADE</w:t>
      </w:r>
      <w:r>
        <w:rPr>
          <w:rFonts w:cs="Arial" w:ascii="Arial" w:hAnsi="Arial"/>
          <w:sz w:val="24"/>
          <w:szCs w:val="24"/>
          <w:lang w:val="pt-BR"/>
        </w:rPr>
        <w:tab/>
        <w:tab/>
        <w:t xml:space="preserve">: </w:t>
        <w:tab/>
        <w:tab/>
        <w:tab/>
      </w:r>
      <w:r>
        <w:rPr>
          <w:rFonts w:cs="Arial" w:ascii="Arial" w:hAnsi="Arial"/>
          <w:b/>
          <w:sz w:val="24"/>
          <w:szCs w:val="24"/>
          <w:lang w:val="pt-BR"/>
        </w:rPr>
        <w:t>UF</w:t>
      </w:r>
      <w:r>
        <w:rPr>
          <w:rFonts w:cs="Arial" w:ascii="Arial" w:hAnsi="Arial"/>
          <w:sz w:val="24"/>
          <w:szCs w:val="24"/>
          <w:lang w:val="pt-BR"/>
        </w:rPr>
        <w:t xml:space="preserve">:  </w:t>
        <w:tab/>
        <w:t xml:space="preserve">          </w:t>
        <w:tab/>
      </w:r>
      <w:r>
        <w:rPr>
          <w:rFonts w:cs="Arial" w:ascii="Arial" w:hAnsi="Arial"/>
          <w:b/>
          <w:sz w:val="24"/>
          <w:szCs w:val="24"/>
          <w:lang w:val="pt-BR"/>
        </w:rPr>
        <w:t>CEP</w:t>
      </w:r>
      <w:r>
        <w:rPr>
          <w:rFonts w:cs="Arial" w:ascii="Arial" w:hAnsi="Arial"/>
          <w:sz w:val="24"/>
          <w:szCs w:val="24"/>
          <w:lang w:val="pt-BR"/>
        </w:rPr>
        <w:t xml:space="preserve">: </w:t>
      </w:r>
    </w:p>
    <w:p>
      <w:pPr>
        <w:pStyle w:val="Normal"/>
        <w:spacing w:lineRule="auto" w:line="276" w:before="0" w:after="120"/>
        <w:jc w:val="both"/>
        <w:rPr>
          <w:lang w:val="pt-BR"/>
        </w:rPr>
      </w:pPr>
      <w:r>
        <w:rPr>
          <w:rFonts w:cs="Arial" w:ascii="Arial" w:hAnsi="Arial"/>
          <w:b/>
          <w:sz w:val="24"/>
          <w:szCs w:val="24"/>
          <w:lang w:val="pt-BR"/>
        </w:rPr>
        <w:t>Representante Legal</w:t>
      </w:r>
      <w:r>
        <w:rPr>
          <w:rFonts w:cs="Arial" w:ascii="Arial" w:hAnsi="Arial"/>
          <w:sz w:val="24"/>
          <w:szCs w:val="24"/>
          <w:lang w:val="pt-BR"/>
        </w:rPr>
        <w:t xml:space="preserve">: </w:t>
      </w:r>
      <w:r>
        <w:rPr>
          <w:rFonts w:cs="Arial" w:ascii="Arial" w:hAnsi="Arial"/>
          <w:b/>
          <w:sz w:val="24"/>
          <w:szCs w:val="24"/>
          <w:lang w:val="pt-BR"/>
        </w:rPr>
        <w:t xml:space="preserve">                                               </w:t>
      </w:r>
      <w:r>
        <w:rPr>
          <w:rFonts w:cs="Arial" w:ascii="Arial" w:hAnsi="Arial"/>
          <w:sz w:val="24"/>
          <w:szCs w:val="24"/>
          <w:lang w:val="pt-BR"/>
        </w:rPr>
        <w:t xml:space="preserve">  </w:t>
      </w:r>
      <w:r>
        <w:rPr>
          <w:rFonts w:cs="Arial" w:ascii="Arial" w:hAnsi="Arial"/>
          <w:b/>
          <w:sz w:val="24"/>
          <w:szCs w:val="24"/>
          <w:lang w:val="pt-BR"/>
        </w:rPr>
        <w:t>CPF</w:t>
      </w:r>
      <w:r>
        <w:rPr>
          <w:rFonts w:cs="Arial" w:ascii="Arial" w:hAnsi="Arial"/>
          <w:sz w:val="24"/>
          <w:szCs w:val="24"/>
          <w:lang w:val="pt-BR"/>
        </w:rPr>
        <w:t xml:space="preserve"> </w:t>
      </w:r>
      <w:r>
        <w:rPr>
          <w:rFonts w:cs="Arial" w:ascii="Arial" w:hAnsi="Arial"/>
          <w:b/>
          <w:sz w:val="24"/>
          <w:szCs w:val="24"/>
          <w:lang w:val="pt-BR"/>
        </w:rPr>
        <w:t>nº:</w:t>
      </w:r>
      <w:r>
        <w:rPr>
          <w:rFonts w:cs="Arial" w:ascii="Arial" w:hAnsi="Arial"/>
          <w:sz w:val="24"/>
          <w:szCs w:val="24"/>
          <w:lang w:val="pt-BR"/>
        </w:rPr>
        <w:t xml:space="preserve"> </w:t>
      </w:r>
    </w:p>
    <w:p>
      <w:pPr>
        <w:pStyle w:val="Normal"/>
        <w:spacing w:lineRule="auto" w:line="276" w:before="0" w:after="120"/>
        <w:jc w:val="both"/>
        <w:rPr>
          <w:lang w:val="pt-BR"/>
        </w:rPr>
      </w:pPr>
      <w:r>
        <w:rPr>
          <w:rFonts w:cs="Arial" w:ascii="Arial" w:hAnsi="Arial"/>
          <w:b/>
          <w:sz w:val="24"/>
          <w:szCs w:val="24"/>
          <w:lang w:val="pt-BR"/>
        </w:rPr>
        <w:t>E-mail</w:t>
      </w:r>
      <w:r>
        <w:rPr>
          <w:rFonts w:cs="Arial" w:ascii="Arial" w:hAnsi="Arial"/>
          <w:sz w:val="24"/>
          <w:szCs w:val="24"/>
          <w:lang w:val="pt-BR"/>
        </w:rPr>
        <w:t xml:space="preserve">: </w:t>
      </w:r>
    </w:p>
    <w:p>
      <w:pPr>
        <w:pStyle w:val="Normal"/>
        <w:spacing w:lineRule="auto" w:line="276"/>
        <w:jc w:val="both"/>
        <w:rPr>
          <w:lang w:val="pt-BR"/>
        </w:rPr>
      </w:pPr>
      <w:r>
        <w:rPr>
          <w:rFonts w:cs="Arial" w:ascii="Arial" w:hAnsi="Arial"/>
          <w:sz w:val="24"/>
          <w:szCs w:val="24"/>
          <w:lang w:val="pt-BR"/>
        </w:rPr>
        <w:t xml:space="preserve">Tendo sido aceita a proposta que apresentou no processo administrativo em epígrafe e sendo-lhe adjudicado o respectivo objeto, com fundamento na Lei Federal n.º 14.133/21, deverá </w:t>
      </w:r>
      <w:r>
        <w:rPr>
          <w:rFonts w:cs="Arial" w:ascii="Arial" w:hAnsi="Arial"/>
          <w:b/>
          <w:sz w:val="24"/>
          <w:szCs w:val="24"/>
          <w:lang w:val="pt-BR"/>
        </w:rPr>
        <w:t>fornecer à Fundação</w:t>
      </w:r>
      <w:r>
        <w:rPr>
          <w:rFonts w:cs="Arial" w:ascii="Arial" w:hAnsi="Arial"/>
          <w:sz w:val="24"/>
          <w:szCs w:val="24"/>
          <w:lang w:val="pt-BR"/>
        </w:rPr>
        <w:t xml:space="preserve"> Arquivo e Memória de Santos – FAMS, CNPJ/MF nº 01.446.932/0001-25, com sede na Rua Visconde do Rio Branco, n.º 48 – Centro – Santos/ SP, de acordo com a </w:t>
      </w:r>
      <w:r>
        <w:rPr>
          <w:rFonts w:cs="Arial" w:ascii="Arial" w:hAnsi="Arial"/>
          <w:b/>
          <w:sz w:val="24"/>
          <w:szCs w:val="24"/>
          <w:lang w:val="pt-BR"/>
        </w:rPr>
        <w:t xml:space="preserve">NOTA DE EMPENHO n.º </w:t>
      </w:r>
      <w:r>
        <w:rPr>
          <w:rFonts w:cs="Arial" w:ascii="Arial" w:hAnsi="Arial"/>
          <w:b/>
          <w:sz w:val="24"/>
          <w:szCs w:val="24"/>
          <w:highlight w:val="yellow"/>
          <w:lang w:val="pt-BR"/>
        </w:rPr>
        <w:t>XX/26</w:t>
      </w:r>
      <w:r>
        <w:rPr>
          <w:rFonts w:cs="Arial" w:ascii="Arial" w:hAnsi="Arial"/>
          <w:sz w:val="24"/>
          <w:szCs w:val="24"/>
          <w:lang w:val="pt-BR"/>
        </w:rPr>
        <w:t>, exclusivamente o(s) item(ns) adjudicado(s) abaixo discriminado(s), em até 10 (dez) dias úteis, contados do recebimento desta A.F.:</w:t>
      </w:r>
    </w:p>
    <w:tbl>
      <w:tblPr>
        <w:tblW w:w="10723" w:type="dxa"/>
        <w:jc w:val="left"/>
        <w:tblInd w:w="-472" w:type="dxa"/>
        <w:tblLayout w:type="fixed"/>
        <w:tblCellMar>
          <w:top w:w="55" w:type="dxa"/>
          <w:left w:w="55" w:type="dxa"/>
          <w:bottom w:w="55" w:type="dxa"/>
          <w:right w:w="55" w:type="dxa"/>
        </w:tblCellMar>
      </w:tblPr>
      <w:tblGrid>
        <w:gridCol w:w="630"/>
        <w:gridCol w:w="3840"/>
        <w:gridCol w:w="915"/>
        <w:gridCol w:w="910"/>
        <w:gridCol w:w="1083"/>
        <w:gridCol w:w="1587"/>
        <w:gridCol w:w="1758"/>
      </w:tblGrid>
      <w:tr>
        <w:trPr>
          <w:tblHeader w:val="true"/>
        </w:trPr>
        <w:tc>
          <w:tcPr>
            <w:tcW w:w="630" w:type="dxa"/>
            <w:tcBorders>
              <w:top w:val="single" w:sz="4" w:space="0" w:color="000000"/>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Item</w:t>
            </w:r>
          </w:p>
        </w:tc>
        <w:tc>
          <w:tcPr>
            <w:tcW w:w="3840"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Descrição Técnica Mínima</w:t>
            </w:r>
          </w:p>
        </w:tc>
        <w:tc>
          <w:tcPr>
            <w:tcW w:w="915"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Und.</w:t>
            </w:r>
          </w:p>
        </w:tc>
        <w:tc>
          <w:tcPr>
            <w:tcW w:w="910"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Qtde.</w:t>
            </w:r>
          </w:p>
        </w:tc>
        <w:tc>
          <w:tcPr>
            <w:tcW w:w="1083"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Marca / Modelo</w:t>
            </w:r>
          </w:p>
        </w:tc>
        <w:tc>
          <w:tcPr>
            <w:tcW w:w="1587" w:type="dxa"/>
            <w:tcBorders>
              <w:top w:val="single" w:sz="4" w:space="0" w:color="000000"/>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Unitário (R$)</w:t>
            </w:r>
          </w:p>
        </w:tc>
        <w:tc>
          <w:tcPr>
            <w:tcW w:w="1758"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Total    (R$)</w:t>
            </w:r>
          </w:p>
        </w:tc>
      </w:tr>
      <w:tr>
        <w:trPr/>
        <w:tc>
          <w:tcPr>
            <w:tcW w:w="630"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1</w:t>
            </w:r>
          </w:p>
        </w:tc>
        <w:tc>
          <w:tcPr>
            <w:tcW w:w="3840" w:type="dxa"/>
            <w:tcBorders>
              <w:left w:val="single" w:sz="4" w:space="0" w:color="000000"/>
              <w:bottom w:val="single" w:sz="4" w:space="0" w:color="000000"/>
            </w:tcBorders>
            <w:vAlign w:val="center"/>
          </w:tcPr>
          <w:p>
            <w:pPr>
              <w:pStyle w:val="Normal"/>
              <w:spacing w:lineRule="auto" w:line="276" w:before="0" w:after="200"/>
              <w:jc w:val="left"/>
              <w:rPr>
                <w:lang w:val="pt-BR"/>
              </w:rPr>
            </w:pPr>
            <w:r>
              <w:rPr>
                <w:rFonts w:cs="Arial" w:ascii="Arial" w:hAnsi="Arial"/>
                <w:sz w:val="24"/>
                <w:szCs w:val="24"/>
                <w:lang w:val="pt-BR"/>
              </w:rPr>
              <w:t>Haste para pasta suspensa: em plástico rígido de alta durabilidade, compatível com pastas de tamanho Ofício/A4, cor preferencialmente branca.</w:t>
            </w:r>
          </w:p>
        </w:tc>
        <w:tc>
          <w:tcPr>
            <w:tcW w:w="91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91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1.000</w:t>
            </w:r>
          </w:p>
        </w:tc>
        <w:tc>
          <w:tcPr>
            <w:tcW w:w="1083"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587"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758" w:type="dxa"/>
            <w:tcBorders>
              <w:left w:val="single" w:sz="4" w:space="0" w:color="000000"/>
              <w:bottom w:val="single" w:sz="4" w:space="0" w:color="000000"/>
              <w:right w:val="single" w:sz="4" w:space="0" w:color="000000"/>
            </w:tcBorders>
            <w:vAlign w:val="center"/>
          </w:tcPr>
          <w:p>
            <w:pPr>
              <w:pStyle w:val="Normal"/>
              <w:widowControl/>
              <w:snapToGrid w:val="false"/>
              <w:spacing w:lineRule="auto" w:line="276" w:before="0" w:after="0"/>
              <w:jc w:val="both"/>
              <w:rPr>
                <w:rFonts w:ascii="Arial" w:hAnsi="Arial" w:cs="Arial"/>
                <w:sz w:val="24"/>
                <w:szCs w:val="24"/>
                <w:lang w:val="pt-BR"/>
              </w:rPr>
            </w:pPr>
            <w:r>
              <w:rPr>
                <w:rFonts w:cs="Arial" w:ascii="Arial" w:hAnsi="Arial"/>
                <w:sz w:val="24"/>
                <w:szCs w:val="24"/>
                <w:lang w:val="pt-BR"/>
              </w:rPr>
            </w:r>
          </w:p>
        </w:tc>
      </w:tr>
      <w:tr>
        <w:trPr/>
        <w:tc>
          <w:tcPr>
            <w:tcW w:w="8965" w:type="dxa"/>
            <w:gridSpan w:val="6"/>
            <w:tcBorders>
              <w:left w:val="single" w:sz="4" w:space="0" w:color="000000"/>
              <w:bottom w:val="single" w:sz="4" w:space="0" w:color="000000"/>
            </w:tcBorders>
            <w:vAlign w:val="center"/>
          </w:tcPr>
          <w:p>
            <w:pPr>
              <w:pStyle w:val="Normal"/>
              <w:spacing w:lineRule="auto" w:line="276" w:before="0" w:after="200"/>
              <w:jc w:val="right"/>
              <w:rPr>
                <w:lang w:val="pt-BR"/>
              </w:rPr>
            </w:pPr>
            <w:r>
              <w:rPr>
                <w:rFonts w:cs="Arial" w:ascii="Arial" w:hAnsi="Arial"/>
                <w:sz w:val="24"/>
                <w:szCs w:val="24"/>
                <w:lang w:val="pt-BR"/>
              </w:rPr>
              <w:t>Valor Total R$</w:t>
            </w:r>
          </w:p>
        </w:tc>
        <w:tc>
          <w:tcPr>
            <w:tcW w:w="1758" w:type="dxa"/>
            <w:tcBorders>
              <w:left w:val="single" w:sz="4" w:space="0" w:color="000000"/>
              <w:bottom w:val="single" w:sz="4" w:space="0" w:color="000000"/>
              <w:right w:val="single" w:sz="4" w:space="0" w:color="000000"/>
            </w:tcBorders>
            <w:vAlign w:val="center"/>
          </w:tcPr>
          <w:p>
            <w:pPr>
              <w:pStyle w:val="Normal"/>
              <w:snapToGrid w:val="false"/>
              <w:spacing w:lineRule="auto" w:line="276" w:before="0" w:after="200"/>
              <w:jc w:val="both"/>
              <w:rPr>
                <w:rFonts w:ascii="Arial" w:hAnsi="Arial" w:cs="Arial"/>
                <w:sz w:val="24"/>
                <w:szCs w:val="24"/>
                <w:lang w:val="pt-BR"/>
              </w:rPr>
            </w:pPr>
            <w:r>
              <w:rPr>
                <w:rFonts w:cs="Arial" w:ascii="Arial" w:hAnsi="Arial"/>
                <w:sz w:val="24"/>
                <w:szCs w:val="24"/>
                <w:lang w:val="pt-BR"/>
              </w:rPr>
            </w:r>
          </w:p>
        </w:tc>
      </w:tr>
      <w:tr>
        <w:trPr/>
        <w:tc>
          <w:tcPr>
            <w:tcW w:w="630"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Item</w:t>
            </w:r>
          </w:p>
        </w:tc>
        <w:tc>
          <w:tcPr>
            <w:tcW w:w="384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Descrição Técnica Mínima</w:t>
            </w:r>
          </w:p>
        </w:tc>
        <w:tc>
          <w:tcPr>
            <w:tcW w:w="91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Und.</w:t>
            </w:r>
          </w:p>
        </w:tc>
        <w:tc>
          <w:tcPr>
            <w:tcW w:w="91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Qtde.</w:t>
            </w:r>
          </w:p>
        </w:tc>
        <w:tc>
          <w:tcPr>
            <w:tcW w:w="1083"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Marca / Modelo</w:t>
            </w:r>
          </w:p>
        </w:tc>
        <w:tc>
          <w:tcPr>
            <w:tcW w:w="1587"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Unitário (R$)</w:t>
            </w:r>
          </w:p>
        </w:tc>
        <w:tc>
          <w:tcPr>
            <w:tcW w:w="1758" w:type="dxa"/>
            <w:tcBorders>
              <w:left w:val="single" w:sz="4" w:space="0" w:color="000000"/>
              <w:bottom w:val="single" w:sz="4" w:space="0" w:color="000000"/>
              <w:right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Valor Total    (R$)</w:t>
            </w:r>
          </w:p>
        </w:tc>
      </w:tr>
      <w:tr>
        <w:trPr/>
        <w:tc>
          <w:tcPr>
            <w:tcW w:w="630" w:type="dxa"/>
            <w:tcBorders>
              <w:left w:val="single" w:sz="4" w:space="0" w:color="000000"/>
              <w:bottom w:val="single" w:sz="4" w:space="0" w:color="000000"/>
            </w:tcBorders>
            <w:vAlign w:val="center"/>
          </w:tcPr>
          <w:p>
            <w:pPr>
              <w:pStyle w:val="Normal"/>
              <w:spacing w:lineRule="auto" w:line="276" w:before="0" w:after="200"/>
              <w:jc w:val="both"/>
              <w:rPr>
                <w:lang w:val="pt-BR"/>
              </w:rPr>
            </w:pPr>
            <w:r>
              <w:rPr>
                <w:rFonts w:cs="Arial" w:ascii="Arial" w:hAnsi="Arial"/>
                <w:sz w:val="24"/>
                <w:szCs w:val="24"/>
                <w:lang w:val="pt-BR"/>
              </w:rPr>
              <w:t>2</w:t>
            </w:r>
          </w:p>
        </w:tc>
        <w:tc>
          <w:tcPr>
            <w:tcW w:w="3840" w:type="dxa"/>
            <w:tcBorders>
              <w:left w:val="single" w:sz="4" w:space="0" w:color="000000"/>
              <w:bottom w:val="single" w:sz="4" w:space="0" w:color="000000"/>
            </w:tcBorders>
            <w:vAlign w:val="center"/>
          </w:tcPr>
          <w:p>
            <w:pPr>
              <w:pStyle w:val="Normal"/>
              <w:spacing w:lineRule="auto" w:line="276" w:before="0" w:after="200"/>
              <w:jc w:val="left"/>
              <w:rPr>
                <w:lang w:val="pt-BR"/>
              </w:rPr>
            </w:pPr>
            <w:r>
              <w:rPr>
                <w:rFonts w:cs="Arial" w:ascii="Arial" w:hAnsi="Arial"/>
                <w:sz w:val="24"/>
                <w:szCs w:val="24"/>
                <w:lang w:val="pt-BR"/>
              </w:rPr>
              <w:t>Folha para acondicionamento de negativos fotográficos em filme 35 mm, modelo 35-7BXW ou equivalente, com capacidade para 7 tiras de 6 fotogramas, confeccionada em polietileno e polipropileno transparentes, livre de ácidos, adequada para preservação arquivística de longo prazo. Cor: Transparente.</w:t>
            </w:r>
          </w:p>
        </w:tc>
        <w:tc>
          <w:tcPr>
            <w:tcW w:w="915"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Unid.</w:t>
            </w:r>
          </w:p>
        </w:tc>
        <w:tc>
          <w:tcPr>
            <w:tcW w:w="910" w:type="dxa"/>
            <w:tcBorders>
              <w:left w:val="single" w:sz="4" w:space="0" w:color="000000"/>
              <w:bottom w:val="single" w:sz="4" w:space="0" w:color="000000"/>
            </w:tcBorders>
            <w:vAlign w:val="center"/>
          </w:tcPr>
          <w:p>
            <w:pPr>
              <w:pStyle w:val="Normal"/>
              <w:spacing w:lineRule="auto" w:line="276" w:before="0" w:after="200"/>
              <w:jc w:val="center"/>
              <w:rPr>
                <w:lang w:val="pt-BR"/>
              </w:rPr>
            </w:pPr>
            <w:r>
              <w:rPr>
                <w:rFonts w:cs="Arial" w:ascii="Arial" w:hAnsi="Arial"/>
                <w:sz w:val="24"/>
                <w:szCs w:val="24"/>
                <w:lang w:val="pt-BR"/>
              </w:rPr>
              <w:t>200</w:t>
            </w:r>
          </w:p>
        </w:tc>
        <w:tc>
          <w:tcPr>
            <w:tcW w:w="1083"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587" w:type="dxa"/>
            <w:tcBorders>
              <w:left w:val="single" w:sz="4" w:space="0" w:color="000000"/>
              <w:bottom w:val="single" w:sz="4" w:space="0" w:color="000000"/>
            </w:tcBorders>
            <w:vAlign w:val="center"/>
          </w:tcPr>
          <w:p>
            <w:pPr>
              <w:pStyle w:val="Normal"/>
              <w:widowControl/>
              <w:snapToGrid w:val="false"/>
              <w:spacing w:lineRule="auto" w:line="276" w:before="0" w:after="0"/>
              <w:jc w:val="center"/>
              <w:rPr>
                <w:rFonts w:ascii="Arial" w:hAnsi="Arial" w:cs="Arial"/>
                <w:sz w:val="24"/>
                <w:szCs w:val="24"/>
                <w:lang w:val="pt-BR"/>
              </w:rPr>
            </w:pPr>
            <w:r>
              <w:rPr>
                <w:rFonts w:cs="Arial" w:ascii="Arial" w:hAnsi="Arial"/>
                <w:sz w:val="24"/>
                <w:szCs w:val="24"/>
                <w:lang w:val="pt-BR"/>
              </w:rPr>
            </w:r>
          </w:p>
        </w:tc>
        <w:tc>
          <w:tcPr>
            <w:tcW w:w="1758" w:type="dxa"/>
            <w:tcBorders>
              <w:left w:val="single" w:sz="4" w:space="0" w:color="000000"/>
              <w:bottom w:val="single" w:sz="4" w:space="0" w:color="000000"/>
              <w:right w:val="single" w:sz="4" w:space="0" w:color="000000"/>
            </w:tcBorders>
            <w:vAlign w:val="center"/>
          </w:tcPr>
          <w:p>
            <w:pPr>
              <w:pStyle w:val="Normal"/>
              <w:widowControl/>
              <w:snapToGrid w:val="false"/>
              <w:spacing w:lineRule="auto" w:line="276" w:before="0" w:after="0"/>
              <w:jc w:val="both"/>
              <w:rPr>
                <w:rFonts w:ascii="Arial" w:hAnsi="Arial" w:cs="Arial"/>
                <w:sz w:val="24"/>
                <w:szCs w:val="24"/>
                <w:lang w:val="pt-BR"/>
              </w:rPr>
            </w:pPr>
            <w:r>
              <w:rPr>
                <w:rFonts w:cs="Arial" w:ascii="Arial" w:hAnsi="Arial"/>
                <w:sz w:val="24"/>
                <w:szCs w:val="24"/>
                <w:lang w:val="pt-BR"/>
              </w:rPr>
            </w:r>
          </w:p>
        </w:tc>
      </w:tr>
      <w:tr>
        <w:trPr>
          <w:trHeight w:val="829" w:hRule="atLeast"/>
        </w:trPr>
        <w:tc>
          <w:tcPr>
            <w:tcW w:w="8965" w:type="dxa"/>
            <w:gridSpan w:val="6"/>
            <w:tcBorders>
              <w:left w:val="single" w:sz="4" w:space="0" w:color="000000"/>
              <w:bottom w:val="single" w:sz="4" w:space="0" w:color="000000"/>
            </w:tcBorders>
            <w:vAlign w:val="center"/>
          </w:tcPr>
          <w:p>
            <w:pPr>
              <w:pStyle w:val="Normal"/>
              <w:spacing w:lineRule="auto" w:line="276" w:before="0" w:after="200"/>
              <w:jc w:val="right"/>
              <w:rPr>
                <w:lang w:val="pt-BR"/>
              </w:rPr>
            </w:pPr>
            <w:r>
              <w:rPr>
                <w:rFonts w:cs="Arial" w:ascii="Arial" w:hAnsi="Arial"/>
                <w:sz w:val="24"/>
                <w:szCs w:val="24"/>
                <w:lang w:val="pt-BR"/>
              </w:rPr>
              <w:t>Valor Total R$</w:t>
            </w:r>
          </w:p>
        </w:tc>
        <w:tc>
          <w:tcPr>
            <w:tcW w:w="1758" w:type="dxa"/>
            <w:tcBorders>
              <w:left w:val="single" w:sz="4" w:space="0" w:color="000000"/>
              <w:bottom w:val="single" w:sz="4" w:space="0" w:color="000000"/>
              <w:right w:val="single" w:sz="4" w:space="0" w:color="000000"/>
            </w:tcBorders>
            <w:vAlign w:val="center"/>
          </w:tcPr>
          <w:p>
            <w:pPr>
              <w:pStyle w:val="Normal"/>
              <w:snapToGrid w:val="false"/>
              <w:spacing w:lineRule="auto" w:line="276" w:before="0" w:after="200"/>
              <w:jc w:val="both"/>
              <w:rPr>
                <w:rFonts w:ascii="Arial" w:hAnsi="Arial" w:cs="Arial"/>
                <w:sz w:val="24"/>
                <w:szCs w:val="24"/>
                <w:lang w:val="pt-BR"/>
              </w:rPr>
            </w:pPr>
            <w:r>
              <w:rPr>
                <w:rFonts w:cs="Arial" w:ascii="Arial" w:hAnsi="Arial"/>
                <w:sz w:val="24"/>
                <w:szCs w:val="24"/>
                <w:lang w:val="pt-BR"/>
              </w:rPr>
            </w:r>
          </w:p>
        </w:tc>
      </w:tr>
    </w:tbl>
    <w:p>
      <w:pPr>
        <w:pStyle w:val="Normal"/>
        <w:spacing w:lineRule="auto" w:line="276"/>
        <w:jc w:val="both"/>
        <w:rPr>
          <w:lang w:val="pt-BR"/>
        </w:rPr>
      </w:pPr>
      <w:r>
        <w:rPr>
          <w:rFonts w:cs="Arial" w:ascii="Arial" w:hAnsi="Arial"/>
          <w:b/>
          <w:sz w:val="24"/>
          <w:szCs w:val="24"/>
          <w:lang w:val="pt-BR"/>
        </w:rPr>
        <w:t>Valor total da Autorização de Fornecimento: R$..................... (...........................)</w:t>
      </w:r>
    </w:p>
    <w:p>
      <w:pPr>
        <w:pStyle w:val="Normal"/>
        <w:numPr>
          <w:ilvl w:val="0"/>
          <w:numId w:val="6"/>
        </w:numPr>
        <w:spacing w:lineRule="auto" w:line="276"/>
        <w:ind w:hanging="360" w:left="426" w:right="0"/>
        <w:jc w:val="both"/>
        <w:rPr>
          <w:lang w:val="pt-BR"/>
        </w:rPr>
      </w:pPr>
      <w:r>
        <w:rPr>
          <w:rFonts w:cs="Arial" w:ascii="Arial" w:hAnsi="Arial"/>
          <w:b/>
          <w:sz w:val="24"/>
          <w:szCs w:val="24"/>
          <w:lang w:val="pt-BR"/>
        </w:rPr>
        <w:t>DA EXECUÇÃO DO OBJETO:</w:t>
      </w:r>
    </w:p>
    <w:p>
      <w:pPr>
        <w:pStyle w:val="SemEspaamento"/>
        <w:spacing w:lineRule="auto" w:line="276"/>
        <w:jc w:val="both"/>
        <w:rPr>
          <w:lang w:val="pt-BR"/>
        </w:rPr>
      </w:pPr>
      <w:r>
        <w:rPr>
          <w:rFonts w:eastAsia="ヒラギノ角ゴ Pro W3;Cambria" w:cs="Arial" w:ascii="Arial" w:hAnsi="Arial"/>
          <w:b/>
          <w:bCs/>
          <w:sz w:val="24"/>
          <w:szCs w:val="24"/>
          <w:lang w:val="pt-BR" w:eastAsia="en-US"/>
        </w:rPr>
        <w:t>1.1 Prazo e forma de entrega</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1.1.1.</w:t>
      </w:r>
      <w:r>
        <w:rPr>
          <w:rFonts w:eastAsia="Calibri" w:cs="Arial" w:ascii="Arial" w:hAnsi="Arial"/>
          <w:b w:val="false"/>
          <w:bCs w:val="false"/>
          <w:kern w:val="0"/>
          <w:sz w:val="24"/>
          <w:szCs w:val="24"/>
          <w:lang w:val="pt-BR" w:eastAsia="en-US"/>
        </w:rPr>
        <w:t xml:space="preserve">O fornecimento do(s) item(ns) desta Autorização de Fornecimento ocorrerá de forma ÚNICA, no prazo de até 10 (dez) dias úteis, contados do recebimento da Autorização de Fornecimento – AF, emitida pela Fundação; </w:t>
      </w:r>
    </w:p>
    <w:p>
      <w:pPr>
        <w:pStyle w:val="SemEspaamento"/>
        <w:spacing w:lineRule="auto" w:line="276"/>
        <w:jc w:val="both"/>
        <w:rPr>
          <w:rFonts w:ascii="Arial" w:hAnsi="Arial" w:eastAsia="ヒラギノ角ゴ Pro W3;Cambria" w:cs="Arial"/>
          <w:b w:val="false"/>
          <w:bCs w:val="false"/>
          <w:sz w:val="24"/>
          <w:szCs w:val="24"/>
          <w:lang w:val="pt-BR" w:eastAsia="en-US"/>
        </w:rPr>
      </w:pPr>
      <w:r>
        <w:rPr>
          <w:rFonts w:eastAsia="ヒラギノ角ゴ Pro W3;Cambria" w:cs="Arial" w:ascii="Arial" w:hAnsi="Arial"/>
          <w:b w:val="false"/>
          <w:bCs w:val="false"/>
          <w:sz w:val="24"/>
          <w:szCs w:val="24"/>
          <w:lang w:val="pt-BR" w:eastAsia="en-US"/>
        </w:rPr>
      </w:r>
    </w:p>
    <w:p>
      <w:pPr>
        <w:pStyle w:val="SemEspaamento"/>
        <w:spacing w:lineRule="auto" w:line="276"/>
        <w:jc w:val="both"/>
        <w:rPr>
          <w:lang w:val="pt-BR"/>
        </w:rPr>
      </w:pPr>
      <w:r>
        <w:rPr>
          <w:rFonts w:eastAsia="ヒラギノ角ゴ Pro W3;Cambria" w:cs="Arial" w:ascii="Arial" w:hAnsi="Arial"/>
          <w:b/>
          <w:bCs/>
          <w:sz w:val="24"/>
          <w:szCs w:val="24"/>
          <w:lang w:val="pt-BR" w:eastAsia="en-US"/>
        </w:rPr>
        <w:t>1.2 Local de entrega</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 xml:space="preserve">1.2.1. </w:t>
      </w:r>
      <w:r>
        <w:rPr>
          <w:rFonts w:eastAsia="Calibri" w:cs="Arial" w:ascii="Arial" w:hAnsi="Arial"/>
          <w:b w:val="false"/>
          <w:bCs w:val="false"/>
          <w:kern w:val="0"/>
          <w:sz w:val="24"/>
          <w:szCs w:val="24"/>
          <w:lang w:val="pt-BR" w:eastAsia="en-US"/>
        </w:rPr>
        <w:t>O Objeto deverá ser entregue no horário das 09 h às 16 h, de segunda a sexta-feira, exceto feriados e pontos facultativos, na Fundação Arquivo e Memória de Santos – Arquivo Permanente – FAMS-AP, Rua Amador Bueno, n.º 61, Centro – Santos/SP.</w:t>
      </w:r>
    </w:p>
    <w:p>
      <w:pPr>
        <w:pStyle w:val="SemEspaamento"/>
        <w:spacing w:lineRule="auto" w:line="276"/>
        <w:jc w:val="both"/>
        <w:rPr>
          <w:rFonts w:ascii="Arial" w:hAnsi="Arial" w:eastAsia="Calibri" w:cs="Arial"/>
          <w:b w:val="false"/>
          <w:bCs w:val="false"/>
          <w:kern w:val="0"/>
          <w:sz w:val="24"/>
          <w:szCs w:val="24"/>
          <w:lang w:val="pt-BR" w:eastAsia="en-US"/>
        </w:rPr>
      </w:pPr>
      <w:r>
        <w:rPr>
          <w:rFonts w:eastAsia="Calibri" w:cs="Arial" w:ascii="Arial" w:hAnsi="Arial"/>
          <w:b w:val="false"/>
          <w:bCs w:val="false"/>
          <w:kern w:val="0"/>
          <w:sz w:val="24"/>
          <w:szCs w:val="24"/>
          <w:lang w:val="pt-BR" w:eastAsia="en-US"/>
        </w:rPr>
      </w:r>
    </w:p>
    <w:p>
      <w:pPr>
        <w:pStyle w:val="SemEspaamento"/>
        <w:spacing w:lineRule="auto" w:line="276"/>
        <w:jc w:val="both"/>
        <w:rPr>
          <w:lang w:val="pt-BR"/>
        </w:rPr>
      </w:pPr>
      <w:r>
        <w:rPr>
          <w:rFonts w:eastAsia="ヒラギノ角ゴ Pro W3;Cambria" w:cs="Arial" w:ascii="Arial" w:hAnsi="Arial"/>
          <w:b/>
          <w:bCs/>
          <w:sz w:val="24"/>
          <w:szCs w:val="24"/>
          <w:lang w:val="pt-BR" w:eastAsia="en-US"/>
        </w:rPr>
        <w:t>1.3 Condições de entrega</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1.3.1. A entrega deverá ocorrer em perfeitas condições de uso, sem avarias, deformações ou defeitos de fabricação.</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1.3.2. Os produtos deverão ser acondicionados adequadamente para evitar danos durante o transporte.</w:t>
      </w:r>
    </w:p>
    <w:p>
      <w:pPr>
        <w:pStyle w:val="SemEspaamento"/>
        <w:spacing w:lineRule="auto" w:line="276"/>
        <w:jc w:val="both"/>
        <w:rPr>
          <w:rFonts w:ascii="Arial" w:hAnsi="Arial" w:eastAsia="ヒラギノ角ゴ Pro W3;Cambria" w:cs="Arial"/>
          <w:b w:val="false"/>
          <w:bCs w:val="false"/>
          <w:sz w:val="24"/>
          <w:szCs w:val="24"/>
          <w:lang w:val="pt-BR" w:eastAsia="en-US"/>
        </w:rPr>
      </w:pPr>
      <w:r>
        <w:rPr>
          <w:rFonts w:eastAsia="ヒラギノ角ゴ Pro W3;Cambria" w:cs="Arial" w:ascii="Arial" w:hAnsi="Arial"/>
          <w:b w:val="false"/>
          <w:bCs w:val="false"/>
          <w:sz w:val="24"/>
          <w:szCs w:val="24"/>
          <w:lang w:val="pt-BR" w:eastAsia="en-US"/>
        </w:rPr>
      </w:r>
    </w:p>
    <w:p>
      <w:pPr>
        <w:pStyle w:val="SemEspaamento"/>
        <w:spacing w:lineRule="auto" w:line="276"/>
        <w:jc w:val="both"/>
        <w:rPr>
          <w:lang w:val="pt-BR"/>
        </w:rPr>
      </w:pPr>
      <w:r>
        <w:rPr>
          <w:rFonts w:eastAsia="ヒラギノ角ゴ Pro W3;Cambria" w:cs="Arial" w:ascii="Arial" w:hAnsi="Arial"/>
          <w:b/>
          <w:bCs/>
          <w:sz w:val="24"/>
          <w:szCs w:val="24"/>
          <w:lang w:val="pt-BR" w:eastAsia="en-US"/>
        </w:rPr>
        <w:t>1.4 Recebimento</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1.4.1. O recebimento do objeto observará o disposto no art. 140 da Lei Federal nº 14.133/2021, ocorrendo da seguinte forma:</w:t>
      </w:r>
    </w:p>
    <w:p>
      <w:pPr>
        <w:pStyle w:val="SemEspaamento"/>
        <w:spacing w:lineRule="auto" w:line="276"/>
        <w:jc w:val="both"/>
        <w:rPr>
          <w:b w:val="false"/>
          <w:bCs w:val="false"/>
        </w:rPr>
      </w:pPr>
      <w:r>
        <w:rPr>
          <w:rFonts w:eastAsia="ヒラギノ角ゴ Pro W3;Cambria" w:cs="Arial" w:ascii="Arial" w:hAnsi="Arial"/>
          <w:b w:val="false"/>
          <w:bCs w:val="false"/>
          <w:sz w:val="24"/>
          <w:szCs w:val="24"/>
          <w:lang w:val="pt-BR" w:eastAsia="en-US"/>
        </w:rPr>
        <w:t>a) Recebimento provisório</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Ocorrerá no ato da entrega dos materiais, para verificação preliminar das quantidades e das condições aparentes do objeto.</w:t>
      </w:r>
    </w:p>
    <w:p>
      <w:pPr>
        <w:pStyle w:val="SemEspaamento"/>
        <w:spacing w:lineRule="auto" w:line="276"/>
        <w:jc w:val="both"/>
        <w:rPr>
          <w:b w:val="false"/>
          <w:bCs w:val="false"/>
        </w:rPr>
      </w:pPr>
      <w:r>
        <w:rPr>
          <w:rFonts w:eastAsia="ヒラギノ角ゴ Pro W3;Cambria" w:cs="Arial" w:ascii="Arial" w:hAnsi="Arial"/>
          <w:b w:val="false"/>
          <w:bCs w:val="false"/>
          <w:sz w:val="24"/>
          <w:szCs w:val="24"/>
          <w:lang w:val="pt-BR" w:eastAsia="en-US"/>
        </w:rPr>
        <w:t>b) Recebimento definitivo</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Ocorrerá em até 05 (cinco) dias úteis após o recebimento provisório, mediante verificação da conformidade do material com as especificações técnicas previstas neste Termo de Referência.</w:t>
      </w:r>
    </w:p>
    <w:p>
      <w:pPr>
        <w:pStyle w:val="SemEspaamento"/>
        <w:spacing w:lineRule="auto" w:line="276"/>
        <w:jc w:val="both"/>
        <w:rPr>
          <w:lang w:val="pt-BR"/>
        </w:rPr>
      </w:pPr>
      <w:r>
        <w:rPr>
          <w:rFonts w:eastAsia="ヒラギノ角ゴ Pro W3;Cambria" w:cs="Arial" w:ascii="Arial" w:hAnsi="Arial"/>
          <w:b w:val="false"/>
          <w:bCs w:val="false"/>
          <w:sz w:val="24"/>
          <w:szCs w:val="24"/>
          <w:lang w:val="pt-BR" w:eastAsia="en-US"/>
        </w:rPr>
        <w:t>1.4.2. Constatadas irregularidades, a contratada será notificada para promover a substituição dos materiais rejeitados, sem ônus adicional para a Fundação.</w:t>
      </w:r>
    </w:p>
    <w:p>
      <w:pPr>
        <w:pStyle w:val="SemEspaamento"/>
        <w:spacing w:lineRule="auto" w:line="276"/>
        <w:jc w:val="both"/>
        <w:rPr>
          <w:rFonts w:ascii="Arial" w:hAnsi="Arial" w:cs="Arial"/>
          <w:b/>
          <w:sz w:val="24"/>
          <w:szCs w:val="24"/>
          <w:lang w:val="pt-BR"/>
        </w:rPr>
      </w:pPr>
      <w:r>
        <w:rPr>
          <w:rFonts w:cs="Arial" w:ascii="Arial" w:hAnsi="Arial"/>
          <w:b/>
          <w:sz w:val="24"/>
          <w:szCs w:val="24"/>
          <w:lang w:val="pt-BR"/>
        </w:rPr>
      </w:r>
    </w:p>
    <w:p>
      <w:pPr>
        <w:pStyle w:val="Normal"/>
        <w:spacing w:lineRule="auto" w:line="276"/>
        <w:jc w:val="both"/>
        <w:rPr>
          <w:lang w:val="pt-BR"/>
        </w:rPr>
      </w:pPr>
      <w:r>
        <w:rPr>
          <w:rFonts w:cs="Arial" w:ascii="Arial" w:hAnsi="Arial"/>
          <w:b/>
          <w:sz w:val="24"/>
          <w:szCs w:val="24"/>
          <w:lang w:val="pt-BR"/>
        </w:rPr>
        <w:t xml:space="preserve">2. PROCEDIMENTO DE FISCALIZAÇÃO E GERENCIAMENTO: </w:t>
      </w:r>
    </w:p>
    <w:p>
      <w:pPr>
        <w:pStyle w:val="SemEspaamento"/>
        <w:spacing w:lineRule="auto" w:line="276"/>
        <w:jc w:val="both"/>
        <w:rPr/>
      </w:pPr>
      <w:r>
        <w:rPr>
          <w:rStyle w:val="Hyperlink"/>
          <w:rFonts w:cs="Arial" w:ascii="Arial" w:hAnsi="Arial"/>
          <w:bCs/>
          <w:color w:val="000000"/>
          <w:sz w:val="24"/>
          <w:szCs w:val="24"/>
          <w:u w:val="none"/>
          <w:lang w:val="pt-BR"/>
        </w:rPr>
        <w:t>2.1. O ajuste deverá ser executado fielmente pelas partes, de acordo com as cláusulas avençadas e as normas da Lei n.º 14.133, de 2021, e cada parte responderá pelas consequências de sua inexecução total ou parcial;</w:t>
      </w:r>
    </w:p>
    <w:p>
      <w:pPr>
        <w:pStyle w:val="SemEspaamento"/>
        <w:spacing w:lineRule="auto" w:line="276"/>
        <w:jc w:val="both"/>
        <w:rPr/>
      </w:pPr>
      <w:r>
        <w:rPr>
          <w:rStyle w:val="Hyperlink"/>
          <w:rFonts w:cs="Arial" w:ascii="Arial" w:hAnsi="Arial"/>
          <w:bCs/>
          <w:color w:val="000000"/>
          <w:sz w:val="24"/>
          <w:szCs w:val="24"/>
          <w:u w:val="none"/>
          <w:lang w:val="pt-BR"/>
        </w:rPr>
        <w:t>2.2. A fiscalização e gerenciamento do ajuste serão realizados pelo Responsável da Diretoria Técnica, ou pessoa por ele(a) designado(a).</w:t>
      </w:r>
    </w:p>
    <w:p>
      <w:pPr>
        <w:pStyle w:val="SemEspaamento"/>
        <w:spacing w:lineRule="auto" w:line="276"/>
        <w:jc w:val="both"/>
        <w:rPr/>
      </w:pPr>
      <w:r>
        <w:rPr>
          <w:rStyle w:val="Hyperlink"/>
          <w:rFonts w:cs="Arial" w:ascii="Arial" w:hAnsi="Arial"/>
          <w:bCs/>
          <w:color w:val="000000"/>
          <w:sz w:val="24"/>
          <w:szCs w:val="24"/>
          <w:u w:val="none"/>
          <w:lang w:val="pt-BR"/>
        </w:rPr>
        <w:t>2.3. Compete ao fiscal:</w:t>
      </w:r>
    </w:p>
    <w:p>
      <w:pPr>
        <w:pStyle w:val="SemEspaamento"/>
        <w:spacing w:lineRule="auto" w:line="276"/>
        <w:jc w:val="both"/>
        <w:rPr/>
      </w:pP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w:t>
      </w: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acompanhar a execução do fornecimento;</w:t>
      </w:r>
    </w:p>
    <w:p>
      <w:pPr>
        <w:pStyle w:val="SemEspaamento"/>
        <w:spacing w:lineRule="auto" w:line="276"/>
        <w:jc w:val="both"/>
        <w:rPr/>
      </w:pP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w:t>
      </w: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verificar conformidade quantitativa e qualitativa;</w:t>
      </w:r>
    </w:p>
    <w:p>
      <w:pPr>
        <w:pStyle w:val="SemEspaamento"/>
        <w:spacing w:lineRule="auto" w:line="276"/>
        <w:jc w:val="both"/>
        <w:rPr/>
      </w:pP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w:t>
      </w: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atestar recebimento;</w:t>
      </w:r>
    </w:p>
    <w:p>
      <w:pPr>
        <w:pStyle w:val="SemEspaamento"/>
        <w:spacing w:lineRule="auto" w:line="276"/>
        <w:jc w:val="both"/>
        <w:rPr/>
      </w:pP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w:t>
      </w: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comunicar irregularidades;</w:t>
      </w:r>
    </w:p>
    <w:p>
      <w:pPr>
        <w:pStyle w:val="SemEspaamento"/>
        <w:spacing w:lineRule="auto" w:line="276"/>
        <w:jc w:val="both"/>
        <w:rPr/>
      </w:pP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w:t>
      </w:r>
      <w:r>
        <w:rPr>
          <w:rStyle w:val="Hyperlink"/>
          <w:rFonts w:eastAsia="Arial" w:cs="Arial" w:ascii="Arial" w:hAnsi="Arial"/>
          <w:bCs/>
          <w:color w:val="000000"/>
          <w:sz w:val="24"/>
          <w:szCs w:val="24"/>
          <w:u w:val="none"/>
          <w:lang w:val="pt-BR"/>
        </w:rPr>
        <w:t xml:space="preserve"> </w:t>
      </w:r>
      <w:r>
        <w:rPr>
          <w:rStyle w:val="Hyperlink"/>
          <w:rFonts w:cs="Arial" w:ascii="Arial" w:hAnsi="Arial"/>
          <w:bCs/>
          <w:color w:val="000000"/>
          <w:sz w:val="24"/>
          <w:szCs w:val="24"/>
          <w:u w:val="none"/>
          <w:lang w:val="pt-BR"/>
        </w:rPr>
        <w:t>solicitar substituição de materiais defeituosos.</w:t>
      </w:r>
    </w:p>
    <w:p>
      <w:pPr>
        <w:pStyle w:val="Normal"/>
        <w:spacing w:lineRule="auto" w:line="276"/>
        <w:ind w:left="-11" w:right="0"/>
        <w:jc w:val="both"/>
        <w:rPr>
          <w:rFonts w:ascii="Arial" w:hAnsi="Arial" w:cs="Arial"/>
          <w:sz w:val="24"/>
          <w:szCs w:val="24"/>
          <w:lang w:val="pt-BR"/>
        </w:rPr>
      </w:pPr>
      <w:r>
        <w:rPr>
          <w:rFonts w:cs="Arial" w:ascii="Arial" w:hAnsi="Arial"/>
          <w:sz w:val="24"/>
          <w:szCs w:val="24"/>
          <w:lang w:val="pt-BR"/>
        </w:rPr>
      </w:r>
    </w:p>
    <w:p>
      <w:pPr>
        <w:pStyle w:val="Normal"/>
        <w:spacing w:lineRule="auto" w:line="276"/>
        <w:jc w:val="both"/>
        <w:rPr>
          <w:lang w:val="pt-BR"/>
        </w:rPr>
      </w:pPr>
      <w:r>
        <w:rPr>
          <w:rFonts w:cs="Arial" w:ascii="Arial" w:hAnsi="Arial"/>
          <w:b/>
          <w:sz w:val="24"/>
          <w:szCs w:val="24"/>
          <w:lang w:val="pt-BR"/>
        </w:rPr>
        <w:t>3. DO FATURAMENTO E DO PAGAMENTO:</w:t>
      </w:r>
    </w:p>
    <w:p>
      <w:pPr>
        <w:pStyle w:val="BodyText"/>
        <w:spacing w:lineRule="auto" w:line="276"/>
        <w:jc w:val="both"/>
        <w:rPr/>
      </w:pPr>
      <w:r>
        <w:rPr>
          <w:rStyle w:val="Strong"/>
          <w:rFonts w:eastAsia="Times New Roman" w:cs="Arial" w:ascii="Arial" w:hAnsi="Arial"/>
          <w:b w:val="false"/>
          <w:bCs w:val="false"/>
          <w:sz w:val="24"/>
          <w:szCs w:val="24"/>
          <w:lang w:val="pt-BR"/>
        </w:rPr>
        <w:t>3.1 Medição</w:t>
      </w:r>
    </w:p>
    <w:p>
      <w:pPr>
        <w:pStyle w:val="BodyText"/>
        <w:widowControl/>
        <w:bidi w:val="0"/>
        <w:spacing w:lineRule="auto" w:line="276" w:before="0" w:after="200"/>
        <w:ind w:hanging="0" w:left="0" w:right="0"/>
        <w:jc w:val="both"/>
        <w:rPr>
          <w:lang w:val="pt-BR"/>
        </w:rPr>
      </w:pPr>
      <w:r>
        <w:rPr>
          <w:rFonts w:eastAsia="Times New Roman" w:cs="Arial" w:ascii="Arial" w:hAnsi="Arial"/>
          <w:b w:val="false"/>
          <w:bCs w:val="false"/>
          <w:sz w:val="24"/>
          <w:szCs w:val="24"/>
          <w:lang w:val="pt-BR"/>
        </w:rPr>
        <w:t>3.1.1. A medição do objeto será realizada por entrega efetivamente executada e recebida pela Fundação Arquivo e Memória de Santos – FAMS, observando-se:</w:t>
      </w:r>
    </w:p>
    <w:p>
      <w:pPr>
        <w:pStyle w:val="BodyText"/>
        <w:widowControl/>
        <w:numPr>
          <w:ilvl w:val="0"/>
          <w:numId w:val="22"/>
        </w:numPr>
        <w:tabs>
          <w:tab w:val="clear" w:pos="709"/>
          <w:tab w:val="left" w:pos="0" w:leader="none"/>
        </w:tabs>
        <w:bidi w:val="0"/>
        <w:spacing w:lineRule="auto" w:line="276"/>
        <w:ind w:hanging="283" w:left="709" w:right="0"/>
        <w:jc w:val="both"/>
        <w:rPr>
          <w:lang w:val="pt-BR"/>
        </w:rPr>
      </w:pPr>
      <w:r>
        <w:rPr>
          <w:rFonts w:eastAsia="Times New Roman" w:cs="Arial" w:ascii="Arial" w:hAnsi="Arial"/>
          <w:b w:val="false"/>
          <w:bCs w:val="false"/>
          <w:sz w:val="24"/>
          <w:szCs w:val="24"/>
          <w:lang w:val="pt-BR"/>
        </w:rPr>
        <w:t xml:space="preserve">a conformidade quantitativa; </w:t>
      </w:r>
    </w:p>
    <w:p>
      <w:pPr>
        <w:pStyle w:val="BodyText"/>
        <w:widowControl/>
        <w:numPr>
          <w:ilvl w:val="0"/>
          <w:numId w:val="22"/>
        </w:numPr>
        <w:tabs>
          <w:tab w:val="clear" w:pos="709"/>
          <w:tab w:val="left" w:pos="0" w:leader="none"/>
        </w:tabs>
        <w:bidi w:val="0"/>
        <w:spacing w:lineRule="auto" w:line="276"/>
        <w:ind w:hanging="283" w:left="873" w:right="0"/>
        <w:jc w:val="both"/>
        <w:rPr>
          <w:lang w:val="pt-BR"/>
        </w:rPr>
      </w:pPr>
      <w:r>
        <w:rPr>
          <w:rFonts w:eastAsia="Times New Roman" w:cs="Arial" w:ascii="Arial" w:hAnsi="Arial"/>
          <w:b w:val="false"/>
          <w:bCs w:val="false"/>
          <w:sz w:val="24"/>
          <w:szCs w:val="24"/>
          <w:lang w:val="pt-BR"/>
        </w:rPr>
        <w:t xml:space="preserve">a conformidade qualitativa; </w:t>
      </w:r>
    </w:p>
    <w:p>
      <w:pPr>
        <w:pStyle w:val="BodyText"/>
        <w:widowControl/>
        <w:numPr>
          <w:ilvl w:val="0"/>
          <w:numId w:val="22"/>
        </w:numPr>
        <w:tabs>
          <w:tab w:val="clear" w:pos="709"/>
          <w:tab w:val="left" w:pos="0" w:leader="none"/>
        </w:tabs>
        <w:bidi w:val="0"/>
        <w:spacing w:lineRule="auto" w:line="276" w:before="0" w:after="283"/>
        <w:ind w:hanging="283" w:left="873" w:right="0"/>
        <w:jc w:val="both"/>
        <w:rPr>
          <w:lang w:val="pt-BR"/>
        </w:rPr>
      </w:pPr>
      <w:r>
        <w:rPr>
          <w:rFonts w:eastAsia="Times New Roman" w:cs="Arial" w:ascii="Arial" w:hAnsi="Arial"/>
          <w:b w:val="false"/>
          <w:bCs w:val="false"/>
          <w:sz w:val="24"/>
          <w:szCs w:val="24"/>
          <w:lang w:val="pt-BR"/>
        </w:rPr>
        <w:t xml:space="preserve">o atendimento integral às especificações constantes deste Termo de Referência. </w:t>
      </w:r>
    </w:p>
    <w:p>
      <w:pPr>
        <w:pStyle w:val="BodyText"/>
        <w:widowControl/>
        <w:bidi w:val="0"/>
        <w:spacing w:lineRule="auto" w:line="276" w:before="0" w:after="200"/>
        <w:ind w:hanging="0" w:left="0" w:right="0"/>
        <w:jc w:val="both"/>
        <w:rPr>
          <w:lang w:val="pt-BR"/>
        </w:rPr>
      </w:pPr>
      <w:r>
        <w:rPr>
          <w:rFonts w:eastAsia="Times New Roman" w:cs="Arial" w:ascii="Arial" w:hAnsi="Arial"/>
          <w:b w:val="false"/>
          <w:bCs w:val="false"/>
          <w:sz w:val="24"/>
          <w:szCs w:val="24"/>
          <w:lang w:val="pt-BR"/>
        </w:rPr>
        <w:t>3.1.2. Cada fornecimento será conferido pelo fiscal do ajuste ou servidor designado, que procederá ao atesto do recebimento após verificação das condições do material entregue.</w:t>
      </w:r>
    </w:p>
    <w:p>
      <w:pPr>
        <w:pStyle w:val="BodyText"/>
        <w:widowControl/>
        <w:bidi w:val="0"/>
        <w:spacing w:lineRule="auto" w:line="276" w:before="0" w:after="200"/>
        <w:ind w:hanging="0" w:left="0" w:right="0"/>
        <w:jc w:val="both"/>
        <w:rPr/>
      </w:pPr>
      <w:r>
        <w:rPr>
          <w:rStyle w:val="Strong"/>
          <w:rFonts w:eastAsia="Times New Roman" w:cs="Arial" w:ascii="Arial" w:hAnsi="Arial"/>
          <w:b w:val="false"/>
          <w:bCs w:val="false"/>
          <w:sz w:val="24"/>
          <w:szCs w:val="24"/>
          <w:lang w:val="pt-BR"/>
        </w:rPr>
        <w:t>3.2 Pagamento</w:t>
      </w:r>
    </w:p>
    <w:p>
      <w:pPr>
        <w:pStyle w:val="BodyText"/>
        <w:widowControl/>
        <w:bidi w:val="0"/>
        <w:spacing w:lineRule="auto" w:line="276" w:before="0" w:after="200"/>
        <w:ind w:hanging="0" w:left="0" w:right="0"/>
        <w:jc w:val="both"/>
        <w:rPr>
          <w:lang w:val="pt-BR"/>
        </w:rPr>
      </w:pPr>
      <w:r>
        <w:rPr>
          <w:rFonts w:eastAsia="Times New Roman" w:cs="Arial" w:ascii="Arial" w:hAnsi="Arial"/>
          <w:b w:val="false"/>
          <w:bCs w:val="false"/>
          <w:sz w:val="24"/>
          <w:szCs w:val="24"/>
          <w:lang w:val="pt-BR"/>
        </w:rPr>
        <w:t>3.2.1. O pagamento será efetuado de forma única, correspondente ao(s) item(ns) desta Autorização de Fornecimento, após a entrega e o recebimento definitivo.</w:t>
      </w:r>
    </w:p>
    <w:p>
      <w:pPr>
        <w:pStyle w:val="BodyText"/>
        <w:widowControl/>
        <w:bidi w:val="0"/>
        <w:spacing w:lineRule="auto" w:line="276" w:before="0" w:after="200"/>
        <w:ind w:hanging="0" w:left="0" w:right="0"/>
        <w:jc w:val="both"/>
        <w:rPr>
          <w:lang w:val="pt-BR"/>
        </w:rPr>
      </w:pPr>
      <w:r>
        <w:rPr>
          <w:rFonts w:eastAsia="Times New Roman" w:cs="Arial" w:ascii="Arial" w:hAnsi="Arial"/>
          <w:b w:val="false"/>
          <w:bCs w:val="false"/>
          <w:sz w:val="24"/>
          <w:szCs w:val="24"/>
          <w:lang w:val="pt-BR"/>
        </w:rPr>
        <w:t>3.2.2. A contratada deverá apresentar a respectiva nota fiscal/fatura após a entrega e o recebimento definitivo do(s) item(ns) desta Autorização de Fornecimento.</w:t>
      </w:r>
    </w:p>
    <w:p>
      <w:pPr>
        <w:pStyle w:val="BodyText"/>
        <w:widowControl/>
        <w:bidi w:val="0"/>
        <w:spacing w:lineRule="auto" w:line="276" w:before="0" w:after="200"/>
        <w:ind w:hanging="0" w:left="0" w:right="0"/>
        <w:jc w:val="both"/>
        <w:rPr>
          <w:lang w:val="pt-BR"/>
        </w:rPr>
      </w:pPr>
      <w:r>
        <w:rPr>
          <w:rFonts w:eastAsia="Times New Roman" w:cs="Arial" w:ascii="Arial" w:hAnsi="Arial"/>
          <w:b w:val="false"/>
          <w:bCs w:val="false"/>
          <w:sz w:val="24"/>
          <w:szCs w:val="24"/>
          <w:lang w:val="pt-BR"/>
        </w:rPr>
        <w:t>3.2.3. O pagamento ficará condicionado:</w:t>
      </w:r>
    </w:p>
    <w:p>
      <w:pPr>
        <w:pStyle w:val="BodyText"/>
        <w:widowControl/>
        <w:numPr>
          <w:ilvl w:val="0"/>
          <w:numId w:val="23"/>
        </w:numPr>
        <w:tabs>
          <w:tab w:val="clear" w:pos="709"/>
          <w:tab w:val="left" w:pos="0" w:leader="none"/>
        </w:tabs>
        <w:bidi w:val="0"/>
        <w:spacing w:lineRule="auto" w:line="276"/>
        <w:ind w:hanging="283" w:left="709" w:right="0"/>
        <w:jc w:val="both"/>
        <w:rPr>
          <w:lang w:val="pt-BR"/>
        </w:rPr>
      </w:pPr>
      <w:r>
        <w:rPr>
          <w:rFonts w:eastAsia="Times New Roman" w:cs="Arial" w:ascii="Arial" w:hAnsi="Arial"/>
          <w:b w:val="false"/>
          <w:bCs w:val="false"/>
          <w:sz w:val="24"/>
          <w:szCs w:val="24"/>
          <w:lang w:val="pt-BR"/>
        </w:rPr>
        <w:t xml:space="preserve">ao atesto do fiscal do ajuste; </w:t>
      </w:r>
    </w:p>
    <w:p>
      <w:pPr>
        <w:pStyle w:val="BodyText"/>
        <w:widowControl/>
        <w:numPr>
          <w:ilvl w:val="0"/>
          <w:numId w:val="23"/>
        </w:numPr>
        <w:tabs>
          <w:tab w:val="clear" w:pos="709"/>
          <w:tab w:val="left" w:pos="0" w:leader="none"/>
        </w:tabs>
        <w:bidi w:val="0"/>
        <w:spacing w:lineRule="auto" w:line="276"/>
        <w:ind w:hanging="283" w:left="873" w:right="0"/>
        <w:jc w:val="both"/>
        <w:rPr>
          <w:lang w:val="pt-BR"/>
        </w:rPr>
      </w:pPr>
      <w:r>
        <w:rPr>
          <w:rFonts w:eastAsia="Times New Roman" w:cs="Arial" w:ascii="Arial" w:hAnsi="Arial"/>
          <w:b w:val="false"/>
          <w:bCs w:val="false"/>
          <w:sz w:val="24"/>
          <w:szCs w:val="24"/>
          <w:lang w:val="pt-BR"/>
        </w:rPr>
        <w:t xml:space="preserve">à comprovação da regularidade fiscal e trabalhista; </w:t>
      </w:r>
    </w:p>
    <w:p>
      <w:pPr>
        <w:pStyle w:val="BodyText"/>
        <w:widowControl/>
        <w:numPr>
          <w:ilvl w:val="0"/>
          <w:numId w:val="23"/>
        </w:numPr>
        <w:tabs>
          <w:tab w:val="clear" w:pos="709"/>
          <w:tab w:val="left" w:pos="0" w:leader="none"/>
        </w:tabs>
        <w:bidi w:val="0"/>
        <w:spacing w:lineRule="auto" w:line="276" w:before="0" w:after="283"/>
        <w:ind w:hanging="283" w:left="873" w:right="0"/>
        <w:jc w:val="both"/>
        <w:rPr>
          <w:lang w:val="pt-BR"/>
        </w:rPr>
      </w:pPr>
      <w:r>
        <w:rPr>
          <w:rFonts w:eastAsia="Times New Roman" w:cs="Arial" w:ascii="Arial" w:hAnsi="Arial"/>
          <w:b w:val="false"/>
          <w:bCs w:val="false"/>
          <w:sz w:val="24"/>
          <w:szCs w:val="24"/>
          <w:lang w:val="pt-BR"/>
        </w:rPr>
        <w:t xml:space="preserve">à inexistência de pendências relacionadas ao ajuste/fornecimento. </w:t>
      </w:r>
    </w:p>
    <w:p>
      <w:pPr>
        <w:pStyle w:val="BodyText"/>
        <w:widowControl/>
        <w:bidi w:val="0"/>
        <w:spacing w:lineRule="auto" w:line="276" w:before="0" w:after="200"/>
        <w:ind w:hanging="0" w:left="0" w:right="0"/>
        <w:jc w:val="both"/>
        <w:rPr>
          <w:lang w:val="pt-BR"/>
        </w:rPr>
      </w:pPr>
      <w:r>
        <w:rPr>
          <w:rFonts w:eastAsia="Times New Roman" w:cs="Arial" w:ascii="Arial" w:hAnsi="Arial"/>
          <w:b w:val="false"/>
          <w:bCs w:val="false"/>
          <w:sz w:val="24"/>
          <w:szCs w:val="24"/>
          <w:lang w:val="pt-BR"/>
        </w:rPr>
        <w:t>3.2.4. O pagamento será efetuado em 20 (vinte) dias corridos, contados a partir da data de emissão da nota de liquidação. Eventuais boletos encaminhados pelos fornecedores serão tidos como inexistentes para todos os fins e efeitos.</w:t>
      </w:r>
    </w:p>
    <w:p>
      <w:pPr>
        <w:pStyle w:val="Normal"/>
        <w:spacing w:lineRule="auto" w:line="276"/>
        <w:ind w:left="-11" w:right="0"/>
        <w:jc w:val="both"/>
        <w:rPr>
          <w:lang w:val="pt-BR"/>
        </w:rPr>
      </w:pPr>
      <w:r>
        <w:rPr>
          <w:rFonts w:cs="Arial" w:ascii="Arial" w:hAnsi="Arial"/>
          <w:sz w:val="24"/>
          <w:szCs w:val="24"/>
          <w:lang w:val="pt-BR"/>
        </w:rPr>
        <w:t>3.3. OBS: Nota Fiscal Eletrônica: De acordo com a Portaria CAT 001/11 – D.O.E. SP 08/01/2011, as empresas situadas no estado de São Paulo deverão emitir obrigatoriamente a Nota Fiscal Eletrônica. O Decreto n.º 50.437/2005 acrescentou ao art. 124 do Regulamento do ICMS, aprovado pelo Decreto n.º 45.490/2000, os incisos XXII e XXIII, na redação dada pelo Decreto n.º 52.097/2007, que dispõem sobre a emissão de Documento Fiscal Eletrônico (DFE) e do Documento Auxiliar da Nota Fiscal Eletrônica (Danfe).</w:t>
      </w:r>
    </w:p>
    <w:p>
      <w:pPr>
        <w:pStyle w:val="Normal"/>
        <w:spacing w:lineRule="auto" w:line="276"/>
        <w:jc w:val="both"/>
        <w:rPr>
          <w:lang w:val="pt-BR"/>
        </w:rPr>
      </w:pPr>
      <w:r>
        <w:rPr>
          <w:rFonts w:cs="Arial" w:ascii="Arial" w:hAnsi="Arial"/>
          <w:b/>
          <w:sz w:val="24"/>
          <w:szCs w:val="24"/>
          <w:lang w:val="pt-BR"/>
        </w:rPr>
        <w:t>4. OBRIGAÇÕES DA CONTRATADA:</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Constituem obrigações da contratada:</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I – fornecer os materiais em estrita conformidade com as especificações técnicas previstas neste Termo de Referência;</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II – realizar as entregas nos prazos estabelecidos;</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III – responsabilizar-se integralmente pelas despesas de transporte, carga, descarga, tributos, encargos trabalhistas, previdenciários, fiscais, comerciais e demais custos decorrentes da execução do objeto;</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IV – substituir, às suas expensas, no prazo de até 05 (cinco) dias úteis, os materiais entregues com defeitos, avarias, desconformidades ou inadequações técnicas;</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V – manter, durante toda a execução da contratação, as condições de habilitação e qualificação exigidas;</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VI – comunicar imediatamente à contratante qualquer fato que possa comprometer a execução do fornecimento;</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VII – não transferir a terceiros, no todo ou em parte, as obrigações assumidas, sem prévia autorização da Fundação;</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VIII – responsabilizar-se pelos danos causados diretamente à Fundação ou a terceiros decorrentes de sua culpa ou dolo na execução do ajuste, nos termos do art. 120 da Lei Federal nº 14.133/2021;</w:t>
      </w:r>
    </w:p>
    <w:p>
      <w:pPr>
        <w:pStyle w:val="Normal"/>
        <w:spacing w:lineRule="auto" w:line="276" w:before="60" w:after="60"/>
        <w:jc w:val="both"/>
        <w:rPr>
          <w:lang w:val="pt-BR"/>
        </w:rPr>
      </w:pPr>
      <w:r>
        <w:rPr>
          <w:rFonts w:eastAsia="ヒラギノ角ゴ Pro W3;Cambria" w:cs="Arial" w:ascii="Arial" w:hAnsi="Arial"/>
          <w:b w:val="false"/>
          <w:bCs w:val="false"/>
          <w:sz w:val="24"/>
          <w:szCs w:val="24"/>
          <w:lang w:val="pt-BR"/>
        </w:rPr>
        <w:t>IX – observar integralmente as disposições da Lei Federal nº 14.133/2021 e da regulamentação municipal aplicável.</w:t>
      </w:r>
    </w:p>
    <w:p>
      <w:pPr>
        <w:pStyle w:val="Normal"/>
        <w:spacing w:lineRule="auto" w:line="276" w:before="60" w:after="60"/>
        <w:jc w:val="both"/>
        <w:rPr>
          <w:lang w:val="pt-BR"/>
        </w:rPr>
      </w:pPr>
      <w:r>
        <w:rPr>
          <w:rFonts w:eastAsia="ヒラギノ角ゴ Pro W3;Cambria" w:cs="Arial" w:ascii="Arial" w:hAnsi="Arial"/>
          <w:b/>
          <w:sz w:val="24"/>
          <w:szCs w:val="24"/>
          <w:lang w:val="pt-BR"/>
        </w:rPr>
        <w:t>5. OBRIGAÇÕES DA CONTRATANTE:</w:t>
      </w:r>
    </w:p>
    <w:p>
      <w:pPr>
        <w:pStyle w:val="Normal"/>
        <w:spacing w:lineRule="auto" w:line="276" w:before="60" w:after="60"/>
        <w:jc w:val="both"/>
        <w:rPr>
          <w:lang w:val="pt-BR"/>
        </w:rPr>
      </w:pPr>
      <w:r>
        <w:rPr>
          <w:rFonts w:eastAsia="ヒラギノ角ゴ Pro W3;Cambria" w:cs="Arial" w:ascii="Arial" w:hAnsi="Arial"/>
          <w:sz w:val="24"/>
          <w:szCs w:val="24"/>
          <w:lang w:val="pt-BR"/>
        </w:rPr>
        <w:t>Constituem obrigações da Fundação Arquivo e Memória de Santos – FAMS:</w:t>
      </w:r>
    </w:p>
    <w:p>
      <w:pPr>
        <w:pStyle w:val="Normal"/>
        <w:spacing w:lineRule="auto" w:line="276" w:before="60" w:after="60"/>
        <w:jc w:val="both"/>
        <w:rPr>
          <w:lang w:val="pt-BR"/>
        </w:rPr>
      </w:pPr>
      <w:r>
        <w:rPr>
          <w:rFonts w:eastAsia="ヒラギノ角ゴ Pro W3;Cambria" w:cs="Arial" w:ascii="Arial" w:hAnsi="Arial"/>
          <w:sz w:val="24"/>
          <w:szCs w:val="24"/>
          <w:lang w:val="pt-BR"/>
        </w:rPr>
        <w:t>I – emitir a Autorização de Fornecimento ou instrumento equivalente;</w:t>
      </w:r>
    </w:p>
    <w:p>
      <w:pPr>
        <w:pStyle w:val="Normal"/>
        <w:spacing w:lineRule="auto" w:line="276" w:before="60" w:after="60"/>
        <w:jc w:val="both"/>
        <w:rPr>
          <w:lang w:val="pt-BR"/>
        </w:rPr>
      </w:pPr>
      <w:r>
        <w:rPr>
          <w:rFonts w:eastAsia="ヒラギノ角ゴ Pro W3;Cambria" w:cs="Arial" w:ascii="Arial" w:hAnsi="Arial"/>
          <w:sz w:val="24"/>
          <w:szCs w:val="24"/>
          <w:lang w:val="pt-BR"/>
        </w:rPr>
        <w:t>II – proporcionar as condições necessárias para a adequada execução do objeto;</w:t>
      </w:r>
    </w:p>
    <w:p>
      <w:pPr>
        <w:pStyle w:val="Normal"/>
        <w:spacing w:lineRule="auto" w:line="276" w:before="60" w:after="60"/>
        <w:jc w:val="both"/>
        <w:rPr>
          <w:lang w:val="pt-BR"/>
        </w:rPr>
      </w:pPr>
      <w:r>
        <w:rPr>
          <w:rFonts w:eastAsia="ヒラギノ角ゴ Pro W3;Cambria" w:cs="Arial" w:ascii="Arial" w:hAnsi="Arial"/>
          <w:sz w:val="24"/>
          <w:szCs w:val="24"/>
          <w:lang w:val="pt-BR"/>
        </w:rPr>
        <w:t>III – acompanhar, fiscalizar e avaliar o fornecimento, por meio de servidor designado;</w:t>
      </w:r>
    </w:p>
    <w:p>
      <w:pPr>
        <w:pStyle w:val="Normal"/>
        <w:spacing w:lineRule="auto" w:line="276" w:before="60" w:after="60"/>
        <w:jc w:val="both"/>
        <w:rPr>
          <w:lang w:val="pt-BR"/>
        </w:rPr>
      </w:pPr>
      <w:r>
        <w:rPr>
          <w:rFonts w:eastAsia="ヒラギノ角ゴ Pro W3;Cambria" w:cs="Arial" w:ascii="Arial" w:hAnsi="Arial"/>
          <w:sz w:val="24"/>
          <w:szCs w:val="24"/>
          <w:lang w:val="pt-BR"/>
        </w:rPr>
        <w:t>IV – receber o objeto provisória e definitivamente, na forma prevista neste Termo de Referência e na Lei Federal nº 14.133/2021;</w:t>
      </w:r>
    </w:p>
    <w:p>
      <w:pPr>
        <w:pStyle w:val="Normal"/>
        <w:spacing w:lineRule="auto" w:line="276" w:before="60" w:after="60"/>
        <w:jc w:val="both"/>
        <w:rPr>
          <w:lang w:val="pt-BR"/>
        </w:rPr>
      </w:pPr>
      <w:r>
        <w:rPr>
          <w:rFonts w:eastAsia="ヒラギノ角ゴ Pro W3;Cambria" w:cs="Arial" w:ascii="Arial" w:hAnsi="Arial"/>
          <w:sz w:val="24"/>
          <w:szCs w:val="24"/>
          <w:lang w:val="pt-BR"/>
        </w:rPr>
        <w:t>V – rejeitar, no todo ou em parte, materiais entregues em desacordo com as especificações estabelecidas;</w:t>
      </w:r>
    </w:p>
    <w:p>
      <w:pPr>
        <w:pStyle w:val="Normal"/>
        <w:spacing w:lineRule="auto" w:line="276" w:before="60" w:after="60"/>
        <w:jc w:val="both"/>
        <w:rPr>
          <w:lang w:val="pt-BR"/>
        </w:rPr>
      </w:pPr>
      <w:r>
        <w:rPr>
          <w:rFonts w:eastAsia="ヒラギノ角ゴ Pro W3;Cambria" w:cs="Arial" w:ascii="Arial" w:hAnsi="Arial"/>
          <w:sz w:val="24"/>
          <w:szCs w:val="24"/>
          <w:lang w:val="pt-BR"/>
        </w:rPr>
        <w:t>VI – comunicar formalmente à contratada quaisquer irregularidades verificadas na execução do fornecimento;</w:t>
      </w:r>
    </w:p>
    <w:p>
      <w:pPr>
        <w:pStyle w:val="Normal"/>
        <w:spacing w:lineRule="auto" w:line="276" w:before="60" w:after="60"/>
        <w:jc w:val="both"/>
        <w:rPr>
          <w:lang w:val="pt-BR"/>
        </w:rPr>
      </w:pPr>
      <w:r>
        <w:rPr>
          <w:rFonts w:eastAsia="ヒラギノ角ゴ Pro W3;Cambria" w:cs="Arial" w:ascii="Arial" w:hAnsi="Arial"/>
          <w:sz w:val="24"/>
          <w:szCs w:val="24"/>
          <w:lang w:val="pt-BR"/>
        </w:rPr>
        <w:t>VII – efetuar os pagamentos devidos nas condições e prazos estabelecidos;</w:t>
      </w:r>
    </w:p>
    <w:p>
      <w:pPr>
        <w:pStyle w:val="Normal"/>
        <w:spacing w:lineRule="auto" w:line="276" w:before="60" w:after="60"/>
        <w:jc w:val="both"/>
        <w:rPr>
          <w:lang w:val="pt-BR"/>
        </w:rPr>
      </w:pPr>
      <w:r>
        <w:rPr>
          <w:rFonts w:eastAsia="ヒラギノ角ゴ Pro W3;Cambria" w:cs="Arial" w:ascii="Arial" w:hAnsi="Arial"/>
          <w:sz w:val="24"/>
          <w:szCs w:val="24"/>
          <w:lang w:val="pt-BR"/>
        </w:rPr>
        <w:t>VIII – exigir o cumprimento de todas as obrigações assumidas pela contratada, conforme condições estabelecidas neste Termo de Referência;</w:t>
      </w:r>
    </w:p>
    <w:p>
      <w:pPr>
        <w:pStyle w:val="Normal"/>
        <w:spacing w:lineRule="auto" w:line="276" w:before="60" w:after="60"/>
        <w:jc w:val="both"/>
        <w:rPr>
          <w:lang w:val="pt-BR"/>
        </w:rPr>
      </w:pPr>
      <w:r>
        <w:rPr>
          <w:rFonts w:eastAsia="ヒラギノ角ゴ Pro W3;Cambria" w:cs="Arial" w:ascii="Arial" w:hAnsi="Arial"/>
          <w:sz w:val="24"/>
          <w:szCs w:val="24"/>
          <w:lang w:val="pt-BR"/>
        </w:rPr>
        <w:t>IX – aplicar as sanções administrativas cabíveis, quando constatado descumprimento do ajuste.</w:t>
      </w:r>
    </w:p>
    <w:p>
      <w:pPr>
        <w:pStyle w:val="Normal"/>
        <w:spacing w:lineRule="auto" w:line="276"/>
        <w:jc w:val="both"/>
        <w:rPr>
          <w:lang w:val="pt-BR"/>
        </w:rPr>
      </w:pPr>
      <w:r>
        <w:rPr>
          <w:rFonts w:cs="Arial" w:ascii="Arial" w:hAnsi="Arial"/>
          <w:b/>
          <w:sz w:val="24"/>
          <w:szCs w:val="24"/>
          <w:lang w:val="pt-BR"/>
        </w:rPr>
        <w:t xml:space="preserve">6. PENALIDADES: </w:t>
      </w:r>
    </w:p>
    <w:p>
      <w:pPr>
        <w:pStyle w:val="PargrafodaLista"/>
        <w:numPr>
          <w:ilvl w:val="1"/>
          <w:numId w:val="16"/>
        </w:numPr>
        <w:spacing w:lineRule="auto" w:line="276" w:before="0" w:after="120"/>
        <w:ind w:hanging="720" w:left="720" w:right="0"/>
        <w:contextualSpacing/>
        <w:jc w:val="both"/>
        <w:rPr>
          <w:lang w:val="pt-BR"/>
        </w:rPr>
      </w:pPr>
      <w:r>
        <w:rPr>
          <w:rFonts w:cs="Arial" w:ascii="Arial" w:hAnsi="Arial"/>
          <w:sz w:val="24"/>
          <w:szCs w:val="24"/>
          <w:lang w:val="pt-BR"/>
        </w:rPr>
        <w:t>30% (trinta por cento) sobre o valor total da Autorização de Fornecimento no caso de inexecução total;</w:t>
      </w:r>
    </w:p>
    <w:p>
      <w:pPr>
        <w:pStyle w:val="PargrafodaLista"/>
        <w:numPr>
          <w:ilvl w:val="1"/>
          <w:numId w:val="16"/>
        </w:numPr>
        <w:spacing w:lineRule="auto" w:line="276" w:before="0" w:after="120"/>
        <w:ind w:hanging="720" w:left="720" w:right="0"/>
        <w:contextualSpacing/>
        <w:jc w:val="both"/>
        <w:rPr>
          <w:lang w:val="pt-BR"/>
        </w:rPr>
      </w:pPr>
      <w:r>
        <w:rPr>
          <w:rFonts w:cs="Arial" w:ascii="Arial" w:hAnsi="Arial"/>
          <w:sz w:val="24"/>
          <w:szCs w:val="24"/>
          <w:lang w:val="pt-BR"/>
        </w:rPr>
        <w:t>30% (trinta por cento) sobre o valor total da Autorização de Fornecimento no caso de inadimplemento parcial, ou seja, na hipótese de fornecimento incompleto.</w:t>
      </w:r>
    </w:p>
    <w:p>
      <w:pPr>
        <w:pStyle w:val="PargrafodaLista"/>
        <w:numPr>
          <w:ilvl w:val="1"/>
          <w:numId w:val="16"/>
        </w:numPr>
        <w:spacing w:lineRule="auto" w:line="276" w:before="0" w:after="120"/>
        <w:ind w:hanging="720" w:left="720" w:right="0"/>
        <w:contextualSpacing/>
        <w:jc w:val="both"/>
        <w:rPr>
          <w:lang w:val="pt-BR"/>
        </w:rPr>
      </w:pPr>
      <w:r>
        <w:rPr>
          <w:rFonts w:cs="Arial" w:ascii="Arial" w:hAnsi="Arial"/>
          <w:sz w:val="24"/>
          <w:szCs w:val="24"/>
          <w:lang w:val="pt-BR"/>
        </w:rPr>
        <w:t>01% (um por cento) ao dia, sobre o valor total da Autorização de Fornecimento, na hipótese de atraso na entrega do Objeto no prazo e nas condições fixadas neste Edital.</w:t>
      </w:r>
    </w:p>
    <w:p>
      <w:pPr>
        <w:pStyle w:val="PargrafodaLista"/>
        <w:numPr>
          <w:ilvl w:val="1"/>
          <w:numId w:val="16"/>
        </w:numPr>
        <w:spacing w:lineRule="auto" w:line="276" w:before="0" w:after="120"/>
        <w:ind w:hanging="720" w:left="720" w:right="0"/>
        <w:contextualSpacing/>
        <w:jc w:val="both"/>
        <w:rPr>
          <w:lang w:val="pt-BR"/>
        </w:rPr>
      </w:pPr>
      <w:r>
        <w:rPr>
          <w:rFonts w:cs="Arial" w:ascii="Arial" w:hAnsi="Arial"/>
          <w:sz w:val="24"/>
          <w:szCs w:val="24"/>
          <w:lang w:val="pt-BR"/>
        </w:rPr>
        <w:t>10% (dez por cento) sobre o valor total da Autorização de Fornecimento, no caso de descumprimento de qualquer outra cláusula ou condição da Autorização de Fornecimento, não mencionada nos incisos anteriores.</w:t>
      </w:r>
    </w:p>
    <w:p>
      <w:pPr>
        <w:pStyle w:val="Normal"/>
        <w:spacing w:lineRule="auto" w:line="276"/>
        <w:jc w:val="both"/>
        <w:rPr>
          <w:lang w:val="pt-BR"/>
        </w:rPr>
      </w:pPr>
      <w:r>
        <w:rPr>
          <w:rFonts w:cs="Arial" w:ascii="Arial" w:hAnsi="Arial"/>
          <w:sz w:val="24"/>
          <w:szCs w:val="24"/>
          <w:lang w:val="pt-BR"/>
        </w:rPr>
        <w:t xml:space="preserve">Observações: </w:t>
      </w:r>
    </w:p>
    <w:p>
      <w:pPr>
        <w:pStyle w:val="Normal"/>
        <w:spacing w:lineRule="auto" w:line="276"/>
        <w:jc w:val="both"/>
        <w:rPr>
          <w:lang w:val="pt-BR"/>
        </w:rPr>
      </w:pPr>
      <w:r>
        <w:rPr>
          <w:rFonts w:cs="Arial" w:ascii="Arial" w:hAnsi="Arial"/>
          <w:sz w:val="24"/>
          <w:szCs w:val="24"/>
          <w:lang w:val="pt-BR"/>
        </w:rPr>
        <w:t xml:space="preserve">a) Fazer constar da Nota fiscal o número do processo de pagamento, Nota de Empenho e também o Banco e o nº da Conta-Corrente para Crédito; </w:t>
      </w:r>
    </w:p>
    <w:p>
      <w:pPr>
        <w:pStyle w:val="Normal"/>
        <w:spacing w:lineRule="auto" w:line="276"/>
        <w:jc w:val="both"/>
        <w:rPr>
          <w:lang w:val="pt-BR"/>
        </w:rPr>
      </w:pPr>
      <w:r>
        <w:rPr>
          <w:rFonts w:cs="Arial" w:ascii="Arial" w:hAnsi="Arial"/>
          <w:sz w:val="24"/>
          <w:szCs w:val="24"/>
          <w:lang w:val="pt-BR"/>
        </w:rPr>
        <w:t xml:space="preserve">b) Frete, embalagem e impostos inclusos no (s) preço (s) acima. </w:t>
      </w:r>
    </w:p>
    <w:p>
      <w:pPr>
        <w:pStyle w:val="Normal"/>
        <w:spacing w:lineRule="auto" w:line="276"/>
        <w:jc w:val="both"/>
        <w:rPr>
          <w:lang w:val="pt-BR"/>
        </w:rPr>
      </w:pPr>
      <w:r>
        <w:rPr>
          <w:rFonts w:cs="Arial" w:ascii="Arial" w:hAnsi="Arial"/>
          <w:sz w:val="24"/>
          <w:szCs w:val="24"/>
          <w:lang w:val="pt-BR"/>
        </w:rPr>
        <w:t>c) De acordo com a portaria CAT-162, 29/12/2008 é obrigatório a emissão de Nota Fiscal Eletrônica – NF-e.</w:t>
      </w:r>
    </w:p>
    <w:p>
      <w:pPr>
        <w:pStyle w:val="Normal"/>
        <w:spacing w:lineRule="auto" w:line="276"/>
        <w:jc w:val="both"/>
        <w:rPr>
          <w:lang w:val="pt-BR"/>
        </w:rPr>
      </w:pPr>
      <w:r>
        <w:rPr>
          <w:rFonts w:cs="Arial" w:ascii="Arial" w:hAnsi="Arial"/>
          <w:sz w:val="24"/>
          <w:szCs w:val="24"/>
          <w:lang w:val="pt-BR"/>
        </w:rPr>
        <w:t>Preparado por:</w:t>
      </w:r>
    </w:p>
    <w:p>
      <w:pPr>
        <w:pStyle w:val="Normal"/>
        <w:spacing w:lineRule="auto" w:line="276"/>
        <w:jc w:val="both"/>
        <w:rPr>
          <w:lang w:val="pt-BR"/>
        </w:rPr>
      </w:pPr>
      <w:r>
        <w:rPr>
          <w:rFonts w:cs="Arial" w:ascii="Arial" w:hAnsi="Arial"/>
          <w:sz w:val="24"/>
          <w:szCs w:val="24"/>
          <w:lang w:val="pt-BR"/>
        </w:rPr>
        <w:t>Em       /               /2026</w:t>
      </w:r>
    </w:p>
    <w:p>
      <w:pPr>
        <w:pStyle w:val="Normal"/>
        <w:spacing w:lineRule="auto" w:line="276"/>
        <w:jc w:val="both"/>
        <w:rPr>
          <w:lang w:val="pt-BR"/>
        </w:rPr>
      </w:pPr>
      <w:r>
        <w:rPr>
          <w:rFonts w:cs="Arial" w:ascii="Arial" w:hAnsi="Arial"/>
          <w:sz w:val="24"/>
          <w:szCs w:val="24"/>
          <w:lang w:val="pt-BR"/>
        </w:rPr>
        <w:t xml:space="preserve">Conferido por: </w:t>
      </w:r>
    </w:p>
    <w:p>
      <w:pPr>
        <w:pStyle w:val="Normal"/>
        <w:spacing w:lineRule="auto" w:line="276"/>
        <w:jc w:val="both"/>
        <w:rPr>
          <w:lang w:val="pt-BR"/>
        </w:rPr>
      </w:pPr>
      <w:r>
        <w:rPr>
          <w:rFonts w:cs="Arial" w:ascii="Arial" w:hAnsi="Arial"/>
          <w:sz w:val="24"/>
          <w:szCs w:val="24"/>
          <w:lang w:val="pt-BR"/>
        </w:rPr>
        <w:t>Em       /               /2026</w:t>
      </w:r>
    </w:p>
    <w:p>
      <w:pPr>
        <w:pStyle w:val="Normal"/>
        <w:spacing w:lineRule="auto" w:line="276"/>
        <w:jc w:val="both"/>
        <w:rPr>
          <w:rFonts w:ascii="Arial" w:hAnsi="Arial" w:cs="Arial"/>
          <w:sz w:val="24"/>
          <w:szCs w:val="24"/>
          <w:lang w:val="pt-BR"/>
        </w:rPr>
      </w:pPr>
      <w:r>
        <w:rPr>
          <w:rFonts w:cs="Arial" w:ascii="Arial" w:hAnsi="Arial"/>
          <w:sz w:val="24"/>
          <w:szCs w:val="24"/>
          <w:lang w:val="pt-BR"/>
        </w:rPr>
      </w:r>
    </w:p>
    <w:p>
      <w:pPr>
        <w:pStyle w:val="Normal"/>
        <w:spacing w:lineRule="auto" w:line="276"/>
        <w:jc w:val="both"/>
        <w:rPr>
          <w:lang w:val="pt-BR"/>
        </w:rPr>
      </w:pPr>
      <w:r>
        <w:rPr>
          <w:rFonts w:cs="Arial" w:ascii="Arial" w:hAnsi="Arial"/>
          <w:sz w:val="24"/>
          <w:szCs w:val="24"/>
          <w:lang w:val="pt-BR"/>
        </w:rPr>
        <w:t>AUTORIZO O FORNECIMENTO</w:t>
      </w:r>
    </w:p>
    <w:p>
      <w:pPr>
        <w:pStyle w:val="Normal"/>
        <w:spacing w:lineRule="auto" w:line="276" w:before="0" w:after="200"/>
        <w:jc w:val="both"/>
        <w:rPr>
          <w:lang w:val="pt-BR"/>
        </w:rPr>
      </w:pPr>
      <w:r>
        <w:rPr>
          <w:rFonts w:cs="Arial" w:ascii="Arial" w:hAnsi="Arial"/>
          <w:sz w:val="24"/>
          <w:szCs w:val="24"/>
          <w:lang w:val="pt-BR"/>
        </w:rPr>
        <w:t>Em       /               /2026</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992" w:right="995" w:gutter="0" w:header="280" w:top="1292" w:footer="0"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Liberation Serif">
    <w:altName w:val="Times New Roman"/>
    <w:charset w:val="00"/>
    <w:family w:val="swiss"/>
    <w:pitch w:val="variable"/>
  </w:font>
  <w:font w:name="Calibri Light">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2"/>
    <w:family w:val="roman"/>
    <w:pitch w:val="variable"/>
  </w:font>
  <w:font w:name="Tahoma">
    <w:charset w:val="00"/>
    <w:family w:val="swiss"/>
    <w:pitch w:val="variable"/>
  </w:font>
  <w:font w:name="Liberation Sans">
    <w:altName w:val="Arial"/>
    <w:charset w:val="00"/>
    <w:family w:val="swiss"/>
    <w:pitch w:val="variable"/>
  </w:font>
  <w:font w:name="Gadugi">
    <w:charset w:val="00"/>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23</w:t>
    </w:r>
    <w:r>
      <w:rPr/>
      <w:fldChar w:fldCharType="end"/>
    </w:r>
  </w:p>
  <w:p>
    <w:pPr>
      <w:pStyle w:val="Normal"/>
      <w:widowControl/>
      <w:bidi w:val="0"/>
      <w:spacing w:lineRule="auto" w:line="276" w:before="0" w:after="200"/>
      <w:jc w:val="both"/>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23</w:t>
    </w:r>
    <w:r>
      <w:rPr/>
      <w:fldChar w:fldCharType="end"/>
    </w:r>
  </w:p>
  <w:p>
    <w:pPr>
      <w:pStyle w:val="Normal"/>
      <w:widowControl/>
      <w:bidi w:val="0"/>
      <w:spacing w:lineRule="auto" w:line="276" w:before="0" w:after="200"/>
      <w:jc w:val="both"/>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0" w:color="000000"/>
      </w:pBdr>
      <w:spacing w:lineRule="auto" w:line="240" w:before="0" w:after="0"/>
      <w:jc w:val="right"/>
      <w:rPr>
        <w:rFonts w:ascii="Arial" w:hAnsi="Arial" w:eastAsia="Arial"/>
        <w:sz w:val="24"/>
        <w:szCs w:val="24"/>
      </w:rPr>
    </w:pPr>
    <w:r>
      <w:drawing>
        <wp:anchor distT="0" distB="0" distL="0" distR="0" simplePos="0" relativeHeight="24" behindDoc="1" locked="0" layoutInCell="0" allowOverlap="1">
          <wp:simplePos x="0" y="0"/>
          <wp:positionH relativeFrom="column">
            <wp:posOffset>2237105</wp:posOffset>
          </wp:positionH>
          <wp:positionV relativeFrom="paragraph">
            <wp:posOffset>-62865</wp:posOffset>
          </wp:positionV>
          <wp:extent cx="1595755" cy="789940"/>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1595755" cy="789940"/>
                  </a:xfrm>
                  <a:prstGeom prst="rect">
                    <a:avLst/>
                  </a:prstGeom>
                  <a:noFill/>
                </pic:spPr>
              </pic:pic>
            </a:graphicData>
          </a:graphic>
        </wp:anchor>
      </w:drawing>
    </w:r>
    <w:r>
      <w:rPr>
        <w:rFonts w:eastAsia="Arial" w:ascii="Arial" w:hAnsi="Arial"/>
        <w:sz w:val="24"/>
        <w:szCs w:val="24"/>
      </w:rPr>
      <w:t>Fl. __________</w:t>
    </w:r>
  </w:p>
  <w:p>
    <w:pPr>
      <w:pStyle w:val="Normal"/>
      <w:pBdr>
        <w:bottom w:val="single" w:sz="4" w:space="0" w:color="000000"/>
      </w:pBdr>
      <w:spacing w:lineRule="auto" w:line="240" w:before="0" w:after="0"/>
      <w:jc w:val="right"/>
      <w:rPr>
        <w:rFonts w:ascii="Arial" w:hAnsi="Arial" w:eastAsia="Arial"/>
        <w:sz w:val="24"/>
        <w:szCs w:val="24"/>
      </w:rPr>
    </w:pPr>
    <w:r>
      <w:rPr>
        <w:rFonts w:eastAsia="Arial" w:ascii="Arial" w:hAnsi="Arial"/>
        <w:sz w:val="24"/>
        <w:szCs w:val="24"/>
      </w:rPr>
    </w:r>
  </w:p>
  <w:p>
    <w:pPr>
      <w:pStyle w:val="Normal"/>
      <w:pBdr>
        <w:bottom w:val="single" w:sz="4" w:space="0" w:color="000000"/>
      </w:pBdr>
      <w:spacing w:lineRule="auto" w:line="240" w:before="0" w:after="0"/>
      <w:jc w:val="right"/>
      <w:rPr>
        <w:rFonts w:ascii="Arial" w:hAnsi="Arial" w:eastAsia="Arial"/>
        <w:sz w:val="24"/>
        <w:szCs w:val="24"/>
      </w:rPr>
    </w:pPr>
    <w:r>
      <w:rPr>
        <w:rFonts w:eastAsia="Arial" w:ascii="Arial" w:hAnsi="Arial"/>
        <w:sz w:val="24"/>
        <w:szCs w:val="24"/>
      </w:rPr>
    </w:r>
  </w:p>
  <w:p>
    <w:pPr>
      <w:pStyle w:val="Normal"/>
      <w:pBdr>
        <w:bottom w:val="single" w:sz="4" w:space="0" w:color="000000"/>
      </w:pBdr>
      <w:spacing w:lineRule="auto" w:line="240" w:before="0" w:after="0"/>
      <w:jc w:val="right"/>
      <w:rPr>
        <w:rFonts w:ascii="Arial" w:hAnsi="Arial" w:eastAsia="Arial"/>
        <w:sz w:val="24"/>
        <w:szCs w:val="24"/>
      </w:rPr>
    </w:pPr>
    <w:r>
      <w:rPr>
        <w:rFonts w:eastAsia="Arial" w:ascii="Arial" w:hAnsi="Arial"/>
        <w:sz w:val="24"/>
        <w:szCs w:val="24"/>
      </w:rPr>
      <w:br/>
      <w:t>Proc. n.º 39.615/2026-01</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0" w:color="000000"/>
      </w:pBdr>
      <w:spacing w:lineRule="auto" w:line="240" w:before="0" w:after="0"/>
      <w:jc w:val="right"/>
      <w:rPr>
        <w:rFonts w:ascii="Arial" w:hAnsi="Arial" w:eastAsia="Arial"/>
        <w:sz w:val="24"/>
        <w:szCs w:val="24"/>
      </w:rPr>
    </w:pPr>
    <w:r>
      <w:drawing>
        <wp:anchor distT="0" distB="0" distL="0" distR="0" simplePos="0" relativeHeight="24" behindDoc="1" locked="0" layoutInCell="0" allowOverlap="1">
          <wp:simplePos x="0" y="0"/>
          <wp:positionH relativeFrom="column">
            <wp:posOffset>2237105</wp:posOffset>
          </wp:positionH>
          <wp:positionV relativeFrom="paragraph">
            <wp:posOffset>-62865</wp:posOffset>
          </wp:positionV>
          <wp:extent cx="1595755" cy="789940"/>
          <wp:effectExtent l="0" t="0" r="0" b="0"/>
          <wp:wrapSquare wrapText="largest"/>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1595755" cy="789940"/>
                  </a:xfrm>
                  <a:prstGeom prst="rect">
                    <a:avLst/>
                  </a:prstGeom>
                  <a:noFill/>
                </pic:spPr>
              </pic:pic>
            </a:graphicData>
          </a:graphic>
        </wp:anchor>
      </w:drawing>
    </w:r>
    <w:r>
      <w:rPr>
        <w:rFonts w:eastAsia="Arial" w:ascii="Arial" w:hAnsi="Arial"/>
        <w:sz w:val="24"/>
        <w:szCs w:val="24"/>
      </w:rPr>
      <w:t>Fl. __________</w:t>
    </w:r>
  </w:p>
  <w:p>
    <w:pPr>
      <w:pStyle w:val="Normal"/>
      <w:pBdr>
        <w:bottom w:val="single" w:sz="4" w:space="0" w:color="000000"/>
      </w:pBdr>
      <w:spacing w:lineRule="auto" w:line="240" w:before="0" w:after="0"/>
      <w:jc w:val="right"/>
      <w:rPr>
        <w:rFonts w:ascii="Arial" w:hAnsi="Arial" w:eastAsia="Arial"/>
        <w:sz w:val="24"/>
        <w:szCs w:val="24"/>
      </w:rPr>
    </w:pPr>
    <w:r>
      <w:rPr>
        <w:rFonts w:eastAsia="Arial" w:ascii="Arial" w:hAnsi="Arial"/>
        <w:sz w:val="24"/>
        <w:szCs w:val="24"/>
      </w:rPr>
    </w:r>
  </w:p>
  <w:p>
    <w:pPr>
      <w:pStyle w:val="Normal"/>
      <w:pBdr>
        <w:bottom w:val="single" w:sz="4" w:space="0" w:color="000000"/>
      </w:pBdr>
      <w:spacing w:lineRule="auto" w:line="240" w:before="0" w:after="0"/>
      <w:jc w:val="right"/>
      <w:rPr>
        <w:rFonts w:ascii="Arial" w:hAnsi="Arial" w:eastAsia="Arial"/>
        <w:sz w:val="24"/>
        <w:szCs w:val="24"/>
      </w:rPr>
    </w:pPr>
    <w:r>
      <w:rPr>
        <w:rFonts w:eastAsia="Arial" w:ascii="Arial" w:hAnsi="Arial"/>
        <w:sz w:val="24"/>
        <w:szCs w:val="24"/>
      </w:rPr>
    </w:r>
  </w:p>
  <w:p>
    <w:pPr>
      <w:pStyle w:val="Normal"/>
      <w:pBdr>
        <w:bottom w:val="single" w:sz="4" w:space="0" w:color="000000"/>
      </w:pBdr>
      <w:spacing w:lineRule="auto" w:line="240" w:before="0" w:after="0"/>
      <w:jc w:val="right"/>
      <w:rPr>
        <w:rFonts w:ascii="Arial" w:hAnsi="Arial" w:eastAsia="Arial"/>
        <w:sz w:val="24"/>
        <w:szCs w:val="24"/>
      </w:rPr>
    </w:pPr>
    <w:r>
      <w:rPr>
        <w:rFonts w:eastAsia="Arial" w:ascii="Arial" w:hAnsi="Arial"/>
        <w:sz w:val="24"/>
        <w:szCs w:val="24"/>
      </w:rPr>
      <w:br/>
      <w:t>Proc. n.º 39.615/2026-01</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left"/>
      <w:pPr>
        <w:tabs>
          <w:tab w:val="num" w:pos="0"/>
        </w:tabs>
        <w:ind w:left="360" w:hanging="360"/>
      </w:pPr>
      <w:rPr>
        <w:b/>
      </w:rPr>
    </w:lvl>
    <w:lvl w:ilvl="1">
      <w:start w:val="1"/>
      <w:numFmt w:val="decimal"/>
      <w:lvlText w:val="%1.%2."/>
      <w:lvlJc w:val="left"/>
      <w:pPr>
        <w:tabs>
          <w:tab w:val="num" w:pos="0"/>
        </w:tabs>
        <w:ind w:left="716" w:hanging="432"/>
      </w:pPr>
      <w:rPr>
        <w:b w:val="false"/>
        <w:i w:val="false"/>
        <w:iCs/>
      </w:rPr>
    </w:lvl>
    <w:lvl w:ilvl="2">
      <w:start w:val="1"/>
      <w:numFmt w:val="decimal"/>
      <w:lvlText w:val="%1.%2.%3."/>
      <w:lvlJc w:val="left"/>
      <w:pPr>
        <w:tabs>
          <w:tab w:val="num" w:pos="0"/>
        </w:tabs>
        <w:ind w:left="1224" w:hanging="504"/>
      </w:pPr>
      <w:rPr>
        <w:rFonts w:ascii="Arial" w:hAnsi="Arial" w:cs="Arial"/>
        <w:b w:val="false"/>
        <w:i w:val="false"/>
        <w:iCs/>
        <w:color w:val="000000"/>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lowerLetter"/>
      <w:lvlText w:val="%1)"/>
      <w:lvlJc w:val="left"/>
      <w:pPr>
        <w:tabs>
          <w:tab w:val="num" w:pos="0"/>
        </w:tabs>
        <w:ind w:left="1353" w:hanging="360"/>
      </w:pPr>
      <w:rPr>
        <w:rFonts w:ascii="Arial" w:hAnsi="Aria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lowerLetter"/>
      <w:lvlText w:val="%1)"/>
      <w:lvlJc w:val="left"/>
      <w:pPr>
        <w:tabs>
          <w:tab w:val="num" w:pos="0"/>
        </w:tabs>
        <w:ind w:left="1800" w:hanging="360"/>
      </w:pPr>
      <w:rPr>
        <w:rFonts w:ascii="Arial" w:hAnsi="Aria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Arial" w:hAnsi="Arial" w:eastAsia="Times New Roman" w:cs="Arial"/>
        <w:b w:val="false"/>
        <w:i w:val="false"/>
        <w:strike w:val="false"/>
        <w:dstrike w:val="false"/>
        <w:color w:val="000000"/>
        <w:sz w:val="20"/>
        <w:szCs w:val="20"/>
        <w:u w:val="none"/>
      </w:rPr>
    </w:lvl>
    <w:lvl w:ilvl="2">
      <w:start w:val="1"/>
      <w:numFmt w:val="upperRoman"/>
      <w:lvlText w:val="%3."/>
      <w:lvlJc w:val="left"/>
      <w:pPr>
        <w:tabs>
          <w:tab w:val="num" w:pos="0"/>
        </w:tabs>
        <w:ind w:left="3198" w:hanging="504"/>
      </w:pPr>
      <w:rPr>
        <w:rFonts w:ascii="Arial" w:hAnsi="Arial" w:eastAsia="Times New Roman" w:cs="Arial"/>
        <w:b w:val="false"/>
        <w:i w:val="false"/>
        <w:strike w:val="false"/>
        <w:dstrike w:val="false"/>
        <w:color w:val="000000"/>
        <w:sz w:val="20"/>
        <w:szCs w:val="2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0"/>
        </w:tabs>
        <w:ind w:left="720" w:hanging="360"/>
      </w:pPr>
      <w:rPr>
        <w:rFonts w:ascii="Arial" w:hAnsi="Arial"/>
        <w:b/>
        <w:bCs/>
      </w:rPr>
    </w:lvl>
    <w:lvl w:ilvl="1">
      <w:start w:val="2"/>
      <w:numFmt w:val="decimal"/>
      <w:isLgl/>
      <w:lvlText w:val="%1.%2."/>
      <w:lvlJc w:val="left"/>
      <w:pPr>
        <w:tabs>
          <w:tab w:val="num" w:pos="0"/>
        </w:tabs>
        <w:ind w:left="1440" w:hanging="720"/>
      </w:pPr>
      <w:rPr>
        <w:b w:val="false"/>
      </w:rPr>
    </w:lvl>
    <w:lvl w:ilvl="2">
      <w:start w:val="1"/>
      <w:numFmt w:val="decimal"/>
      <w:isLgl/>
      <w:lvlText w:val="%1.%2.%3."/>
      <w:lvlJc w:val="left"/>
      <w:pPr>
        <w:tabs>
          <w:tab w:val="num" w:pos="0"/>
        </w:tabs>
        <w:ind w:left="1800" w:hanging="720"/>
      </w:pPr>
      <w:rPr/>
    </w:lvl>
    <w:lvl w:ilvl="3">
      <w:start w:val="1"/>
      <w:numFmt w:val="decimal"/>
      <w:isLgl/>
      <w:lvlText w:val="%1.%2.%3.%4."/>
      <w:lvlJc w:val="left"/>
      <w:pPr>
        <w:tabs>
          <w:tab w:val="num" w:pos="0"/>
        </w:tabs>
        <w:ind w:left="2520" w:hanging="1080"/>
      </w:pPr>
      <w:rPr/>
    </w:lvl>
    <w:lvl w:ilvl="4">
      <w:start w:val="1"/>
      <w:numFmt w:val="decimal"/>
      <w:isLgl/>
      <w:lvlText w:val="%1.%2.%3.%4.%5."/>
      <w:lvlJc w:val="left"/>
      <w:pPr>
        <w:tabs>
          <w:tab w:val="num" w:pos="0"/>
        </w:tabs>
        <w:ind w:left="2880" w:hanging="1080"/>
      </w:pPr>
      <w:rPr/>
    </w:lvl>
    <w:lvl w:ilvl="5">
      <w:start w:val="1"/>
      <w:numFmt w:val="decimal"/>
      <w:isLgl/>
      <w:lvlText w:val="%1.%2.%3.%4.%5.%6."/>
      <w:lvlJc w:val="left"/>
      <w:pPr>
        <w:tabs>
          <w:tab w:val="num" w:pos="0"/>
        </w:tabs>
        <w:ind w:left="3600" w:hanging="1440"/>
      </w:pPr>
      <w:rPr/>
    </w:lvl>
    <w:lvl w:ilvl="6">
      <w:start w:val="1"/>
      <w:numFmt w:val="decimal"/>
      <w:isLgl/>
      <w:lvlText w:val="%1.%2.%3.%4.%5.%6.%7."/>
      <w:lvlJc w:val="left"/>
      <w:pPr>
        <w:tabs>
          <w:tab w:val="num" w:pos="0"/>
        </w:tabs>
        <w:ind w:left="3960" w:hanging="1440"/>
      </w:pPr>
      <w:rPr/>
    </w:lvl>
    <w:lvl w:ilvl="7">
      <w:start w:val="1"/>
      <w:numFmt w:val="decimal"/>
      <w:isLgl/>
      <w:lvlText w:val="%1.%2.%3.%4.%5.%6.%7.%8."/>
      <w:lvlJc w:val="left"/>
      <w:pPr>
        <w:tabs>
          <w:tab w:val="num" w:pos="0"/>
        </w:tabs>
        <w:ind w:left="4680" w:hanging="1800"/>
      </w:pPr>
      <w:rPr/>
    </w:lvl>
    <w:lvl w:ilvl="8">
      <w:start w:val="1"/>
      <w:numFmt w:val="decimal"/>
      <w:isLgl/>
      <w:lvlText w:val="%1.%2.%3.%4.%5.%6.%7.%8.%9."/>
      <w:lvlJc w:val="left"/>
      <w:pPr>
        <w:tabs>
          <w:tab w:val="num" w:pos="0"/>
        </w:tabs>
        <w:ind w:left="5400" w:hanging="216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b w:val="false"/>
        <w:i w:val="false"/>
        <w:iCs/>
      </w:rPr>
    </w:lvl>
    <w:lvl w:ilvl="2">
      <w:start w:val="1"/>
      <w:numFmt w:val="decimal"/>
      <w:lvlText w:val="%1.%2.%3."/>
      <w:lvlJc w:val="left"/>
      <w:pPr>
        <w:tabs>
          <w:tab w:val="num" w:pos="0"/>
        </w:tabs>
        <w:ind w:left="1224" w:hanging="504"/>
      </w:pPr>
      <w:rPr>
        <w:rFonts w:ascii="Arial" w:hAnsi="Arial" w:cs="Arial"/>
        <w:b w:val="false"/>
        <w:i w:val="false"/>
        <w:iCs/>
        <w:color w:val="000000"/>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decimal"/>
      <w:lvlText w:val="%1."/>
      <w:lvlJc w:val="left"/>
      <w:pPr>
        <w:tabs>
          <w:tab w:val="num" w:pos="0"/>
        </w:tabs>
        <w:ind w:left="720" w:hanging="360"/>
      </w:pPr>
      <w:rPr>
        <w:rFonts w:ascii="Arial" w:hAnsi="Arial"/>
      </w:rPr>
    </w:lvl>
    <w:lvl w:ilvl="1">
      <w:start w:val="1"/>
      <w:numFmt w:val="decimal"/>
      <w:isLgl/>
      <w:lvlText w:val="%1.%2."/>
      <w:lvlJc w:val="left"/>
      <w:pPr>
        <w:tabs>
          <w:tab w:val="num" w:pos="0"/>
        </w:tabs>
        <w:ind w:left="1440" w:hanging="720"/>
      </w:pPr>
      <w:rPr>
        <w:rFonts w:ascii="Arial" w:hAnsi="Arial"/>
      </w:rPr>
    </w:lvl>
    <w:lvl w:ilvl="2">
      <w:start w:val="1"/>
      <w:numFmt w:val="decimal"/>
      <w:isLgl/>
      <w:lvlText w:val="%1.%2.%3."/>
      <w:lvlJc w:val="left"/>
      <w:pPr>
        <w:tabs>
          <w:tab w:val="num" w:pos="0"/>
        </w:tabs>
        <w:ind w:left="2160" w:hanging="1080"/>
      </w:pPr>
      <w:rPr/>
    </w:lvl>
    <w:lvl w:ilvl="3">
      <w:start w:val="1"/>
      <w:numFmt w:val="decimal"/>
      <w:isLgl/>
      <w:lvlText w:val="%1.%2.%3.%4."/>
      <w:lvlJc w:val="left"/>
      <w:pPr>
        <w:tabs>
          <w:tab w:val="num" w:pos="0"/>
        </w:tabs>
        <w:ind w:left="2880" w:hanging="1440"/>
      </w:pPr>
      <w:rPr/>
    </w:lvl>
    <w:lvl w:ilvl="4">
      <w:start w:val="1"/>
      <w:numFmt w:val="decimal"/>
      <w:isLgl/>
      <w:lvlText w:val="%1.%2.%3.%4.%5."/>
      <w:lvlJc w:val="left"/>
      <w:pPr>
        <w:tabs>
          <w:tab w:val="num" w:pos="0"/>
        </w:tabs>
        <w:ind w:left="3240" w:hanging="1440"/>
      </w:pPr>
      <w:rPr/>
    </w:lvl>
    <w:lvl w:ilvl="5">
      <w:start w:val="1"/>
      <w:numFmt w:val="decimal"/>
      <w:isLgl/>
      <w:lvlText w:val="%1.%2.%3.%4.%5.%6."/>
      <w:lvlJc w:val="left"/>
      <w:pPr>
        <w:tabs>
          <w:tab w:val="num" w:pos="0"/>
        </w:tabs>
        <w:ind w:left="3960" w:hanging="1800"/>
      </w:pPr>
      <w:rPr/>
    </w:lvl>
    <w:lvl w:ilvl="6">
      <w:start w:val="1"/>
      <w:numFmt w:val="decimal"/>
      <w:isLgl/>
      <w:lvlText w:val="%1.%2.%3.%4.%5.%6.%7."/>
      <w:lvlJc w:val="left"/>
      <w:pPr>
        <w:tabs>
          <w:tab w:val="num" w:pos="0"/>
        </w:tabs>
        <w:ind w:left="4680" w:hanging="2160"/>
      </w:pPr>
      <w:rPr/>
    </w:lvl>
    <w:lvl w:ilvl="7">
      <w:start w:val="1"/>
      <w:numFmt w:val="decimal"/>
      <w:isLgl/>
      <w:lvlText w:val="%1.%2.%3.%4.%5.%6.%7.%8."/>
      <w:lvlJc w:val="left"/>
      <w:pPr>
        <w:tabs>
          <w:tab w:val="num" w:pos="0"/>
        </w:tabs>
        <w:ind w:left="5400" w:hanging="2520"/>
      </w:pPr>
      <w:rPr/>
    </w:lvl>
    <w:lvl w:ilvl="8">
      <w:start w:val="1"/>
      <w:numFmt w:val="decimal"/>
      <w:isLgl/>
      <w:lvlText w:val="%1.%2.%3.%4.%5.%6.%7.%8.%9."/>
      <w:lvlJc w:val="left"/>
      <w:pPr>
        <w:tabs>
          <w:tab w:val="num" w:pos="0"/>
        </w:tabs>
        <w:ind w:left="5760" w:hanging="2520"/>
      </w:pPr>
      <w:rPr/>
    </w:lvl>
  </w:abstractNum>
  <w:abstractNum w:abstractNumId="10">
    <w:lvl w:ilvl="0">
      <w:start w:val="1"/>
      <w:numFmt w:val="decimal"/>
      <w:lvlText w:val="%1."/>
      <w:lvlJc w:val="left"/>
      <w:pPr>
        <w:tabs>
          <w:tab w:val="num" w:pos="0"/>
        </w:tabs>
        <w:ind w:left="390" w:hanging="390"/>
      </w:pPr>
      <w:rPr/>
    </w:lvl>
    <w:lvl w:ilvl="1">
      <w:start w:val="1"/>
      <w:numFmt w:val="decimal"/>
      <w:lvlText w:val="%1.%2."/>
      <w:lvlJc w:val="left"/>
      <w:pPr>
        <w:tabs>
          <w:tab w:val="num" w:pos="0"/>
        </w:tabs>
        <w:ind w:left="720" w:hanging="720"/>
      </w:pPr>
      <w:rPr>
        <w:rFonts w:ascii="Arial" w:hAnsi="Arial"/>
        <w:b w:val="false"/>
      </w:rPr>
    </w:lvl>
    <w:lvl w:ilvl="2">
      <w:start w:val="1"/>
      <w:numFmt w:val="decimal"/>
      <w:lvlText w:val="%1.%2.%3."/>
      <w:lvlJc w:val="left"/>
      <w:pPr>
        <w:tabs>
          <w:tab w:val="num" w:pos="0"/>
        </w:tabs>
        <w:ind w:left="1430" w:hanging="720"/>
      </w:pPr>
      <w:rPr>
        <w:rFonts w:ascii="Arial" w:hAnsi="Arial"/>
        <w:b w:val="false"/>
        <w:bCs w:val="false"/>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1">
    <w:lvl w:ilvl="0">
      <w:start w:val="1"/>
      <w:numFmt w:val="decimal"/>
      <w:lvlText w:val="%1"/>
      <w:lvlJc w:val="left"/>
      <w:pPr>
        <w:tabs>
          <w:tab w:val="num" w:pos="0"/>
        </w:tabs>
        <w:ind w:left="720" w:hanging="720"/>
      </w:pPr>
      <w:rPr/>
    </w:lvl>
    <w:lvl w:ilvl="1">
      <w:start w:val="3"/>
      <w:numFmt w:val="decimal"/>
      <w:lvlText w:val="%1.%2"/>
      <w:lvlJc w:val="left"/>
      <w:pPr>
        <w:tabs>
          <w:tab w:val="num" w:pos="0"/>
        </w:tabs>
        <w:ind w:left="1098" w:hanging="720"/>
      </w:pPr>
      <w:rPr/>
    </w:lvl>
    <w:lvl w:ilvl="2">
      <w:start w:val="5"/>
      <w:numFmt w:val="decimal"/>
      <w:lvlText w:val="%1.%2.%3"/>
      <w:lvlJc w:val="left"/>
      <w:pPr>
        <w:tabs>
          <w:tab w:val="num" w:pos="0"/>
        </w:tabs>
        <w:ind w:left="1476" w:hanging="720"/>
      </w:pPr>
      <w:rPr/>
    </w:lvl>
    <w:lvl w:ilvl="3">
      <w:start w:val="1"/>
      <w:numFmt w:val="decimal"/>
      <w:lvlText w:val="%1.%2.%3.%4"/>
      <w:lvlJc w:val="left"/>
      <w:pPr>
        <w:tabs>
          <w:tab w:val="num" w:pos="0"/>
        </w:tabs>
        <w:ind w:left="2214" w:hanging="1080"/>
      </w:pPr>
      <w:rPr>
        <w:rFonts w:ascii="Arial" w:hAnsi="Arial"/>
        <w:b w:val="false"/>
        <w:bCs w:val="false"/>
      </w:rPr>
    </w:lvl>
    <w:lvl w:ilvl="4">
      <w:start w:val="1"/>
      <w:numFmt w:val="decimal"/>
      <w:lvlText w:val="%1.%2.%3.%4.%5"/>
      <w:lvlJc w:val="left"/>
      <w:pPr>
        <w:tabs>
          <w:tab w:val="num" w:pos="0"/>
        </w:tabs>
        <w:ind w:left="2592" w:hanging="1080"/>
      </w:pPr>
      <w:rPr/>
    </w:lvl>
    <w:lvl w:ilvl="5">
      <w:start w:val="1"/>
      <w:numFmt w:val="decimal"/>
      <w:lvlText w:val="%1.%2.%3.%4.%5.%6"/>
      <w:lvlJc w:val="left"/>
      <w:pPr>
        <w:tabs>
          <w:tab w:val="num" w:pos="0"/>
        </w:tabs>
        <w:ind w:left="3330" w:hanging="1440"/>
      </w:pPr>
      <w:rPr/>
    </w:lvl>
    <w:lvl w:ilvl="6">
      <w:start w:val="1"/>
      <w:numFmt w:val="decimal"/>
      <w:lvlText w:val="%1.%2.%3.%4.%5.%6.%7"/>
      <w:lvlJc w:val="left"/>
      <w:pPr>
        <w:tabs>
          <w:tab w:val="num" w:pos="0"/>
        </w:tabs>
        <w:ind w:left="3708" w:hanging="1440"/>
      </w:pPr>
      <w:rPr/>
    </w:lvl>
    <w:lvl w:ilvl="7">
      <w:start w:val="1"/>
      <w:numFmt w:val="decimal"/>
      <w:lvlText w:val="%1.%2.%3.%4.%5.%6.%7.%8"/>
      <w:lvlJc w:val="left"/>
      <w:pPr>
        <w:tabs>
          <w:tab w:val="num" w:pos="0"/>
        </w:tabs>
        <w:ind w:left="4446" w:hanging="1800"/>
      </w:pPr>
      <w:rPr/>
    </w:lvl>
    <w:lvl w:ilvl="8">
      <w:start w:val="1"/>
      <w:numFmt w:val="decimal"/>
      <w:lvlText w:val="%1.%2.%3.%4.%5.%6.%7.%8.%9"/>
      <w:lvlJc w:val="left"/>
      <w:pPr>
        <w:tabs>
          <w:tab w:val="num" w:pos="0"/>
        </w:tabs>
        <w:ind w:left="4824" w:hanging="1800"/>
      </w:pPr>
      <w:rPr/>
    </w:lvl>
  </w:abstractNum>
  <w:abstractNum w:abstractNumId="12">
    <w:lvl w:ilvl="0">
      <w:start w:val="1"/>
      <w:numFmt w:val="decimal"/>
      <w:suff w:val="space"/>
      <w:lvlText w:val="1.7.%1."/>
      <w:lvlJc w:val="left"/>
      <w:pPr>
        <w:tabs>
          <w:tab w:val="num" w:pos="0"/>
        </w:tabs>
        <w:ind w:left="802" w:hanging="360"/>
      </w:pPr>
      <w:rPr>
        <w:rFonts w:ascii="Arial" w:hAnsi="Arial"/>
        <w:b/>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4">
    <w:lvl w:ilvl="0">
      <w:start w:val="1"/>
      <w:numFmt w:val="lowerLetter"/>
      <w:lvlText w:val="%1)"/>
      <w:lvlJc w:val="left"/>
      <w:pPr>
        <w:tabs>
          <w:tab w:val="num" w:pos="0"/>
        </w:tabs>
        <w:ind w:left="1789" w:hanging="360"/>
      </w:pPr>
      <w:rPr>
        <w:rFonts w:ascii="Arial" w:hAnsi="Aria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5">
    <w:lvl w:ilvl="0">
      <w:start w:val="1"/>
      <w:numFmt w:val="lowerLetter"/>
      <w:lvlText w:val="%1)"/>
      <w:lvlJc w:val="left"/>
      <w:pPr>
        <w:tabs>
          <w:tab w:val="num" w:pos="0"/>
        </w:tabs>
        <w:ind w:left="1080" w:hanging="360"/>
      </w:pPr>
      <w:rPr>
        <w:rFonts w:ascii="Arial" w:hAnsi="Arial"/>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
      <w:numFmt w:val="decimal"/>
      <w:lvlText w:val="%1."/>
      <w:lvlJc w:val="left"/>
      <w:pPr>
        <w:tabs>
          <w:tab w:val="num" w:pos="0"/>
        </w:tabs>
        <w:ind w:left="390" w:hanging="390"/>
      </w:pPr>
      <w:rPr/>
    </w:lvl>
    <w:lvl w:ilvl="1">
      <w:start w:val="1"/>
      <w:numFmt w:val="decimal"/>
      <w:lvlText w:val="6.%2"/>
      <w:lvlJc w:val="left"/>
      <w:pPr>
        <w:tabs>
          <w:tab w:val="num" w:pos="0"/>
        </w:tabs>
        <w:ind w:left="720" w:hanging="720"/>
      </w:pPr>
      <w:rPr>
        <w:rFonts w:ascii="Arial" w:hAnsi="Arial"/>
        <w:b w:val="false"/>
      </w:rPr>
    </w:lvl>
    <w:lvl w:ilvl="2">
      <w:start w:val="1"/>
      <w:numFmt w:val="decimal"/>
      <w:lvlText w:val="6.%3"/>
      <w:lvlJc w:val="left"/>
      <w:pPr>
        <w:tabs>
          <w:tab w:val="num" w:pos="0"/>
        </w:tabs>
        <w:ind w:left="1430" w:hanging="720"/>
      </w:pPr>
      <w:rPr>
        <w:b w:val="false"/>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17">
    <w:lvl w:ilvl="0">
      <w:start w:val="1"/>
      <w:numFmt w:val="decimal"/>
      <w:lvlText w:val="%1."/>
      <w:lvlJc w:val="left"/>
      <w:pPr>
        <w:tabs>
          <w:tab w:val="num" w:pos="0"/>
        </w:tabs>
        <w:ind w:left="720" w:hanging="360"/>
      </w:pPr>
      <w:rPr>
        <w:rFonts w:ascii="Arial" w:hAnsi="Arial"/>
        <w:b w:val="false"/>
      </w:rPr>
    </w:lvl>
    <w:lvl w:ilvl="1">
      <w:start w:val="1"/>
      <w:numFmt w:val="decimal"/>
      <w:isLgl/>
      <w:lvlText w:val="%1.%2."/>
      <w:lvlJc w:val="left"/>
      <w:pPr>
        <w:tabs>
          <w:tab w:val="num" w:pos="0"/>
        </w:tabs>
        <w:ind w:left="1080" w:hanging="720"/>
      </w:pPr>
      <w:rPr>
        <w:rFonts w:ascii="Arial" w:hAnsi="Arial"/>
      </w:rPr>
    </w:lvl>
    <w:lvl w:ilvl="2">
      <w:start w:val="1"/>
      <w:numFmt w:val="decimal"/>
      <w:isLgl/>
      <w:lvlText w:val="%1.%2.%3."/>
      <w:lvlJc w:val="left"/>
      <w:pPr>
        <w:tabs>
          <w:tab w:val="num" w:pos="0"/>
        </w:tabs>
        <w:ind w:left="1440" w:hanging="1080"/>
      </w:pPr>
      <w:rPr>
        <w:rFonts w:ascii="Arial" w:hAnsi="Arial"/>
      </w:rPr>
    </w:lvl>
    <w:lvl w:ilvl="3">
      <w:start w:val="1"/>
      <w:numFmt w:val="decimal"/>
      <w:isLgl/>
      <w:lvlText w:val="%1.%2.%3.%4."/>
      <w:lvlJc w:val="left"/>
      <w:pPr>
        <w:tabs>
          <w:tab w:val="num" w:pos="0"/>
        </w:tabs>
        <w:ind w:left="1800" w:hanging="1440"/>
      </w:pPr>
      <w:rPr/>
    </w:lvl>
    <w:lvl w:ilvl="4">
      <w:start w:val="1"/>
      <w:numFmt w:val="decimal"/>
      <w:isLgl/>
      <w:lvlText w:val="%1.%2.%3.%4.%5."/>
      <w:lvlJc w:val="left"/>
      <w:pPr>
        <w:tabs>
          <w:tab w:val="num" w:pos="0"/>
        </w:tabs>
        <w:ind w:left="1800" w:hanging="1440"/>
      </w:pPr>
      <w:rPr/>
    </w:lvl>
    <w:lvl w:ilvl="5">
      <w:start w:val="1"/>
      <w:numFmt w:val="decimal"/>
      <w:isLgl/>
      <w:lvlText w:val="%1.%2.%3.%4.%5.%6."/>
      <w:lvlJc w:val="left"/>
      <w:pPr>
        <w:tabs>
          <w:tab w:val="num" w:pos="0"/>
        </w:tabs>
        <w:ind w:left="2160" w:hanging="1800"/>
      </w:pPr>
      <w:rPr/>
    </w:lvl>
    <w:lvl w:ilvl="6">
      <w:start w:val="1"/>
      <w:numFmt w:val="decimal"/>
      <w:isLgl/>
      <w:lvlText w:val="%1.%2.%3.%4.%5.%6.%7."/>
      <w:lvlJc w:val="left"/>
      <w:pPr>
        <w:tabs>
          <w:tab w:val="num" w:pos="0"/>
        </w:tabs>
        <w:ind w:left="2520" w:hanging="2160"/>
      </w:pPr>
      <w:rPr/>
    </w:lvl>
    <w:lvl w:ilvl="7">
      <w:start w:val="1"/>
      <w:numFmt w:val="decimal"/>
      <w:isLgl/>
      <w:lvlText w:val="%1.%2.%3.%4.%5.%6.%7.%8."/>
      <w:lvlJc w:val="left"/>
      <w:pPr>
        <w:tabs>
          <w:tab w:val="num" w:pos="0"/>
        </w:tabs>
        <w:ind w:left="2880" w:hanging="2520"/>
      </w:pPr>
      <w:rPr/>
    </w:lvl>
    <w:lvl w:ilvl="8">
      <w:start w:val="1"/>
      <w:numFmt w:val="decimal"/>
      <w:isLgl/>
      <w:lvlText w:val="%1.%2.%3.%4.%5.%6.%7.%8.%9."/>
      <w:lvlJc w:val="left"/>
      <w:pPr>
        <w:tabs>
          <w:tab w:val="num" w:pos="0"/>
        </w:tabs>
        <w:ind w:left="3240" w:hanging="2880"/>
      </w:pPr>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20"/>
  <w:defaultTabStop w:val="709"/>
  <w:autoHyphenation w:val="true"/>
  <w:hyphenationZone w:val="360"/>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200"/>
      <w:jc w:val="both"/>
    </w:pPr>
    <w:rPr>
      <w:rFonts w:ascii="Calibri" w:hAnsi="Calibri" w:eastAsia="Times New Roman" w:cs="Times New Roman"/>
      <w:color w:val="auto"/>
      <w:kern w:val="0"/>
      <w:sz w:val="22"/>
      <w:szCs w:val="22"/>
      <w:lang w:val="pt-BR" w:eastAsia="zh-CN" w:bidi="ar-SA"/>
    </w:rPr>
  </w:style>
  <w:style w:type="paragraph" w:styleId="Heading1">
    <w:name w:val="heading 1"/>
    <w:basedOn w:val="Normal"/>
    <w:next w:val="Normal"/>
    <w:qFormat/>
    <w:pPr>
      <w:numPr>
        <w:ilvl w:val="0"/>
        <w:numId w:val="1"/>
      </w:numPr>
      <w:suppressAutoHyphens w:val="true"/>
      <w:spacing w:before="120" w:after="120"/>
      <w:textAlignment w:val="baseline"/>
      <w:outlineLvl w:val="0"/>
    </w:pPr>
    <w:rPr>
      <w:rFonts w:ascii="Arial" w:hAnsi="Arial" w:eastAsia="WenQuanYi Micro Hei" w:cs="Arial"/>
      <w:b/>
      <w:sz w:val="20"/>
      <w:szCs w:val="24"/>
      <w:lang w:bidi="hi-IN"/>
    </w:rPr>
  </w:style>
  <w:style w:type="paragraph" w:styleId="Heading2">
    <w:name w:val="heading 2"/>
    <w:basedOn w:val="Ttulo"/>
    <w:next w:val="BodyText"/>
    <w:qFormat/>
    <w:pPr>
      <w:spacing w:before="200" w:after="120"/>
      <w:outlineLvl w:val="1"/>
    </w:pPr>
    <w:rPr>
      <w:rFonts w:ascii="Liberation Serif;Times New Roman" w:hAnsi="Liberation Serif;Times New Roman" w:eastAsia="Segoe UI" w:cs="Tahoma"/>
      <w:b/>
      <w:bCs/>
      <w:sz w:val="36"/>
      <w:szCs w:val="36"/>
    </w:rPr>
  </w:style>
  <w:style w:type="paragraph" w:styleId="Heading3">
    <w:name w:val="heading 3"/>
    <w:basedOn w:val="Normal"/>
    <w:next w:val="Normal"/>
    <w:qFormat/>
    <w:pPr>
      <w:keepNext w:val="true"/>
      <w:keepLines/>
      <w:spacing w:before="40" w:after="0"/>
      <w:outlineLvl w:val="2"/>
    </w:pPr>
    <w:rPr>
      <w:rFonts w:ascii="Calibri Light" w:hAnsi="Calibri Light" w:eastAsia="" w:cs=""/>
      <w:color w:val="1F3763"/>
      <w:sz w:val="24"/>
      <w:szCs w:val="24"/>
    </w:rPr>
  </w:style>
  <w:style w:type="character" w:styleId="WW8Num1z0">
    <w:name w:val="WW8Num1z0"/>
    <w:qFormat/>
    <w:rPr>
      <w:b/>
    </w:rPr>
  </w:style>
  <w:style w:type="character" w:styleId="WW8Num1z1">
    <w:name w:val="WW8Num1z1"/>
    <w:qFormat/>
    <w:rPr>
      <w:b w:val="false"/>
      <w:i w:val="false"/>
      <w:iCs/>
    </w:rPr>
  </w:style>
  <w:style w:type="character" w:styleId="WW8Num1z2">
    <w:name w:val="WW8Num1z2"/>
    <w:qFormat/>
    <w:rPr>
      <w:rFonts w:ascii="Arial" w:hAnsi="Arial" w:cs="Arial"/>
      <w:b w:val="false"/>
      <w:i w:val="false"/>
      <w:iCs/>
      <w:color w:val="000000"/>
    </w:rPr>
  </w:style>
  <w:style w:type="character" w:styleId="WW8Num4z0">
    <w:name w:val="WW8Num4z0"/>
    <w:qFormat/>
    <w:rPr>
      <w:b/>
    </w:rPr>
  </w:style>
  <w:style w:type="character" w:styleId="WW8Num4z1">
    <w:name w:val="WW8Num4z1"/>
    <w:qFormat/>
    <w:rPr>
      <w:rFonts w:ascii="Arial" w:hAnsi="Arial" w:eastAsia="Times New Roman" w:cs="Arial"/>
      <w:b w:val="false"/>
      <w:i w:val="false"/>
      <w:strike w:val="false"/>
      <w:dstrike w:val="false"/>
      <w:color w:val="000000"/>
      <w:sz w:val="20"/>
      <w:szCs w:val="20"/>
      <w:u w:val="none"/>
    </w:rPr>
  </w:style>
  <w:style w:type="character" w:styleId="WW8Num4z2">
    <w:name w:val="WW8Num4z2"/>
    <w:qFormat/>
    <w:rPr>
      <w:rFonts w:ascii="Arial" w:hAnsi="Arial" w:eastAsia="Times New Roman" w:cs="Arial"/>
      <w:b w:val="false"/>
      <w:i w:val="false"/>
      <w:strike w:val="false"/>
      <w:dstrike w:val="false"/>
      <w:color w:val="000000"/>
      <w:sz w:val="20"/>
      <w:szCs w:val="20"/>
    </w:rPr>
  </w:style>
  <w:style w:type="character" w:styleId="WW8Num5z0">
    <w:name w:val="WW8Num5z0"/>
    <w:qFormat/>
    <w:rPr>
      <w:rFonts w:ascii="Symbol" w:hAnsi="Symbol" w:cs="Symbol"/>
    </w:rPr>
  </w:style>
  <w:style w:type="character" w:styleId="WW8Num6z0">
    <w:name w:val="WW8Num6z0"/>
    <w:qFormat/>
    <w:rPr/>
  </w:style>
  <w:style w:type="character" w:styleId="WW8Num6z1">
    <w:name w:val="WW8Num6z1"/>
    <w:qFormat/>
    <w:rPr>
      <w:b w:val="false"/>
    </w:rPr>
  </w:style>
  <w:style w:type="character" w:styleId="WW8Num7z0">
    <w:name w:val="WW8Num7z0"/>
    <w:qFormat/>
    <w:rPr>
      <w:b/>
    </w:rPr>
  </w:style>
  <w:style w:type="character" w:styleId="WW8Num7z1">
    <w:name w:val="WW8Num7z1"/>
    <w:qFormat/>
    <w:rPr>
      <w:b w:val="false"/>
      <w:i w:val="false"/>
      <w:iCs/>
    </w:rPr>
  </w:style>
  <w:style w:type="character" w:styleId="WW8Num7z2">
    <w:name w:val="WW8Num7z2"/>
    <w:qFormat/>
    <w:rPr>
      <w:rFonts w:ascii="Arial" w:hAnsi="Arial" w:cs="Arial"/>
      <w:b w:val="false"/>
      <w:i w:val="false"/>
      <w:iCs/>
      <w:color w:val="000000"/>
    </w:rPr>
  </w:style>
  <w:style w:type="character" w:styleId="WW8Num8z0">
    <w:name w:val="WW8Num8z0"/>
    <w:qFormat/>
    <w:rPr>
      <w:rFonts w:ascii="Symbol" w:hAnsi="Symbol" w:cs="Symbol"/>
    </w:rPr>
  </w:style>
  <w:style w:type="character" w:styleId="WW8Num9z0">
    <w:name w:val="WW8Num9z0"/>
    <w:qFormat/>
    <w:rPr/>
  </w:style>
  <w:style w:type="character" w:styleId="WW8Num10z0">
    <w:name w:val="WW8Num10z0"/>
    <w:qFormat/>
    <w:rPr/>
  </w:style>
  <w:style w:type="character" w:styleId="WW8Num10z1">
    <w:name w:val="WW8Num10z1"/>
    <w:qFormat/>
    <w:rPr>
      <w:b w:val="false"/>
    </w:rPr>
  </w:style>
  <w:style w:type="character" w:styleId="WW8Num10z2">
    <w:name w:val="WW8Num10z2"/>
    <w:qFormat/>
    <w:rPr>
      <w:b/>
    </w:rPr>
  </w:style>
  <w:style w:type="character" w:styleId="WW8Num11z0">
    <w:name w:val="WW8Num11z0"/>
    <w:qFormat/>
    <w:rPr/>
  </w:style>
  <w:style w:type="character" w:styleId="WW8Num11z3">
    <w:name w:val="WW8Num11z3"/>
    <w:qFormat/>
    <w:rPr>
      <w:b/>
    </w:rPr>
  </w:style>
  <w:style w:type="character" w:styleId="WW8Num12z0">
    <w:name w:val="WW8Num12z0"/>
    <w:qFormat/>
    <w:rPr>
      <w:b/>
    </w:rPr>
  </w:style>
  <w:style w:type="character" w:styleId="WW8Num13z0">
    <w:name w:val="WW8Num13z0"/>
    <w:qFormat/>
    <w:rPr>
      <w:rFonts w:ascii="Symbol" w:hAnsi="Symbol" w:cs="Symbol"/>
    </w:rPr>
  </w:style>
  <w:style w:type="character" w:styleId="WW8Num15z0">
    <w:name w:val="WW8Num15z0"/>
    <w:qFormat/>
    <w:rPr/>
  </w:style>
  <w:style w:type="character" w:styleId="WW8Num16z0">
    <w:name w:val="WW8Num16z0"/>
    <w:qFormat/>
    <w:rPr/>
  </w:style>
  <w:style w:type="character" w:styleId="WW8Num16z1">
    <w:name w:val="WW8Num16z1"/>
    <w:qFormat/>
    <w:rPr>
      <w:b w:val="false"/>
    </w:rPr>
  </w:style>
  <w:style w:type="character" w:styleId="WW8Num17z0">
    <w:name w:val="WW8Num17z0"/>
    <w:qFormat/>
    <w:rPr>
      <w:b w:val="false"/>
    </w:rPr>
  </w:style>
  <w:style w:type="character" w:styleId="WW8Num17z1">
    <w:name w:val="WW8Num17z1"/>
    <w:qFormat/>
    <w:rPr/>
  </w:style>
  <w:style w:type="character" w:styleId="WW8Num18z0">
    <w:name w:val="WW8Num18z0"/>
    <w:qFormat/>
    <w:rPr>
      <w:rFonts w:ascii="Symbol" w:hAnsi="Symbol" w:cs="Symbol"/>
    </w:rPr>
  </w:style>
  <w:style w:type="character" w:styleId="WW8Num19z0">
    <w:name w:val="WW8Num19z0"/>
    <w:qFormat/>
    <w:rPr>
      <w:rFonts w:ascii="Symbol" w:hAnsi="Symbol" w:cs="Symbol"/>
    </w:rPr>
  </w:style>
  <w:style w:type="character" w:styleId="WW8Num20z0">
    <w:name w:val="WW8Num20z0"/>
    <w:qFormat/>
    <w:rPr>
      <w:rFonts w:ascii="Symbol" w:hAnsi="Symbol" w:cs="Symbol"/>
    </w:rPr>
  </w:style>
  <w:style w:type="character" w:styleId="WW8Num21z0">
    <w:name w:val="WW8Num21z0"/>
    <w:qFormat/>
    <w:rPr>
      <w:rFonts w:ascii="Symbol" w:hAnsi="Symbol" w:cs="OpenSymbol;Arial Unicode MS"/>
    </w:rPr>
  </w:style>
  <w:style w:type="character" w:styleId="WW8Num21z1">
    <w:name w:val="WW8Num21z1"/>
    <w:qFormat/>
    <w:rPr>
      <w:rFonts w:ascii="OpenSymbol;Arial Unicode MS" w:hAnsi="OpenSymbol;Arial Unicode MS" w:cs="OpenSymbol;Arial Unicode MS"/>
    </w:rPr>
  </w:style>
  <w:style w:type="character" w:styleId="WW8Num22z0">
    <w:name w:val="WW8Num22z0"/>
    <w:qFormat/>
    <w:rPr>
      <w:rFonts w:ascii="Symbol" w:hAnsi="Symbol" w:cs="OpenSymbol;Arial Unicode MS"/>
    </w:rPr>
  </w:style>
  <w:style w:type="character" w:styleId="WW8Num22z1">
    <w:name w:val="WW8Num22z1"/>
    <w:qFormat/>
    <w:rPr>
      <w:rFonts w:ascii="OpenSymbol;Arial Unicode MS" w:hAnsi="OpenSymbol;Arial Unicode MS" w:cs="OpenSymbol;Arial Unicode MS"/>
    </w:rPr>
  </w:style>
  <w:style w:type="character" w:styleId="WW8Num8z1">
    <w:name w:val="WW8Num8z1"/>
    <w:qFormat/>
    <w:rPr>
      <w:b w:val="false"/>
      <w:i w:val="false"/>
      <w:iCs/>
    </w:rPr>
  </w:style>
  <w:style w:type="character" w:styleId="WW8Num8z2">
    <w:name w:val="WW8Num8z2"/>
    <w:qFormat/>
    <w:rPr>
      <w:rFonts w:ascii="Arial" w:hAnsi="Arial" w:cs="Arial"/>
      <w:b w:val="false"/>
      <w:i w:val="false"/>
      <w:iCs/>
      <w:color w:val="000000"/>
    </w:rPr>
  </w:style>
  <w:style w:type="character" w:styleId="WW8Num9z1">
    <w:name w:val="WW8Num9z1"/>
    <w:qFormat/>
    <w:rPr>
      <w:rFonts w:ascii="Arial" w:hAnsi="Arial" w:cs="Arial"/>
    </w:rPr>
  </w:style>
  <w:style w:type="character" w:styleId="WW8Num12z1">
    <w:name w:val="WW8Num12z1"/>
    <w:qFormat/>
    <w:rPr>
      <w:b w:val="false"/>
    </w:rPr>
  </w:style>
  <w:style w:type="character" w:styleId="WW8Num12z2">
    <w:name w:val="WW8Num12z2"/>
    <w:qFormat/>
    <w:rPr>
      <w:b/>
    </w:rPr>
  </w:style>
  <w:style w:type="character" w:styleId="WW8Num13z3">
    <w:name w:val="WW8Num13z3"/>
    <w:qFormat/>
    <w:rPr>
      <w:b/>
    </w:rPr>
  </w:style>
  <w:style w:type="character" w:styleId="WW8Num14z0">
    <w:name w:val="WW8Num14z0"/>
    <w:qFormat/>
    <w:rPr>
      <w:b/>
    </w:rPr>
  </w:style>
  <w:style w:type="character" w:styleId="WW8Num18z1">
    <w:name w:val="WW8Num18z1"/>
    <w:qFormat/>
    <w:rPr>
      <w:b w:val="false"/>
    </w:rPr>
  </w:style>
  <w:style w:type="character" w:styleId="WW8Num19z1">
    <w:name w:val="WW8Num19z1"/>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5z1">
    <w:name w:val="WW8Num15z1"/>
    <w:qFormat/>
    <w:rPr>
      <w:b w:val="false"/>
      <w:i w:val="false"/>
      <w:iCs/>
    </w:rPr>
  </w:style>
  <w:style w:type="character" w:styleId="WW8Num15z2">
    <w:name w:val="WW8Num15z2"/>
    <w:qFormat/>
    <w:rPr>
      <w:rFonts w:ascii="Arial" w:hAnsi="Arial" w:cs="Arial"/>
      <w:b w:val="false"/>
      <w:i w:val="false"/>
      <w:iCs/>
      <w:color w:val="000000"/>
    </w:rPr>
  </w:style>
  <w:style w:type="character" w:styleId="WW8Num17z2">
    <w:name w:val="WW8Num17z2"/>
    <w:qFormat/>
    <w:rPr>
      <w:rFonts w:ascii="Wingdings" w:hAnsi="Wingdings" w:cs="Wingdings"/>
    </w:rPr>
  </w:style>
  <w:style w:type="character" w:styleId="WW8Num18z2">
    <w:name w:val="WW8Num18z2"/>
    <w:qFormat/>
    <w:rPr>
      <w:rFonts w:ascii="Wingdings" w:hAnsi="Wingdings" w:cs="Wingdings"/>
    </w:rPr>
  </w:style>
  <w:style w:type="character" w:styleId="WW8Num19z2">
    <w:name w:val="WW8Num19z2"/>
    <w:qFormat/>
    <w:rPr>
      <w:rFonts w:ascii="Wingdings" w:hAnsi="Wingdings" w:cs="Wingdings"/>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1z2">
    <w:name w:val="WW8Num21z2"/>
    <w:qFormat/>
    <w:rPr>
      <w:rFonts w:ascii="Wingdings" w:hAnsi="Wingdings" w:cs="Wingdings"/>
    </w:rPr>
  </w:style>
  <w:style w:type="character" w:styleId="WW8Num22z2">
    <w:name w:val="WW8Num22z2"/>
    <w:qFormat/>
    <w:rPr>
      <w:rFonts w:ascii="Wingdings" w:hAnsi="Wingdings" w:cs="Wingdings"/>
    </w:rPr>
  </w:style>
  <w:style w:type="character" w:styleId="WW8Num23z0">
    <w:name w:val="WW8Num23z0"/>
    <w:qFormat/>
    <w:rPr/>
  </w:style>
  <w:style w:type="character" w:styleId="WW8Num24z0">
    <w:name w:val="WW8Num24z0"/>
    <w:qFormat/>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style>
  <w:style w:type="character" w:styleId="WW8Num26z1">
    <w:name w:val="WW8Num26z1"/>
    <w:qFormat/>
    <w:rPr>
      <w:b w:val="false"/>
    </w:rPr>
  </w:style>
  <w:style w:type="character" w:styleId="WW8Num26z2">
    <w:name w:val="WW8Num26z2"/>
    <w:qFormat/>
    <w:rPr>
      <w:b/>
    </w:rPr>
  </w:style>
  <w:style w:type="character" w:styleId="WW8Num27z0">
    <w:name w:val="WW8Num27z0"/>
    <w:qFormat/>
    <w:rPr/>
  </w:style>
  <w:style w:type="character" w:styleId="WW8Num27z3">
    <w:name w:val="WW8Num27z3"/>
    <w:qFormat/>
    <w:rPr>
      <w:b/>
    </w:rPr>
  </w:style>
  <w:style w:type="character" w:styleId="WW8Num28z0">
    <w:name w:val="WW8Num28z0"/>
    <w:qFormat/>
    <w:rPr>
      <w:b/>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rFonts w:ascii="Symbol" w:hAnsi="Symbol" w:cs="Symbol"/>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2z0">
    <w:name w:val="WW8Num32z0"/>
    <w:qFormat/>
    <w:rPr>
      <w:rFonts w:ascii="Symbol" w:hAnsi="Symbol" w:cs="Symbol"/>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3z0">
    <w:name w:val="WW8Num33z0"/>
    <w:qFormat/>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style>
  <w:style w:type="character" w:styleId="WW8Num35z1">
    <w:name w:val="WW8Num35z1"/>
    <w:qFormat/>
    <w:rPr>
      <w:b w:val="false"/>
    </w:rPr>
  </w:style>
  <w:style w:type="character" w:styleId="WW8Num36z0">
    <w:name w:val="WW8Num36z0"/>
    <w:qFormat/>
    <w:rPr>
      <w:b w:val="false"/>
    </w:rPr>
  </w:style>
  <w:style w:type="character" w:styleId="WW8Num36z1">
    <w:name w:val="WW8Num36z1"/>
    <w:qFormat/>
    <w:rPr/>
  </w:style>
  <w:style w:type="character" w:styleId="WW8Num37z0">
    <w:name w:val="WW8Num37z0"/>
    <w:qFormat/>
    <w:rPr/>
  </w:style>
  <w:style w:type="character" w:styleId="Fontepargpadro">
    <w:name w:val="Fonte parág. padrão"/>
    <w:qFormat/>
    <w:rPr/>
  </w:style>
  <w:style w:type="character" w:styleId="CabealhoChar">
    <w:name w:val="Cabeçalho Char"/>
    <w:basedOn w:val="Fontepargpadro"/>
    <w:qFormat/>
    <w:rPr/>
  </w:style>
  <w:style w:type="character" w:styleId="RodapChar">
    <w:name w:val="Rodapé Char"/>
    <w:basedOn w:val="Fontepargpadro"/>
    <w:qFormat/>
    <w:rPr/>
  </w:style>
  <w:style w:type="character" w:styleId="Hyperlink">
    <w:name w:val="Hyperlink"/>
    <w:basedOn w:val="Fontepargpadro"/>
    <w:rPr>
      <w:color w:val="0000FF"/>
      <w:u w:val="single"/>
    </w:rPr>
  </w:style>
  <w:style w:type="character" w:styleId="markedcontent">
    <w:name w:val="markedcontent"/>
    <w:basedOn w:val="Fontepargpadro"/>
    <w:qFormat/>
    <w:rPr/>
  </w:style>
  <w:style w:type="character" w:styleId="TextodebaloChar">
    <w:name w:val="Texto de balão Char"/>
    <w:basedOn w:val="Fontepargpadro"/>
    <w:qFormat/>
    <w:rPr>
      <w:rFonts w:ascii="Tahoma" w:hAnsi="Tahoma" w:cs="Tahoma"/>
      <w:sz w:val="16"/>
      <w:szCs w:val="16"/>
    </w:rPr>
  </w:style>
  <w:style w:type="character" w:styleId="CorpodetextoChar">
    <w:name w:val="Corpo de texto Char"/>
    <w:basedOn w:val="Fontepargpadro"/>
    <w:qFormat/>
    <w:rPr>
      <w:rFonts w:ascii="Calibri" w:hAnsi="Calibri" w:eastAsia="Calibri" w:cs="Calibri"/>
      <w:sz w:val="21"/>
      <w:szCs w:val="21"/>
      <w:lang w:val="en-US"/>
    </w:rPr>
  </w:style>
  <w:style w:type="character" w:styleId="Ttulo1Char">
    <w:name w:val="Título 1 Char"/>
    <w:basedOn w:val="Fontepargpadro"/>
    <w:qFormat/>
    <w:rPr>
      <w:rFonts w:ascii="Arial" w:hAnsi="Arial" w:eastAsia="WenQuanYi Micro Hei" w:cs="Arial"/>
      <w:b/>
      <w:sz w:val="20"/>
      <w:szCs w:val="24"/>
    </w:rPr>
  </w:style>
  <w:style w:type="character" w:styleId="FollowedHyperlink">
    <w:name w:val="FollowedHyperlink"/>
    <w:basedOn w:val="Fontepargpadro"/>
    <w:rPr>
      <w:color w:val="800080"/>
      <w:u w:val="single"/>
    </w:rPr>
  </w:style>
  <w:style w:type="character" w:styleId="CitaoChar">
    <w:name w:val="Citação Char"/>
    <w:basedOn w:val="Fontepargpadro"/>
    <w:qFormat/>
    <w:rPr>
      <w:rFonts w:ascii="Arial" w:hAnsi="Arial" w:eastAsia="Calibri" w:cs="Tahoma"/>
      <w:i/>
      <w:iCs/>
      <w:color w:val="000000"/>
      <w:sz w:val="20"/>
      <w:szCs w:val="24"/>
      <w:shd w:fill="FFFFCC" w:val="clear"/>
    </w:rPr>
  </w:style>
  <w:style w:type="character" w:styleId="CitaoChar1">
    <w:name w:val="Citação Char1"/>
    <w:basedOn w:val="Fontepargpadro"/>
    <w:qFormat/>
    <w:rPr>
      <w:i/>
      <w:iCs/>
      <w:color w:val="000000"/>
    </w:rPr>
  </w:style>
  <w:style w:type="character" w:styleId="SubttuloChar">
    <w:name w:val="Subtítulo Char"/>
    <w:basedOn w:val="Fontepargpadro"/>
    <w:qFormat/>
    <w:rPr>
      <w:rFonts w:ascii="Arial" w:hAnsi="Arial" w:eastAsia="Times New Roman" w:cs="Times New Roman"/>
      <w:b/>
      <w:sz w:val="24"/>
      <w:szCs w:val="24"/>
      <w:shd w:fill="FFFFFF" w:val="clear"/>
    </w:rPr>
  </w:style>
  <w:style w:type="character" w:styleId="Nvel2-RedChar">
    <w:name w:val="Nível 2 -Red Char"/>
    <w:basedOn w:val="Fontepargpadro"/>
    <w:qFormat/>
    <w:rPr>
      <w:rFonts w:ascii="Arial" w:hAnsi="Arial" w:eastAsia="Times New Roman" w:cs="Arial"/>
      <w:i/>
      <w:iCs/>
      <w:color w:val="FF0000"/>
      <w:sz w:val="20"/>
      <w:szCs w:val="20"/>
    </w:rPr>
  </w:style>
  <w:style w:type="character" w:styleId="Nivel2Char">
    <w:name w:val="Nivel 2 Char"/>
    <w:basedOn w:val="Fontepargpadro"/>
    <w:qFormat/>
    <w:rPr>
      <w:rFonts w:ascii="Arial" w:hAnsi="Arial" w:eastAsia="Times New Roman" w:cs="Arial"/>
      <w:color w:val="000000"/>
      <w:sz w:val="20"/>
      <w:szCs w:val="20"/>
    </w:rPr>
  </w:style>
  <w:style w:type="character" w:styleId="Strong">
    <w:name w:val="Strong"/>
    <w:basedOn w:val="Fontepargpadro"/>
    <w:qFormat/>
    <w:rPr>
      <w:b/>
      <w:bCs/>
    </w:rPr>
  </w:style>
  <w:style w:type="character" w:styleId="Emphasis">
    <w:name w:val="Emphasis"/>
    <w:basedOn w:val="Fontepargpadro"/>
    <w:qFormat/>
    <w:rPr>
      <w:i/>
      <w:iCs/>
    </w:rPr>
  </w:style>
  <w:style w:type="character" w:styleId="Marcadores">
    <w:name w:val="Marcadores"/>
    <w:qFormat/>
    <w:rPr>
      <w:rFonts w:ascii="OpenSymbol;Arial Unicode MS" w:hAnsi="OpenSymbol;Arial Unicode MS" w:eastAsia="OpenSymbol;Arial Unicode MS" w:cs="OpenSymbol;Arial Unicode MS"/>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widowControl w:val="false"/>
      <w:spacing w:lineRule="auto" w:line="240" w:before="0" w:after="0"/>
      <w:ind w:hanging="0" w:left="164" w:right="0"/>
    </w:pPr>
    <w:rPr>
      <w:rFonts w:ascii="Calibri" w:hAnsi="Calibri" w:eastAsia="Calibri" w:cs="Calibri"/>
      <w:sz w:val="21"/>
      <w:szCs w:val="21"/>
      <w:lang w:val="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Noto Sans CJK SC" w:cs="FreeSans"/>
      <w:sz w:val="28"/>
      <w:szCs w:val="28"/>
    </w:rPr>
  </w:style>
  <w:style w:type="paragraph" w:styleId="ndiceuser">
    <w:name w:val="Índice (user)"/>
    <w:basedOn w:val="Normal"/>
    <w:qFormat/>
    <w:pPr>
      <w:suppressLineNumbers/>
    </w:pPr>
    <w:rPr>
      <w:rFonts w:cs="FreeSans"/>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Arial"/>
      <w:i/>
      <w:iCs/>
      <w:sz w:val="24"/>
      <w:szCs w:val="24"/>
    </w:rPr>
  </w:style>
  <w:style w:type="paragraph" w:styleId="caption111">
    <w:name w:val="caption111"/>
    <w:basedOn w:val="Normal"/>
    <w:qFormat/>
    <w:pPr>
      <w:suppressLineNumbers/>
      <w:spacing w:before="120" w:after="120"/>
    </w:pPr>
    <w:rPr>
      <w:rFonts w:cs="Arial"/>
      <w:i/>
      <w:iCs/>
      <w:sz w:val="24"/>
      <w:szCs w:val="24"/>
    </w:rPr>
  </w:style>
  <w:style w:type="paragraph" w:styleId="caption1111">
    <w:name w:val="caption1111"/>
    <w:basedOn w:val="Normal"/>
    <w:qFormat/>
    <w:pPr>
      <w:suppressLineNumbers/>
      <w:spacing w:before="120" w:after="120"/>
    </w:pPr>
    <w:rPr>
      <w:rFonts w:cs="Arial"/>
      <w:i/>
      <w:iCs/>
      <w:sz w:val="24"/>
      <w:szCs w:val="24"/>
    </w:rPr>
  </w:style>
  <w:style w:type="paragraph" w:styleId="caption11111">
    <w:name w:val="caption11111"/>
    <w:basedOn w:val="Normal"/>
    <w:qFormat/>
    <w:pPr>
      <w:suppressLineNumbers/>
      <w:spacing w:before="120" w:after="120"/>
    </w:pPr>
    <w:rPr>
      <w:rFonts w:cs="Arial"/>
      <w:i/>
      <w:iCs/>
      <w:sz w:val="24"/>
      <w:szCs w:val="24"/>
    </w:rPr>
  </w:style>
  <w:style w:type="paragraph" w:styleId="caption111111">
    <w:name w:val="caption111111"/>
    <w:basedOn w:val="Normal"/>
    <w:qFormat/>
    <w:pPr>
      <w:suppressLineNumbers/>
      <w:spacing w:before="120" w:after="120"/>
    </w:pPr>
    <w:rPr>
      <w:rFonts w:cs="Arial"/>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caption11111111">
    <w:name w:val="caption11111111"/>
    <w:basedOn w:val="Normal"/>
    <w:qFormat/>
    <w:pPr>
      <w:suppressLineNumbers/>
      <w:spacing w:before="120" w:after="120"/>
    </w:pPr>
    <w:rPr>
      <w:rFonts w:cs="Arial"/>
      <w:i/>
      <w:iCs/>
      <w:sz w:val="24"/>
      <w:szCs w:val="24"/>
    </w:rPr>
  </w:style>
  <w:style w:type="paragraph" w:styleId="caption111111111">
    <w:name w:val="caption111111111"/>
    <w:basedOn w:val="Normal"/>
    <w:qFormat/>
    <w:pPr>
      <w:suppressLineNumbers/>
      <w:spacing w:before="120" w:after="120"/>
    </w:pPr>
    <w:rPr>
      <w:rFonts w:cs="Arial"/>
      <w:i/>
      <w:iCs/>
      <w:sz w:val="24"/>
      <w:szCs w:val="24"/>
    </w:rPr>
  </w:style>
  <w:style w:type="paragraph" w:styleId="caption1111111111">
    <w:name w:val="caption1111111111"/>
    <w:basedOn w:val="Normal"/>
    <w:qFormat/>
    <w:pPr>
      <w:suppressLineNumbers/>
      <w:spacing w:before="120" w:after="120"/>
    </w:pPr>
    <w:rPr>
      <w:rFonts w:cs="Arial"/>
      <w:i/>
      <w:iCs/>
      <w:sz w:val="24"/>
      <w:szCs w:val="24"/>
    </w:rPr>
  </w:style>
  <w:style w:type="paragraph" w:styleId="caption11111111111">
    <w:name w:val="caption11111111111"/>
    <w:basedOn w:val="Normal"/>
    <w:qFormat/>
    <w:pPr>
      <w:suppressLineNumbers/>
      <w:spacing w:before="120" w:after="120"/>
    </w:pPr>
    <w:rPr>
      <w:rFonts w:cs="Arial"/>
      <w:i/>
      <w:iCs/>
      <w:sz w:val="24"/>
      <w:szCs w:val="24"/>
    </w:rPr>
  </w:style>
  <w:style w:type="paragraph" w:styleId="Cabealhoerodap">
    <w:name w:val="Cabeçalho e rodapé"/>
    <w:basedOn w:val="Normal"/>
    <w:qFormat/>
    <w:pPr>
      <w:suppressLineNumbers/>
      <w:tabs>
        <w:tab w:val="clear" w:pos="709"/>
        <w:tab w:val="center" w:pos="4819" w:leader="none"/>
        <w:tab w:val="right" w:pos="9638" w:leader="none"/>
      </w:tabs>
    </w:pPr>
    <w:rPr/>
  </w:style>
  <w:style w:type="paragraph" w:styleId="Cabealhoerodapuser">
    <w:name w:val="Cabeçalho e rodapé (user)"/>
    <w:basedOn w:val="Normal"/>
    <w:qFormat/>
    <w:pPr>
      <w:suppressLineNumbers/>
      <w:tabs>
        <w:tab w:val="clear" w:pos="709"/>
        <w:tab w:val="center" w:pos="4819" w:leader="none"/>
        <w:tab w:val="right" w:pos="9638" w:leader="none"/>
      </w:tabs>
    </w:pPr>
    <w:rPr/>
  </w:style>
  <w:style w:type="paragraph" w:styleId="Header">
    <w:name w:val="header"/>
    <w:basedOn w:val="Normal"/>
    <w:pPr>
      <w:tabs>
        <w:tab w:val="clear" w:pos="709"/>
        <w:tab w:val="center" w:pos="4252" w:leader="none"/>
        <w:tab w:val="right" w:pos="8504" w:leader="none"/>
      </w:tabs>
      <w:spacing w:lineRule="auto" w:line="240" w:before="0" w:after="0"/>
    </w:pPr>
    <w:rPr/>
  </w:style>
  <w:style w:type="paragraph" w:styleId="Footer">
    <w:name w:val="footer"/>
    <w:basedOn w:val="Normal"/>
    <w:pPr>
      <w:tabs>
        <w:tab w:val="clear" w:pos="709"/>
        <w:tab w:val="center" w:pos="4252" w:leader="none"/>
        <w:tab w:val="right" w:pos="8504" w:leader="none"/>
      </w:tabs>
      <w:spacing w:lineRule="auto" w:line="240" w:before="0" w:after="0"/>
    </w:pPr>
    <w:rPr/>
  </w:style>
  <w:style w:type="paragraph" w:styleId="PargrafodaLista">
    <w:name w:val="Parágrafo da Lista"/>
    <w:basedOn w:val="Normal"/>
    <w:qFormat/>
    <w:pPr>
      <w:spacing w:before="0" w:after="200"/>
      <w:ind w:hanging="0" w:left="720" w:right="0"/>
      <w:contextualSpacing/>
    </w:pPr>
    <w:rPr/>
  </w:style>
  <w:style w:type="paragraph" w:styleId="Textodebalo">
    <w:name w:val="Texto de balão"/>
    <w:basedOn w:val="Normal"/>
    <w:qFormat/>
    <w:pPr>
      <w:spacing w:lineRule="auto" w:line="240" w:before="0" w:after="0"/>
    </w:pPr>
    <w:rPr>
      <w:rFonts w:ascii="Tahoma" w:hAnsi="Tahoma" w:cs="Tahoma"/>
      <w:sz w:val="16"/>
      <w:szCs w:val="16"/>
    </w:rPr>
  </w:style>
  <w:style w:type="paragraph" w:styleId="TableParagraph">
    <w:name w:val="Table Paragraph"/>
    <w:basedOn w:val="Normal"/>
    <w:qFormat/>
    <w:pPr>
      <w:widowControl w:val="false"/>
      <w:spacing w:lineRule="auto" w:line="240" w:before="0" w:after="0"/>
    </w:pPr>
    <w:rPr>
      <w:rFonts w:ascii="Calibri" w:hAnsi="Calibri" w:eastAsia="Calibri" w:cs="Calibri"/>
      <w:lang w:val="en-US"/>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Default">
    <w:name w:val="Default"/>
    <w:qFormat/>
    <w:pPr>
      <w:widowControl/>
      <w:suppressAutoHyphens w:val="true"/>
      <w:bidi w:val="0"/>
      <w:spacing w:before="0" w:after="0"/>
      <w:jc w:val="both"/>
    </w:pPr>
    <w:rPr>
      <w:rFonts w:ascii="Gadugi" w:hAnsi="Gadugi" w:eastAsia="Times New Roman" w:cs="Gadugi"/>
      <w:color w:val="000000"/>
      <w:kern w:val="0"/>
      <w:sz w:val="24"/>
      <w:szCs w:val="24"/>
      <w:lang w:val="pt-BR" w:eastAsia="zh-CN" w:bidi="ar-SA"/>
    </w:rPr>
  </w:style>
  <w:style w:type="paragraph" w:styleId="Nvel3-R">
    <w:name w:val="Nível 3-R"/>
    <w:basedOn w:val="Normal"/>
    <w:qFormat/>
    <w:pPr>
      <w:numPr>
        <w:ilvl w:val="0"/>
        <w:numId w:val="7"/>
      </w:numPr>
      <w:spacing w:before="120" w:after="120"/>
      <w:ind w:hanging="0" w:left="284" w:right="0"/>
    </w:pPr>
    <w:rPr>
      <w:rFonts w:ascii="Arial" w:hAnsi="Arial" w:cs="Arial"/>
      <w:i/>
      <w:iCs/>
      <w:color w:val="FF0000"/>
      <w:sz w:val="20"/>
      <w:szCs w:val="20"/>
    </w:rPr>
  </w:style>
  <w:style w:type="paragraph" w:styleId="Nvel4-R">
    <w:name w:val="Nível 4-R"/>
    <w:basedOn w:val="Normal"/>
    <w:qFormat/>
    <w:pPr>
      <w:numPr>
        <w:ilvl w:val="0"/>
        <w:numId w:val="7"/>
      </w:numPr>
      <w:spacing w:before="120" w:after="120"/>
      <w:ind w:hanging="0" w:left="567" w:right="0"/>
    </w:pPr>
    <w:rPr>
      <w:rFonts w:ascii="Arial" w:hAnsi="Arial" w:cs="Arial"/>
      <w:i/>
      <w:iCs/>
      <w:color w:val="FF0000"/>
      <w:sz w:val="20"/>
      <w:szCs w:val="20"/>
    </w:rPr>
  </w:style>
  <w:style w:type="paragraph" w:styleId="Citao">
    <w:name w:val="Citação"/>
    <w:basedOn w:val="Normal"/>
    <w:next w:val="Normal"/>
    <w:qFormat/>
    <w:pPr>
      <w:pBdr>
        <w:top w:val="single" w:sz="4" w:space="1" w:color="1F497D"/>
        <w:left w:val="single" w:sz="4" w:space="4" w:color="1F497D"/>
        <w:bottom w:val="single" w:sz="4" w:space="1" w:color="1F497D"/>
        <w:right w:val="single" w:sz="4" w:space="4" w:color="1F497D"/>
      </w:pBdr>
      <w:shd w:val="clear" w:fill="FFFFCC"/>
      <w:suppressAutoHyphens w:val="true"/>
      <w:spacing w:lineRule="auto" w:line="240" w:before="120" w:after="0"/>
    </w:pPr>
    <w:rPr>
      <w:rFonts w:ascii="Arial" w:hAnsi="Arial" w:eastAsia="Calibri" w:cs="Tahoma"/>
      <w:i/>
      <w:iCs/>
      <w:color w:val="000000"/>
      <w:sz w:val="20"/>
      <w:szCs w:val="24"/>
    </w:rPr>
  </w:style>
  <w:style w:type="paragraph" w:styleId="SemEspaamento">
    <w:name w:val="Sem Espaçamento"/>
    <w:qFormat/>
    <w:pPr>
      <w:widowControl/>
      <w:suppressAutoHyphens w:val="true"/>
      <w:bidi w:val="0"/>
      <w:spacing w:before="0" w:after="0"/>
      <w:jc w:val="both"/>
    </w:pPr>
    <w:rPr>
      <w:rFonts w:ascii="Calibri" w:hAnsi="Calibri" w:eastAsia="Times New Roman" w:cs="Times New Roman"/>
      <w:color w:val="auto"/>
      <w:kern w:val="0"/>
      <w:sz w:val="22"/>
      <w:szCs w:val="22"/>
      <w:lang w:val="pt-BR" w:eastAsia="zh-CN" w:bidi="ar-SA"/>
    </w:rPr>
  </w:style>
  <w:style w:type="paragraph" w:styleId="Heading11">
    <w:name w:val="Heading 11"/>
    <w:basedOn w:val="Normal"/>
    <w:qFormat/>
    <w:pPr>
      <w:widowControl w:val="false"/>
      <w:spacing w:lineRule="auto" w:line="240" w:before="0" w:after="0"/>
      <w:ind w:hanging="0" w:left="849" w:right="0"/>
      <w:outlineLvl w:val="1"/>
    </w:pPr>
    <w:rPr>
      <w:rFonts w:ascii="Times New Roman" w:hAnsi="Times New Roman" w:eastAsia="Times New Roman" w:cs="Times New Roman"/>
      <w:b/>
      <w:bCs/>
      <w:sz w:val="24"/>
      <w:szCs w:val="24"/>
      <w:lang w:val="pt-PT"/>
    </w:rPr>
  </w:style>
  <w:style w:type="paragraph" w:styleId="Standard">
    <w:name w:val="Standard"/>
    <w:qFormat/>
    <w:pPr>
      <w:widowControl/>
      <w:suppressAutoHyphens w:val="true"/>
      <w:bidi w:val="0"/>
      <w:spacing w:before="0" w:after="0"/>
      <w:jc w:val="both"/>
      <w:textAlignment w:val="baseline"/>
    </w:pPr>
    <w:rPr>
      <w:rFonts w:ascii="Times New Roman" w:hAnsi="Times New Roman" w:eastAsia="Times New Roman" w:cs="Times New Roman"/>
      <w:color w:val="auto"/>
      <w:kern w:val="2"/>
      <w:sz w:val="20"/>
      <w:szCs w:val="20"/>
      <w:lang w:val="pt-BR" w:eastAsia="zh-CN" w:bidi="ar-SA"/>
    </w:rPr>
  </w:style>
  <w:style w:type="paragraph" w:styleId="Textbody">
    <w:name w:val="Text body"/>
    <w:basedOn w:val="Standard"/>
    <w:qFormat/>
    <w:pPr/>
    <w:rPr>
      <w:sz w:val="22"/>
      <w:szCs w:val="22"/>
    </w:rPr>
  </w:style>
  <w:style w:type="paragraph" w:styleId="Textoembloco2">
    <w:name w:val="Texto em bloco2"/>
    <w:basedOn w:val="Normal"/>
    <w:qFormat/>
    <w:pPr>
      <w:suppressAutoHyphens w:val="true"/>
      <w:spacing w:lineRule="auto" w:line="360" w:before="0" w:after="0"/>
      <w:ind w:hanging="2127" w:left="2127" w:right="1185"/>
    </w:pPr>
    <w:rPr>
      <w:rFonts w:ascii="Times New Roman" w:hAnsi="Times New Roman" w:eastAsia="Times New Roman" w:cs="Times New Roman"/>
      <w:kern w:val="2"/>
      <w:sz w:val="28"/>
      <w:szCs w:val="20"/>
    </w:rPr>
  </w:style>
  <w:style w:type="paragraph" w:styleId="Subtitle">
    <w:name w:val="Subtitle"/>
    <w:basedOn w:val="Normal"/>
    <w:next w:val="BodyText"/>
    <w:qFormat/>
    <w:pPr>
      <w:keepLines/>
      <w:shd w:val="clear" w:fill="FFFFFF"/>
      <w:tabs>
        <w:tab w:val="clear" w:pos="709"/>
        <w:tab w:val="left" w:pos="573" w:leader="none"/>
        <w:tab w:val="left" w:pos="1730" w:leader="none"/>
        <w:tab w:val="left" w:pos="3453" w:leader="none"/>
      </w:tabs>
      <w:suppressAutoHyphens w:val="true"/>
      <w:spacing w:lineRule="auto" w:line="240" w:before="0" w:after="0"/>
      <w:ind w:hanging="0" w:left="0" w:right="-1"/>
      <w:jc w:val="center"/>
    </w:pPr>
    <w:rPr>
      <w:rFonts w:ascii="Arial" w:hAnsi="Arial" w:eastAsia="Times New Roman" w:cs="Times New Roman"/>
      <w:b/>
      <w:sz w:val="24"/>
      <w:szCs w:val="24"/>
    </w:rPr>
  </w:style>
  <w:style w:type="paragraph" w:styleId="Nvel2-Red">
    <w:name w:val="Nível 2 -Red"/>
    <w:basedOn w:val="Normal"/>
    <w:qFormat/>
    <w:pPr>
      <w:spacing w:before="120" w:after="120"/>
    </w:pPr>
    <w:rPr>
      <w:rFonts w:ascii="Arial" w:hAnsi="Arial" w:eastAsia="Times New Roman" w:cs="Arial"/>
      <w:i/>
      <w:iCs/>
      <w:color w:val="FF0000"/>
      <w:sz w:val="20"/>
      <w:szCs w:val="20"/>
    </w:rPr>
  </w:style>
  <w:style w:type="paragraph" w:styleId="Cabealho1">
    <w:name w:val="Cabeçalho1"/>
    <w:qFormat/>
    <w:pPr>
      <w:widowControl/>
      <w:numPr>
        <w:ilvl w:val="0"/>
        <w:numId w:val="13"/>
      </w:numPr>
      <w:tabs>
        <w:tab w:val="clear" w:pos="709"/>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true"/>
      <w:bidi w:val="0"/>
      <w:spacing w:before="0" w:after="0"/>
      <w:jc w:val="both"/>
    </w:pPr>
    <w:rPr>
      <w:rFonts w:ascii="Times New Roman" w:hAnsi="Times New Roman" w:eastAsia="ヒラギノ角ゴ Pro W3;Cambria" w:cs="Times New Roman"/>
      <w:color w:val="000000"/>
      <w:kern w:val="0"/>
      <w:sz w:val="24"/>
      <w:szCs w:val="20"/>
      <w:lang w:val="pt-BR" w:eastAsia="zh-CN" w:bidi="ar-SA"/>
    </w:rPr>
  </w:style>
  <w:style w:type="paragraph" w:styleId="Nivel01">
    <w:name w:val="Nivel 01"/>
    <w:basedOn w:val="Heading1"/>
    <w:next w:val="Normal"/>
    <w:qFormat/>
    <w:pPr>
      <w:keepNext w:val="true"/>
      <w:keepLines/>
      <w:numPr>
        <w:ilvl w:val="0"/>
        <w:numId w:val="4"/>
      </w:numPr>
      <w:tabs>
        <w:tab w:val="clear" w:pos="709"/>
        <w:tab w:val="left" w:pos="360" w:leader="none"/>
        <w:tab w:val="left" w:pos="567" w:leader="none"/>
      </w:tabs>
      <w:suppressAutoHyphens w:val="false"/>
      <w:spacing w:lineRule="auto" w:line="240" w:before="240" w:after="0"/>
      <w:ind w:hanging="0" w:left="0" w:right="0"/>
      <w:textAlignment w:val="auto"/>
      <w:outlineLvl w:val="9"/>
    </w:pPr>
    <w:rPr>
      <w:rFonts w:eastAsia="Times New Roman"/>
      <w:bCs/>
      <w:kern w:val="2"/>
      <w:sz w:val="28"/>
      <w:szCs w:val="28"/>
      <w:lang w:bidi="ar-SA"/>
    </w:rPr>
  </w:style>
  <w:style w:type="paragraph" w:styleId="Nivel2">
    <w:name w:val="Nivel 2"/>
    <w:basedOn w:val="Normal"/>
    <w:qFormat/>
    <w:pPr>
      <w:numPr>
        <w:ilvl w:val="0"/>
        <w:numId w:val="4"/>
      </w:numPr>
      <w:spacing w:before="120" w:after="120"/>
    </w:pPr>
    <w:rPr>
      <w:rFonts w:ascii="Arial" w:hAnsi="Arial" w:eastAsia="Times New Roman" w:cs="Arial"/>
      <w:color w:val="000000"/>
      <w:sz w:val="20"/>
      <w:szCs w:val="20"/>
    </w:rPr>
  </w:style>
  <w:style w:type="paragraph" w:styleId="Nivel3">
    <w:name w:val="Nivel 3"/>
    <w:basedOn w:val="Normal"/>
    <w:qFormat/>
    <w:pPr>
      <w:numPr>
        <w:ilvl w:val="0"/>
        <w:numId w:val="4"/>
      </w:numPr>
      <w:spacing w:before="120" w:after="120"/>
    </w:pPr>
    <w:rPr>
      <w:rFonts w:ascii="Arial" w:hAnsi="Arial" w:eastAsia="Times New Roman" w:cs="Arial"/>
      <w:color w:val="000000"/>
      <w:sz w:val="20"/>
      <w:szCs w:val="20"/>
    </w:rPr>
  </w:style>
  <w:style w:type="paragraph" w:styleId="Nivel4">
    <w:name w:val="Nivel 4"/>
    <w:basedOn w:val="Nivel3"/>
    <w:qFormat/>
    <w:pPr>
      <w:ind w:hanging="504" w:left="3198" w:right="0"/>
    </w:pPr>
    <w:rPr/>
  </w:style>
  <w:style w:type="paragraph" w:styleId="Nivel5">
    <w:name w:val="Nivel 5"/>
    <w:basedOn w:val="Nivel4"/>
    <w:qFormat/>
    <w:pPr>
      <w:ind w:hanging="504" w:left="3198" w:right="0"/>
    </w:pPr>
    <w:rPr/>
  </w:style>
  <w:style w:type="paragraph" w:styleId="Corpodetexto21">
    <w:name w:val="Corpo de texto 21"/>
    <w:basedOn w:val="Normal"/>
    <w:qFormat/>
    <w:pPr>
      <w:suppressAutoHyphens w:val="true"/>
      <w:spacing w:lineRule="auto" w:line="360" w:before="0" w:after="0"/>
      <w:ind w:hanging="0" w:left="0" w:right="-790"/>
    </w:pPr>
    <w:rPr>
      <w:rFonts w:ascii="Arial" w:hAnsi="Arial" w:eastAsia="Times New Roman" w:cs="Arial"/>
      <w:sz w:val="24"/>
      <w:szCs w:val="24"/>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http://www.bllcompras.com/" TargetMode="External"/><Relationship Id="rId4" Type="http://schemas.openxmlformats.org/officeDocument/2006/relationships/hyperlink" Target="http://www.fundasantos.org.br/" TargetMode="External"/><Relationship Id="rId5" Type="http://schemas.openxmlformats.org/officeDocument/2006/relationships/hyperlink" Target="http://www.bllcompras.com/" TargetMode="External"/><Relationship Id="rId6" Type="http://schemas.openxmlformats.org/officeDocument/2006/relationships/hyperlink" Target="http://www.fundasantos.org.br/"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944</TotalTime>
  <Application>LibreOffice/26.2.5.2$Windows_X86_64 LibreOffice_project/cd7284b4cbbfeb507e630c1aac019f4157393acb</Application>
  <AppVersion>15.0000</AppVersion>
  <Pages>23</Pages>
  <Words>5852</Words>
  <Characters>33991</Characters>
  <CharactersWithSpaces>39654</CharactersWithSpaces>
  <Paragraphs>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2026-03-31T13:23:00Z</dcterms:created>
  <dc:creator>PM252130</dc:creator>
  <dc:description/>
  <dc:language>en-US</dc:language>
  <cp:lastModifiedBy/>
  <cp:lastPrinted>2026-08-18T14:28:46Z</cp:lastPrinted>
  <dcterms:modified xsi:type="dcterms:W3CDTF">2026-09-16T10:41:41Z</dcterms:modified>
  <cp:revision>192</cp:revision>
  <dc:subject/>
  <dc:title> </dc:title>
</cp:coreProperties>
</file>

<file path=docProps/custom.xml><?xml version="1.0" encoding="utf-8"?>
<Properties xmlns="http://schemas.openxmlformats.org/officeDocument/2006/custom-properties" xmlns:vt="http://schemas.openxmlformats.org/officeDocument/2006/docPropsVTypes"/>
</file>