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header2.xml" ContentType="application/vnd.openxmlformats-officedocument.wordprocessingml.header+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lang w:val="pt-BR"/>
        </w:rPr>
      </w:pPr>
      <w:r>
        <w:rPr>
          <w:lang w:val="pt-BR"/>
        </w:rPr>
      </w:r>
    </w:p>
    <w:p>
      <w:pPr>
        <w:pStyle w:val="Normal"/>
        <w:jc w:val="center"/>
        <w:rPr>
          <w:lang w:val="pt-BR"/>
        </w:rPr>
      </w:pPr>
      <w:r>
        <w:rPr>
          <w:b/>
          <w:sz w:val="24"/>
          <w:szCs w:val="24"/>
          <w:lang w:val="pt-BR"/>
        </w:rPr>
        <w:t>EDITAL DE DISPENSA ELETRÔNICA n.º 43/2026</w:t>
      </w:r>
    </w:p>
    <w:p>
      <w:pPr>
        <w:pStyle w:val="Normal"/>
        <w:jc w:val="center"/>
        <w:rPr>
          <w:b/>
          <w:sz w:val="24"/>
          <w:szCs w:val="24"/>
          <w:lang w:val="pt-BR"/>
        </w:rPr>
      </w:pPr>
      <w:r>
        <w:rPr>
          <w:b/>
          <w:sz w:val="24"/>
          <w:szCs w:val="24"/>
          <w:lang w:val="pt-BR"/>
        </w:rPr>
        <w:t>PROCESSO n.º 52.501/2026-48</w:t>
      </w:r>
    </w:p>
    <w:p>
      <w:pPr>
        <w:pStyle w:val="Normal"/>
        <w:jc w:val="center"/>
        <w:rPr>
          <w:b/>
          <w:sz w:val="24"/>
          <w:szCs w:val="24"/>
          <w:lang w:val="pt-BR"/>
        </w:rPr>
      </w:pPr>
      <w:r>
        <w:rPr>
          <w:b/>
          <w:sz w:val="24"/>
          <w:szCs w:val="24"/>
          <w:lang w:val="pt-BR"/>
        </w:rPr>
        <w:t>CRITÉRIO DE JULGAMENTO: TIPO MENOR PREÇO GLOBAL</w:t>
      </w:r>
    </w:p>
    <w:p>
      <w:pPr>
        <w:pStyle w:val="Normal"/>
        <w:jc w:val="center"/>
        <w:rPr>
          <w:b/>
          <w:sz w:val="24"/>
          <w:szCs w:val="24"/>
          <w:lang w:val="pt-BR"/>
        </w:rPr>
      </w:pPr>
      <w:r>
        <w:rPr>
          <w:b/>
          <w:sz w:val="24"/>
          <w:szCs w:val="24"/>
          <w:lang w:val="pt-BR"/>
        </w:rPr>
      </w:r>
    </w:p>
    <w:p>
      <w:pPr>
        <w:pStyle w:val="Normal"/>
        <w:jc w:val="center"/>
        <w:rPr>
          <w:b/>
          <w:sz w:val="24"/>
          <w:szCs w:val="24"/>
          <w:lang w:val="pt-BR"/>
        </w:rPr>
      </w:pPr>
      <w:r>
        <w:rPr>
          <w:b/>
          <w:sz w:val="24"/>
          <w:szCs w:val="24"/>
          <w:lang w:val="pt-BR"/>
        </w:rPr>
      </w:r>
    </w:p>
    <w:p>
      <w:pPr>
        <w:pStyle w:val="Normal"/>
        <w:jc w:val="both"/>
        <w:rPr>
          <w:lang w:val="pt-BR"/>
        </w:rPr>
      </w:pPr>
      <w:r>
        <w:rPr>
          <w:b/>
          <w:bCs/>
          <w:sz w:val="24"/>
          <w:szCs w:val="24"/>
          <w:lang w:val="pt-BR"/>
        </w:rPr>
        <w:t>DISPENSA DE LICITAÇÃO PARA:</w:t>
      </w:r>
      <w:r>
        <w:rPr>
          <w:b w:val="false"/>
          <w:sz w:val="24"/>
          <w:szCs w:val="24"/>
          <w:lang w:val="pt-BR"/>
        </w:rPr>
        <w:t xml:space="preserve"> Contratação de empresa especializada para a confecção e fornecimento de 12 (doze) </w:t>
      </w:r>
      <w:r>
        <w:rPr>
          <w:b w:val="false"/>
          <w:i/>
          <w:iCs/>
          <w:sz w:val="24"/>
          <w:szCs w:val="24"/>
          <w:lang w:val="pt-BR"/>
        </w:rPr>
        <w:t>banners</w:t>
      </w:r>
      <w:r>
        <w:rPr>
          <w:b w:val="false"/>
          <w:sz w:val="24"/>
          <w:szCs w:val="24"/>
          <w:lang w:val="pt-BR"/>
        </w:rPr>
        <w:t xml:space="preserve"> em lona, destinados à composição de exposição histórico-cultural itinerante alusiva a José Bonifácio de Andrade e Silva, conforme descrição constante do Anexo I – Termo de Referência deste Edital.</w:t>
      </w:r>
    </w:p>
    <w:p>
      <w:pPr>
        <w:pStyle w:val="Normal"/>
        <w:rPr>
          <w:sz w:val="24"/>
          <w:szCs w:val="24"/>
          <w:lang w:val="pt-BR"/>
        </w:rPr>
      </w:pPr>
      <w:r>
        <w:rPr>
          <w:sz w:val="24"/>
          <w:szCs w:val="24"/>
          <w:lang w:val="pt-BR"/>
        </w:rPr>
      </w:r>
    </w:p>
    <w:p>
      <w:pPr>
        <w:pStyle w:val="Normal"/>
        <w:rPr>
          <w:lang w:val="pt-BR"/>
        </w:rPr>
      </w:pPr>
      <w:r>
        <w:rPr>
          <w:b/>
          <w:sz w:val="24"/>
          <w:szCs w:val="24"/>
          <w:lang w:val="pt-BR"/>
        </w:rPr>
        <w:t>Recebimento das Propostas até:</w:t>
      </w:r>
    </w:p>
    <w:p>
      <w:pPr>
        <w:pStyle w:val="Normal"/>
        <w:rPr>
          <w:lang w:val="pt-BR"/>
        </w:rPr>
      </w:pPr>
      <w:r>
        <w:rPr>
          <w:b w:val="false"/>
          <w:sz w:val="24"/>
          <w:szCs w:val="24"/>
          <w:lang w:val="pt-BR"/>
        </w:rPr>
        <w:t>Data: 22/10/2026</w:t>
      </w:r>
    </w:p>
    <w:p>
      <w:pPr>
        <w:pStyle w:val="Normal"/>
        <w:rPr>
          <w:lang w:val="pt-BR"/>
        </w:rPr>
      </w:pPr>
      <w:r>
        <w:rPr>
          <w:b w:val="false"/>
          <w:sz w:val="24"/>
          <w:szCs w:val="24"/>
          <w:lang w:val="pt-BR"/>
        </w:rPr>
        <w:t>Horário: 09h29min</w:t>
      </w:r>
    </w:p>
    <w:p>
      <w:pPr>
        <w:pStyle w:val="Normal"/>
        <w:rPr>
          <w:b w:val="false"/>
          <w:sz w:val="24"/>
          <w:szCs w:val="24"/>
          <w:lang w:val="pt-BR"/>
        </w:rPr>
      </w:pPr>
      <w:r>
        <w:rPr>
          <w:b w:val="false"/>
          <w:sz w:val="24"/>
          <w:szCs w:val="24"/>
          <w:lang w:val="pt-BR"/>
        </w:rPr>
      </w:r>
    </w:p>
    <w:p>
      <w:pPr>
        <w:pStyle w:val="Normal"/>
        <w:rPr>
          <w:lang w:val="pt-BR"/>
        </w:rPr>
      </w:pPr>
      <w:r>
        <w:rPr>
          <w:b/>
          <w:sz w:val="24"/>
          <w:szCs w:val="24"/>
          <w:lang w:val="pt-BR"/>
        </w:rPr>
        <w:t>Abertura das propostas:</w:t>
      </w:r>
    </w:p>
    <w:p>
      <w:pPr>
        <w:pStyle w:val="Normal"/>
        <w:rPr>
          <w:lang w:val="pt-BR"/>
        </w:rPr>
      </w:pPr>
      <w:r>
        <w:rPr>
          <w:b w:val="false"/>
          <w:sz w:val="24"/>
          <w:szCs w:val="24"/>
          <w:lang w:val="pt-BR"/>
        </w:rPr>
        <w:t>Data: 22/10/2026</w:t>
      </w:r>
    </w:p>
    <w:p>
      <w:pPr>
        <w:pStyle w:val="Normal"/>
        <w:rPr>
          <w:lang w:val="pt-BR"/>
        </w:rPr>
      </w:pPr>
      <w:r>
        <w:rPr>
          <w:b w:val="false"/>
          <w:sz w:val="24"/>
          <w:szCs w:val="24"/>
          <w:lang w:val="pt-BR"/>
        </w:rPr>
        <w:t>Horário: 09h30min</w:t>
      </w:r>
    </w:p>
    <w:p>
      <w:pPr>
        <w:pStyle w:val="Normal"/>
        <w:rPr>
          <w:b w:val="false"/>
          <w:sz w:val="24"/>
          <w:szCs w:val="24"/>
          <w:lang w:val="pt-BR"/>
        </w:rPr>
      </w:pPr>
      <w:r>
        <w:rPr>
          <w:b w:val="false"/>
          <w:sz w:val="24"/>
          <w:szCs w:val="24"/>
          <w:lang w:val="pt-BR"/>
        </w:rPr>
      </w:r>
    </w:p>
    <w:p>
      <w:pPr>
        <w:pStyle w:val="Normal"/>
        <w:rPr>
          <w:lang w:val="pt-BR"/>
        </w:rPr>
      </w:pPr>
      <w:r>
        <w:rPr>
          <w:b/>
          <w:sz w:val="24"/>
          <w:szCs w:val="24"/>
          <w:lang w:val="pt-BR"/>
        </w:rPr>
        <w:t>Início da Disputa de Preços:</w:t>
      </w:r>
    </w:p>
    <w:p>
      <w:pPr>
        <w:pStyle w:val="Normal"/>
        <w:rPr>
          <w:lang w:val="pt-BR"/>
        </w:rPr>
      </w:pPr>
      <w:r>
        <w:rPr>
          <w:b w:val="false"/>
          <w:sz w:val="24"/>
          <w:szCs w:val="24"/>
          <w:lang w:val="pt-BR"/>
        </w:rPr>
        <w:t>Data: 22/10/2026</w:t>
      </w:r>
    </w:p>
    <w:p>
      <w:pPr>
        <w:pStyle w:val="Normal"/>
        <w:rPr>
          <w:lang w:val="pt-BR"/>
        </w:rPr>
      </w:pPr>
      <w:r>
        <w:rPr>
          <w:b w:val="false"/>
          <w:sz w:val="24"/>
          <w:szCs w:val="24"/>
          <w:lang w:val="pt-BR"/>
        </w:rPr>
        <w:t>Horário: 10h00min</w:t>
      </w:r>
    </w:p>
    <w:p>
      <w:pPr>
        <w:pStyle w:val="Normal"/>
        <w:rPr>
          <w:b w:val="false"/>
          <w:sz w:val="24"/>
          <w:szCs w:val="24"/>
          <w:lang w:val="pt-BR"/>
        </w:rPr>
      </w:pPr>
      <w:r>
        <w:rPr>
          <w:b w:val="false"/>
          <w:sz w:val="24"/>
          <w:szCs w:val="24"/>
          <w:lang w:val="pt-BR"/>
        </w:rPr>
      </w:r>
    </w:p>
    <w:p>
      <w:pPr>
        <w:pStyle w:val="Normal"/>
        <w:rPr>
          <w:lang w:val="pt-BR"/>
        </w:rPr>
      </w:pPr>
      <w:r>
        <w:rPr>
          <w:b/>
          <w:sz w:val="24"/>
          <w:szCs w:val="24"/>
          <w:lang w:val="pt-BR"/>
        </w:rPr>
        <w:t xml:space="preserve">Valor Total Estimado da Contratação: </w:t>
      </w:r>
      <w:r>
        <w:rPr>
          <w:b w:val="false"/>
          <w:sz w:val="24"/>
          <w:szCs w:val="24"/>
          <w:lang w:val="pt-BR"/>
        </w:rPr>
        <w:t>R$ 1.680,00 (mil seiscentos e oitenta reais)</w:t>
      </w:r>
    </w:p>
    <w:p>
      <w:pPr>
        <w:pStyle w:val="Normal"/>
        <w:rPr>
          <w:b/>
          <w:sz w:val="24"/>
          <w:szCs w:val="24"/>
          <w:lang w:val="pt-BR"/>
        </w:rPr>
      </w:pPr>
      <w:r>
        <w:rPr>
          <w:b/>
          <w:sz w:val="24"/>
          <w:szCs w:val="24"/>
          <w:lang w:val="pt-BR"/>
        </w:rPr>
      </w:r>
    </w:p>
    <w:p>
      <w:pPr>
        <w:pStyle w:val="Normal"/>
        <w:rPr>
          <w:b/>
          <w:sz w:val="24"/>
          <w:szCs w:val="24"/>
          <w:lang w:val="pt-BR"/>
        </w:rPr>
      </w:pPr>
      <w:r>
        <w:rPr>
          <w:b/>
          <w:sz w:val="24"/>
          <w:szCs w:val="24"/>
          <w:lang w:val="pt-BR"/>
        </w:rPr>
        <w:t xml:space="preserve">Critério de Julgamento: </w:t>
      </w:r>
      <w:r>
        <w:rPr>
          <w:b w:val="false"/>
          <w:sz w:val="24"/>
          <w:szCs w:val="24"/>
          <w:lang w:val="pt-BR"/>
        </w:rPr>
        <w:t>Menor preço global</w:t>
      </w:r>
    </w:p>
    <w:p>
      <w:pPr>
        <w:pStyle w:val="Normal"/>
        <w:rPr>
          <w:b w:val="false"/>
          <w:sz w:val="24"/>
          <w:szCs w:val="24"/>
          <w:lang w:val="pt-BR"/>
        </w:rPr>
      </w:pPr>
      <w:r>
        <w:rPr>
          <w:b w:val="false"/>
          <w:sz w:val="24"/>
          <w:szCs w:val="24"/>
          <w:lang w:val="pt-BR"/>
        </w:rPr>
      </w:r>
    </w:p>
    <w:p>
      <w:pPr>
        <w:pStyle w:val="Normal"/>
        <w:rPr>
          <w:lang w:val="pt-BR"/>
        </w:rPr>
      </w:pPr>
      <w:r>
        <w:rPr>
          <w:b/>
          <w:sz w:val="24"/>
          <w:szCs w:val="24"/>
          <w:lang w:val="pt-BR"/>
        </w:rPr>
        <w:t xml:space="preserve">Modo de Disputa: </w:t>
      </w:r>
      <w:r>
        <w:rPr>
          <w:b w:val="false"/>
          <w:sz w:val="24"/>
          <w:szCs w:val="24"/>
          <w:lang w:val="pt-BR"/>
        </w:rPr>
        <w:t>Aberto</w:t>
      </w:r>
    </w:p>
    <w:p>
      <w:pPr>
        <w:pStyle w:val="Normal"/>
        <w:rPr>
          <w:b w:val="false"/>
          <w:sz w:val="24"/>
          <w:szCs w:val="24"/>
          <w:lang w:val="pt-BR"/>
        </w:rPr>
      </w:pPr>
      <w:r>
        <w:rPr>
          <w:b w:val="false"/>
          <w:sz w:val="24"/>
          <w:szCs w:val="24"/>
          <w:lang w:val="pt-BR"/>
        </w:rPr>
      </w:r>
    </w:p>
    <w:p>
      <w:pPr>
        <w:pStyle w:val="Normal"/>
        <w:rPr>
          <w:lang w:val="pt-BR"/>
        </w:rPr>
      </w:pPr>
      <w:r>
        <w:rPr>
          <w:b/>
          <w:sz w:val="24"/>
          <w:szCs w:val="24"/>
          <w:lang w:val="pt-BR"/>
        </w:rPr>
        <w:t xml:space="preserve">Preferência ME / EPP / Equiparadas: </w:t>
      </w:r>
      <w:r>
        <w:rPr>
          <w:b w:val="false"/>
          <w:sz w:val="24"/>
          <w:szCs w:val="24"/>
          <w:lang w:val="pt-BR"/>
        </w:rPr>
        <w:t>Sim</w:t>
      </w:r>
    </w:p>
    <w:p>
      <w:pPr>
        <w:pStyle w:val="Normal"/>
        <w:rPr>
          <w:b w:val="false"/>
          <w:sz w:val="24"/>
          <w:szCs w:val="24"/>
          <w:lang w:val="pt-BR"/>
        </w:rPr>
      </w:pPr>
      <w:r>
        <w:rPr>
          <w:b w:val="false"/>
          <w:sz w:val="24"/>
          <w:szCs w:val="24"/>
          <w:lang w:val="pt-BR"/>
        </w:rPr>
      </w:r>
    </w:p>
    <w:p>
      <w:pPr>
        <w:pStyle w:val="Normal"/>
        <w:rPr>
          <w:lang w:val="pt-BR"/>
        </w:rPr>
      </w:pPr>
      <w:r>
        <w:rPr>
          <w:b/>
          <w:sz w:val="24"/>
          <w:szCs w:val="24"/>
          <w:lang w:val="pt-BR"/>
        </w:rPr>
        <w:t xml:space="preserve">Esclarecimentos: </w:t>
      </w:r>
      <w:r>
        <w:rPr>
          <w:b w:val="false"/>
          <w:sz w:val="24"/>
          <w:szCs w:val="24"/>
          <w:lang w:val="pt-BR"/>
        </w:rPr>
        <w:t>Plataforma BLL Compras (</w:t>
      </w:r>
      <w:hyperlink r:id="rId2">
        <w:r>
          <w:rPr>
            <w:rStyle w:val="Hyperlink"/>
            <w:b w:val="false"/>
            <w:sz w:val="24"/>
            <w:szCs w:val="24"/>
            <w:lang w:val="pt-BR"/>
          </w:rPr>
          <w:t>http://bllcompras.com</w:t>
        </w:r>
      </w:hyperlink>
      <w:r>
        <w:rPr>
          <w:b w:val="false"/>
          <w:sz w:val="24"/>
          <w:szCs w:val="24"/>
          <w:lang w:val="pt-BR"/>
        </w:rPr>
        <w:t xml:space="preserve">) </w:t>
      </w:r>
    </w:p>
    <w:p>
      <w:pPr>
        <w:pStyle w:val="Normal"/>
        <w:rPr>
          <w:b w:val="false"/>
          <w:sz w:val="24"/>
          <w:szCs w:val="24"/>
          <w:lang w:val="pt-BR"/>
        </w:rPr>
      </w:pPr>
      <w:r>
        <w:rPr>
          <w:b w:val="false"/>
          <w:sz w:val="24"/>
          <w:szCs w:val="24"/>
          <w:lang w:val="pt-BR"/>
        </w:rPr>
      </w:r>
    </w:p>
    <w:p>
      <w:pPr>
        <w:pStyle w:val="Normal"/>
        <w:jc w:val="both"/>
        <w:rPr>
          <w:lang w:val="pt-BR"/>
        </w:rPr>
      </w:pPr>
      <w:r>
        <w:rPr>
          <w:b/>
          <w:sz w:val="24"/>
          <w:szCs w:val="24"/>
          <w:lang w:val="pt-BR"/>
        </w:rPr>
        <w:t xml:space="preserve">Referência de Tempo: </w:t>
      </w:r>
      <w:r>
        <w:rPr>
          <w:b w:val="false"/>
          <w:sz w:val="24"/>
          <w:szCs w:val="24"/>
          <w:lang w:val="pt-BR"/>
        </w:rPr>
        <w:t>Para todas as referências de tempo será observado o horário de Brasília/DF.</w:t>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spacing w:before="0" w:after="80"/>
        <w:jc w:val="center"/>
        <w:rPr>
          <w:b/>
          <w:sz w:val="24"/>
          <w:szCs w:val="24"/>
          <w:lang w:val="pt-BR"/>
        </w:rPr>
      </w:pPr>
      <w:r>
        <w:rPr>
          <w:b/>
          <w:sz w:val="24"/>
          <w:szCs w:val="24"/>
          <w:lang w:val="pt-BR"/>
        </w:rPr>
      </w:r>
    </w:p>
    <w:p>
      <w:pPr>
        <w:pStyle w:val="Normal"/>
        <w:spacing w:before="0" w:after="80"/>
        <w:jc w:val="center"/>
        <w:rPr>
          <w:b/>
          <w:sz w:val="24"/>
          <w:szCs w:val="24"/>
          <w:lang w:val="pt-BR"/>
        </w:rPr>
      </w:pPr>
      <w:r>
        <w:rPr>
          <w:b/>
          <w:sz w:val="24"/>
          <w:szCs w:val="24"/>
          <w:lang w:val="pt-BR"/>
        </w:rPr>
        <w:t>ÍNDICE</w:t>
      </w:r>
    </w:p>
    <w:p>
      <w:pPr>
        <w:pStyle w:val="Normal"/>
        <w:spacing w:before="0" w:after="80"/>
        <w:jc w:val="center"/>
        <w:rPr>
          <w:b/>
          <w:sz w:val="24"/>
          <w:szCs w:val="24"/>
          <w:lang w:val="pt-BR"/>
        </w:rPr>
      </w:pPr>
      <w:r>
        <w:rPr>
          <w:b/>
          <w:sz w:val="24"/>
          <w:szCs w:val="24"/>
          <w:lang w:val="pt-BR"/>
        </w:rPr>
      </w:r>
    </w:p>
    <w:p>
      <w:pPr>
        <w:pStyle w:val="Normal"/>
        <w:spacing w:before="0" w:after="80"/>
        <w:jc w:val="center"/>
        <w:rPr>
          <w:b/>
          <w:sz w:val="24"/>
          <w:szCs w:val="24"/>
          <w:lang w:val="pt-BR"/>
        </w:rPr>
      </w:pPr>
      <w:r>
        <w:rPr>
          <w:b/>
          <w:sz w:val="24"/>
          <w:szCs w:val="24"/>
          <w:lang w:val="pt-BR"/>
        </w:rPr>
      </w:r>
    </w:p>
    <w:p>
      <w:pPr>
        <w:pStyle w:val="Normal"/>
        <w:spacing w:before="0" w:after="80"/>
        <w:jc w:val="both"/>
        <w:rPr>
          <w:b/>
          <w:sz w:val="24"/>
          <w:szCs w:val="24"/>
          <w:lang w:val="pt-BR"/>
        </w:rPr>
      </w:pPr>
      <w:r>
        <w:rPr>
          <w:b/>
          <w:sz w:val="24"/>
          <w:szCs w:val="24"/>
          <w:lang w:val="pt-BR"/>
        </w:rPr>
        <w:t>1. EDITAL</w:t>
      </w:r>
    </w:p>
    <w:p>
      <w:pPr>
        <w:pStyle w:val="Normal"/>
        <w:rPr>
          <w:lang w:val="pt-BR"/>
        </w:rPr>
      </w:pPr>
      <w:r>
        <w:rPr>
          <w:b w:val="false"/>
          <w:sz w:val="24"/>
          <w:szCs w:val="24"/>
          <w:lang w:val="pt-BR"/>
        </w:rPr>
        <w:t>1.1. DISPOSIÇÕES PRELIMINARES</w:t>
      </w:r>
    </w:p>
    <w:p>
      <w:pPr>
        <w:pStyle w:val="Normal"/>
        <w:rPr>
          <w:lang w:val="pt-BR"/>
        </w:rPr>
      </w:pPr>
      <w:r>
        <w:rPr>
          <w:b w:val="false"/>
          <w:sz w:val="24"/>
          <w:szCs w:val="24"/>
          <w:lang w:val="pt-BR"/>
        </w:rPr>
        <w:t>1.2. OBJETO</w:t>
      </w:r>
    </w:p>
    <w:p>
      <w:pPr>
        <w:pStyle w:val="Normal"/>
        <w:rPr>
          <w:lang w:val="pt-BR"/>
        </w:rPr>
      </w:pPr>
      <w:r>
        <w:rPr>
          <w:b w:val="false"/>
          <w:sz w:val="24"/>
          <w:szCs w:val="24"/>
          <w:lang w:val="pt-BR"/>
        </w:rPr>
        <w:t>1.3. PARTICIPAÇÃO</w:t>
      </w:r>
    </w:p>
    <w:p>
      <w:pPr>
        <w:pStyle w:val="Normal"/>
        <w:rPr>
          <w:lang w:val="pt-BR"/>
        </w:rPr>
      </w:pPr>
      <w:r>
        <w:rPr>
          <w:b w:val="false"/>
          <w:sz w:val="24"/>
          <w:szCs w:val="24"/>
          <w:lang w:val="pt-BR"/>
        </w:rPr>
        <w:t>1.4. RECEBIMENTO DAS PROPOSTAS E DATA DA SESSÃO PÚBLICA DA DISPENSA ELETRÔNICA DE LICITAÇÃO</w:t>
      </w:r>
    </w:p>
    <w:p>
      <w:pPr>
        <w:pStyle w:val="Normal"/>
        <w:rPr>
          <w:lang w:val="pt-BR"/>
        </w:rPr>
      </w:pPr>
      <w:r>
        <w:rPr>
          <w:b w:val="false"/>
          <w:sz w:val="24"/>
          <w:szCs w:val="24"/>
          <w:lang w:val="pt-BR"/>
        </w:rPr>
        <w:t>1.5. REFERÊNCIA DE TEMPO</w:t>
      </w:r>
    </w:p>
    <w:p>
      <w:pPr>
        <w:pStyle w:val="Normal"/>
        <w:rPr>
          <w:lang w:val="pt-BR"/>
        </w:rPr>
      </w:pPr>
      <w:r>
        <w:rPr>
          <w:b w:val="false"/>
          <w:sz w:val="24"/>
          <w:szCs w:val="24"/>
          <w:lang w:val="pt-BR"/>
        </w:rPr>
        <w:t>1.6. CRITÉRIOS DE JULGAMENTO</w:t>
      </w:r>
    </w:p>
    <w:p>
      <w:pPr>
        <w:pStyle w:val="Normal"/>
        <w:rPr>
          <w:lang w:val="pt-BR"/>
        </w:rPr>
      </w:pPr>
      <w:r>
        <w:rPr>
          <w:b w:val="false"/>
          <w:sz w:val="24"/>
          <w:szCs w:val="24"/>
          <w:lang w:val="pt-BR"/>
        </w:rPr>
        <w:t>1.7. SANÇÕES ADMINISTRATIVAS</w:t>
      </w:r>
    </w:p>
    <w:p>
      <w:pPr>
        <w:pStyle w:val="Normal"/>
        <w:rPr>
          <w:lang w:val="pt-BR"/>
        </w:rPr>
      </w:pPr>
      <w:r>
        <w:rPr>
          <w:b w:val="false"/>
          <w:sz w:val="24"/>
          <w:szCs w:val="24"/>
          <w:lang w:val="pt-BR"/>
        </w:rPr>
        <w:t>1.8. FORMALIZAÇÃO DA AUTORIZAÇÃO DE FORNECIMENTO</w:t>
      </w:r>
    </w:p>
    <w:p>
      <w:pPr>
        <w:pStyle w:val="Normal"/>
        <w:rPr>
          <w:lang w:val="pt-BR"/>
        </w:rPr>
      </w:pPr>
      <w:r>
        <w:rPr>
          <w:b w:val="false"/>
          <w:sz w:val="24"/>
          <w:szCs w:val="24"/>
          <w:lang w:val="pt-BR"/>
        </w:rPr>
        <w:t>1.9. CONDIÇÕES DA AUTORIZAÇÃO DE FORNECIMENTO</w:t>
      </w:r>
    </w:p>
    <w:p>
      <w:pPr>
        <w:pStyle w:val="Normal"/>
        <w:rPr>
          <w:lang w:val="pt-BR"/>
        </w:rPr>
      </w:pPr>
      <w:r>
        <w:rPr>
          <w:b w:val="false"/>
          <w:sz w:val="24"/>
          <w:szCs w:val="24"/>
          <w:lang w:val="pt-BR"/>
        </w:rPr>
        <w:t>1.10. DISPOSIÇÕES FINAIS</w:t>
      </w:r>
    </w:p>
    <w:p>
      <w:pPr>
        <w:pStyle w:val="Normal"/>
        <w:rPr>
          <w:b w:val="false"/>
          <w:sz w:val="24"/>
          <w:szCs w:val="24"/>
          <w:lang w:val="pt-BR"/>
        </w:rPr>
      </w:pPr>
      <w:r>
        <w:rPr>
          <w:b w:val="false"/>
          <w:sz w:val="24"/>
          <w:szCs w:val="24"/>
          <w:lang w:val="pt-BR"/>
        </w:rPr>
        <w:t>1.11. RECURSOS ORÇAMENTÁRIOS</w:t>
      </w:r>
    </w:p>
    <w:p>
      <w:pPr>
        <w:pStyle w:val="Normal"/>
        <w:rPr>
          <w:b w:val="false"/>
          <w:sz w:val="24"/>
          <w:szCs w:val="24"/>
          <w:lang w:val="pt-BR"/>
        </w:rPr>
      </w:pPr>
      <w:r>
        <w:rPr>
          <w:b w:val="false"/>
          <w:sz w:val="24"/>
          <w:szCs w:val="24"/>
          <w:lang w:val="pt-BR"/>
        </w:rPr>
      </w:r>
    </w:p>
    <w:p>
      <w:pPr>
        <w:pStyle w:val="Normal"/>
        <w:rPr>
          <w:b w:val="false"/>
          <w:sz w:val="24"/>
          <w:szCs w:val="24"/>
          <w:lang w:val="pt-BR"/>
        </w:rPr>
      </w:pPr>
      <w:r>
        <w:rPr>
          <w:b w:val="false"/>
          <w:sz w:val="24"/>
          <w:szCs w:val="24"/>
          <w:lang w:val="pt-BR"/>
        </w:rPr>
      </w:r>
    </w:p>
    <w:p>
      <w:pPr>
        <w:pStyle w:val="Normal"/>
        <w:rPr>
          <w:b/>
          <w:bCs/>
          <w:lang w:val="pt-BR"/>
        </w:rPr>
      </w:pPr>
      <w:r>
        <w:rPr>
          <w:b/>
          <w:bCs/>
          <w:sz w:val="24"/>
          <w:szCs w:val="24"/>
          <w:lang w:val="pt-BR"/>
        </w:rPr>
        <w:t>2. ANEXOS AO EDITAL:</w:t>
      </w:r>
    </w:p>
    <w:p>
      <w:pPr>
        <w:pStyle w:val="Normal"/>
        <w:rPr>
          <w:lang w:val="pt-BR"/>
        </w:rPr>
      </w:pPr>
      <w:r>
        <w:rPr>
          <w:b w:val="false"/>
          <w:sz w:val="24"/>
          <w:szCs w:val="24"/>
          <w:lang w:val="pt-BR"/>
        </w:rPr>
        <w:t>a) ANEXO I – TERMO DE REFERÊNCIA</w:t>
      </w:r>
    </w:p>
    <w:p>
      <w:pPr>
        <w:pStyle w:val="Normal"/>
        <w:rPr>
          <w:lang w:val="pt-BR"/>
        </w:rPr>
      </w:pPr>
      <w:r>
        <w:rPr>
          <w:b w:val="false"/>
          <w:sz w:val="24"/>
          <w:szCs w:val="24"/>
          <w:lang w:val="pt-BR"/>
        </w:rPr>
        <w:t>b) ANEXO II – RELAÇÃO DOS DOCUMENTOS DE HABILITAÇÃO</w:t>
      </w:r>
    </w:p>
    <w:p>
      <w:pPr>
        <w:pStyle w:val="Normal"/>
        <w:rPr>
          <w:lang w:val="pt-BR"/>
        </w:rPr>
      </w:pPr>
      <w:r>
        <w:rPr>
          <w:b w:val="false"/>
          <w:sz w:val="24"/>
          <w:szCs w:val="24"/>
          <w:lang w:val="pt-BR"/>
        </w:rPr>
        <w:t>c) ANEXO III – MODELO DE PROPOSTA COMERCIAL</w:t>
      </w:r>
    </w:p>
    <w:p>
      <w:pPr>
        <w:pStyle w:val="Normal"/>
        <w:rPr>
          <w:lang w:val="pt-BR"/>
        </w:rPr>
      </w:pPr>
      <w:r>
        <w:rPr>
          <w:b w:val="false"/>
          <w:sz w:val="24"/>
          <w:szCs w:val="24"/>
          <w:lang w:val="pt-BR"/>
        </w:rPr>
        <w:t>d) ANEXO IV – MODELO DE AUTORIZAÇÃO DE FORNECIMENTO</w:t>
      </w:r>
    </w:p>
    <w:p>
      <w:pPr>
        <w:pStyle w:val="Normal"/>
        <w:rPr>
          <w:sz w:val="24"/>
          <w:szCs w:val="24"/>
          <w:lang w:val="pt-BR"/>
        </w:rPr>
      </w:pPr>
      <w:r>
        <w:rPr>
          <w:sz w:val="24"/>
          <w:szCs w:val="24"/>
          <w:lang w:val="pt-BR"/>
        </w:rPr>
      </w:r>
      <w:r>
        <w:br w:type="page"/>
      </w:r>
    </w:p>
    <w:p>
      <w:pPr>
        <w:pStyle w:val="Normal"/>
        <w:spacing w:before="0" w:after="80"/>
        <w:jc w:val="center"/>
        <w:rPr>
          <w:lang w:val="pt-BR"/>
        </w:rPr>
      </w:pPr>
      <w:r>
        <w:rPr>
          <w:lang w:val="pt-BR"/>
        </w:rPr>
      </w:r>
    </w:p>
    <w:p>
      <w:pPr>
        <w:pStyle w:val="Normal"/>
        <w:spacing w:before="0" w:after="80"/>
        <w:jc w:val="center"/>
        <w:rPr>
          <w:lang w:val="pt-BR"/>
        </w:rPr>
      </w:pPr>
      <w:r>
        <w:rPr>
          <w:b/>
          <w:sz w:val="24"/>
          <w:szCs w:val="24"/>
          <w:lang w:val="pt-BR"/>
        </w:rPr>
        <w:t>DISPENSA ELETRÔNICA – EDITAL n.º 43/2026</w:t>
      </w:r>
    </w:p>
    <w:p>
      <w:pPr>
        <w:pStyle w:val="Normal"/>
        <w:spacing w:before="0" w:after="80"/>
        <w:jc w:val="center"/>
        <w:rPr>
          <w:b/>
          <w:sz w:val="24"/>
          <w:szCs w:val="24"/>
          <w:lang w:val="pt-BR"/>
        </w:rPr>
      </w:pPr>
      <w:r>
        <w:rPr>
          <w:b/>
          <w:sz w:val="24"/>
          <w:szCs w:val="24"/>
          <w:lang w:val="pt-BR"/>
        </w:rPr>
        <w:t>(Processo Administrativo n.º 52.501/2026-48)</w:t>
      </w:r>
    </w:p>
    <w:p>
      <w:pPr>
        <w:pStyle w:val="Normal"/>
        <w:spacing w:before="0" w:after="80"/>
        <w:jc w:val="center"/>
        <w:rPr>
          <w:b/>
          <w:sz w:val="24"/>
          <w:szCs w:val="24"/>
          <w:lang w:val="pt-BR"/>
        </w:rPr>
      </w:pPr>
      <w:r>
        <w:rPr>
          <w:b/>
          <w:sz w:val="24"/>
          <w:szCs w:val="24"/>
          <w:lang w:val="pt-BR"/>
        </w:rPr>
      </w:r>
    </w:p>
    <w:p>
      <w:pPr>
        <w:pStyle w:val="Normal"/>
        <w:rPr>
          <w:lang w:val="pt-BR"/>
        </w:rPr>
      </w:pPr>
      <w:r>
        <w:rPr>
          <w:b/>
          <w:sz w:val="24"/>
          <w:szCs w:val="24"/>
          <w:lang w:val="pt-BR"/>
        </w:rPr>
        <w:t>1.1. DISPOSIÇÕES PRELIMINARES</w:t>
      </w:r>
    </w:p>
    <w:p>
      <w:pPr>
        <w:pStyle w:val="Normal"/>
        <w:jc w:val="both"/>
        <w:rPr>
          <w:lang w:val="pt-BR"/>
        </w:rPr>
      </w:pPr>
      <w:r>
        <w:rPr>
          <w:b w:val="false"/>
          <w:sz w:val="24"/>
          <w:szCs w:val="24"/>
          <w:lang w:val="pt-BR"/>
        </w:rPr>
        <w:t>A FUNDAÇÃO ARQUIVO E MEMÓRIA DE SANTOS, sediada à Rua Visconde do Rio Branco, n.º 48, Centro Histórico, Santos/SP, por meio de seu Agente de Contratação e da utilização de recursos da tecnologia da informação – INTERNET – torna público que, de acordo com a Lei Federal n.º 14.133, de 01 de abril de 2021, o Decreto Municipal n.º 10.222, de 20 de outubro de 2023, e os termos deste Edital, realizará processo de DISPENSA ELETRÔNICA na forma abaixo.</w:t>
      </w:r>
    </w:p>
    <w:p>
      <w:pPr>
        <w:pStyle w:val="Normal"/>
        <w:jc w:val="both"/>
        <w:rPr>
          <w:lang w:val="pt-BR"/>
        </w:rPr>
      </w:pPr>
      <w:r>
        <w:rPr>
          <w:b w:val="false"/>
          <w:sz w:val="24"/>
          <w:szCs w:val="24"/>
          <w:lang w:val="pt-BR"/>
        </w:rPr>
        <w:t>A DISPENSA ELETRÔNICA será realizada em sessão pública, por meio da Plataforma BLL COMPRAS, mediante envio de propostas e lances pelos interessados, com acompanhamento pelo Agente de Contratação e observância das regras deste Edital.</w:t>
      </w:r>
    </w:p>
    <w:p>
      <w:pPr>
        <w:pStyle w:val="Normal"/>
        <w:rPr>
          <w:lang w:val="pt-BR"/>
        </w:rPr>
      </w:pPr>
      <w:r>
        <w:rPr>
          <w:b w:val="false"/>
          <w:sz w:val="24"/>
          <w:szCs w:val="24"/>
          <w:lang w:val="pt-BR"/>
        </w:rPr>
        <w:t>Os trabalhos serão conduzidos por servidor público municipal da Fundação Arquivo e Memória de Santos, denominado AGENTE DE CONTRATAÇÃO, mediante inserção e monitoramento de dados na Plataforma BLL COMPRAS, constante da plataforma eletrônica da Bolsa de licitações e Leilões do Brasil (</w:t>
      </w:r>
      <w:hyperlink r:id="rId3">
        <w:r>
          <w:rPr>
            <w:rStyle w:val="Hyperlink"/>
            <w:b w:val="false"/>
            <w:sz w:val="24"/>
            <w:szCs w:val="24"/>
            <w:lang w:val="pt-BR"/>
          </w:rPr>
          <w:t>bllcompras.com</w:t>
        </w:r>
      </w:hyperlink>
      <w:r>
        <w:rPr>
          <w:b w:val="false"/>
          <w:sz w:val="24"/>
          <w:szCs w:val="24"/>
          <w:lang w:val="pt-BR"/>
        </w:rPr>
        <w:t>).</w:t>
      </w:r>
    </w:p>
    <w:p>
      <w:pPr>
        <w:pStyle w:val="Normal"/>
        <w:jc w:val="both"/>
        <w:rPr>
          <w:highlight w:val="none"/>
          <w:shd w:fill="auto" w:val="clear"/>
        </w:rPr>
      </w:pPr>
      <w:r>
        <w:rPr>
          <w:b w:val="false"/>
          <w:sz w:val="24"/>
          <w:szCs w:val="24"/>
          <w:shd w:fill="auto" w:val="clear"/>
          <w:lang w:val="pt-BR"/>
        </w:rPr>
        <w:t>Para fins de participação, considerando o valor estimado da contratação, será assegurado o tratamento favorecido às Microempresas – ME, Empresas de Pequeno Porte – EPP e equiparadas, nos termos da legislação aplicável.</w:t>
      </w:r>
    </w:p>
    <w:p>
      <w:pPr>
        <w:pStyle w:val="Normal"/>
        <w:rPr>
          <w:b/>
          <w:sz w:val="24"/>
          <w:szCs w:val="24"/>
          <w:lang w:val="pt-BR"/>
        </w:rPr>
      </w:pPr>
      <w:r>
        <w:rPr>
          <w:b/>
          <w:sz w:val="24"/>
          <w:szCs w:val="24"/>
          <w:lang w:val="pt-BR"/>
        </w:rPr>
      </w:r>
    </w:p>
    <w:p>
      <w:pPr>
        <w:pStyle w:val="Normal"/>
        <w:rPr>
          <w:b/>
          <w:sz w:val="24"/>
          <w:szCs w:val="24"/>
          <w:lang w:val="pt-BR"/>
        </w:rPr>
      </w:pPr>
      <w:r>
        <w:rPr>
          <w:b/>
          <w:sz w:val="24"/>
          <w:szCs w:val="24"/>
          <w:lang w:val="pt-BR"/>
        </w:rPr>
        <w:t>1.2. OBJETO</w:t>
      </w:r>
    </w:p>
    <w:p>
      <w:pPr>
        <w:pStyle w:val="Normal"/>
        <w:jc w:val="both"/>
        <w:rPr>
          <w:b w:val="false"/>
          <w:sz w:val="24"/>
          <w:szCs w:val="24"/>
          <w:lang w:val="pt-BR"/>
        </w:rPr>
      </w:pPr>
      <w:r>
        <w:rPr>
          <w:b w:val="false"/>
          <w:sz w:val="24"/>
          <w:szCs w:val="24"/>
          <w:lang w:val="pt-BR"/>
        </w:rPr>
        <w:t>A descrição detalhada do objeto da presente Dispensa Eletrônica consta no ANEXO I – TERMO DE REFERÊNCIA deste Edital.</w:t>
      </w:r>
    </w:p>
    <w:p>
      <w:pPr>
        <w:pStyle w:val="Normal"/>
        <w:rPr>
          <w:b w:val="false"/>
          <w:sz w:val="24"/>
          <w:szCs w:val="24"/>
          <w:lang w:val="pt-BR"/>
        </w:rPr>
      </w:pPr>
      <w:r>
        <w:rPr>
          <w:b w:val="false"/>
          <w:sz w:val="24"/>
          <w:szCs w:val="24"/>
          <w:lang w:val="pt-BR"/>
        </w:rPr>
      </w:r>
    </w:p>
    <w:p>
      <w:pPr>
        <w:pStyle w:val="Normal"/>
        <w:rPr>
          <w:lang w:val="pt-BR"/>
        </w:rPr>
      </w:pPr>
      <w:r>
        <w:rPr>
          <w:b/>
          <w:sz w:val="24"/>
          <w:szCs w:val="24"/>
          <w:lang w:val="pt-BR"/>
        </w:rPr>
        <w:t>1.3. PARTICIPAÇÃO</w:t>
      </w:r>
    </w:p>
    <w:p>
      <w:pPr>
        <w:pStyle w:val="Normal"/>
        <w:jc w:val="both"/>
        <w:rPr>
          <w:lang w:val="pt-BR"/>
        </w:rPr>
      </w:pPr>
      <w:r>
        <w:rPr>
          <w:b/>
          <w:sz w:val="24"/>
          <w:szCs w:val="24"/>
          <w:lang w:val="pt-BR"/>
        </w:rPr>
        <w:t xml:space="preserve">1.3.1. </w:t>
      </w:r>
      <w:r>
        <w:rPr>
          <w:sz w:val="24"/>
          <w:szCs w:val="24"/>
          <w:lang w:val="pt-BR"/>
        </w:rPr>
        <w:t>Poderão participar desta DISPENSA ELETRÔNICA os interessados que atenderem a todas as exigências contidas neste EDITAL e seus ANEXOS.</w:t>
      </w:r>
    </w:p>
    <w:p>
      <w:pPr>
        <w:pStyle w:val="Normal"/>
        <w:jc w:val="both"/>
        <w:rPr>
          <w:lang w:val="pt-BR"/>
        </w:rPr>
      </w:pPr>
      <w:r>
        <w:rPr>
          <w:b/>
          <w:sz w:val="24"/>
          <w:szCs w:val="24"/>
          <w:lang w:val="pt-BR"/>
        </w:rPr>
        <w:t xml:space="preserve">1.3.2. </w:t>
      </w:r>
      <w:r>
        <w:rPr>
          <w:sz w:val="24"/>
          <w:szCs w:val="24"/>
          <w:lang w:val="pt-BR"/>
        </w:rPr>
        <w:t>Para fins do art. 48 da Lei Complementar n.º 123/2006, será observado o tratamento favorecido às Microempresas (ME), Empresas de Pequeno Porte (EPP) e equiparadas, bem como, às Cooperativas de Consumo, equiparadas nos termos do art. 34 da Lei 11.488/2007.</w:t>
      </w:r>
    </w:p>
    <w:p>
      <w:pPr>
        <w:pStyle w:val="Normal"/>
        <w:jc w:val="both"/>
        <w:rPr>
          <w:lang w:val="pt-BR"/>
        </w:rPr>
      </w:pPr>
      <w:r>
        <w:rPr>
          <w:b/>
          <w:sz w:val="24"/>
          <w:szCs w:val="24"/>
          <w:lang w:val="pt-BR"/>
        </w:rPr>
        <w:t>1.3.3.</w:t>
      </w:r>
      <w:r>
        <w:rPr>
          <w:b w:val="false"/>
          <w:bCs w:val="false"/>
          <w:sz w:val="24"/>
          <w:szCs w:val="24"/>
          <w:lang w:val="pt-BR"/>
        </w:rPr>
        <w:t xml:space="preserve"> </w:t>
      </w:r>
      <w:r>
        <w:rPr>
          <w:rFonts w:eastAsia="Arial" w:cs="Arial"/>
          <w:b w:val="false"/>
          <w:bCs w:val="false"/>
          <w:sz w:val="24"/>
          <w:szCs w:val="24"/>
          <w:lang w:val="pt-BR"/>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Normal"/>
        <w:rPr>
          <w:b/>
          <w:sz w:val="24"/>
          <w:szCs w:val="24"/>
          <w:lang w:val="pt-BR"/>
        </w:rPr>
      </w:pPr>
      <w:r>
        <w:rPr>
          <w:b/>
          <w:sz w:val="24"/>
          <w:szCs w:val="24"/>
          <w:lang w:val="pt-BR"/>
        </w:rPr>
        <w:t>1.3.4.</w:t>
      </w:r>
      <w:r>
        <w:rPr>
          <w:b w:val="false"/>
          <w:bCs w:val="false"/>
          <w:sz w:val="24"/>
          <w:szCs w:val="24"/>
          <w:lang w:val="pt-BR"/>
        </w:rPr>
        <w:t xml:space="preserve"> </w:t>
      </w:r>
      <w:r>
        <w:rPr>
          <w:rFonts w:eastAsia="Arial" w:cs="Arial"/>
          <w:b w:val="false"/>
          <w:bCs w:val="false"/>
          <w:sz w:val="24"/>
          <w:szCs w:val="24"/>
          <w:lang w:val="pt-BR"/>
        </w:rPr>
        <w:t>Será concedido tratamento favorecido para as microempresas e empresas de pequeno porte, para as sociedades cooperativas mencionadas no art. 16 da Lei Federal n.º 14.133/2021 para o agricultor familiar, o produtor rural pessoa física e para o micro empreendedor individual – MEI, nos limites previstos da Lei Complementar n.º 123/2006 e do Decreto n.º 8.538/2015.</w:t>
      </w:r>
    </w:p>
    <w:p>
      <w:pPr>
        <w:pStyle w:val="Normal"/>
        <w:rPr>
          <w:lang w:val="pt-BR"/>
        </w:rPr>
      </w:pPr>
      <w:r>
        <w:rPr>
          <w:b/>
          <w:sz w:val="24"/>
          <w:szCs w:val="24"/>
          <w:lang w:val="pt-BR"/>
        </w:rPr>
        <w:t xml:space="preserve">1.3.5. </w:t>
      </w:r>
      <w:r>
        <w:rPr>
          <w:sz w:val="24"/>
          <w:szCs w:val="24"/>
          <w:lang w:val="pt-BR"/>
        </w:rPr>
        <w:t>Não poderão participar desta Dispensa Eletrônica:</w:t>
      </w:r>
    </w:p>
    <w:p>
      <w:pPr>
        <w:pStyle w:val="Normal"/>
        <w:spacing w:lineRule="auto" w:line="276" w:before="0" w:after="160"/>
        <w:jc w:val="both"/>
        <w:rPr>
          <w:lang w:val="pt-BR"/>
        </w:rPr>
      </w:pPr>
      <w:r>
        <w:rPr>
          <w:rFonts w:eastAsia="Arial" w:cs="Arial"/>
          <w:sz w:val="24"/>
          <w:szCs w:val="24"/>
          <w:lang w:val="pt-BR"/>
        </w:rPr>
        <w:t>a) Empresas que estejam enquadradas nas disposições do art. 14 da Lei Federal n.º 14.133/2021;</w:t>
      </w:r>
    </w:p>
    <w:p>
      <w:pPr>
        <w:pStyle w:val="Normal"/>
        <w:spacing w:lineRule="auto" w:line="276" w:before="0" w:after="160"/>
        <w:jc w:val="both"/>
        <w:rPr>
          <w:lang w:val="pt-BR"/>
        </w:rPr>
      </w:pPr>
      <w:r>
        <w:rPr>
          <w:rFonts w:eastAsia="Arial" w:cs="Arial"/>
          <w:sz w:val="24"/>
          <w:szCs w:val="24"/>
          <w:lang w:val="pt-BR"/>
        </w:rPr>
        <w:t>b) Organizações da Sociedade Civil de Interesse Público – OSCIP, atuando nessa condição;</w:t>
      </w:r>
    </w:p>
    <w:p>
      <w:pPr>
        <w:pStyle w:val="Normal"/>
        <w:spacing w:lineRule="auto" w:line="276" w:before="0" w:after="160"/>
        <w:jc w:val="both"/>
        <w:rPr>
          <w:sz w:val="24"/>
          <w:szCs w:val="24"/>
          <w:lang w:val="pt-BR"/>
        </w:rPr>
      </w:pPr>
      <w:r>
        <w:rPr>
          <w:rFonts w:eastAsia="Arial" w:cs="Arial"/>
          <w:sz w:val="24"/>
          <w:szCs w:val="24"/>
          <w:lang w:val="pt-BR"/>
        </w:rPr>
        <w:t>c) Não poderá participar, direta ou indiretamente, da dispensa de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§1º do art. 9º da Lei Federal n.º 14.133/2021.</w:t>
      </w:r>
    </w:p>
    <w:p>
      <w:pPr>
        <w:pStyle w:val="Normal"/>
        <w:rPr>
          <w:lang w:val="pt-BR"/>
        </w:rPr>
      </w:pPr>
      <w:r>
        <w:rPr>
          <w:b/>
          <w:sz w:val="24"/>
          <w:szCs w:val="24"/>
          <w:lang w:val="pt-BR"/>
        </w:rPr>
        <w:t xml:space="preserve">1.3.5.1 </w:t>
      </w:r>
      <w:r>
        <w:rPr>
          <w:sz w:val="24"/>
          <w:szCs w:val="24"/>
          <w:lang w:val="pt-BR"/>
        </w:rPr>
        <w:t>A vedação alcança terceiro que auxilie a condução ou conclusão da contratação na qualidade de integrante de equipe de apoio, profissional especializado ou representante que preste assessoria técnica, quando configurada hipótese legal de impedimento ou conflito de interesses.</w:t>
      </w:r>
    </w:p>
    <w:p>
      <w:pPr>
        <w:pStyle w:val="Normal"/>
        <w:rPr>
          <w:sz w:val="24"/>
          <w:szCs w:val="24"/>
          <w:lang w:val="pt-BR"/>
        </w:rPr>
      </w:pPr>
      <w:r>
        <w:rPr>
          <w:sz w:val="24"/>
          <w:szCs w:val="24"/>
          <w:lang w:val="pt-BR"/>
        </w:rPr>
      </w:r>
    </w:p>
    <w:p>
      <w:pPr>
        <w:pStyle w:val="Normal"/>
        <w:rPr>
          <w:lang w:val="pt-BR"/>
        </w:rPr>
      </w:pPr>
      <w:r>
        <w:rPr>
          <w:b/>
          <w:sz w:val="24"/>
          <w:szCs w:val="24"/>
          <w:lang w:val="pt-BR"/>
        </w:rPr>
        <w:t>1.4. RECEBIMENTO DAS PROPOSTAS E DATA DA SESSÃO PÚBLICA DA DISPENSA ELETRÔNICA DE LICITAÇÃO</w:t>
      </w:r>
    </w:p>
    <w:p>
      <w:pPr>
        <w:pStyle w:val="Normal"/>
        <w:spacing w:lineRule="auto" w:line="276" w:before="0" w:after="160"/>
        <w:jc w:val="both"/>
        <w:rPr/>
      </w:pPr>
      <w:r>
        <w:rPr>
          <w:rFonts w:eastAsia="Arial" w:cs="Arial"/>
          <w:lang w:val="pt-BR"/>
        </w:rPr>
        <w:t>O interessado em participar da Dispensa de Licitação deverá observar a data e horário da sessão pública, conforme previsto no AVISO DE EDITAL, publicado no sítio oficial desta Fundação (</w:t>
      </w:r>
      <w:hyperlink r:id="rId4">
        <w:r>
          <w:rPr>
            <w:rStyle w:val="Hyperlink"/>
            <w:rFonts w:eastAsia="Arial" w:cs="Arial"/>
            <w:lang w:val="pt-BR"/>
          </w:rPr>
          <w:t>www.fundasantos.org.br</w:t>
        </w:r>
      </w:hyperlink>
      <w:r>
        <w:rPr>
          <w:rFonts w:eastAsia="Arial" w:cs="Arial"/>
          <w:lang w:val="pt-BR"/>
        </w:rPr>
        <w:t>) e no Diário Oficial do Município de Santos/SP (D.O.M.), constante da folha de rosto deste Edital, o que será o prazo limite para inserção da proposta.</w:t>
      </w:r>
    </w:p>
    <w:p>
      <w:pPr>
        <w:pStyle w:val="Normal"/>
        <w:spacing w:before="0" w:after="0"/>
        <w:rPr>
          <w:b/>
          <w:sz w:val="24"/>
          <w:szCs w:val="24"/>
          <w:lang w:val="pt-BR"/>
        </w:rPr>
      </w:pPr>
      <w:r>
        <w:rPr>
          <w:b/>
          <w:sz w:val="24"/>
          <w:szCs w:val="24"/>
          <w:lang w:val="pt-BR"/>
        </w:rPr>
      </w:r>
    </w:p>
    <w:p>
      <w:pPr>
        <w:pStyle w:val="Normal"/>
        <w:rPr>
          <w:b/>
          <w:sz w:val="24"/>
          <w:szCs w:val="24"/>
          <w:lang w:val="pt-BR"/>
        </w:rPr>
      </w:pPr>
      <w:r>
        <w:rPr>
          <w:b/>
          <w:sz w:val="24"/>
          <w:szCs w:val="24"/>
          <w:lang w:val="pt-BR"/>
        </w:rPr>
        <w:t>1.5. REFERÊNCIA DE TEMPO</w:t>
      </w:r>
    </w:p>
    <w:p>
      <w:pPr>
        <w:pStyle w:val="Normal"/>
        <w:jc w:val="both"/>
        <w:rPr>
          <w:lang w:val="pt-BR"/>
        </w:rPr>
      </w:pPr>
      <w:r>
        <w:rPr>
          <w:b/>
          <w:sz w:val="24"/>
          <w:szCs w:val="24"/>
          <w:lang w:val="pt-BR"/>
        </w:rPr>
        <w:t xml:space="preserve">1.5.1. </w:t>
      </w:r>
      <w:r>
        <w:rPr>
          <w:sz w:val="24"/>
          <w:szCs w:val="24"/>
          <w:lang w:val="pt-BR"/>
        </w:rPr>
        <w:t>Todas as referências de tempo do Edital, do Aviso de Edital e da Sessão Pública observarão o horário de Brasília/DF.</w:t>
      </w:r>
    </w:p>
    <w:p>
      <w:pPr>
        <w:pStyle w:val="Normal"/>
        <w:jc w:val="both"/>
        <w:rPr>
          <w:lang w:val="pt-BR"/>
        </w:rPr>
      </w:pPr>
      <w:r>
        <w:rPr>
          <w:b/>
          <w:sz w:val="24"/>
          <w:szCs w:val="24"/>
          <w:lang w:val="pt-BR"/>
        </w:rPr>
        <w:t xml:space="preserve">1.5.2. </w:t>
      </w:r>
      <w:r>
        <w:rPr>
          <w:sz w:val="24"/>
          <w:szCs w:val="24"/>
          <w:lang w:val="pt-BR"/>
        </w:rPr>
        <w:t xml:space="preserve">A etapa de lances da sessão pública durará </w:t>
      </w:r>
      <w:r>
        <w:rPr>
          <w:b/>
          <w:bCs/>
          <w:sz w:val="24"/>
          <w:szCs w:val="24"/>
          <w:lang w:val="pt-BR"/>
        </w:rPr>
        <w:t>01 (uma) hora</w:t>
      </w:r>
      <w:r>
        <w:rPr>
          <w:sz w:val="24"/>
          <w:szCs w:val="24"/>
          <w:lang w:val="pt-BR"/>
        </w:rPr>
        <w:t>.</w:t>
      </w:r>
    </w:p>
    <w:p>
      <w:pPr>
        <w:pStyle w:val="Normal"/>
        <w:jc w:val="both"/>
        <w:rPr>
          <w:sz w:val="24"/>
          <w:szCs w:val="24"/>
          <w:lang w:val="pt-BR"/>
        </w:rPr>
      </w:pPr>
      <w:r>
        <w:rPr>
          <w:sz w:val="24"/>
          <w:szCs w:val="24"/>
          <w:lang w:val="pt-BR"/>
        </w:rPr>
      </w:r>
    </w:p>
    <w:p>
      <w:pPr>
        <w:pStyle w:val="Normal"/>
        <w:rPr>
          <w:lang w:val="pt-BR"/>
        </w:rPr>
      </w:pPr>
      <w:r>
        <w:rPr>
          <w:b/>
          <w:sz w:val="24"/>
          <w:szCs w:val="24"/>
          <w:lang w:val="pt-BR"/>
        </w:rPr>
        <w:t>1.6. CRITÉRIOS DE JULGAMENTO</w:t>
      </w:r>
    </w:p>
    <w:p>
      <w:pPr>
        <w:pStyle w:val="Normal"/>
        <w:rPr>
          <w:lang w:val="pt-BR"/>
        </w:rPr>
      </w:pPr>
      <w:r>
        <w:rPr>
          <w:b/>
          <w:sz w:val="24"/>
          <w:szCs w:val="24"/>
          <w:lang w:val="pt-BR"/>
        </w:rPr>
        <w:t xml:space="preserve">1.6.1. </w:t>
      </w:r>
      <w:r>
        <w:rPr>
          <w:sz w:val="24"/>
          <w:szCs w:val="24"/>
          <w:lang w:val="pt-BR"/>
        </w:rPr>
        <w:t xml:space="preserve">Para julgamento será adotado o critério de </w:t>
      </w:r>
      <w:r>
        <w:rPr>
          <w:b/>
          <w:bCs/>
          <w:sz w:val="24"/>
          <w:szCs w:val="24"/>
          <w:lang w:val="pt-BR"/>
        </w:rPr>
        <w:t>MENOR PREÇO GLOBAL</w:t>
      </w:r>
      <w:r>
        <w:rPr>
          <w:sz w:val="24"/>
          <w:szCs w:val="24"/>
          <w:lang w:val="pt-BR"/>
        </w:rPr>
        <w:t>.</w:t>
      </w:r>
    </w:p>
    <w:p>
      <w:pPr>
        <w:pStyle w:val="Normal"/>
        <w:jc w:val="both"/>
        <w:rPr>
          <w:lang w:val="pt-BR"/>
        </w:rPr>
      </w:pPr>
      <w:r>
        <w:rPr>
          <w:b/>
          <w:sz w:val="24"/>
          <w:szCs w:val="24"/>
          <w:lang w:val="pt-BR"/>
        </w:rPr>
        <w:t xml:space="preserve">1.6.2. </w:t>
      </w:r>
      <w:r>
        <w:rPr>
          <w:sz w:val="24"/>
          <w:szCs w:val="24"/>
          <w:lang w:val="pt-BR"/>
        </w:rPr>
        <w:t xml:space="preserve">O Agente de Contratação solicitará ao licitante mais bem classificado que, no prazo de </w:t>
      </w:r>
      <w:r>
        <w:rPr>
          <w:b/>
          <w:bCs/>
          <w:sz w:val="24"/>
          <w:szCs w:val="24"/>
          <w:lang w:val="pt-BR"/>
        </w:rPr>
        <w:t>2 (duas) horas</w:t>
      </w:r>
      <w:r>
        <w:rPr>
          <w:sz w:val="24"/>
          <w:szCs w:val="24"/>
          <w:lang w:val="pt-BR"/>
        </w:rPr>
        <w:t>, envie a proposta adequada ao último lance ofertado após eventual negociação, acompanhada dos documentos complementares, quando necessários.</w:t>
      </w:r>
    </w:p>
    <w:p>
      <w:pPr>
        <w:pStyle w:val="Normal"/>
        <w:jc w:val="both"/>
        <w:rPr>
          <w:lang w:val="pt-BR"/>
        </w:rPr>
      </w:pPr>
      <w:r>
        <w:rPr>
          <w:b/>
          <w:sz w:val="24"/>
          <w:szCs w:val="24"/>
          <w:lang w:val="pt-BR"/>
        </w:rPr>
        <w:t xml:space="preserve">1.6.3. </w:t>
      </w:r>
      <w:r>
        <w:rPr>
          <w:sz w:val="24"/>
          <w:szCs w:val="24"/>
          <w:lang w:val="pt-BR"/>
        </w:rPr>
        <w:t xml:space="preserve">Os documentos exigidos para habilitação serão enviados exclusivamente por meio da Plataforma BLL COMPRAS, em formato digital, no prazo de </w:t>
      </w:r>
      <w:r>
        <w:rPr>
          <w:b/>
          <w:bCs/>
          <w:sz w:val="24"/>
          <w:szCs w:val="24"/>
          <w:lang w:val="pt-BR"/>
        </w:rPr>
        <w:t>4 (quatro) horas</w:t>
      </w:r>
      <w:r>
        <w:rPr>
          <w:sz w:val="24"/>
          <w:szCs w:val="24"/>
          <w:lang w:val="pt-BR"/>
        </w:rPr>
        <w:t>, prorrogável por igual período, contado da solicitação do Agente de Contratação.</w:t>
      </w:r>
    </w:p>
    <w:p>
      <w:pPr>
        <w:pStyle w:val="Normal"/>
        <w:jc w:val="both"/>
        <w:rPr>
          <w:sz w:val="24"/>
          <w:szCs w:val="24"/>
          <w:lang w:val="pt-BR"/>
        </w:rPr>
      </w:pPr>
      <w:r>
        <w:rPr>
          <w:sz w:val="24"/>
          <w:szCs w:val="24"/>
          <w:lang w:val="pt-BR"/>
        </w:rPr>
      </w:r>
    </w:p>
    <w:p>
      <w:pPr>
        <w:pStyle w:val="Normal"/>
        <w:rPr>
          <w:lang w:val="pt-BR"/>
        </w:rPr>
      </w:pPr>
      <w:r>
        <w:rPr>
          <w:b/>
          <w:sz w:val="24"/>
          <w:szCs w:val="24"/>
          <w:lang w:val="pt-BR"/>
        </w:rPr>
        <w:t>1.7. SANÇÕES ADMINISTRATIVAS</w:t>
      </w:r>
    </w:p>
    <w:p>
      <w:pPr>
        <w:pStyle w:val="Normal"/>
        <w:jc w:val="both"/>
        <w:rPr>
          <w:lang w:val="pt-BR"/>
        </w:rPr>
      </w:pPr>
      <w:r>
        <w:rPr>
          <w:b w:val="false"/>
          <w:sz w:val="24"/>
          <w:szCs w:val="24"/>
          <w:lang w:val="pt-BR"/>
        </w:rPr>
        <w:t>Sem prejuízo das demais sanções previstas na Lei Federal n.º 14.133/2021 e assegurados o contraditório e a ampla defesa, a FAMS poderá aplicar à contratada as seguintes multas:</w:t>
      </w:r>
    </w:p>
    <w:p>
      <w:pPr>
        <w:pStyle w:val="Normal"/>
        <w:ind w:hanging="170" w:start="340"/>
        <w:jc w:val="both"/>
        <w:rPr>
          <w:lang w:val="pt-BR"/>
        </w:rPr>
      </w:pPr>
      <w:r>
        <w:rPr>
          <w:sz w:val="24"/>
          <w:szCs w:val="24"/>
          <w:lang w:val="pt-BR"/>
        </w:rPr>
        <w:t xml:space="preserve">• </w:t>
      </w:r>
      <w:r>
        <w:rPr>
          <w:sz w:val="24"/>
          <w:szCs w:val="24"/>
          <w:lang w:val="pt-BR"/>
        </w:rPr>
        <w:t>30% (trinta por cento) do valor total global do ajuste, em caso de inexecução total;</w:t>
      </w:r>
    </w:p>
    <w:p>
      <w:pPr>
        <w:pStyle w:val="Normal"/>
        <w:ind w:hanging="170" w:start="340"/>
        <w:jc w:val="both"/>
        <w:rPr>
          <w:lang w:val="pt-BR"/>
        </w:rPr>
      </w:pPr>
      <w:r>
        <w:rPr>
          <w:sz w:val="24"/>
          <w:szCs w:val="24"/>
          <w:lang w:val="pt-BR"/>
        </w:rPr>
        <w:t xml:space="preserve">• </w:t>
      </w:r>
      <w:r>
        <w:rPr>
          <w:sz w:val="24"/>
          <w:szCs w:val="24"/>
          <w:lang w:val="pt-BR"/>
        </w:rPr>
        <w:t>20% (vinte por cento) sobre o valor total da Autorização de Fornecimento ou instrumento equivalente, no caso de inadimplemento parcial;</w:t>
      </w:r>
    </w:p>
    <w:p>
      <w:pPr>
        <w:pStyle w:val="Normal"/>
        <w:ind w:hanging="170" w:start="340"/>
        <w:jc w:val="both"/>
        <w:rPr>
          <w:lang w:val="pt-BR"/>
        </w:rPr>
      </w:pPr>
      <w:r>
        <w:rPr>
          <w:sz w:val="24"/>
          <w:szCs w:val="24"/>
          <w:lang w:val="pt-BR"/>
        </w:rPr>
        <w:t xml:space="preserve">• </w:t>
      </w:r>
      <w:r>
        <w:rPr>
          <w:sz w:val="24"/>
          <w:szCs w:val="24"/>
          <w:lang w:val="pt-BR"/>
        </w:rPr>
        <w:t>1% (um por cento) ao dia, sobre o valor total da Autorização de Fornecimento ou instrumento equivalente, na hipótese de atraso na execução do objeto no prazo e nas condições fixadas;</w:t>
      </w:r>
    </w:p>
    <w:p>
      <w:pPr>
        <w:pStyle w:val="Normal"/>
        <w:ind w:hanging="170" w:start="340"/>
        <w:jc w:val="both"/>
        <w:rPr>
          <w:sz w:val="24"/>
          <w:szCs w:val="24"/>
          <w:lang w:val="pt-BR"/>
        </w:rPr>
      </w:pPr>
      <w:r>
        <w:rPr>
          <w:sz w:val="24"/>
          <w:szCs w:val="24"/>
          <w:lang w:val="pt-BR"/>
        </w:rPr>
        <w:t xml:space="preserve">• </w:t>
      </w:r>
      <w:r>
        <w:rPr>
          <w:sz w:val="24"/>
          <w:szCs w:val="24"/>
          <w:lang w:val="pt-BR"/>
        </w:rPr>
        <w:t>10% (dez por cento) sobre o valor total da Autorização de Fornecimento ou instrumento equivalente, nas hipóteses de descumprimento não abrangidas pelos itens anteriores.</w:t>
      </w:r>
    </w:p>
    <w:p>
      <w:pPr>
        <w:pStyle w:val="Normal"/>
        <w:ind w:hanging="170" w:start="340"/>
        <w:jc w:val="both"/>
        <w:rPr>
          <w:sz w:val="24"/>
          <w:szCs w:val="24"/>
          <w:lang w:val="pt-BR"/>
        </w:rPr>
      </w:pPr>
      <w:r>
        <w:rPr>
          <w:sz w:val="24"/>
          <w:szCs w:val="24"/>
          <w:lang w:val="pt-BR"/>
        </w:rPr>
      </w:r>
    </w:p>
    <w:p>
      <w:pPr>
        <w:pStyle w:val="Normal"/>
        <w:rPr>
          <w:lang w:val="pt-BR"/>
        </w:rPr>
      </w:pPr>
      <w:r>
        <w:rPr>
          <w:b/>
          <w:sz w:val="24"/>
          <w:szCs w:val="24"/>
          <w:lang w:val="pt-BR"/>
        </w:rPr>
        <w:t>1.8. FORMALIZAÇÃO DA Autorização de Fornecimento</w:t>
      </w:r>
    </w:p>
    <w:p>
      <w:pPr>
        <w:pStyle w:val="Normal"/>
        <w:jc w:val="both"/>
        <w:rPr>
          <w:lang w:val="pt-BR"/>
        </w:rPr>
      </w:pPr>
      <w:r>
        <w:rPr>
          <w:b/>
          <w:sz w:val="24"/>
          <w:szCs w:val="24"/>
          <w:lang w:val="pt-BR"/>
        </w:rPr>
        <w:t xml:space="preserve">1.8.1. </w:t>
      </w:r>
      <w:r>
        <w:rPr>
          <w:sz w:val="24"/>
          <w:szCs w:val="24"/>
          <w:lang w:val="pt-BR"/>
        </w:rPr>
        <w:t>Homologada a Dispensa Eletrônica pela autoridade competente, a Fundação Arquivo e Memória de Santos – FAMS elaborará a respectiva Autorização de Fornecimento ou instrumento equivalente, encaminhando-a ao fornecedor.</w:t>
      </w:r>
    </w:p>
    <w:p>
      <w:pPr>
        <w:pStyle w:val="Normal"/>
        <w:jc w:val="both"/>
        <w:rPr>
          <w:lang w:val="pt-BR"/>
        </w:rPr>
      </w:pPr>
      <w:r>
        <w:rPr>
          <w:b/>
          <w:sz w:val="24"/>
          <w:szCs w:val="24"/>
          <w:lang w:val="pt-BR"/>
        </w:rPr>
        <w:t xml:space="preserve">1.8.2. </w:t>
      </w:r>
      <w:r>
        <w:rPr>
          <w:sz w:val="24"/>
          <w:szCs w:val="24"/>
          <w:lang w:val="pt-BR"/>
        </w:rPr>
        <w:t>A recusa injustificada do licitante vencedor em formalizar o ajuste, no prazo fixado pela Administração, sujeitá-lo-á às consequências e sanções cabíveis, observada a Lei Federal n.º 14.133/2021.</w:t>
      </w:r>
    </w:p>
    <w:p>
      <w:pPr>
        <w:pStyle w:val="Normal"/>
        <w:rPr>
          <w:sz w:val="24"/>
          <w:szCs w:val="24"/>
          <w:lang w:val="pt-BR"/>
        </w:rPr>
      </w:pPr>
      <w:r>
        <w:rPr>
          <w:sz w:val="24"/>
          <w:szCs w:val="24"/>
          <w:lang w:val="pt-BR"/>
        </w:rPr>
      </w:r>
    </w:p>
    <w:p>
      <w:pPr>
        <w:pStyle w:val="Normal"/>
        <w:rPr>
          <w:lang w:val="pt-BR"/>
        </w:rPr>
      </w:pPr>
      <w:r>
        <w:rPr>
          <w:b/>
          <w:sz w:val="24"/>
          <w:szCs w:val="24"/>
          <w:lang w:val="pt-BR"/>
        </w:rPr>
        <w:t>1.9. CONDIÇÕES DA Autorização de Fornecimento</w:t>
      </w:r>
    </w:p>
    <w:p>
      <w:pPr>
        <w:pStyle w:val="Normal"/>
        <w:jc w:val="both"/>
        <w:rPr>
          <w:lang w:val="pt-BR"/>
        </w:rPr>
      </w:pPr>
      <w:r>
        <w:rPr>
          <w:b/>
          <w:sz w:val="24"/>
          <w:szCs w:val="24"/>
          <w:lang w:val="pt-BR"/>
        </w:rPr>
        <w:t xml:space="preserve">1.9.1. </w:t>
      </w:r>
      <w:r>
        <w:rPr>
          <w:sz w:val="24"/>
          <w:szCs w:val="24"/>
          <w:lang w:val="pt-BR"/>
        </w:rPr>
        <w:t>Constam da minuta do ANEXO IV deste Edital e do Termo de Referência.</w:t>
      </w:r>
    </w:p>
    <w:p>
      <w:pPr>
        <w:pStyle w:val="Normal"/>
        <w:rPr>
          <w:sz w:val="24"/>
          <w:szCs w:val="24"/>
          <w:lang w:val="pt-BR"/>
        </w:rPr>
      </w:pPr>
      <w:r>
        <w:rPr>
          <w:sz w:val="24"/>
          <w:szCs w:val="24"/>
          <w:lang w:val="pt-BR"/>
        </w:rPr>
      </w:r>
    </w:p>
    <w:p>
      <w:pPr>
        <w:pStyle w:val="Normal"/>
        <w:rPr>
          <w:lang w:val="pt-BR"/>
        </w:rPr>
      </w:pPr>
      <w:r>
        <w:rPr>
          <w:b/>
          <w:sz w:val="24"/>
          <w:szCs w:val="24"/>
          <w:lang w:val="pt-BR"/>
        </w:rPr>
        <w:t>1.10. DISPOSIÇÕES FINAIS</w:t>
      </w:r>
    </w:p>
    <w:p>
      <w:pPr>
        <w:pStyle w:val="Normal"/>
        <w:rPr>
          <w:lang w:val="pt-BR"/>
        </w:rPr>
      </w:pPr>
      <w:r>
        <w:rPr>
          <w:b/>
          <w:sz w:val="24"/>
          <w:szCs w:val="24"/>
          <w:lang w:val="pt-BR"/>
        </w:rPr>
        <w:t xml:space="preserve">1.10.1. </w:t>
      </w:r>
      <w:r>
        <w:rPr>
          <w:sz w:val="24"/>
          <w:szCs w:val="24"/>
          <w:lang w:val="pt-BR"/>
        </w:rPr>
        <w:t>Será divulgada ata da sessão pública no sistema eletrônico.</w:t>
      </w:r>
    </w:p>
    <w:p>
      <w:pPr>
        <w:pStyle w:val="Normal"/>
        <w:rPr>
          <w:lang w:val="pt-BR"/>
        </w:rPr>
      </w:pPr>
      <w:r>
        <w:rPr>
          <w:b/>
          <w:sz w:val="24"/>
          <w:szCs w:val="24"/>
          <w:lang w:val="pt-BR"/>
        </w:rPr>
        <w:t xml:space="preserve">1.10.2. </w:t>
      </w:r>
      <w:r>
        <w:rPr>
          <w:sz w:val="24"/>
          <w:szCs w:val="24"/>
          <w:lang w:val="pt-BR"/>
        </w:rPr>
        <w:t>Não havendo expediente ou ocorrendo fato superveniente que impeça a realização do certame na data marcada, a sessão será transferida para o primeiro dia útil subsequente, no mesmo horário, salvo comunicação em contrário.</w:t>
      </w:r>
    </w:p>
    <w:p>
      <w:pPr>
        <w:pStyle w:val="Normal"/>
        <w:rPr>
          <w:lang w:val="pt-BR"/>
        </w:rPr>
      </w:pPr>
      <w:r>
        <w:rPr>
          <w:b/>
          <w:sz w:val="24"/>
          <w:szCs w:val="24"/>
          <w:lang w:val="pt-BR"/>
        </w:rPr>
        <w:t xml:space="preserve">1.10.3. </w:t>
      </w:r>
      <w:r>
        <w:rPr>
          <w:sz w:val="24"/>
          <w:szCs w:val="24"/>
          <w:lang w:val="pt-BR"/>
        </w:rPr>
        <w:t>A homologação do resultado desta Dispensa Eletrônica não implicará direito à contratação.</w:t>
      </w:r>
    </w:p>
    <w:p>
      <w:pPr>
        <w:pStyle w:val="Normal"/>
        <w:rPr>
          <w:lang w:val="pt-BR"/>
        </w:rPr>
      </w:pPr>
      <w:r>
        <w:rPr>
          <w:b/>
          <w:sz w:val="24"/>
          <w:szCs w:val="24"/>
          <w:lang w:val="pt-BR"/>
        </w:rPr>
        <w:t xml:space="preserve">1.10.4. </w:t>
      </w:r>
      <w:r>
        <w:rPr>
          <w:sz w:val="24"/>
          <w:szCs w:val="24"/>
          <w:lang w:val="pt-BR"/>
        </w:rPr>
        <w:t>As normas disciplinadoras serão interpretadas em favor da ampliação da disputa, desde que não comprometam o interesse público, a isonomia, a finalidade e a segurança da contratação.</w:t>
      </w:r>
    </w:p>
    <w:p>
      <w:pPr>
        <w:pStyle w:val="Normal"/>
        <w:jc w:val="both"/>
        <w:rPr>
          <w:lang w:val="pt-BR"/>
        </w:rPr>
      </w:pPr>
      <w:r>
        <w:rPr>
          <w:b/>
          <w:sz w:val="24"/>
          <w:szCs w:val="24"/>
          <w:lang w:val="pt-BR"/>
        </w:rPr>
        <w:t xml:space="preserve">1.10.5. </w:t>
      </w:r>
      <w:r>
        <w:rPr>
          <w:sz w:val="24"/>
          <w:szCs w:val="24"/>
          <w:lang w:val="pt-BR"/>
        </w:rPr>
        <w:t>Os participantes assumem todos os custos de preparação e apresentação de suas propostas.</w:t>
      </w:r>
    </w:p>
    <w:p>
      <w:pPr>
        <w:pStyle w:val="Normal"/>
        <w:jc w:val="both"/>
        <w:rPr>
          <w:lang w:val="pt-BR"/>
        </w:rPr>
      </w:pPr>
      <w:r>
        <w:rPr>
          <w:b/>
          <w:sz w:val="24"/>
          <w:szCs w:val="24"/>
          <w:lang w:val="pt-BR"/>
        </w:rPr>
        <w:t xml:space="preserve">1.10.6. </w:t>
      </w:r>
      <w:r>
        <w:rPr>
          <w:sz w:val="24"/>
          <w:szCs w:val="24"/>
          <w:lang w:val="pt-BR"/>
        </w:rPr>
        <w:t>Na contagem dos prazos estabelecidos neste Edital e seus Anexos, excluir-se-á o dia do início e incluir-se-á o do vencimento, observados os dias de expediente da Fundação.</w:t>
      </w:r>
    </w:p>
    <w:p>
      <w:pPr>
        <w:pStyle w:val="Normal"/>
        <w:jc w:val="both"/>
        <w:rPr>
          <w:lang w:val="pt-BR"/>
        </w:rPr>
      </w:pPr>
      <w:r>
        <w:rPr>
          <w:b/>
          <w:sz w:val="24"/>
          <w:szCs w:val="24"/>
          <w:lang w:val="pt-BR"/>
        </w:rPr>
        <w:t xml:space="preserve">1.10.7. </w:t>
      </w:r>
      <w:r>
        <w:rPr>
          <w:sz w:val="24"/>
          <w:szCs w:val="24"/>
          <w:lang w:val="pt-BR"/>
        </w:rPr>
        <w:t>O desatendimento de exigências formais não essenciais não importará o afastamento do participante, desde que seja possível o aproveitamento do ato, observados a isonomia e o interesse público.</w:t>
      </w:r>
    </w:p>
    <w:p>
      <w:pPr>
        <w:pStyle w:val="Normal"/>
        <w:jc w:val="both"/>
        <w:rPr>
          <w:lang w:val="pt-BR"/>
        </w:rPr>
      </w:pPr>
      <w:r>
        <w:rPr>
          <w:b/>
          <w:sz w:val="24"/>
          <w:szCs w:val="24"/>
          <w:lang w:val="pt-BR"/>
        </w:rPr>
        <w:t xml:space="preserve">1.10.8. </w:t>
      </w:r>
      <w:r>
        <w:rPr>
          <w:sz w:val="24"/>
          <w:szCs w:val="24"/>
          <w:lang w:val="pt-BR"/>
        </w:rPr>
        <w:t>Em caso de divergência entre disposições deste Edital e de seus Anexos, prevalecerão as disposições do Edital, sem prejuízo da necessária interpretação integrada do processo.</w:t>
      </w:r>
    </w:p>
    <w:p>
      <w:pPr>
        <w:pStyle w:val="Normal"/>
        <w:jc w:val="both"/>
        <w:rPr>
          <w:lang w:val="pt-BR"/>
        </w:rPr>
      </w:pPr>
      <w:r>
        <w:rPr>
          <w:b/>
          <w:sz w:val="24"/>
          <w:szCs w:val="24"/>
          <w:lang w:val="pt-BR"/>
        </w:rPr>
        <w:t xml:space="preserve">1.10.9. </w:t>
      </w:r>
      <w:r>
        <w:rPr>
          <w:sz w:val="24"/>
          <w:szCs w:val="24"/>
          <w:lang w:val="pt-BR"/>
        </w:rPr>
        <w:t>O Edital e seus Anexos serão disponibilizados nos meios oficiais e na Plataforma BLL COMPRAS, na forma da legislação aplicável.</w:t>
      </w:r>
    </w:p>
    <w:p>
      <w:pPr>
        <w:pStyle w:val="Normal"/>
        <w:jc w:val="both"/>
        <w:rPr>
          <w:lang w:val="pt-BR"/>
        </w:rPr>
      </w:pPr>
      <w:r>
        <w:rPr>
          <w:b/>
          <w:sz w:val="24"/>
          <w:szCs w:val="24"/>
          <w:lang w:val="pt-BR"/>
        </w:rPr>
        <w:t xml:space="preserve">1.10.10. </w:t>
      </w:r>
      <w:r>
        <w:rPr>
          <w:sz w:val="24"/>
          <w:szCs w:val="24"/>
          <w:lang w:val="pt-BR"/>
        </w:rPr>
        <w:t>O licitante deverá informar, quando aplicável ao produto ofertado, marca e demais características necessárias à sua identificação, sem prejuízo da observância integral das especificações do Anexo I.</w:t>
      </w:r>
    </w:p>
    <w:p>
      <w:pPr>
        <w:pStyle w:val="Normal"/>
        <w:jc w:val="both"/>
        <w:rPr>
          <w:lang w:val="pt-BR"/>
        </w:rPr>
      </w:pPr>
      <w:r>
        <w:rPr>
          <w:b/>
          <w:sz w:val="24"/>
          <w:szCs w:val="24"/>
          <w:lang w:val="pt-BR"/>
        </w:rPr>
        <w:t xml:space="preserve">1.10.11. </w:t>
      </w:r>
      <w:r>
        <w:rPr>
          <w:sz w:val="24"/>
          <w:szCs w:val="24"/>
          <w:lang w:val="pt-BR"/>
        </w:rPr>
        <w:t>Os pedidos de esclarecimentos deverão ser formulados pelo campo próprio da Plataforma BLL COMPRAS, observado o prazo indicado no aviso da contratação.</w:t>
      </w:r>
    </w:p>
    <w:p>
      <w:pPr>
        <w:pStyle w:val="Normal"/>
        <w:jc w:val="both"/>
        <w:rPr>
          <w:lang w:val="pt-BR"/>
        </w:rPr>
      </w:pPr>
      <w:r>
        <w:rPr>
          <w:b/>
          <w:sz w:val="24"/>
          <w:szCs w:val="24"/>
          <w:lang w:val="pt-BR"/>
        </w:rPr>
        <w:t xml:space="preserve">1.10.12. </w:t>
      </w:r>
      <w:r>
        <w:rPr>
          <w:sz w:val="24"/>
          <w:szCs w:val="24"/>
          <w:lang w:val="pt-BR"/>
        </w:rPr>
        <w:t>O intervalo mínimo de diferença entre os lances, que incidirá em relação ao lance que cobrir a melhor oferta, será de R$ 1,00 (um real).</w:t>
      </w:r>
    </w:p>
    <w:p>
      <w:pPr>
        <w:pStyle w:val="Normal"/>
        <w:rPr>
          <w:b/>
          <w:sz w:val="24"/>
          <w:szCs w:val="24"/>
          <w:lang w:val="pt-BR"/>
        </w:rPr>
      </w:pPr>
      <w:r>
        <w:rPr>
          <w:b/>
          <w:sz w:val="24"/>
          <w:szCs w:val="24"/>
          <w:lang w:val="pt-BR"/>
        </w:rPr>
      </w:r>
    </w:p>
    <w:p>
      <w:pPr>
        <w:pStyle w:val="Normal"/>
        <w:rPr>
          <w:b/>
          <w:sz w:val="24"/>
          <w:szCs w:val="24"/>
          <w:lang w:val="pt-BR"/>
        </w:rPr>
      </w:pPr>
      <w:r>
        <w:rPr>
          <w:b/>
          <w:sz w:val="24"/>
          <w:szCs w:val="24"/>
          <w:lang w:val="pt-BR"/>
        </w:rPr>
        <w:t>1.11. RECURSOS ORÇAMENTÁRIOS</w:t>
      </w:r>
    </w:p>
    <w:p>
      <w:pPr>
        <w:pStyle w:val="Normal"/>
        <w:jc w:val="both"/>
        <w:rPr>
          <w:lang w:val="pt-BR"/>
        </w:rPr>
      </w:pPr>
      <w:r>
        <w:rPr>
          <w:b w:val="false"/>
          <w:sz w:val="24"/>
          <w:szCs w:val="24"/>
          <w:lang w:val="pt-BR"/>
        </w:rPr>
        <w:t xml:space="preserve">As despesas decorrentes da presente contratação serão custeadas com recursos provenientes da </w:t>
      </w:r>
      <w:r>
        <w:rPr>
          <w:b/>
          <w:bCs/>
          <w:sz w:val="24"/>
          <w:szCs w:val="24"/>
          <w:lang w:val="pt-BR"/>
        </w:rPr>
        <w:t>Emenda Parlamentar n.º 869/2026</w:t>
      </w:r>
      <w:r>
        <w:rPr>
          <w:b w:val="false"/>
          <w:sz w:val="24"/>
          <w:szCs w:val="24"/>
          <w:lang w:val="pt-BR"/>
        </w:rPr>
        <w:t xml:space="preserve">, de autoria do Vereador Benedito Furtado, observada a respectiva disponibilidade orçamentária </w:t>
      </w:r>
      <w:r>
        <w:rPr>
          <w:b/>
          <w:bCs/>
          <w:sz w:val="24"/>
          <w:szCs w:val="24"/>
          <w:lang w:val="pt-BR"/>
        </w:rPr>
        <w:t>n.º 30.10.13.391.0093.1900.3.3.90.30</w:t>
      </w:r>
      <w:r>
        <w:rPr>
          <w:b w:val="false"/>
          <w:sz w:val="24"/>
          <w:szCs w:val="24"/>
          <w:lang w:val="pt-BR"/>
        </w:rPr>
        <w:t xml:space="preserve"> – </w:t>
      </w:r>
      <w:r>
        <w:rPr>
          <w:b/>
          <w:bCs/>
          <w:sz w:val="24"/>
          <w:szCs w:val="24"/>
          <w:lang w:val="pt-BR"/>
        </w:rPr>
        <w:t>Fonte 08 – Emendas</w:t>
      </w:r>
      <w:r>
        <w:rPr>
          <w:b w:val="false"/>
          <w:sz w:val="24"/>
          <w:szCs w:val="24"/>
          <w:lang w:val="pt-BR"/>
        </w:rPr>
        <w:t>.</w:t>
      </w:r>
    </w:p>
    <w:p>
      <w:pPr>
        <w:pStyle w:val="Normal"/>
        <w:jc w:val="both"/>
        <w:rPr>
          <w:b w:val="false"/>
          <w:sz w:val="24"/>
          <w:szCs w:val="24"/>
          <w:lang w:val="pt-BR"/>
        </w:rPr>
      </w:pPr>
      <w:r>
        <w:rPr>
          <w:b w:val="false"/>
          <w:sz w:val="24"/>
          <w:szCs w:val="24"/>
          <w:lang w:val="pt-BR"/>
        </w:rPr>
      </w:r>
    </w:p>
    <w:p>
      <w:pPr>
        <w:pStyle w:val="Normal"/>
        <w:rPr>
          <w:lang w:val="pt-BR"/>
        </w:rPr>
      </w:pPr>
      <w:r>
        <w:rPr>
          <w:b w:val="false"/>
          <w:sz w:val="24"/>
          <w:szCs w:val="24"/>
          <w:lang w:val="pt-BR"/>
        </w:rPr>
        <w:t>Santos, 09 de outubro de 2026.</w:t>
      </w:r>
    </w:p>
    <w:p>
      <w:pPr>
        <w:pStyle w:val="Normal"/>
        <w:rPr>
          <w:sz w:val="24"/>
          <w:szCs w:val="24"/>
          <w:lang w:val="pt-BR"/>
        </w:rPr>
      </w:pPr>
      <w:r>
        <w:rPr>
          <w:sz w:val="24"/>
          <w:szCs w:val="24"/>
          <w:lang w:val="pt-BR"/>
        </w:rPr>
      </w:r>
    </w:p>
    <w:p>
      <w:pPr>
        <w:pStyle w:val="Normal"/>
        <w:rPr>
          <w:sz w:val="24"/>
          <w:szCs w:val="24"/>
          <w:lang w:val="pt-BR"/>
        </w:rPr>
      </w:pPr>
      <w:r>
        <w:rPr>
          <w:sz w:val="24"/>
          <w:szCs w:val="24"/>
          <w:lang w:val="pt-BR"/>
        </w:rPr>
      </w:r>
    </w:p>
    <w:p>
      <w:pPr>
        <w:pStyle w:val="Normal"/>
        <w:jc w:val="center"/>
        <w:rPr>
          <w:lang w:val="pt-BR"/>
        </w:rPr>
      </w:pPr>
      <w:r>
        <w:rPr>
          <w:b w:val="false"/>
          <w:sz w:val="24"/>
          <w:szCs w:val="24"/>
          <w:lang w:val="pt-BR"/>
        </w:rPr>
        <w:t>________________________________________</w:t>
      </w:r>
    </w:p>
    <w:p>
      <w:pPr>
        <w:pStyle w:val="Normal"/>
        <w:jc w:val="center"/>
        <w:rPr>
          <w:lang w:val="pt-BR"/>
        </w:rPr>
      </w:pPr>
      <w:r>
        <w:rPr>
          <w:b/>
          <w:sz w:val="24"/>
          <w:szCs w:val="24"/>
          <w:lang w:val="pt-BR"/>
        </w:rPr>
        <w:t>Agente de Contratação – FAMS</w:t>
      </w:r>
    </w:p>
    <w:p>
      <w:pPr>
        <w:pStyle w:val="Normal"/>
        <w:rPr>
          <w:sz w:val="24"/>
          <w:szCs w:val="24"/>
          <w:lang w:val="pt-BR"/>
        </w:rPr>
      </w:pPr>
      <w:r>
        <w:rPr>
          <w:sz w:val="24"/>
          <w:szCs w:val="24"/>
          <w:lang w:val="pt-BR"/>
        </w:rPr>
      </w:r>
      <w:r>
        <w:br w:type="page"/>
      </w:r>
    </w:p>
    <w:p>
      <w:pPr>
        <w:pStyle w:val="Normal"/>
        <w:spacing w:before="0" w:after="80"/>
        <w:jc w:val="center"/>
        <w:rPr>
          <w:lang w:val="pt-BR"/>
        </w:rPr>
      </w:pPr>
      <w:r>
        <w:rPr>
          <w:b/>
          <w:sz w:val="24"/>
          <w:szCs w:val="24"/>
          <w:lang w:val="pt-BR"/>
        </w:rPr>
        <w:t>ANEXO I – TERMO DE REFERÊNCIA</w:t>
      </w:r>
    </w:p>
    <w:p>
      <w:pPr>
        <w:pStyle w:val="Normal"/>
        <w:jc w:val="center"/>
        <w:rPr>
          <w:lang w:val="pt-BR"/>
        </w:rPr>
      </w:pPr>
      <w:r>
        <w:rPr>
          <w:b/>
          <w:sz w:val="24"/>
          <w:szCs w:val="24"/>
          <w:lang w:val="pt-BR"/>
        </w:rPr>
        <w:t>EDITAL DE DISPENSA ELETRÔNICA n.º 43/2026</w:t>
      </w:r>
    </w:p>
    <w:p>
      <w:pPr>
        <w:pStyle w:val="Normal"/>
        <w:jc w:val="center"/>
        <w:rPr>
          <w:lang w:val="pt-BR"/>
        </w:rPr>
      </w:pPr>
      <w:r>
        <w:rPr>
          <w:b/>
          <w:sz w:val="24"/>
          <w:szCs w:val="24"/>
          <w:lang w:val="pt-BR"/>
        </w:rPr>
        <w:t>PROCESSO n.º 52.501/2026-48</w:t>
      </w:r>
    </w:p>
    <w:p>
      <w:pPr>
        <w:pStyle w:val="BodyText"/>
        <w:jc w:val="both"/>
        <w:rPr>
          <w:rStyle w:val="Strong"/>
          <w:rFonts w:ascii="Arial" w:hAnsi="Arial"/>
          <w:sz w:val="24"/>
          <w:szCs w:val="24"/>
          <w:lang w:val="pt-BR"/>
        </w:rPr>
      </w:pPr>
      <w:r>
        <w:rPr>
          <w:sz w:val="24"/>
          <w:szCs w:val="24"/>
          <w:lang w:val="pt-BR"/>
        </w:rPr>
      </w:r>
    </w:p>
    <w:p>
      <w:pPr>
        <w:pStyle w:val="BodyText"/>
        <w:jc w:val="both"/>
        <w:rPr/>
      </w:pPr>
      <w:r>
        <w:rPr>
          <w:rStyle w:val="Strong"/>
          <w:color w:val="auto"/>
          <w:sz w:val="24"/>
          <w:szCs w:val="24"/>
          <w:lang w:val="pt-BR"/>
        </w:rPr>
        <w:t>Unidade Requisitante:</w:t>
      </w:r>
      <w:r>
        <w:rPr>
          <w:color w:val="auto"/>
          <w:sz w:val="24"/>
          <w:szCs w:val="24"/>
          <w:lang w:val="pt-BR"/>
        </w:rPr>
        <w:t xml:space="preserve"> Fundação Arquivo e Memória de Santos – FAMS</w:t>
      </w:r>
    </w:p>
    <w:p>
      <w:pPr>
        <w:pStyle w:val="BodyText"/>
        <w:jc w:val="both"/>
        <w:rPr/>
      </w:pPr>
      <w:r>
        <w:rPr>
          <w:rStyle w:val="Strong"/>
          <w:color w:val="auto"/>
          <w:sz w:val="24"/>
          <w:szCs w:val="24"/>
          <w:lang w:val="pt-BR"/>
        </w:rPr>
        <w:t>Objeto:</w:t>
      </w:r>
      <w:r>
        <w:rPr>
          <w:color w:val="auto"/>
          <w:sz w:val="24"/>
          <w:szCs w:val="24"/>
          <w:lang w:val="pt-BR"/>
        </w:rPr>
        <w:t xml:space="preserve"> Confecção de </w:t>
      </w:r>
      <w:r>
        <w:rPr>
          <w:i/>
          <w:iCs/>
          <w:color w:val="auto"/>
          <w:sz w:val="24"/>
          <w:szCs w:val="24"/>
          <w:lang w:val="pt-BR"/>
        </w:rPr>
        <w:t>banners</w:t>
      </w:r>
      <w:r>
        <w:rPr>
          <w:color w:val="auto"/>
          <w:sz w:val="24"/>
          <w:szCs w:val="24"/>
          <w:lang w:val="pt-BR"/>
        </w:rPr>
        <w:t xml:space="preserve"> para exposição itinerante alusiva a José Bonifácio de Andrada e Silva</w:t>
      </w:r>
    </w:p>
    <w:p>
      <w:pPr>
        <w:pStyle w:val="BodyText"/>
        <w:jc w:val="both"/>
        <w:rPr/>
      </w:pPr>
      <w:r>
        <w:rPr>
          <w:rStyle w:val="Strong"/>
          <w:color w:val="auto"/>
          <w:sz w:val="24"/>
          <w:szCs w:val="24"/>
          <w:lang w:val="pt-BR"/>
        </w:rPr>
        <w:t>Quantidade:</w:t>
      </w:r>
      <w:r>
        <w:rPr>
          <w:color w:val="auto"/>
          <w:sz w:val="24"/>
          <w:szCs w:val="24"/>
          <w:lang w:val="pt-BR"/>
        </w:rPr>
        <w:t xml:space="preserve"> 12 (doze) unidades</w:t>
      </w:r>
    </w:p>
    <w:p>
      <w:pPr>
        <w:pStyle w:val="BodyText"/>
        <w:jc w:val="both"/>
        <w:rPr/>
      </w:pPr>
      <w:r>
        <w:rPr>
          <w:rStyle w:val="Strong"/>
          <w:color w:val="auto"/>
          <w:sz w:val="24"/>
          <w:szCs w:val="24"/>
          <w:lang w:val="pt-BR"/>
        </w:rPr>
        <w:t>Valor estimado:</w:t>
      </w:r>
      <w:r>
        <w:rPr>
          <w:color w:val="auto"/>
          <w:sz w:val="24"/>
          <w:szCs w:val="24"/>
          <w:lang w:val="pt-BR"/>
        </w:rPr>
        <w:t xml:space="preserve"> R$ 1.680,00</w:t>
      </w:r>
    </w:p>
    <w:p>
      <w:pPr>
        <w:pStyle w:val="BodyText"/>
        <w:jc w:val="both"/>
        <w:rPr/>
      </w:pPr>
      <w:r>
        <w:rPr>
          <w:rStyle w:val="Strong"/>
          <w:color w:val="auto"/>
          <w:sz w:val="24"/>
          <w:szCs w:val="24"/>
          <w:lang w:val="pt-BR"/>
        </w:rPr>
        <w:t>Fonte de recursos:</w:t>
      </w:r>
      <w:r>
        <w:rPr>
          <w:color w:val="auto"/>
          <w:sz w:val="24"/>
          <w:szCs w:val="24"/>
          <w:lang w:val="pt-BR"/>
        </w:rPr>
        <w:t xml:space="preserve"> Emenda Parlamentar n.º 869/2026 – Ver. Benedito Furtado</w:t>
      </w:r>
    </w:p>
    <w:p>
      <w:pPr>
        <w:pStyle w:val="BodyText"/>
        <w:jc w:val="both"/>
        <w:rPr>
          <w:rFonts w:ascii="Arial" w:hAnsi="Arial"/>
          <w:color w:val="auto"/>
          <w:sz w:val="24"/>
          <w:szCs w:val="24"/>
          <w:lang w:val="pt-BR"/>
        </w:rPr>
      </w:pPr>
      <w:r>
        <w:rPr>
          <w:color w:val="auto"/>
          <w:sz w:val="24"/>
          <w:szCs w:val="24"/>
          <w:lang w:val="pt-BR"/>
        </w:rPr>
      </w:r>
    </w:p>
    <w:p>
      <w:pPr>
        <w:pStyle w:val="Heading2"/>
        <w:rPr>
          <w:rFonts w:ascii="Arial" w:hAnsi="Arial"/>
          <w:color w:val="auto"/>
          <w:sz w:val="24"/>
          <w:szCs w:val="24"/>
          <w:lang w:val="pt-BR"/>
        </w:rPr>
      </w:pPr>
      <w:r>
        <w:rPr>
          <w:rFonts w:ascii="Arial" w:hAnsi="Arial"/>
          <w:color w:val="auto"/>
          <w:sz w:val="24"/>
          <w:szCs w:val="24"/>
          <w:lang w:val="pt-BR"/>
        </w:rPr>
        <w:t>1. DEFINIÇÃO DO OBJETO</w:t>
      </w:r>
    </w:p>
    <w:p>
      <w:pPr>
        <w:pStyle w:val="BodyText"/>
        <w:jc w:val="both"/>
        <w:rPr/>
      </w:pPr>
      <w:r>
        <w:rPr>
          <w:color w:val="auto"/>
          <w:sz w:val="24"/>
          <w:szCs w:val="24"/>
          <w:lang w:val="pt-BR"/>
        </w:rPr>
        <w:t xml:space="preserve">1.1. Contratação de empresa especializada para a </w:t>
      </w:r>
      <w:r>
        <w:rPr>
          <w:rStyle w:val="Strong"/>
          <w:b w:val="false"/>
          <w:bCs w:val="false"/>
          <w:color w:val="auto"/>
          <w:sz w:val="24"/>
          <w:szCs w:val="24"/>
          <w:lang w:val="pt-BR"/>
        </w:rPr>
        <w:t xml:space="preserve">confecção e fornecimento de 12 (doze) </w:t>
      </w:r>
      <w:r>
        <w:rPr>
          <w:rStyle w:val="Strong"/>
          <w:b w:val="false"/>
          <w:bCs w:val="false"/>
          <w:i/>
          <w:iCs/>
          <w:color w:val="auto"/>
          <w:sz w:val="24"/>
          <w:szCs w:val="24"/>
          <w:lang w:val="pt-BR"/>
        </w:rPr>
        <w:t>banners</w:t>
      </w:r>
      <w:r>
        <w:rPr>
          <w:rStyle w:val="Strong"/>
          <w:b w:val="false"/>
          <w:bCs w:val="false"/>
          <w:color w:val="auto"/>
          <w:sz w:val="24"/>
          <w:szCs w:val="24"/>
          <w:lang w:val="pt-BR"/>
        </w:rPr>
        <w:t xml:space="preserve"> em lona, com impressão digital solvente, em alta resolução, 4x0 cores, nas dimensões de 1,00 m x 1,50 m, com acabamento no verso em madeira e cordão de nylon para pendurar</w:t>
      </w:r>
      <w:r>
        <w:rPr>
          <w:b w:val="false"/>
          <w:bCs w:val="false"/>
          <w:color w:val="auto"/>
          <w:sz w:val="24"/>
          <w:szCs w:val="24"/>
          <w:lang w:val="pt-BR"/>
        </w:rPr>
        <w:t xml:space="preserve">, destinados à composição de exposição histórico-cultural itinerante alusiva a </w:t>
      </w:r>
      <w:r>
        <w:rPr>
          <w:rStyle w:val="Strong"/>
          <w:b w:val="false"/>
          <w:bCs w:val="false"/>
          <w:color w:val="auto"/>
          <w:sz w:val="24"/>
          <w:szCs w:val="24"/>
          <w:lang w:val="pt-BR"/>
        </w:rPr>
        <w:t>José Bonifácio de Andrada e Silva, Patriarca da Independência do Brasil</w:t>
      </w:r>
      <w:r>
        <w:rPr>
          <w:b w:val="false"/>
          <w:bCs w:val="false"/>
          <w:color w:val="auto"/>
          <w:sz w:val="24"/>
          <w:szCs w:val="24"/>
          <w:lang w:val="pt-BR"/>
        </w:rPr>
        <w:t>.</w:t>
      </w:r>
    </w:p>
    <w:p>
      <w:pPr>
        <w:pStyle w:val="Heading3"/>
        <w:rPr>
          <w:rFonts w:ascii="Arial" w:hAnsi="Arial"/>
          <w:color w:val="auto"/>
          <w:sz w:val="24"/>
          <w:szCs w:val="24"/>
          <w:lang w:val="pt-BR"/>
        </w:rPr>
      </w:pPr>
      <w:r>
        <w:rPr>
          <w:rFonts w:ascii="Arial" w:hAnsi="Arial"/>
          <w:color w:val="auto"/>
          <w:sz w:val="24"/>
          <w:szCs w:val="24"/>
          <w:lang w:val="pt-BR"/>
        </w:rPr>
        <w:t>1.2. Especificação e quantitativo</w:t>
      </w:r>
    </w:p>
    <w:tbl>
      <w:tblPr>
        <w:tblW w:w="9638" w:type="dxa"/>
        <w:jc w:val="start"/>
        <w:tblInd w:w="28" w:type="dxa"/>
        <w:tblLayout w:type="fixed"/>
        <w:tblCellMar>
          <w:top w:w="28" w:type="dxa"/>
          <w:start w:w="28" w:type="dxa"/>
          <w:bottom w:w="28" w:type="dxa"/>
          <w:end w:w="28" w:type="dxa"/>
        </w:tblCellMar>
      </w:tblPr>
      <w:tblGrid>
        <w:gridCol w:w="600"/>
        <w:gridCol w:w="6375"/>
        <w:gridCol w:w="1191"/>
        <w:gridCol w:w="1472"/>
      </w:tblGrid>
      <w:tr>
        <w:trPr/>
        <w:tc>
          <w:tcPr>
            <w:tcW w:w="600" w:type="dxa"/>
            <w:tcBorders/>
            <w:vAlign w:val="center"/>
          </w:tcPr>
          <w:p>
            <w:pPr>
              <w:pStyle w:val="Ttulodetabelauser"/>
              <w:spacing w:before="0" w:after="80"/>
              <w:rPr>
                <w:rFonts w:ascii="Arial" w:hAnsi="Arial"/>
                <w:color w:val="auto"/>
                <w:sz w:val="24"/>
                <w:szCs w:val="24"/>
                <w:lang w:val="pt-BR"/>
              </w:rPr>
            </w:pPr>
            <w:r>
              <w:rPr>
                <w:color w:val="auto"/>
                <w:sz w:val="24"/>
                <w:szCs w:val="24"/>
                <w:lang w:val="pt-BR"/>
              </w:rPr>
              <w:t>Item</w:t>
            </w:r>
          </w:p>
        </w:tc>
        <w:tc>
          <w:tcPr>
            <w:tcW w:w="6375" w:type="dxa"/>
            <w:tcBorders/>
            <w:vAlign w:val="center"/>
          </w:tcPr>
          <w:p>
            <w:pPr>
              <w:pStyle w:val="Ttulodetabelauser"/>
              <w:spacing w:before="0" w:after="80"/>
              <w:ind w:hanging="0" w:start="0" w:end="0"/>
              <w:rPr>
                <w:rFonts w:ascii="Arial" w:hAnsi="Arial"/>
                <w:color w:val="auto"/>
                <w:sz w:val="24"/>
                <w:szCs w:val="24"/>
                <w:lang w:val="pt-BR"/>
              </w:rPr>
            </w:pPr>
            <w:r>
              <w:rPr>
                <w:color w:val="auto"/>
                <w:sz w:val="24"/>
                <w:szCs w:val="24"/>
                <w:lang w:val="pt-BR"/>
              </w:rPr>
              <w:t>Especificação</w:t>
            </w:r>
          </w:p>
        </w:tc>
        <w:tc>
          <w:tcPr>
            <w:tcW w:w="1191" w:type="dxa"/>
            <w:tcBorders/>
            <w:vAlign w:val="center"/>
          </w:tcPr>
          <w:p>
            <w:pPr>
              <w:pStyle w:val="Ttulodetabelauser"/>
              <w:spacing w:before="0" w:after="80"/>
              <w:ind w:hanging="0" w:start="0" w:end="0"/>
              <w:jc w:val="center"/>
              <w:rPr>
                <w:rFonts w:ascii="Arial" w:hAnsi="Arial"/>
                <w:color w:val="auto"/>
                <w:sz w:val="24"/>
                <w:szCs w:val="24"/>
                <w:lang w:val="pt-BR"/>
              </w:rPr>
            </w:pPr>
            <w:r>
              <w:rPr>
                <w:color w:val="auto"/>
                <w:sz w:val="24"/>
                <w:szCs w:val="24"/>
                <w:lang w:val="pt-BR"/>
              </w:rPr>
              <w:t>Unidade</w:t>
            </w:r>
          </w:p>
        </w:tc>
        <w:tc>
          <w:tcPr>
            <w:tcW w:w="1472" w:type="dxa"/>
            <w:tcBorders/>
            <w:vAlign w:val="center"/>
          </w:tcPr>
          <w:p>
            <w:pPr>
              <w:pStyle w:val="Ttulodetabelauser"/>
              <w:spacing w:before="0" w:after="80"/>
              <w:jc w:val="center"/>
              <w:rPr>
                <w:rFonts w:ascii="Arial" w:hAnsi="Arial"/>
                <w:color w:val="auto"/>
                <w:sz w:val="24"/>
                <w:szCs w:val="24"/>
                <w:lang w:val="pt-BR"/>
              </w:rPr>
            </w:pPr>
            <w:r>
              <w:rPr>
                <w:color w:val="auto"/>
                <w:sz w:val="24"/>
                <w:szCs w:val="24"/>
                <w:lang w:val="pt-BR"/>
              </w:rPr>
              <w:t>Quantidade</w:t>
            </w:r>
          </w:p>
        </w:tc>
      </w:tr>
      <w:tr>
        <w:trPr/>
        <w:tc>
          <w:tcPr>
            <w:tcW w:w="600" w:type="dxa"/>
            <w:tcBorders/>
            <w:vAlign w:val="center"/>
          </w:tcPr>
          <w:p>
            <w:pPr>
              <w:pStyle w:val="Contedodatabelauser"/>
              <w:spacing w:before="0" w:after="80"/>
              <w:jc w:val="center"/>
              <w:rPr>
                <w:rFonts w:ascii="Arial" w:hAnsi="Arial"/>
                <w:color w:val="auto"/>
                <w:sz w:val="24"/>
                <w:szCs w:val="24"/>
                <w:lang w:val="pt-BR"/>
              </w:rPr>
            </w:pPr>
            <w:r>
              <w:rPr>
                <w:color w:val="auto"/>
                <w:sz w:val="24"/>
                <w:szCs w:val="24"/>
                <w:lang w:val="pt-BR"/>
              </w:rPr>
              <w:t>1</w:t>
            </w:r>
          </w:p>
        </w:tc>
        <w:tc>
          <w:tcPr>
            <w:tcW w:w="6375" w:type="dxa"/>
            <w:tcBorders/>
            <w:vAlign w:val="center"/>
          </w:tcPr>
          <w:p>
            <w:pPr>
              <w:pStyle w:val="Contedodatabelauser"/>
              <w:spacing w:before="0" w:after="80"/>
              <w:ind w:hanging="0" w:start="0" w:end="0"/>
              <w:rPr>
                <w:rFonts w:ascii="Arial" w:hAnsi="Arial"/>
                <w:color w:val="auto"/>
                <w:sz w:val="24"/>
                <w:szCs w:val="24"/>
                <w:lang w:val="pt-BR"/>
              </w:rPr>
            </w:pPr>
            <w:r>
              <w:rPr>
                <w:i/>
                <w:iCs/>
                <w:color w:val="auto"/>
                <w:sz w:val="24"/>
                <w:szCs w:val="24"/>
                <w:lang w:val="pt-BR"/>
              </w:rPr>
              <w:t>Banner</w:t>
            </w:r>
            <w:r>
              <w:rPr>
                <w:color w:val="auto"/>
                <w:sz w:val="24"/>
                <w:szCs w:val="24"/>
                <w:lang w:val="pt-BR"/>
              </w:rPr>
              <w:t xml:space="preserve"> em lona, impressão digital solvente, alta resolução, 4x0 cores, dimensão 1,00m x 1,50m, com acabamento no verso em madeira e cordão de nylon para pendurar.</w:t>
            </w:r>
          </w:p>
        </w:tc>
        <w:tc>
          <w:tcPr>
            <w:tcW w:w="1191" w:type="dxa"/>
            <w:tcBorders/>
            <w:vAlign w:val="center"/>
          </w:tcPr>
          <w:p>
            <w:pPr>
              <w:pStyle w:val="Contedodatabelauser"/>
              <w:spacing w:before="0" w:after="80"/>
              <w:ind w:hanging="0" w:start="0" w:end="0"/>
              <w:jc w:val="center"/>
              <w:rPr>
                <w:rFonts w:ascii="Arial" w:hAnsi="Arial"/>
                <w:color w:val="auto"/>
                <w:sz w:val="24"/>
                <w:szCs w:val="24"/>
                <w:lang w:val="pt-BR"/>
              </w:rPr>
            </w:pPr>
            <w:r>
              <w:rPr>
                <w:color w:val="auto"/>
                <w:sz w:val="24"/>
                <w:szCs w:val="24"/>
                <w:lang w:val="pt-BR"/>
              </w:rPr>
              <w:t>Unid.</w:t>
            </w:r>
          </w:p>
        </w:tc>
        <w:tc>
          <w:tcPr>
            <w:tcW w:w="1472" w:type="dxa"/>
            <w:tcBorders/>
            <w:vAlign w:val="center"/>
          </w:tcPr>
          <w:p>
            <w:pPr>
              <w:pStyle w:val="Contedodatabelauser"/>
              <w:spacing w:before="0" w:after="80"/>
              <w:jc w:val="center"/>
              <w:rPr>
                <w:rFonts w:ascii="Arial" w:hAnsi="Arial"/>
                <w:color w:val="auto"/>
                <w:sz w:val="24"/>
                <w:szCs w:val="24"/>
                <w:lang w:val="pt-BR"/>
              </w:rPr>
            </w:pPr>
            <w:r>
              <w:rPr>
                <w:color w:val="auto"/>
                <w:sz w:val="24"/>
                <w:szCs w:val="24"/>
                <w:lang w:val="pt-BR"/>
              </w:rPr>
              <w:t>12</w:t>
            </w:r>
          </w:p>
        </w:tc>
      </w:tr>
    </w:tbl>
    <w:p>
      <w:pPr>
        <w:pStyle w:val="BodyText"/>
        <w:spacing w:before="0" w:after="0"/>
        <w:rPr>
          <w:rFonts w:ascii="Arial" w:hAnsi="Arial"/>
          <w:color w:val="auto"/>
          <w:sz w:val="24"/>
          <w:szCs w:val="24"/>
          <w:lang w:val="pt-BR"/>
        </w:rPr>
      </w:pPr>
      <w:r>
        <w:rPr>
          <w:color w:val="auto"/>
          <w:sz w:val="24"/>
          <w:szCs w:val="24"/>
          <w:lang w:val="pt-BR"/>
        </w:rPr>
      </w:r>
    </w:p>
    <w:p>
      <w:pPr>
        <w:pStyle w:val="BodyText"/>
        <w:spacing w:before="0" w:after="26"/>
        <w:jc w:val="both"/>
        <w:rPr>
          <w:rFonts w:ascii="Arial" w:hAnsi="Arial"/>
          <w:color w:val="auto"/>
          <w:sz w:val="24"/>
          <w:szCs w:val="24"/>
          <w:lang w:val="pt-BR"/>
        </w:rPr>
      </w:pPr>
      <w:r>
        <w:rPr>
          <w:color w:val="auto"/>
          <w:sz w:val="24"/>
          <w:szCs w:val="24"/>
          <w:lang w:val="pt-BR"/>
        </w:rPr>
        <w:t>1.3. A contratação possui natureza de fornecimento de material gráfico confeccionado sob demanda, de caráter não continuado.</w:t>
      </w:r>
    </w:p>
    <w:p>
      <w:pPr>
        <w:pStyle w:val="BodyText"/>
        <w:spacing w:before="0" w:after="26"/>
        <w:jc w:val="both"/>
        <w:rPr>
          <w:rFonts w:ascii="Arial" w:hAnsi="Arial"/>
          <w:color w:val="auto"/>
          <w:sz w:val="24"/>
          <w:szCs w:val="24"/>
          <w:lang w:val="pt-BR"/>
        </w:rPr>
      </w:pPr>
      <w:r>
        <w:rPr>
          <w:color w:val="auto"/>
          <w:sz w:val="24"/>
          <w:szCs w:val="24"/>
          <w:lang w:val="pt-BR"/>
        </w:rPr>
        <w:t xml:space="preserve">1.4. Os 12 </w:t>
      </w:r>
      <w:r>
        <w:rPr>
          <w:i/>
          <w:iCs/>
          <w:color w:val="auto"/>
          <w:sz w:val="24"/>
          <w:szCs w:val="24"/>
          <w:lang w:val="pt-BR"/>
        </w:rPr>
        <w:t>banners</w:t>
      </w:r>
      <w:r>
        <w:rPr>
          <w:color w:val="auto"/>
          <w:sz w:val="24"/>
          <w:szCs w:val="24"/>
          <w:lang w:val="pt-BR"/>
        </w:rPr>
        <w:t xml:space="preserve"> constituirão conjunto destinado à mesma exposição, devendo ser observada uniformidade de qualidade e acabamento entre as peças.</w:t>
      </w:r>
    </w:p>
    <w:p>
      <w:pPr>
        <w:pStyle w:val="BodyText"/>
        <w:jc w:val="both"/>
        <w:rPr>
          <w:rFonts w:ascii="Arial" w:hAnsi="Arial"/>
          <w:color w:val="auto"/>
          <w:sz w:val="24"/>
          <w:szCs w:val="24"/>
          <w:lang w:val="pt-BR"/>
        </w:rPr>
      </w:pPr>
      <w:r>
        <w:rPr>
          <w:color w:val="auto"/>
          <w:sz w:val="24"/>
          <w:szCs w:val="24"/>
          <w:lang w:val="pt-BR"/>
        </w:rPr>
        <w:t>1.5. Não se prevê prorrogação da contratação, devendo sua vigência compreender período suficiente para a execução integral do objeto e cumprimento das obrigações assumidas.</w:t>
      </w:r>
    </w:p>
    <w:p>
      <w:pPr>
        <w:pStyle w:val="BodyText"/>
        <w:jc w:val="both"/>
        <w:rPr>
          <w:rFonts w:ascii="Arial" w:hAnsi="Arial"/>
          <w:color w:val="auto"/>
          <w:sz w:val="24"/>
          <w:szCs w:val="24"/>
          <w:lang w:val="pt-BR"/>
        </w:rPr>
      </w:pPr>
      <w:r>
        <w:rPr>
          <w:color w:val="auto"/>
          <w:sz w:val="24"/>
          <w:szCs w:val="24"/>
          <w:lang w:val="pt-BR"/>
        </w:rPr>
      </w:r>
    </w:p>
    <w:p>
      <w:pPr>
        <w:pStyle w:val="Heading2"/>
        <w:rPr>
          <w:rFonts w:ascii="Arial" w:hAnsi="Arial"/>
          <w:color w:val="auto"/>
          <w:sz w:val="24"/>
          <w:szCs w:val="24"/>
          <w:lang w:val="pt-BR"/>
        </w:rPr>
      </w:pPr>
      <w:r>
        <w:rPr>
          <w:rFonts w:ascii="Arial" w:hAnsi="Arial"/>
          <w:color w:val="auto"/>
          <w:sz w:val="24"/>
          <w:szCs w:val="24"/>
          <w:lang w:val="pt-BR"/>
        </w:rPr>
        <w:t>2. FUNDAMENTAÇÃO DA CONTRATAÇÃO</w:t>
      </w:r>
    </w:p>
    <w:p>
      <w:pPr>
        <w:pStyle w:val="BodyText"/>
        <w:spacing w:before="0" w:after="26"/>
        <w:jc w:val="both"/>
        <w:rPr>
          <w:rFonts w:ascii="Arial" w:hAnsi="Arial"/>
          <w:color w:val="auto"/>
          <w:sz w:val="24"/>
          <w:szCs w:val="24"/>
          <w:lang w:val="pt-BR"/>
        </w:rPr>
      </w:pPr>
      <w:r>
        <w:rPr>
          <w:color w:val="auto"/>
          <w:sz w:val="24"/>
          <w:szCs w:val="24"/>
          <w:lang w:val="pt-BR"/>
        </w:rPr>
        <w:t>2.1. A contratação se encontra fundamentada no Documento de Formalização da Demanda – DFD e no Estudo Técnico Preliminar – ETP elaborados pela Fundação Arquivo e Memória de Santos – FAMS.</w:t>
      </w:r>
    </w:p>
    <w:p>
      <w:pPr>
        <w:pStyle w:val="BodyText"/>
        <w:spacing w:before="0" w:after="26"/>
        <w:jc w:val="both"/>
        <w:rPr/>
      </w:pPr>
      <w:r>
        <w:rPr>
          <w:color w:val="auto"/>
          <w:sz w:val="24"/>
          <w:szCs w:val="24"/>
          <w:lang w:val="pt-BR"/>
        </w:rPr>
        <w:t xml:space="preserve">2.2. A necessidade decorre da realização de </w:t>
      </w:r>
      <w:r>
        <w:rPr>
          <w:rStyle w:val="Strong"/>
          <w:color w:val="auto"/>
          <w:sz w:val="24"/>
          <w:szCs w:val="24"/>
          <w:lang w:val="pt-BR"/>
        </w:rPr>
        <w:t>exposição histórico-cultural itinerante alusiva a José Bonifácio de Andrada e Silva</w:t>
      </w:r>
      <w:r>
        <w:rPr>
          <w:color w:val="auto"/>
          <w:sz w:val="24"/>
          <w:szCs w:val="24"/>
          <w:lang w:val="pt-BR"/>
        </w:rPr>
        <w:t>, santista de destacada importância para a história do Município de Santos e do Brasil, especialmente por sua participação no processo de Independência e na formação do Estado brasileiro.</w:t>
      </w:r>
    </w:p>
    <w:p>
      <w:pPr>
        <w:pStyle w:val="BodyText"/>
        <w:spacing w:before="0" w:after="26"/>
        <w:jc w:val="both"/>
        <w:rPr/>
      </w:pPr>
      <w:r>
        <w:rPr>
          <w:color w:val="auto"/>
          <w:sz w:val="24"/>
          <w:szCs w:val="24"/>
          <w:lang w:val="pt-BR"/>
        </w:rPr>
        <w:t xml:space="preserve">2.3. A exposição possui finalidade histórica, cultural e educativa e será disponibilizada de forma itinerante às </w:t>
      </w:r>
      <w:r>
        <w:rPr>
          <w:rStyle w:val="Strong"/>
          <w:color w:val="auto"/>
          <w:sz w:val="24"/>
          <w:szCs w:val="24"/>
          <w:lang w:val="pt-BR"/>
        </w:rPr>
        <w:t>escolas do Município de Santos e da região</w:t>
      </w:r>
      <w:r>
        <w:rPr>
          <w:color w:val="auto"/>
          <w:sz w:val="24"/>
          <w:szCs w:val="24"/>
          <w:lang w:val="pt-BR"/>
        </w:rPr>
        <w:t>, durante os períodos letivos, após a disponibilização do material.</w:t>
      </w:r>
    </w:p>
    <w:p>
      <w:pPr>
        <w:pStyle w:val="BodyText"/>
        <w:spacing w:before="0" w:after="26"/>
        <w:jc w:val="both"/>
        <w:rPr>
          <w:rFonts w:ascii="Arial" w:hAnsi="Arial"/>
          <w:color w:val="auto"/>
          <w:sz w:val="24"/>
          <w:szCs w:val="24"/>
          <w:lang w:val="pt-BR"/>
        </w:rPr>
      </w:pPr>
      <w:r>
        <w:rPr>
          <w:color w:val="auto"/>
          <w:sz w:val="24"/>
          <w:szCs w:val="24"/>
          <w:lang w:val="pt-BR"/>
        </w:rPr>
        <w:t>2.4. A iniciativa objetiva ampliar o acesso dos estudantes ao conhecimento acerca da trajetória e da importância histórica de José Bonifácio, contribuindo para a preservação, valorização e difusão da memória histórica de Santos e do Brasil.</w:t>
      </w:r>
    </w:p>
    <w:p>
      <w:pPr>
        <w:pStyle w:val="BodyText"/>
        <w:jc w:val="both"/>
        <w:rPr>
          <w:rFonts w:ascii="Arial" w:hAnsi="Arial"/>
          <w:color w:val="auto"/>
          <w:sz w:val="24"/>
          <w:szCs w:val="24"/>
          <w:lang w:val="pt-BR"/>
        </w:rPr>
      </w:pPr>
      <w:r>
        <w:rPr>
          <w:color w:val="auto"/>
          <w:sz w:val="24"/>
          <w:szCs w:val="24"/>
          <w:lang w:val="pt-BR"/>
        </w:rPr>
        <w:t>2.5. A contratação também se relaciona às ações municipais de valorização da memória do Patriarca da Independência e às comemorações relacionadas à sua presença no calendário oficial do Município.</w:t>
      </w:r>
    </w:p>
    <w:p>
      <w:pPr>
        <w:pStyle w:val="BodyText"/>
        <w:jc w:val="both"/>
        <w:rPr>
          <w:rFonts w:ascii="Arial" w:hAnsi="Arial"/>
          <w:color w:val="auto"/>
          <w:sz w:val="24"/>
          <w:szCs w:val="24"/>
          <w:lang w:val="pt-BR"/>
        </w:rPr>
      </w:pPr>
      <w:r>
        <w:rPr>
          <w:color w:val="auto"/>
          <w:sz w:val="24"/>
          <w:szCs w:val="24"/>
          <w:lang w:val="pt-BR"/>
        </w:rPr>
      </w:r>
    </w:p>
    <w:p>
      <w:pPr>
        <w:pStyle w:val="Heading2"/>
        <w:rPr>
          <w:rFonts w:ascii="Arial" w:hAnsi="Arial"/>
          <w:color w:val="auto"/>
          <w:sz w:val="24"/>
          <w:szCs w:val="24"/>
          <w:lang w:val="pt-BR"/>
        </w:rPr>
      </w:pPr>
      <w:r>
        <w:rPr>
          <w:rFonts w:ascii="Arial" w:hAnsi="Arial"/>
          <w:color w:val="auto"/>
          <w:sz w:val="24"/>
          <w:szCs w:val="24"/>
          <w:lang w:val="pt-BR"/>
        </w:rPr>
        <w:t>3. DESCRIÇÃO DA SOLUÇÃO COMO UM TODO</w:t>
      </w:r>
    </w:p>
    <w:p>
      <w:pPr>
        <w:pStyle w:val="BodyText"/>
        <w:spacing w:before="0" w:after="26"/>
        <w:jc w:val="both"/>
        <w:rPr/>
      </w:pPr>
      <w:r>
        <w:rPr>
          <w:color w:val="auto"/>
          <w:sz w:val="24"/>
          <w:szCs w:val="24"/>
          <w:lang w:val="pt-BR"/>
        </w:rPr>
        <w:t xml:space="preserve">3.1. A solução consiste na contratação de empresa especializada para a produção e o fornecimento dos </w:t>
      </w:r>
      <w:r>
        <w:rPr>
          <w:rStyle w:val="Strong"/>
          <w:color w:val="auto"/>
          <w:sz w:val="24"/>
          <w:szCs w:val="24"/>
          <w:lang w:val="pt-BR"/>
        </w:rPr>
        <w:t xml:space="preserve">12 (doze) </w:t>
      </w:r>
      <w:r>
        <w:rPr>
          <w:rStyle w:val="Strong"/>
          <w:i/>
          <w:iCs/>
          <w:color w:val="auto"/>
          <w:sz w:val="24"/>
          <w:szCs w:val="24"/>
          <w:lang w:val="pt-BR"/>
        </w:rPr>
        <w:t>banners</w:t>
      </w:r>
      <w:r>
        <w:rPr>
          <w:rStyle w:val="Strong"/>
          <w:color w:val="auto"/>
          <w:sz w:val="24"/>
          <w:szCs w:val="24"/>
          <w:lang w:val="pt-BR"/>
        </w:rPr>
        <w:t xml:space="preserve"> que comporão a exposição itinerante</w:t>
      </w:r>
      <w:r>
        <w:rPr>
          <w:color w:val="auto"/>
          <w:sz w:val="24"/>
          <w:szCs w:val="24"/>
          <w:lang w:val="pt-BR"/>
        </w:rPr>
        <w:t>, abrangendo todos os materiais, insumos, mão de obra e procedimentos necessários à confecção, acabamento, acondicionamento, transporte e entrega.</w:t>
      </w:r>
    </w:p>
    <w:p>
      <w:pPr>
        <w:pStyle w:val="BodyText"/>
        <w:spacing w:before="0" w:after="26"/>
        <w:jc w:val="both"/>
        <w:rPr>
          <w:rFonts w:ascii="Arial" w:hAnsi="Arial"/>
          <w:color w:val="auto"/>
          <w:sz w:val="24"/>
          <w:szCs w:val="24"/>
          <w:lang w:val="pt-BR"/>
        </w:rPr>
      </w:pPr>
      <w:r>
        <w:rPr>
          <w:color w:val="auto"/>
          <w:sz w:val="24"/>
          <w:szCs w:val="24"/>
          <w:lang w:val="pt-BR"/>
        </w:rPr>
        <w:t xml:space="preserve">3.2. Os </w:t>
      </w:r>
      <w:r>
        <w:rPr>
          <w:i/>
          <w:iCs/>
          <w:color w:val="auto"/>
          <w:sz w:val="24"/>
          <w:szCs w:val="24"/>
          <w:lang w:val="pt-BR"/>
        </w:rPr>
        <w:t>banners</w:t>
      </w:r>
      <w:r>
        <w:rPr>
          <w:color w:val="auto"/>
          <w:sz w:val="24"/>
          <w:szCs w:val="24"/>
          <w:lang w:val="pt-BR"/>
        </w:rPr>
        <w:t xml:space="preserve"> deverão ser confeccionados em lona, mediante impressão digital solvente, em alta resolução, 4x0 cores, nas dimensões de 1,00m x 1,50m, com acabamento no verso em madeira e cordão de nylon para pendurar.</w:t>
      </w:r>
    </w:p>
    <w:p>
      <w:pPr>
        <w:pStyle w:val="BodyText"/>
        <w:spacing w:before="0" w:after="26"/>
        <w:jc w:val="both"/>
        <w:rPr>
          <w:rFonts w:ascii="Arial" w:hAnsi="Arial"/>
          <w:color w:val="auto"/>
          <w:sz w:val="24"/>
          <w:szCs w:val="24"/>
          <w:lang w:val="pt-BR"/>
        </w:rPr>
      </w:pPr>
      <w:r>
        <w:rPr>
          <w:color w:val="auto"/>
          <w:sz w:val="24"/>
          <w:szCs w:val="24"/>
          <w:lang w:val="pt-BR"/>
        </w:rPr>
        <w:t>3.3. As artes e os conteúdos necessários à impressão serão disponibilizados pela FAMS à empresa contratada.</w:t>
      </w:r>
    </w:p>
    <w:p>
      <w:pPr>
        <w:pStyle w:val="BodyText"/>
        <w:jc w:val="both"/>
        <w:rPr>
          <w:rFonts w:ascii="Arial" w:hAnsi="Arial"/>
          <w:color w:val="auto"/>
          <w:sz w:val="24"/>
          <w:szCs w:val="24"/>
          <w:lang w:val="pt-BR"/>
        </w:rPr>
      </w:pPr>
      <w:r>
        <w:rPr>
          <w:color w:val="auto"/>
          <w:sz w:val="24"/>
          <w:szCs w:val="24"/>
          <w:lang w:val="pt-BR"/>
        </w:rPr>
        <w:t xml:space="preserve">3.4. A solução se mostra adequada à finalidade pretendida, considerando a facilidade de transporte, instalação, exposição e reutilização dos </w:t>
      </w:r>
      <w:r>
        <w:rPr>
          <w:i/>
          <w:iCs/>
          <w:color w:val="auto"/>
          <w:sz w:val="24"/>
          <w:szCs w:val="24"/>
          <w:lang w:val="pt-BR"/>
        </w:rPr>
        <w:t>banners</w:t>
      </w:r>
      <w:r>
        <w:rPr>
          <w:color w:val="auto"/>
          <w:sz w:val="24"/>
          <w:szCs w:val="24"/>
          <w:lang w:val="pt-BR"/>
        </w:rPr>
        <w:t xml:space="preserve"> em diferentes unidades escolares, possibilitando o caráter itinerante do projeto.</w:t>
      </w:r>
    </w:p>
    <w:p>
      <w:pPr>
        <w:pStyle w:val="BodyText"/>
        <w:jc w:val="both"/>
        <w:rPr>
          <w:rFonts w:ascii="Arial" w:hAnsi="Arial"/>
          <w:color w:val="auto"/>
          <w:sz w:val="24"/>
          <w:szCs w:val="24"/>
          <w:lang w:val="pt-BR"/>
        </w:rPr>
      </w:pPr>
      <w:r>
        <w:rPr>
          <w:color w:val="auto"/>
          <w:sz w:val="24"/>
          <w:szCs w:val="24"/>
          <w:lang w:val="pt-BR"/>
        </w:rPr>
      </w:r>
    </w:p>
    <w:p>
      <w:pPr>
        <w:pStyle w:val="Heading2"/>
        <w:rPr>
          <w:rFonts w:ascii="Arial" w:hAnsi="Arial"/>
          <w:color w:val="auto"/>
          <w:sz w:val="24"/>
          <w:szCs w:val="24"/>
          <w:lang w:val="pt-BR"/>
        </w:rPr>
      </w:pPr>
      <w:r>
        <w:rPr>
          <w:rFonts w:ascii="Arial" w:hAnsi="Arial"/>
          <w:color w:val="auto"/>
          <w:sz w:val="24"/>
          <w:szCs w:val="24"/>
          <w:lang w:val="pt-BR"/>
        </w:rPr>
        <w:t>4. REQUISITOS DA CONTRATAÇÃO</w:t>
      </w:r>
    </w:p>
    <w:p>
      <w:pPr>
        <w:pStyle w:val="BodyText"/>
        <w:jc w:val="both"/>
        <w:rPr/>
      </w:pPr>
      <w:r>
        <w:rPr>
          <w:color w:val="auto"/>
          <w:sz w:val="24"/>
          <w:szCs w:val="24"/>
          <w:lang w:val="pt-BR"/>
        </w:rPr>
        <w:t xml:space="preserve">4.1. A solução deverá compreender a confecção de </w:t>
      </w:r>
      <w:r>
        <w:rPr>
          <w:rStyle w:val="Strong"/>
          <w:color w:val="auto"/>
          <w:sz w:val="24"/>
          <w:szCs w:val="24"/>
          <w:lang w:val="pt-BR"/>
        </w:rPr>
        <w:t xml:space="preserve">12 (doze) </w:t>
      </w:r>
      <w:r>
        <w:rPr>
          <w:rStyle w:val="Strong"/>
          <w:i/>
          <w:iCs/>
          <w:color w:val="auto"/>
          <w:sz w:val="24"/>
          <w:szCs w:val="24"/>
          <w:lang w:val="pt-BR"/>
        </w:rPr>
        <w:t>banners</w:t>
      </w:r>
      <w:r>
        <w:rPr>
          <w:color w:val="auto"/>
          <w:sz w:val="24"/>
          <w:szCs w:val="24"/>
          <w:lang w:val="pt-BR"/>
        </w:rPr>
        <w:t>, destinados à composição da exposição itinerante, observadas as seguintes especificações:</w:t>
      </w:r>
    </w:p>
    <w:p>
      <w:pPr>
        <w:pStyle w:val="BodyText"/>
        <w:numPr>
          <w:ilvl w:val="0"/>
          <w:numId w:val="7"/>
        </w:numPr>
        <w:tabs>
          <w:tab w:val="clear" w:pos="720"/>
          <w:tab w:val="left" w:pos="0" w:leader="none"/>
        </w:tabs>
        <w:ind w:hanging="283" w:start="709"/>
        <w:rPr/>
      </w:pPr>
      <w:r>
        <w:rPr>
          <w:rStyle w:val="Strong"/>
          <w:color w:val="auto"/>
          <w:sz w:val="24"/>
          <w:szCs w:val="24"/>
          <w:lang w:val="pt-BR"/>
        </w:rPr>
        <w:t>Material:</w:t>
      </w:r>
      <w:r>
        <w:rPr>
          <w:color w:val="auto"/>
          <w:sz w:val="24"/>
          <w:szCs w:val="24"/>
          <w:lang w:val="pt-BR"/>
        </w:rPr>
        <w:t xml:space="preserve"> lona;</w:t>
      </w:r>
    </w:p>
    <w:p>
      <w:pPr>
        <w:pStyle w:val="BodyText"/>
        <w:numPr>
          <w:ilvl w:val="0"/>
          <w:numId w:val="7"/>
        </w:numPr>
        <w:tabs>
          <w:tab w:val="clear" w:pos="720"/>
          <w:tab w:val="left" w:pos="0" w:leader="none"/>
        </w:tabs>
        <w:ind w:hanging="283" w:start="709"/>
        <w:rPr/>
      </w:pPr>
      <w:r>
        <w:rPr>
          <w:rStyle w:val="Strong"/>
          <w:color w:val="auto"/>
          <w:sz w:val="24"/>
          <w:szCs w:val="24"/>
          <w:lang w:val="pt-BR"/>
        </w:rPr>
        <w:t>Impressão:</w:t>
      </w:r>
      <w:r>
        <w:rPr>
          <w:color w:val="auto"/>
          <w:sz w:val="24"/>
          <w:szCs w:val="24"/>
          <w:lang w:val="pt-BR"/>
        </w:rPr>
        <w:t xml:space="preserve"> digital solvente;</w:t>
      </w:r>
    </w:p>
    <w:p>
      <w:pPr>
        <w:pStyle w:val="BodyText"/>
        <w:numPr>
          <w:ilvl w:val="0"/>
          <w:numId w:val="7"/>
        </w:numPr>
        <w:tabs>
          <w:tab w:val="clear" w:pos="720"/>
          <w:tab w:val="left" w:pos="0" w:leader="none"/>
        </w:tabs>
        <w:ind w:hanging="283" w:start="709"/>
        <w:rPr/>
      </w:pPr>
      <w:r>
        <w:rPr>
          <w:rStyle w:val="Strong"/>
          <w:color w:val="auto"/>
          <w:sz w:val="24"/>
          <w:szCs w:val="24"/>
          <w:lang w:val="pt-BR"/>
        </w:rPr>
        <w:t>Qualidade da impressão:</w:t>
      </w:r>
      <w:r>
        <w:rPr>
          <w:color w:val="auto"/>
          <w:sz w:val="24"/>
          <w:szCs w:val="24"/>
          <w:lang w:val="pt-BR"/>
        </w:rPr>
        <w:t xml:space="preserve"> alta resolução;</w:t>
      </w:r>
    </w:p>
    <w:p>
      <w:pPr>
        <w:pStyle w:val="BodyText"/>
        <w:numPr>
          <w:ilvl w:val="0"/>
          <w:numId w:val="7"/>
        </w:numPr>
        <w:tabs>
          <w:tab w:val="clear" w:pos="720"/>
          <w:tab w:val="left" w:pos="0" w:leader="none"/>
        </w:tabs>
        <w:ind w:hanging="283" w:start="709"/>
        <w:rPr/>
      </w:pPr>
      <w:r>
        <w:rPr>
          <w:rStyle w:val="Strong"/>
          <w:color w:val="auto"/>
          <w:sz w:val="24"/>
          <w:szCs w:val="24"/>
          <w:lang w:val="pt-BR"/>
        </w:rPr>
        <w:t>Impressão:</w:t>
      </w:r>
      <w:r>
        <w:rPr>
          <w:color w:val="auto"/>
          <w:sz w:val="24"/>
          <w:szCs w:val="24"/>
          <w:lang w:val="pt-BR"/>
        </w:rPr>
        <w:t xml:space="preserve"> 4x0 cores;</w:t>
      </w:r>
    </w:p>
    <w:p>
      <w:pPr>
        <w:pStyle w:val="BodyText"/>
        <w:numPr>
          <w:ilvl w:val="0"/>
          <w:numId w:val="7"/>
        </w:numPr>
        <w:tabs>
          <w:tab w:val="clear" w:pos="720"/>
          <w:tab w:val="left" w:pos="0" w:leader="none"/>
        </w:tabs>
        <w:ind w:hanging="283" w:start="709"/>
        <w:rPr/>
      </w:pPr>
      <w:r>
        <w:rPr>
          <w:rStyle w:val="Strong"/>
          <w:color w:val="auto"/>
          <w:sz w:val="24"/>
          <w:szCs w:val="24"/>
          <w:lang w:val="pt-BR"/>
        </w:rPr>
        <w:t>Dimensões de cada banner:</w:t>
      </w:r>
      <w:r>
        <w:rPr>
          <w:color w:val="auto"/>
          <w:sz w:val="24"/>
          <w:szCs w:val="24"/>
          <w:lang w:val="pt-BR"/>
        </w:rPr>
        <w:t xml:space="preserve"> 1,00 m x 1,50 m;</w:t>
      </w:r>
    </w:p>
    <w:p>
      <w:pPr>
        <w:pStyle w:val="BodyText"/>
        <w:numPr>
          <w:ilvl w:val="0"/>
          <w:numId w:val="7"/>
        </w:numPr>
        <w:tabs>
          <w:tab w:val="clear" w:pos="720"/>
          <w:tab w:val="left" w:pos="0" w:leader="none"/>
        </w:tabs>
        <w:ind w:hanging="283" w:start="709"/>
        <w:rPr/>
      </w:pPr>
      <w:r>
        <w:rPr>
          <w:rStyle w:val="Strong"/>
          <w:color w:val="auto"/>
          <w:sz w:val="24"/>
          <w:szCs w:val="24"/>
          <w:lang w:val="pt-BR"/>
        </w:rPr>
        <w:t>Quantidade:</w:t>
      </w:r>
      <w:r>
        <w:rPr>
          <w:color w:val="auto"/>
          <w:sz w:val="24"/>
          <w:szCs w:val="24"/>
          <w:lang w:val="pt-BR"/>
        </w:rPr>
        <w:t xml:space="preserve"> 12 (doze) unidades;</w:t>
      </w:r>
    </w:p>
    <w:p>
      <w:pPr>
        <w:pStyle w:val="BodyText"/>
        <w:numPr>
          <w:ilvl w:val="0"/>
          <w:numId w:val="7"/>
        </w:numPr>
        <w:tabs>
          <w:tab w:val="clear" w:pos="720"/>
          <w:tab w:val="left" w:pos="0" w:leader="none"/>
        </w:tabs>
        <w:ind w:hanging="283" w:start="709"/>
        <w:rPr/>
      </w:pPr>
      <w:r>
        <w:rPr>
          <w:rStyle w:val="Strong"/>
          <w:color w:val="auto"/>
          <w:sz w:val="24"/>
          <w:szCs w:val="24"/>
          <w:lang w:val="pt-BR"/>
        </w:rPr>
        <w:t>Acabamento:</w:t>
      </w:r>
      <w:r>
        <w:rPr>
          <w:color w:val="auto"/>
          <w:sz w:val="24"/>
          <w:szCs w:val="24"/>
          <w:lang w:val="pt-BR"/>
        </w:rPr>
        <w:t xml:space="preserve"> acabamento no verso em madeira e cordão de nylon para pendurar.</w:t>
      </w:r>
    </w:p>
    <w:p>
      <w:pPr>
        <w:pStyle w:val="BodyText"/>
        <w:jc w:val="both"/>
        <w:rPr>
          <w:rFonts w:ascii="Arial" w:hAnsi="Arial"/>
          <w:color w:val="auto"/>
          <w:sz w:val="24"/>
          <w:szCs w:val="24"/>
          <w:lang w:val="pt-BR"/>
        </w:rPr>
      </w:pPr>
      <w:r>
        <w:rPr>
          <w:color w:val="auto"/>
          <w:sz w:val="24"/>
          <w:szCs w:val="24"/>
          <w:lang w:val="pt-BR"/>
        </w:rPr>
        <w:t>4.2. O material deverá apresentar qualidade compatível com sua finalidade expositiva e educativa, considerando que será utilizado de forma itinerante em diferentes unidades escolares.</w:t>
      </w:r>
    </w:p>
    <w:p>
      <w:pPr>
        <w:pStyle w:val="BodyText"/>
        <w:jc w:val="both"/>
        <w:rPr>
          <w:rFonts w:ascii="Arial" w:hAnsi="Arial"/>
          <w:color w:val="auto"/>
          <w:sz w:val="24"/>
          <w:szCs w:val="24"/>
          <w:lang w:val="pt-BR"/>
        </w:rPr>
      </w:pPr>
      <w:r>
        <w:rPr>
          <w:color w:val="auto"/>
          <w:sz w:val="24"/>
          <w:szCs w:val="24"/>
          <w:lang w:val="pt-BR"/>
        </w:rPr>
        <w:t>4.3. A impressão deverá guardar fidelidade com as artes disponibilizadas pela FAMS e apresentar-se sem falhas, manchas, rasgos, deformações ou outros defeitos que comprometam a apresentação ou utilização do material.</w:t>
      </w:r>
    </w:p>
    <w:p>
      <w:pPr>
        <w:pStyle w:val="Heading3"/>
        <w:rPr>
          <w:rFonts w:ascii="Arial" w:hAnsi="Arial"/>
          <w:color w:val="auto"/>
          <w:sz w:val="24"/>
          <w:szCs w:val="24"/>
          <w:lang w:val="pt-BR"/>
        </w:rPr>
      </w:pPr>
      <w:r>
        <w:rPr>
          <w:rFonts w:ascii="Arial" w:hAnsi="Arial"/>
          <w:color w:val="auto"/>
          <w:sz w:val="24"/>
          <w:szCs w:val="24"/>
          <w:lang w:val="pt-BR"/>
        </w:rPr>
        <w:t>4.4. Condições de entrega</w:t>
      </w:r>
    </w:p>
    <w:p>
      <w:pPr>
        <w:pStyle w:val="BodyText"/>
        <w:numPr>
          <w:ilvl w:val="0"/>
          <w:numId w:val="8"/>
        </w:numPr>
        <w:spacing w:before="0" w:after="26"/>
        <w:jc w:val="both"/>
        <w:rPr/>
      </w:pPr>
      <w:r>
        <w:rPr>
          <w:rStyle w:val="Strong"/>
          <w:color w:val="auto"/>
          <w:sz w:val="24"/>
          <w:szCs w:val="24"/>
          <w:lang w:val="pt-BR"/>
        </w:rPr>
        <w:t>Local:</w:t>
      </w:r>
      <w:r>
        <w:rPr>
          <w:color w:val="auto"/>
          <w:sz w:val="24"/>
          <w:szCs w:val="24"/>
          <w:lang w:val="pt-BR"/>
        </w:rPr>
        <w:t xml:space="preserve"> Outeiro de Santa Catarina, situado à Rua Visconde do Rio Branco, n.º 48 – Centro – Santos/SP.</w:t>
      </w:r>
    </w:p>
    <w:p>
      <w:pPr>
        <w:pStyle w:val="BodyText"/>
        <w:numPr>
          <w:ilvl w:val="0"/>
          <w:numId w:val="8"/>
        </w:numPr>
        <w:spacing w:before="0" w:after="26"/>
        <w:jc w:val="both"/>
        <w:rPr/>
      </w:pPr>
      <w:r>
        <w:rPr>
          <w:rStyle w:val="Strong"/>
          <w:color w:val="auto"/>
          <w:sz w:val="24"/>
          <w:szCs w:val="24"/>
          <w:lang w:val="pt-BR"/>
        </w:rPr>
        <w:t>Horário:</w:t>
      </w:r>
      <w:r>
        <w:rPr>
          <w:color w:val="auto"/>
          <w:sz w:val="24"/>
          <w:szCs w:val="24"/>
          <w:lang w:val="pt-BR"/>
        </w:rPr>
        <w:t xml:space="preserve"> de segunda a sexta-feira, exceto feriados e pontos facultativos, das 9h às 16h, mediante aviso prévio pelo e-mail </w:t>
      </w:r>
      <w:hyperlink r:id="rId5">
        <w:r>
          <w:rPr>
            <w:rStyle w:val="Hyperlink"/>
            <w:b/>
            <w:bCs/>
            <w:color w:val="auto"/>
            <w:sz w:val="24"/>
            <w:szCs w:val="24"/>
            <w:lang w:val="pt-BR"/>
          </w:rPr>
          <w:t>sede@fundasantos.org.br</w:t>
        </w:r>
      </w:hyperlink>
      <w:r>
        <w:rPr>
          <w:color w:val="auto"/>
          <w:sz w:val="24"/>
          <w:szCs w:val="24"/>
          <w:lang w:val="pt-BR"/>
        </w:rPr>
        <w:t>.</w:t>
      </w:r>
    </w:p>
    <w:p>
      <w:pPr>
        <w:pStyle w:val="BodyText"/>
        <w:numPr>
          <w:ilvl w:val="0"/>
          <w:numId w:val="8"/>
        </w:numPr>
        <w:spacing w:before="0" w:after="26"/>
        <w:jc w:val="both"/>
        <w:rPr>
          <w:rFonts w:ascii="Arial" w:hAnsi="Arial"/>
          <w:color w:val="auto"/>
          <w:sz w:val="24"/>
          <w:szCs w:val="24"/>
          <w:lang w:val="pt-BR"/>
        </w:rPr>
      </w:pPr>
      <w:r>
        <w:rPr>
          <w:color w:val="auto"/>
          <w:sz w:val="24"/>
          <w:szCs w:val="24"/>
          <w:lang w:val="pt-BR"/>
        </w:rPr>
        <w:t>O transporte, descarregamento e manuseio dos produtos até o local indicado serão de responsabilidade exclusiva da contratada, sem qualquer custo adicional para a Administração.</w:t>
      </w:r>
    </w:p>
    <w:p>
      <w:pPr>
        <w:pStyle w:val="BodyText"/>
        <w:numPr>
          <w:ilvl w:val="0"/>
          <w:numId w:val="8"/>
        </w:numPr>
        <w:jc w:val="both"/>
        <w:rPr/>
      </w:pPr>
      <w:r>
        <w:rPr>
          <w:color w:val="auto"/>
          <w:sz w:val="24"/>
          <w:szCs w:val="24"/>
          <w:lang w:val="pt-BR"/>
        </w:rPr>
        <w:t xml:space="preserve">A entrega deverá ocorrer </w:t>
      </w:r>
      <w:r>
        <w:rPr>
          <w:rStyle w:val="Strong"/>
          <w:color w:val="auto"/>
          <w:sz w:val="24"/>
          <w:szCs w:val="24"/>
          <w:lang w:val="pt-BR"/>
        </w:rPr>
        <w:t>de uma única vez</w:t>
      </w:r>
      <w:r>
        <w:rPr>
          <w:color w:val="auto"/>
          <w:sz w:val="24"/>
          <w:szCs w:val="24"/>
          <w:lang w:val="pt-BR"/>
        </w:rPr>
        <w:t>, contemplando a totalidade do objeto.</w:t>
      </w:r>
    </w:p>
    <w:p>
      <w:pPr>
        <w:pStyle w:val="Heading3"/>
        <w:rPr>
          <w:rFonts w:ascii="Arial" w:hAnsi="Arial"/>
          <w:color w:val="auto"/>
          <w:sz w:val="24"/>
          <w:szCs w:val="24"/>
          <w:lang w:val="pt-BR"/>
        </w:rPr>
      </w:pPr>
      <w:r>
        <w:rPr>
          <w:rFonts w:ascii="Arial" w:hAnsi="Arial"/>
          <w:color w:val="auto"/>
          <w:sz w:val="24"/>
          <w:szCs w:val="24"/>
          <w:lang w:val="pt-BR"/>
        </w:rPr>
        <w:t>4.5. Prazos</w:t>
      </w:r>
    </w:p>
    <w:p>
      <w:pPr>
        <w:pStyle w:val="BodyText"/>
        <w:numPr>
          <w:ilvl w:val="0"/>
          <w:numId w:val="9"/>
        </w:numPr>
        <w:rPr/>
      </w:pPr>
      <w:r>
        <w:rPr>
          <w:color w:val="auto"/>
          <w:sz w:val="24"/>
          <w:szCs w:val="24"/>
          <w:lang w:val="pt-BR"/>
        </w:rPr>
        <w:t xml:space="preserve">Após a conclusão do procedimento de seleção do fornecedor, a FAMS terá o prazo de até </w:t>
      </w:r>
      <w:r>
        <w:rPr>
          <w:rStyle w:val="Strong"/>
          <w:color w:val="auto"/>
          <w:sz w:val="24"/>
          <w:szCs w:val="24"/>
          <w:lang w:val="pt-BR"/>
        </w:rPr>
        <w:t>05 (cinco) dias úteis</w:t>
      </w:r>
      <w:r>
        <w:rPr>
          <w:color w:val="auto"/>
          <w:sz w:val="24"/>
          <w:szCs w:val="24"/>
          <w:lang w:val="pt-BR"/>
        </w:rPr>
        <w:t xml:space="preserve"> para disponibilizar à contratada as artes necessárias à confecção dos </w:t>
      </w:r>
      <w:r>
        <w:rPr>
          <w:i/>
          <w:iCs/>
          <w:color w:val="auto"/>
          <w:sz w:val="24"/>
          <w:szCs w:val="24"/>
          <w:lang w:val="pt-BR"/>
        </w:rPr>
        <w:t>banners</w:t>
      </w:r>
      <w:r>
        <w:rPr>
          <w:color w:val="auto"/>
          <w:sz w:val="24"/>
          <w:szCs w:val="24"/>
          <w:lang w:val="pt-BR"/>
        </w:rPr>
        <w:t>;</w:t>
      </w:r>
    </w:p>
    <w:p>
      <w:pPr>
        <w:pStyle w:val="BodyText"/>
        <w:numPr>
          <w:ilvl w:val="0"/>
          <w:numId w:val="9"/>
        </w:numPr>
        <w:rPr/>
      </w:pPr>
      <w:r>
        <w:rPr>
          <w:color w:val="auto"/>
          <w:sz w:val="24"/>
          <w:szCs w:val="24"/>
          <w:lang w:val="pt-BR"/>
        </w:rPr>
        <w:t xml:space="preserve">O fornecimento dos </w:t>
      </w:r>
      <w:r>
        <w:rPr>
          <w:i/>
          <w:iCs/>
          <w:color w:val="auto"/>
          <w:sz w:val="24"/>
          <w:szCs w:val="24"/>
          <w:lang w:val="pt-BR"/>
        </w:rPr>
        <w:t>banners</w:t>
      </w:r>
      <w:r>
        <w:rPr>
          <w:color w:val="auto"/>
          <w:sz w:val="24"/>
          <w:szCs w:val="24"/>
          <w:lang w:val="pt-BR"/>
        </w:rPr>
        <w:t xml:space="preserve"> deverá ocorrer no prazo máximo de </w:t>
      </w:r>
      <w:r>
        <w:rPr>
          <w:rStyle w:val="Strong"/>
          <w:color w:val="auto"/>
          <w:sz w:val="24"/>
          <w:szCs w:val="24"/>
          <w:lang w:val="pt-BR"/>
        </w:rPr>
        <w:t>15 (quinze) dias úteis, contados da disponibilização das artes pela FAMS</w:t>
      </w:r>
      <w:r>
        <w:rPr>
          <w:color w:val="auto"/>
          <w:sz w:val="24"/>
          <w:szCs w:val="24"/>
          <w:lang w:val="pt-BR"/>
        </w:rPr>
        <w:t>.</w:t>
      </w:r>
    </w:p>
    <w:p>
      <w:pPr>
        <w:pStyle w:val="Heading3"/>
        <w:rPr>
          <w:rFonts w:ascii="Arial" w:hAnsi="Arial"/>
          <w:color w:val="auto"/>
          <w:sz w:val="24"/>
          <w:szCs w:val="24"/>
          <w:lang w:val="pt-BR"/>
        </w:rPr>
      </w:pPr>
      <w:r>
        <w:rPr>
          <w:rFonts w:ascii="Arial" w:hAnsi="Arial"/>
          <w:color w:val="auto"/>
          <w:sz w:val="24"/>
          <w:szCs w:val="24"/>
          <w:lang w:val="pt-BR"/>
        </w:rPr>
        <w:t>4.6. Garantia</w:t>
      </w:r>
    </w:p>
    <w:p>
      <w:pPr>
        <w:pStyle w:val="BodyText"/>
        <w:numPr>
          <w:ilvl w:val="0"/>
          <w:numId w:val="10"/>
        </w:numPr>
        <w:jc w:val="both"/>
        <w:rPr/>
      </w:pPr>
      <w:r>
        <w:rPr>
          <w:color w:val="auto"/>
          <w:sz w:val="24"/>
          <w:szCs w:val="24"/>
          <w:lang w:val="pt-BR"/>
        </w:rPr>
        <w:t xml:space="preserve">O material deverá possuir </w:t>
      </w:r>
      <w:r>
        <w:rPr>
          <w:rStyle w:val="Strong"/>
          <w:color w:val="auto"/>
          <w:sz w:val="24"/>
          <w:szCs w:val="24"/>
          <w:lang w:val="pt-BR"/>
        </w:rPr>
        <w:t>garantia mínima de 12 (doze) meses contra defeitos de fabricação</w:t>
      </w:r>
      <w:r>
        <w:rPr>
          <w:color w:val="auto"/>
          <w:sz w:val="24"/>
          <w:szCs w:val="24"/>
          <w:lang w:val="pt-BR"/>
        </w:rPr>
        <w:t>, contados a partir da data de seu recebimento definitivo.</w:t>
      </w:r>
    </w:p>
    <w:p>
      <w:pPr>
        <w:pStyle w:val="BodyText"/>
        <w:numPr>
          <w:ilvl w:val="1"/>
          <w:numId w:val="11"/>
        </w:numPr>
        <w:jc w:val="both"/>
        <w:rPr>
          <w:rFonts w:ascii="Arial" w:hAnsi="Arial"/>
          <w:color w:val="auto"/>
          <w:sz w:val="24"/>
          <w:szCs w:val="24"/>
          <w:lang w:val="pt-BR"/>
        </w:rPr>
      </w:pPr>
      <w:r>
        <w:rPr>
          <w:color w:val="auto"/>
          <w:sz w:val="24"/>
          <w:szCs w:val="24"/>
          <w:lang w:val="pt-BR"/>
        </w:rPr>
        <w:t>O prazo previsto neste inciso aplica-se, inclusive, às substituições decorrentes de defeitos de fabricação constatados durante o período de garantia.</w:t>
      </w:r>
    </w:p>
    <w:p>
      <w:pPr>
        <w:pStyle w:val="BodyText"/>
        <w:numPr>
          <w:ilvl w:val="0"/>
          <w:numId w:val="10"/>
        </w:numPr>
        <w:jc w:val="both"/>
        <w:rPr>
          <w:rFonts w:ascii="Arial" w:hAnsi="Arial"/>
          <w:color w:val="auto"/>
          <w:sz w:val="24"/>
          <w:szCs w:val="24"/>
          <w:lang w:val="pt-BR"/>
        </w:rPr>
      </w:pPr>
      <w:r>
        <w:rPr>
          <w:color w:val="auto"/>
          <w:sz w:val="24"/>
          <w:szCs w:val="24"/>
          <w:lang w:val="pt-BR"/>
        </w:rPr>
        <w:t>A garantia abrangerá a correção ou substituição, sem ônus adicional para a Administração, dos materiais que apresentarem defeitos de fabricação abrangidos pela garantia, observadas as condições normais de utilização e conservação.</w:t>
      </w:r>
    </w:p>
    <w:p>
      <w:pPr>
        <w:pStyle w:val="Heading3"/>
        <w:rPr>
          <w:rFonts w:ascii="Arial" w:hAnsi="Arial"/>
          <w:color w:val="auto"/>
          <w:sz w:val="24"/>
          <w:szCs w:val="24"/>
          <w:lang w:val="pt-BR"/>
        </w:rPr>
      </w:pPr>
      <w:r>
        <w:rPr>
          <w:rFonts w:ascii="Arial" w:hAnsi="Arial"/>
          <w:color w:val="auto"/>
          <w:sz w:val="24"/>
          <w:szCs w:val="24"/>
          <w:lang w:val="pt-BR"/>
        </w:rPr>
        <w:t>4.7. Condições de recebimento</w:t>
      </w:r>
    </w:p>
    <w:p>
      <w:pPr>
        <w:pStyle w:val="BodyText"/>
        <w:numPr>
          <w:ilvl w:val="0"/>
          <w:numId w:val="12"/>
        </w:numPr>
        <w:jc w:val="both"/>
        <w:rPr>
          <w:rFonts w:ascii="Arial" w:hAnsi="Arial"/>
          <w:color w:val="auto"/>
          <w:sz w:val="24"/>
          <w:szCs w:val="24"/>
          <w:lang w:val="pt-BR"/>
        </w:rPr>
      </w:pPr>
      <w:r>
        <w:rPr>
          <w:color w:val="auto"/>
          <w:sz w:val="24"/>
          <w:szCs w:val="24"/>
          <w:lang w:val="pt-BR"/>
        </w:rPr>
        <w:t>O recebimento será realizado mediante conferência quantitativa e qualitativa pela equipe responsável da Fundação, verificando-se a conformidade dos materiais entregues com as especificações deste Termo de Referência e com as artes disponibilizadas pela FAMS.</w:t>
      </w:r>
    </w:p>
    <w:p>
      <w:pPr>
        <w:pStyle w:val="BodyText"/>
        <w:numPr>
          <w:ilvl w:val="2"/>
          <w:numId w:val="12"/>
        </w:numPr>
        <w:jc w:val="both"/>
        <w:rPr>
          <w:rFonts w:ascii="Arial" w:hAnsi="Arial"/>
          <w:color w:val="auto"/>
          <w:sz w:val="24"/>
          <w:szCs w:val="24"/>
          <w:lang w:val="pt-BR"/>
        </w:rPr>
      </w:pPr>
      <w:r>
        <w:rPr>
          <w:color w:val="auto"/>
          <w:sz w:val="24"/>
          <w:szCs w:val="24"/>
          <w:lang w:val="pt-BR"/>
        </w:rPr>
        <w:t>O objeto será recebido provisoriamente no ato da entrega, para efeito de posterior verificação de sua conformidade com as especificações deste Termo de Referência;</w:t>
      </w:r>
    </w:p>
    <w:p>
      <w:pPr>
        <w:pStyle w:val="BodyText"/>
        <w:numPr>
          <w:ilvl w:val="2"/>
          <w:numId w:val="12"/>
        </w:numPr>
        <w:jc w:val="both"/>
        <w:rPr>
          <w:rFonts w:ascii="Arial" w:hAnsi="Arial"/>
          <w:color w:val="auto"/>
          <w:sz w:val="24"/>
          <w:szCs w:val="24"/>
          <w:lang w:val="pt-BR"/>
        </w:rPr>
      </w:pPr>
      <w:r>
        <w:rPr>
          <w:color w:val="auto"/>
          <w:sz w:val="24"/>
          <w:szCs w:val="24"/>
          <w:lang w:val="pt-BR"/>
        </w:rPr>
        <w:t>O recebimento definitivo ocorrerá após a conferência quantitativa e qualitativa pela equipe responsável da FAMS e a constatação da conformidade dos materiais.</w:t>
      </w:r>
    </w:p>
    <w:p>
      <w:pPr>
        <w:pStyle w:val="BodyText"/>
        <w:numPr>
          <w:ilvl w:val="2"/>
          <w:numId w:val="12"/>
        </w:numPr>
        <w:jc w:val="both"/>
        <w:rPr>
          <w:rFonts w:ascii="Arial" w:hAnsi="Arial"/>
          <w:color w:val="auto"/>
          <w:sz w:val="24"/>
          <w:szCs w:val="24"/>
          <w:lang w:val="pt-BR"/>
        </w:rPr>
      </w:pPr>
      <w:r>
        <w:rPr>
          <w:color w:val="auto"/>
          <w:sz w:val="24"/>
          <w:szCs w:val="24"/>
          <w:lang w:val="pt-BR"/>
        </w:rPr>
        <w:t xml:space="preserve"> </w:t>
      </w:r>
      <w:r>
        <w:rPr>
          <w:color w:val="auto"/>
          <w:sz w:val="24"/>
          <w:szCs w:val="24"/>
          <w:lang w:val="pt-BR"/>
        </w:rPr>
        <w:t xml:space="preserve">O recebimento definitivo não exclui a responsabilidade da contratada pelos vícios ou defeitos constatados posteriormente durante o período de garantia. </w:t>
      </w:r>
    </w:p>
    <w:p>
      <w:pPr>
        <w:pStyle w:val="BodyText"/>
        <w:numPr>
          <w:ilvl w:val="0"/>
          <w:numId w:val="12"/>
        </w:numPr>
        <w:jc w:val="both"/>
        <w:rPr>
          <w:rFonts w:ascii="Arial" w:hAnsi="Arial"/>
          <w:color w:val="auto"/>
          <w:sz w:val="24"/>
          <w:szCs w:val="24"/>
          <w:lang w:val="pt-BR"/>
        </w:rPr>
      </w:pPr>
      <w:r>
        <w:rPr>
          <w:color w:val="auto"/>
          <w:sz w:val="24"/>
          <w:szCs w:val="24"/>
          <w:lang w:val="pt-BR"/>
        </w:rPr>
        <w:t>Materiais em desacordo com as especificações ou que apresentem defeitos poderão ser recusados, devendo a contratada promover sua regularização ou substituição sem ônus adicional para a Administração.</w:t>
      </w:r>
    </w:p>
    <w:p>
      <w:pPr>
        <w:pStyle w:val="BodyText"/>
        <w:jc w:val="both"/>
        <w:rPr>
          <w:rFonts w:ascii="Arial" w:hAnsi="Arial"/>
          <w:color w:val="auto"/>
          <w:sz w:val="24"/>
          <w:szCs w:val="24"/>
          <w:lang w:val="pt-BR"/>
        </w:rPr>
      </w:pPr>
      <w:r>
        <w:rPr>
          <w:color w:val="auto"/>
          <w:sz w:val="24"/>
          <w:szCs w:val="24"/>
          <w:lang w:val="pt-BR"/>
        </w:rPr>
      </w:r>
    </w:p>
    <w:p>
      <w:pPr>
        <w:pStyle w:val="Heading2"/>
        <w:rPr>
          <w:rFonts w:ascii="Arial" w:hAnsi="Arial"/>
          <w:color w:val="auto"/>
          <w:sz w:val="24"/>
          <w:szCs w:val="24"/>
          <w:lang w:val="pt-BR"/>
        </w:rPr>
      </w:pPr>
      <w:r>
        <w:rPr>
          <w:rFonts w:ascii="Arial" w:hAnsi="Arial"/>
          <w:color w:val="auto"/>
          <w:sz w:val="24"/>
          <w:szCs w:val="24"/>
          <w:lang w:val="pt-BR"/>
        </w:rPr>
        <w:t>5. MODELO DE EXECUÇÃO DO OBJETO</w:t>
      </w:r>
    </w:p>
    <w:p>
      <w:pPr>
        <w:pStyle w:val="BodyText"/>
        <w:jc w:val="both"/>
        <w:rPr>
          <w:rFonts w:ascii="Arial" w:hAnsi="Arial"/>
          <w:color w:val="auto"/>
          <w:sz w:val="24"/>
          <w:szCs w:val="24"/>
          <w:lang w:val="pt-BR"/>
        </w:rPr>
      </w:pPr>
      <w:r>
        <w:rPr>
          <w:color w:val="auto"/>
          <w:sz w:val="24"/>
          <w:szCs w:val="24"/>
          <w:lang w:val="pt-BR"/>
        </w:rPr>
        <w:t>5.1. A execução do objeto terá início a partir da formalização da contratação e da disponibilização das artes pela FAMS.</w:t>
      </w:r>
    </w:p>
    <w:p>
      <w:pPr>
        <w:pStyle w:val="BodyText"/>
        <w:jc w:val="both"/>
        <w:rPr>
          <w:rFonts w:ascii="Arial" w:hAnsi="Arial"/>
          <w:color w:val="auto"/>
          <w:sz w:val="24"/>
          <w:szCs w:val="24"/>
          <w:lang w:val="pt-BR"/>
        </w:rPr>
      </w:pPr>
      <w:r>
        <w:rPr>
          <w:color w:val="auto"/>
          <w:sz w:val="24"/>
          <w:szCs w:val="24"/>
          <w:lang w:val="pt-BR"/>
        </w:rPr>
        <w:t xml:space="preserve">5.2. A contratada deverá confeccionar os </w:t>
      </w:r>
      <w:r>
        <w:rPr>
          <w:i/>
          <w:iCs/>
          <w:color w:val="auto"/>
          <w:sz w:val="24"/>
          <w:szCs w:val="24"/>
          <w:lang w:val="pt-BR"/>
        </w:rPr>
        <w:t>banners</w:t>
      </w:r>
      <w:r>
        <w:rPr>
          <w:color w:val="auto"/>
          <w:sz w:val="24"/>
          <w:szCs w:val="24"/>
          <w:lang w:val="pt-BR"/>
        </w:rPr>
        <w:t xml:space="preserve"> rigorosamente de acordo com as especificações deste Termo de Referência e com os arquivos fornecidos pela Administração.</w:t>
      </w:r>
    </w:p>
    <w:p>
      <w:pPr>
        <w:pStyle w:val="BodyText"/>
        <w:jc w:val="both"/>
        <w:rPr/>
      </w:pPr>
      <w:r>
        <w:rPr>
          <w:color w:val="auto"/>
          <w:sz w:val="24"/>
          <w:szCs w:val="24"/>
          <w:lang w:val="pt-BR"/>
        </w:rPr>
        <w:t xml:space="preserve">5.3. A FAMS disponibilizará as artes à contratada no prazo máximo de </w:t>
      </w:r>
      <w:r>
        <w:rPr>
          <w:rStyle w:val="Strong"/>
          <w:color w:val="auto"/>
          <w:sz w:val="24"/>
          <w:szCs w:val="24"/>
          <w:lang w:val="pt-BR"/>
        </w:rPr>
        <w:t>05 (cinco) dias úteis após a conclusão do procedimento de seleção do fornecedor</w:t>
      </w:r>
      <w:r>
        <w:rPr>
          <w:color w:val="auto"/>
          <w:sz w:val="24"/>
          <w:szCs w:val="24"/>
          <w:lang w:val="pt-BR"/>
        </w:rPr>
        <w:t>.</w:t>
      </w:r>
    </w:p>
    <w:p>
      <w:pPr>
        <w:pStyle w:val="BodyText"/>
        <w:rPr/>
      </w:pPr>
      <w:r>
        <w:rPr>
          <w:color w:val="auto"/>
          <w:sz w:val="24"/>
          <w:szCs w:val="24"/>
          <w:lang w:val="pt-BR"/>
        </w:rPr>
        <w:t xml:space="preserve">5.4. A partir da disponibilização das artes, a contratada terá prazo máximo de </w:t>
      </w:r>
      <w:r>
        <w:rPr>
          <w:rStyle w:val="Strong"/>
          <w:color w:val="auto"/>
          <w:sz w:val="24"/>
          <w:szCs w:val="24"/>
          <w:lang w:val="pt-BR"/>
        </w:rPr>
        <w:t>15 (quinze) dias úteis</w:t>
      </w:r>
      <w:r>
        <w:rPr>
          <w:color w:val="auto"/>
          <w:sz w:val="24"/>
          <w:szCs w:val="24"/>
          <w:lang w:val="pt-BR"/>
        </w:rPr>
        <w:t xml:space="preserve"> para confeccionar e entregar integralmente os 12 </w:t>
      </w:r>
      <w:r>
        <w:rPr>
          <w:i/>
          <w:iCs/>
          <w:color w:val="auto"/>
          <w:sz w:val="24"/>
          <w:szCs w:val="24"/>
          <w:lang w:val="pt-BR"/>
        </w:rPr>
        <w:t>banners</w:t>
      </w:r>
      <w:r>
        <w:rPr>
          <w:color w:val="auto"/>
          <w:sz w:val="24"/>
          <w:szCs w:val="24"/>
          <w:lang w:val="pt-BR"/>
        </w:rPr>
        <w:t>.</w:t>
      </w:r>
    </w:p>
    <w:p>
      <w:pPr>
        <w:pStyle w:val="BodyText"/>
        <w:jc w:val="both"/>
        <w:rPr/>
      </w:pPr>
      <w:r>
        <w:rPr>
          <w:color w:val="auto"/>
          <w:sz w:val="24"/>
          <w:szCs w:val="24"/>
          <w:lang w:val="pt-BR"/>
        </w:rPr>
        <w:t xml:space="preserve">5.5. A entrega será realizada </w:t>
      </w:r>
      <w:r>
        <w:rPr>
          <w:rStyle w:val="Strong"/>
          <w:color w:val="auto"/>
          <w:sz w:val="24"/>
          <w:szCs w:val="24"/>
          <w:lang w:val="pt-BR"/>
        </w:rPr>
        <w:t>em parcela única</w:t>
      </w:r>
      <w:r>
        <w:rPr>
          <w:color w:val="auto"/>
          <w:sz w:val="24"/>
          <w:szCs w:val="24"/>
          <w:lang w:val="pt-BR"/>
        </w:rPr>
        <w:t xml:space="preserve">, no Outeiro de Santa Catarina, situado à Rua Visconde do Rio Branco, n.º 48 – Centro – Santos/SP, de segunda a sexta-feira, exceto feriados e pontos facultativos, das 9h às 16h, mediante aviso prévio pelo e-mail </w:t>
      </w:r>
      <w:hyperlink r:id="rId6">
        <w:r>
          <w:rPr>
            <w:rStyle w:val="Hyperlink"/>
            <w:color w:val="auto"/>
            <w:sz w:val="24"/>
            <w:szCs w:val="24"/>
            <w:lang w:val="pt-BR"/>
          </w:rPr>
          <w:t>sede@fundasantos.org.br</w:t>
        </w:r>
      </w:hyperlink>
      <w:r>
        <w:rPr>
          <w:color w:val="auto"/>
          <w:sz w:val="24"/>
          <w:szCs w:val="24"/>
          <w:lang w:val="pt-BR"/>
        </w:rPr>
        <w:t>.</w:t>
      </w:r>
    </w:p>
    <w:p>
      <w:pPr>
        <w:pStyle w:val="BodyText"/>
        <w:jc w:val="both"/>
        <w:rPr>
          <w:rFonts w:ascii="Arial" w:hAnsi="Arial"/>
          <w:color w:val="auto"/>
          <w:sz w:val="24"/>
          <w:szCs w:val="24"/>
          <w:lang w:val="pt-BR"/>
        </w:rPr>
      </w:pPr>
      <w:r>
        <w:rPr>
          <w:color w:val="auto"/>
          <w:sz w:val="24"/>
          <w:szCs w:val="24"/>
          <w:lang w:val="pt-BR"/>
        </w:rPr>
        <w:t>5.6. Todas as despesas necessárias à execução do objeto, inclusive materiais, mão de obra, impressão, acabamento, embalagem, transporte, descarregamento e entrega, deverão estar incluídas no preço contratado.</w:t>
      </w:r>
    </w:p>
    <w:p>
      <w:pPr>
        <w:pStyle w:val="BodyText"/>
        <w:jc w:val="both"/>
        <w:rPr>
          <w:rFonts w:ascii="Arial" w:hAnsi="Arial"/>
          <w:color w:val="auto"/>
          <w:sz w:val="24"/>
          <w:szCs w:val="24"/>
          <w:lang w:val="pt-BR"/>
        </w:rPr>
      </w:pPr>
      <w:r>
        <w:rPr>
          <w:color w:val="auto"/>
          <w:sz w:val="24"/>
          <w:szCs w:val="24"/>
          <w:lang w:val="pt-BR"/>
        </w:rPr>
        <w:t>5.7. A contratada será responsável pela adequada execução do objeto e pela correção ou substituição dos produtos que forem entregues em desacordo com as especificações estabelecidas.</w:t>
      </w:r>
    </w:p>
    <w:p>
      <w:pPr>
        <w:pStyle w:val="BodyText"/>
        <w:jc w:val="both"/>
        <w:rPr>
          <w:rFonts w:ascii="Arial" w:hAnsi="Arial"/>
          <w:color w:val="auto"/>
          <w:sz w:val="24"/>
          <w:szCs w:val="24"/>
          <w:lang w:val="pt-BR"/>
        </w:rPr>
      </w:pPr>
      <w:r>
        <w:rPr>
          <w:color w:val="auto"/>
          <w:sz w:val="24"/>
          <w:szCs w:val="24"/>
          <w:lang w:val="pt-BR"/>
        </w:rPr>
      </w:r>
    </w:p>
    <w:p>
      <w:pPr>
        <w:pStyle w:val="Heading2"/>
        <w:rPr>
          <w:rFonts w:ascii="Arial" w:hAnsi="Arial"/>
          <w:color w:val="auto"/>
          <w:sz w:val="24"/>
          <w:szCs w:val="24"/>
          <w:lang w:val="pt-BR"/>
        </w:rPr>
      </w:pPr>
      <w:r>
        <w:rPr>
          <w:rFonts w:ascii="Arial" w:hAnsi="Arial"/>
          <w:color w:val="auto"/>
          <w:sz w:val="24"/>
          <w:szCs w:val="24"/>
          <w:lang w:val="pt-BR"/>
        </w:rPr>
        <w:t>6. MODELO DE GESTÃO DA CONTRATAÇÃO</w:t>
      </w:r>
    </w:p>
    <w:p>
      <w:pPr>
        <w:pStyle w:val="BodyText"/>
        <w:jc w:val="both"/>
        <w:rPr>
          <w:rFonts w:ascii="Arial" w:hAnsi="Arial"/>
          <w:color w:val="auto"/>
          <w:sz w:val="24"/>
          <w:szCs w:val="24"/>
          <w:lang w:val="pt-BR"/>
        </w:rPr>
      </w:pPr>
      <w:r>
        <w:rPr>
          <w:color w:val="auto"/>
          <w:sz w:val="24"/>
          <w:szCs w:val="24"/>
          <w:lang w:val="pt-BR"/>
        </w:rPr>
        <w:t>6.1. A execução da contratação será acompanhada e fiscalizada pela Diretoria Administrativo Financeira, em conformidade com a legislação vigente.</w:t>
      </w:r>
    </w:p>
    <w:p>
      <w:pPr>
        <w:pStyle w:val="BodyText"/>
        <w:jc w:val="both"/>
        <w:rPr>
          <w:rFonts w:ascii="Arial" w:hAnsi="Arial"/>
          <w:color w:val="auto"/>
          <w:sz w:val="24"/>
          <w:szCs w:val="24"/>
          <w:lang w:val="pt-BR"/>
        </w:rPr>
      </w:pPr>
      <w:r>
        <w:rPr>
          <w:color w:val="auto"/>
          <w:sz w:val="24"/>
          <w:szCs w:val="24"/>
          <w:lang w:val="pt-BR"/>
        </w:rPr>
        <w:t>6.2. Compete à fiscalização acompanhar a execução do objeto, verificar o cumprimento dos prazos e das especificações, registrar eventuais ocorrências, solicitar as providências necessárias à correção de irregularidades e atestar o recebimento do objeto para fins de pagamento.</w:t>
      </w:r>
    </w:p>
    <w:p>
      <w:pPr>
        <w:pStyle w:val="BodyText"/>
        <w:jc w:val="both"/>
        <w:rPr>
          <w:rFonts w:ascii="Arial" w:hAnsi="Arial"/>
          <w:color w:val="auto"/>
          <w:sz w:val="24"/>
          <w:szCs w:val="24"/>
          <w:lang w:val="pt-BR"/>
        </w:rPr>
      </w:pPr>
      <w:r>
        <w:rPr>
          <w:color w:val="auto"/>
          <w:sz w:val="24"/>
          <w:szCs w:val="24"/>
          <w:lang w:val="pt-BR"/>
        </w:rPr>
        <w:t>6.3. As comunicações relacionadas à execução deverão ser formalizadas via e-mail, de modo a permitir o adequado registro no processo.</w:t>
      </w:r>
    </w:p>
    <w:p>
      <w:pPr>
        <w:pStyle w:val="BodyText"/>
        <w:jc w:val="both"/>
        <w:rPr>
          <w:rFonts w:ascii="Arial" w:hAnsi="Arial"/>
          <w:color w:val="auto"/>
          <w:sz w:val="24"/>
          <w:szCs w:val="24"/>
          <w:lang w:val="pt-BR"/>
        </w:rPr>
      </w:pPr>
      <w:r>
        <w:rPr>
          <w:color w:val="auto"/>
          <w:sz w:val="24"/>
          <w:szCs w:val="24"/>
          <w:lang w:val="pt-BR"/>
        </w:rPr>
        <w:t>6.4. A fiscalização exercida pela Administração não exclui nem reduz a responsabilidade da contratada pela correta execução do objeto.</w:t>
      </w:r>
    </w:p>
    <w:p>
      <w:pPr>
        <w:pStyle w:val="BodyText"/>
        <w:jc w:val="both"/>
        <w:rPr>
          <w:rFonts w:ascii="Arial" w:hAnsi="Arial"/>
          <w:color w:val="auto"/>
          <w:sz w:val="24"/>
          <w:szCs w:val="24"/>
          <w:lang w:val="pt-BR"/>
        </w:rPr>
      </w:pPr>
      <w:r>
        <w:rPr>
          <w:color w:val="auto"/>
          <w:sz w:val="24"/>
          <w:szCs w:val="24"/>
          <w:lang w:val="pt-BR"/>
        </w:rPr>
      </w:r>
    </w:p>
    <w:p>
      <w:pPr>
        <w:pStyle w:val="Heading2"/>
        <w:rPr>
          <w:rFonts w:ascii="Arial" w:hAnsi="Arial"/>
          <w:color w:val="auto"/>
          <w:sz w:val="24"/>
          <w:szCs w:val="24"/>
          <w:lang w:val="pt-BR"/>
        </w:rPr>
      </w:pPr>
      <w:r>
        <w:rPr>
          <w:rFonts w:ascii="Arial" w:hAnsi="Arial"/>
          <w:color w:val="auto"/>
          <w:sz w:val="24"/>
          <w:szCs w:val="24"/>
          <w:lang w:val="pt-BR"/>
        </w:rPr>
        <w:t>7. CRITÉRIOS DE PAGAMENTO</w:t>
      </w:r>
    </w:p>
    <w:p>
      <w:pPr>
        <w:pStyle w:val="BodyText"/>
        <w:jc w:val="both"/>
        <w:rPr>
          <w:rFonts w:ascii="Arial" w:hAnsi="Arial"/>
          <w:color w:val="auto"/>
          <w:sz w:val="24"/>
          <w:szCs w:val="24"/>
          <w:lang w:val="pt-BR"/>
        </w:rPr>
      </w:pPr>
      <w:r>
        <w:rPr>
          <w:b w:val="false"/>
          <w:bCs w:val="false"/>
          <w:color w:val="auto"/>
          <w:sz w:val="24"/>
          <w:szCs w:val="24"/>
          <w:lang w:val="pt-BR"/>
        </w:rPr>
        <w:t>7.1.</w:t>
      </w:r>
      <w:r>
        <w:rPr>
          <w:rFonts w:eastAsia="ヒラギノ角ゴ Pro W3" w:cs="Arial"/>
          <w:color w:val="auto"/>
          <w:kern w:val="0"/>
          <w:sz w:val="24"/>
          <w:szCs w:val="24"/>
          <w:lang w:val="pt-BR" w:eastAsia="en-US" w:bidi="ar-SA"/>
        </w:rPr>
        <w:t xml:space="preserve"> O pagamento será efetuado em parcela única, após a entrega integral e o recebimento definitivo do objeto, observadas as condições estabelecidas neste Termo de Referência. </w:t>
      </w:r>
    </w:p>
    <w:p>
      <w:pPr>
        <w:pStyle w:val="NoSpacing"/>
        <w:spacing w:before="0" w:after="0"/>
        <w:jc w:val="both"/>
        <w:rPr>
          <w:rFonts w:ascii="Arial" w:hAnsi="Arial"/>
          <w:color w:val="auto"/>
          <w:sz w:val="24"/>
          <w:szCs w:val="24"/>
          <w:lang w:val="pt-BR"/>
        </w:rPr>
      </w:pPr>
      <w:r>
        <w:rPr>
          <w:rFonts w:eastAsia="ヒラギノ角ゴ Pro W3" w:cs="Arial" w:ascii="Arial" w:hAnsi="Arial"/>
          <w:b w:val="false"/>
          <w:bCs w:val="false"/>
          <w:color w:val="auto"/>
          <w:kern w:val="0"/>
          <w:sz w:val="24"/>
          <w:szCs w:val="24"/>
          <w:lang w:val="pt-BR" w:eastAsia="en-US" w:bidi="ar-SA"/>
        </w:rPr>
        <w:t xml:space="preserve">7.2. </w:t>
      </w:r>
      <w:r>
        <w:rPr>
          <w:rFonts w:ascii="Arial" w:hAnsi="Arial"/>
          <w:color w:val="auto"/>
          <w:sz w:val="24"/>
          <w:szCs w:val="24"/>
          <w:lang w:val="pt-BR"/>
        </w:rPr>
        <w:t xml:space="preserve">A Contratada deverá emitir Nota Fiscal/Fatura correspondente ao valor total dos materiais efetivamente fornecidos e recebidos pela Administração, </w:t>
      </w:r>
      <w:r>
        <w:rPr>
          <w:rFonts w:eastAsia="ヒラギノ角ゴ Pro W3" w:cs="Arial" w:ascii="Arial" w:hAnsi="Arial"/>
          <w:color w:val="auto"/>
          <w:kern w:val="0"/>
          <w:sz w:val="24"/>
          <w:szCs w:val="24"/>
          <w:lang w:val="pt-BR" w:eastAsia="en-US" w:bidi="ar-SA"/>
        </w:rPr>
        <w:t xml:space="preserve">devendo ser indicado preferencialmente bancos públicos, especificamente o Banco do Brasil S/A e a Caixa Econômica Federal, para evitar cobrança de tarifas bancárias. </w:t>
      </w:r>
    </w:p>
    <w:p>
      <w:pPr>
        <w:pStyle w:val="NoSpacing"/>
        <w:spacing w:before="57" w:after="57"/>
        <w:jc w:val="both"/>
        <w:rPr>
          <w:rFonts w:ascii="Arial" w:hAnsi="Arial"/>
          <w:color w:val="auto"/>
          <w:sz w:val="24"/>
          <w:szCs w:val="24"/>
          <w:lang w:val="pt-BR"/>
        </w:rPr>
      </w:pPr>
      <w:r>
        <w:rPr>
          <w:rFonts w:eastAsia="ヒラギノ角ゴ Pro W3" w:cs="Arial" w:ascii="Arial" w:hAnsi="Arial"/>
          <w:b w:val="false"/>
          <w:bCs w:val="false"/>
          <w:color w:val="auto"/>
          <w:kern w:val="0"/>
          <w:sz w:val="24"/>
          <w:szCs w:val="24"/>
          <w:lang w:val="pt-BR" w:eastAsia="en-US" w:bidi="ar-SA"/>
        </w:rPr>
        <w:t xml:space="preserve">7.2.1. </w:t>
      </w:r>
      <w:r>
        <w:rPr>
          <w:rFonts w:eastAsia="ヒラギノ角ゴ Pro W3" w:cs="Arial" w:ascii="Arial" w:hAnsi="Arial"/>
          <w:color w:val="auto"/>
          <w:kern w:val="0"/>
          <w:sz w:val="24"/>
          <w:szCs w:val="24"/>
          <w:lang w:val="pt-BR" w:eastAsia="en-US" w:bidi="ar-SA"/>
        </w:rPr>
        <w:t xml:space="preserve">No caso de cobrança de tarifas bancárias nos pagamentos e transferências feitas para outros não mencionados no item anterior, o valor da tarifa será retido no pagamento. </w:t>
      </w:r>
    </w:p>
    <w:p>
      <w:pPr>
        <w:pStyle w:val="BodyText"/>
        <w:jc w:val="both"/>
        <w:rPr>
          <w:rFonts w:ascii="Arial" w:hAnsi="Arial"/>
          <w:color w:val="auto"/>
          <w:sz w:val="24"/>
          <w:szCs w:val="24"/>
          <w:lang w:val="pt-BR"/>
        </w:rPr>
      </w:pPr>
      <w:r>
        <w:rPr>
          <w:rFonts w:eastAsia="ヒラギノ角ゴ Pro W3" w:cs="Arial"/>
          <w:b w:val="false"/>
          <w:bCs w:val="false"/>
          <w:color w:val="auto"/>
          <w:kern w:val="0"/>
          <w:sz w:val="24"/>
          <w:szCs w:val="24"/>
          <w:lang w:val="pt-BR" w:eastAsia="en-US" w:bidi="ar-SA"/>
        </w:rPr>
        <w:t>7.3.</w:t>
      </w:r>
      <w:r>
        <w:rPr>
          <w:rFonts w:eastAsia="ヒラギノ角ゴ Pro W3" w:cs="Arial"/>
          <w:color w:val="auto"/>
          <w:kern w:val="0"/>
          <w:sz w:val="24"/>
          <w:szCs w:val="24"/>
          <w:lang w:val="pt-BR" w:eastAsia="en-US" w:bidi="ar-SA"/>
        </w:rPr>
        <w:t xml:space="preserve"> O pagamento será efetuado por meio de crédito em conta-corrente, em 20 (vinte) dias, contados a partir da data de emissão da nota de liquidação. Eventuais boletos encaminhados pelos fornecedores serão tidos como inexistentes para todos os fins e efeitos.</w:t>
      </w:r>
    </w:p>
    <w:p>
      <w:pPr>
        <w:pStyle w:val="BodyText"/>
        <w:jc w:val="both"/>
        <w:rPr>
          <w:rFonts w:ascii="Arial" w:hAnsi="Arial" w:eastAsia="ヒラギノ角ゴ Pro W3" w:cs="Arial"/>
          <w:color w:val="auto"/>
          <w:kern w:val="0"/>
          <w:sz w:val="24"/>
          <w:szCs w:val="24"/>
          <w:lang w:val="pt-BR" w:eastAsia="en-US" w:bidi="ar-SA"/>
        </w:rPr>
      </w:pPr>
      <w:r>
        <w:rPr>
          <w:rFonts w:eastAsia="ヒラギノ角ゴ Pro W3" w:cs="Arial"/>
          <w:color w:val="auto"/>
          <w:kern w:val="0"/>
          <w:sz w:val="24"/>
          <w:szCs w:val="24"/>
          <w:lang w:val="pt-BR" w:eastAsia="en-US" w:bidi="ar-SA"/>
        </w:rPr>
      </w:r>
    </w:p>
    <w:p>
      <w:pPr>
        <w:pStyle w:val="Heading2"/>
        <w:rPr>
          <w:rFonts w:ascii="Arial" w:hAnsi="Arial"/>
          <w:color w:val="auto"/>
          <w:sz w:val="24"/>
          <w:szCs w:val="24"/>
          <w:lang w:val="pt-BR"/>
        </w:rPr>
      </w:pPr>
      <w:r>
        <w:rPr>
          <w:rFonts w:ascii="Arial" w:hAnsi="Arial"/>
          <w:color w:val="auto"/>
          <w:sz w:val="24"/>
          <w:szCs w:val="24"/>
          <w:lang w:val="pt-BR"/>
        </w:rPr>
        <w:t>8. FORMA E CRITÉRIOS DE SELEÇÃO DO FORNECEDOR</w:t>
      </w:r>
    </w:p>
    <w:p>
      <w:pPr>
        <w:pStyle w:val="BodyText"/>
        <w:tabs>
          <w:tab w:val="clear" w:pos="720"/>
        </w:tabs>
        <w:bidi w:val="0"/>
        <w:spacing w:before="0" w:after="83"/>
        <w:jc w:val="both"/>
        <w:rPr>
          <w:rFonts w:ascii="Arial" w:hAnsi="Arial"/>
          <w:color w:val="auto"/>
          <w:sz w:val="24"/>
          <w:szCs w:val="24"/>
          <w:lang w:val="pt-BR"/>
        </w:rPr>
      </w:pPr>
      <w:r>
        <w:rPr>
          <w:b w:val="false"/>
          <w:bCs w:val="false"/>
          <w:color w:val="auto"/>
          <w:sz w:val="24"/>
          <w:szCs w:val="24"/>
          <w:lang w:val="pt-BR"/>
        </w:rPr>
        <w:t>8.1.</w:t>
      </w:r>
      <w:r>
        <w:rPr>
          <w:color w:val="auto"/>
          <w:sz w:val="24"/>
          <w:szCs w:val="24"/>
          <w:lang w:val="pt-BR"/>
        </w:rPr>
        <w:t xml:space="preserve"> A seleção será realizada mediante </w:t>
      </w:r>
      <w:r>
        <w:rPr>
          <w:color w:val="auto"/>
          <w:sz w:val="24"/>
          <w:szCs w:val="24"/>
          <w:u w:val="single"/>
          <w:lang w:val="pt-BR"/>
        </w:rPr>
        <w:t>Dispensa Eletrônica de Licitação</w:t>
      </w:r>
      <w:r>
        <w:rPr>
          <w:color w:val="auto"/>
          <w:sz w:val="24"/>
          <w:szCs w:val="24"/>
          <w:lang w:val="pt-BR"/>
        </w:rPr>
        <w:t xml:space="preserve">, com fundamento no </w:t>
      </w:r>
      <w:r>
        <w:rPr>
          <w:color w:val="auto"/>
          <w:sz w:val="24"/>
          <w:szCs w:val="24"/>
          <w:shd w:fill="auto" w:val="clear"/>
          <w:lang w:val="pt-BR"/>
        </w:rPr>
        <w:t>art. 75, II, da Lei n.º 14.133/2021</w:t>
      </w:r>
      <w:r>
        <w:rPr>
          <w:color w:val="auto"/>
          <w:sz w:val="24"/>
          <w:szCs w:val="24"/>
          <w:lang w:val="pt-BR"/>
        </w:rPr>
        <w:t>, observados os limites legais vigentes;</w:t>
      </w:r>
    </w:p>
    <w:p>
      <w:pPr>
        <w:pStyle w:val="BodyText"/>
        <w:bidi w:val="0"/>
        <w:spacing w:before="0" w:after="26"/>
        <w:jc w:val="both"/>
        <w:rPr>
          <w:rFonts w:ascii="Arial" w:hAnsi="Arial"/>
          <w:color w:val="auto"/>
          <w:sz w:val="24"/>
          <w:szCs w:val="24"/>
          <w:lang w:val="pt-BR"/>
        </w:rPr>
      </w:pPr>
      <w:r>
        <w:rPr>
          <w:b w:val="false"/>
          <w:bCs w:val="false"/>
          <w:color w:val="auto"/>
          <w:sz w:val="24"/>
          <w:szCs w:val="24"/>
          <w:lang w:val="pt-BR"/>
        </w:rPr>
        <w:t>8.2.</w:t>
      </w:r>
      <w:r>
        <w:rPr>
          <w:color w:val="auto"/>
          <w:sz w:val="24"/>
          <w:szCs w:val="24"/>
          <w:lang w:val="pt-BR"/>
        </w:rPr>
        <w:t xml:space="preserve"> O critério de julgamento será o de </w:t>
      </w:r>
      <w:r>
        <w:rPr>
          <w:b/>
          <w:bCs/>
          <w:color w:val="auto"/>
          <w:sz w:val="24"/>
          <w:szCs w:val="24"/>
          <w:u w:val="single"/>
          <w:lang w:val="pt-BR"/>
        </w:rPr>
        <w:t>menor preço global</w:t>
      </w:r>
      <w:r>
        <w:rPr>
          <w:b w:val="false"/>
          <w:bCs w:val="false"/>
          <w:color w:val="auto"/>
          <w:sz w:val="24"/>
          <w:szCs w:val="24"/>
          <w:u w:val="none"/>
          <w:lang w:val="pt-BR"/>
        </w:rPr>
        <w:t>.</w:t>
      </w:r>
    </w:p>
    <w:p>
      <w:pPr>
        <w:pStyle w:val="BodyText"/>
        <w:bidi w:val="0"/>
        <w:spacing w:before="0" w:after="26"/>
        <w:jc w:val="both"/>
        <w:rPr>
          <w:rFonts w:ascii="Arial" w:hAnsi="Arial" w:eastAsia="Calibri" w:cs="Arial"/>
          <w:color w:val="auto"/>
          <w:kern w:val="0"/>
          <w:sz w:val="24"/>
          <w:szCs w:val="24"/>
          <w:lang w:val="pt-BR" w:eastAsia="en-US"/>
        </w:rPr>
      </w:pPr>
      <w:r>
        <w:rPr>
          <w:rFonts w:eastAsia="Calibri" w:cs="Arial"/>
          <w:color w:val="auto"/>
          <w:kern w:val="0"/>
          <w:sz w:val="24"/>
          <w:szCs w:val="24"/>
          <w:lang w:val="pt-BR" w:eastAsia="en-US"/>
        </w:rPr>
      </w:r>
    </w:p>
    <w:p>
      <w:pPr>
        <w:pStyle w:val="Heading2"/>
        <w:spacing w:before="86" w:after="6"/>
        <w:rPr>
          <w:rFonts w:ascii="Arial" w:hAnsi="Arial"/>
          <w:color w:val="auto"/>
          <w:sz w:val="24"/>
          <w:szCs w:val="24"/>
          <w:lang w:val="pt-BR"/>
        </w:rPr>
      </w:pPr>
      <w:r>
        <w:rPr>
          <w:rFonts w:ascii="Arial" w:hAnsi="Arial"/>
          <w:color w:val="auto"/>
          <w:sz w:val="24"/>
          <w:szCs w:val="24"/>
          <w:lang w:val="pt-BR"/>
        </w:rPr>
        <w:t>9. ESTIMATIVA DO VALOR DA CONTRATAÇÃO</w:t>
      </w:r>
    </w:p>
    <w:p>
      <w:pPr>
        <w:pStyle w:val="BodyText"/>
        <w:jc w:val="both"/>
        <w:rPr/>
      </w:pPr>
      <w:r>
        <w:rPr>
          <w:color w:val="auto"/>
          <w:sz w:val="24"/>
          <w:szCs w:val="24"/>
          <w:lang w:val="pt-BR"/>
        </w:rPr>
        <w:t xml:space="preserve">9.1. O valor total estimado da contratação é de </w:t>
      </w:r>
      <w:r>
        <w:rPr>
          <w:rStyle w:val="Strong"/>
          <w:color w:val="auto"/>
          <w:sz w:val="24"/>
          <w:szCs w:val="24"/>
          <w:lang w:val="pt-BR"/>
        </w:rPr>
        <w:t>R$ 1.680,00 (mil seiscentos e oitenta reais)</w:t>
      </w:r>
      <w:r>
        <w:rPr>
          <w:color w:val="auto"/>
          <w:sz w:val="24"/>
          <w:szCs w:val="24"/>
          <w:lang w:val="pt-BR"/>
        </w:rPr>
        <w:t xml:space="preserve">, apurado mediante pesquisa de preços realizada junto a empresas do ramo pertinente ao objeto, observados os parâmetros estabelecidos pelo </w:t>
      </w:r>
      <w:r>
        <w:rPr>
          <w:rStyle w:val="Strong"/>
          <w:b w:val="false"/>
          <w:bCs w:val="false"/>
          <w:color w:val="auto"/>
          <w:sz w:val="24"/>
          <w:szCs w:val="24"/>
          <w:lang w:val="pt-BR"/>
        </w:rPr>
        <w:t>art. 23 da Lei Federal n.º 14.133/2021</w:t>
      </w:r>
      <w:r>
        <w:rPr>
          <w:b w:val="false"/>
          <w:bCs w:val="false"/>
          <w:color w:val="auto"/>
          <w:sz w:val="24"/>
          <w:szCs w:val="24"/>
          <w:lang w:val="pt-BR"/>
        </w:rPr>
        <w:t>.</w:t>
      </w:r>
    </w:p>
    <w:p>
      <w:pPr>
        <w:pStyle w:val="Heading2"/>
        <w:rPr>
          <w:rFonts w:ascii="Arial" w:hAnsi="Arial"/>
          <w:color w:val="auto"/>
          <w:sz w:val="24"/>
          <w:szCs w:val="24"/>
          <w:lang w:val="pt-BR"/>
        </w:rPr>
      </w:pPr>
      <w:r>
        <w:rPr>
          <w:rFonts w:ascii="Arial" w:hAnsi="Arial"/>
          <w:color w:val="auto"/>
          <w:sz w:val="24"/>
          <w:szCs w:val="24"/>
          <w:lang w:val="pt-BR"/>
        </w:rPr>
        <w:t>10. ADEQUAÇÃO ORÇAMENTÁRIA</w:t>
      </w:r>
    </w:p>
    <w:p>
      <w:pPr>
        <w:pStyle w:val="BodyText"/>
        <w:jc w:val="both"/>
        <w:rPr/>
      </w:pPr>
      <w:r>
        <w:rPr>
          <w:color w:val="auto"/>
          <w:sz w:val="24"/>
          <w:szCs w:val="24"/>
          <w:lang w:val="pt-BR"/>
        </w:rPr>
        <w:t xml:space="preserve">As despesas decorrentes da presente contratação serão custeadas com recursos provenientes da </w:t>
      </w:r>
      <w:r>
        <w:rPr>
          <w:rStyle w:val="Strong"/>
          <w:color w:val="auto"/>
          <w:sz w:val="24"/>
          <w:szCs w:val="24"/>
          <w:lang w:val="pt-BR"/>
        </w:rPr>
        <w:t>Emenda Parlamentar n.º 869/2026, de autoria do Vereador Benedito Furtado</w:t>
      </w:r>
      <w:r>
        <w:rPr>
          <w:color w:val="auto"/>
          <w:sz w:val="24"/>
          <w:szCs w:val="24"/>
          <w:lang w:val="pt-BR"/>
        </w:rPr>
        <w:t>, observada a respectiva disponibilidade orçamentária n.º 30.10.13.391.0093.1900.3.3.90.30 – Fonte 08 – Emendas.</w:t>
      </w:r>
    </w:p>
    <w:p>
      <w:pPr>
        <w:pStyle w:val="BodyText"/>
        <w:jc w:val="both"/>
        <w:rPr>
          <w:rFonts w:ascii="Arial" w:hAnsi="Arial"/>
          <w:color w:val="auto"/>
          <w:sz w:val="24"/>
          <w:szCs w:val="24"/>
          <w:lang w:val="pt-BR"/>
        </w:rPr>
      </w:pPr>
      <w:r>
        <w:rPr>
          <w:color w:val="auto"/>
          <w:sz w:val="24"/>
          <w:szCs w:val="24"/>
          <w:lang w:val="pt-BR"/>
        </w:rPr>
      </w:r>
    </w:p>
    <w:p>
      <w:pPr>
        <w:pStyle w:val="Heading2"/>
        <w:rPr>
          <w:rFonts w:ascii="Arial" w:hAnsi="Arial"/>
          <w:color w:val="auto"/>
          <w:sz w:val="24"/>
          <w:szCs w:val="24"/>
          <w:lang w:val="pt-BR"/>
        </w:rPr>
      </w:pPr>
      <w:r>
        <w:rPr>
          <w:rFonts w:ascii="Arial" w:hAnsi="Arial"/>
          <w:color w:val="auto"/>
          <w:sz w:val="24"/>
          <w:szCs w:val="24"/>
          <w:lang w:val="pt-BR"/>
        </w:rPr>
        <w:t xml:space="preserve">11. </w:t>
      </w:r>
      <w:r>
        <w:rPr>
          <w:rFonts w:eastAsia="ヒラギノ角ゴ Pro W3" w:cs="Arial" w:ascii="Arial" w:hAnsi="Arial"/>
          <w:color w:val="auto"/>
          <w:sz w:val="24"/>
          <w:szCs w:val="24"/>
          <w:lang w:val="pt-BR"/>
        </w:rPr>
        <w:t>OBRIGAÇÕES DA CONTRATADA</w:t>
      </w:r>
    </w:p>
    <w:p>
      <w:pPr>
        <w:pStyle w:val="BodyText"/>
        <w:spacing w:lineRule="auto" w:line="276" w:before="3" w:after="3"/>
        <w:ind w:start="0" w:end="0"/>
        <w:jc w:val="both"/>
        <w:rPr>
          <w:rFonts w:ascii="Arial" w:hAnsi="Arial"/>
          <w:color w:val="auto"/>
          <w:sz w:val="24"/>
          <w:szCs w:val="24"/>
          <w:lang w:val="pt-BR"/>
        </w:rPr>
      </w:pPr>
      <w:r>
        <w:rPr>
          <w:rFonts w:eastAsia="ヒラギノ角ゴ Pro W3" w:cs="Arial"/>
          <w:color w:val="auto"/>
          <w:sz w:val="24"/>
          <w:szCs w:val="24"/>
          <w:lang w:val="pt-BR"/>
        </w:rPr>
        <w:t xml:space="preserve">I – fornecer os materiais em estrita conformidade com as especificações técnicas deste Termo de Referência, em perfeitas condições de uso, devidamente acondicionados de modo a evitar danos durante o transporte e a entrega, observadas as normas técnicas aplicáveis ao objeto, quando houver. </w:t>
      </w:r>
    </w:p>
    <w:p>
      <w:pPr>
        <w:pStyle w:val="BodyText"/>
        <w:spacing w:lineRule="auto" w:line="276" w:before="60" w:after="60"/>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II – realizar a entrega em local e nos prazos estabelecidos, conforme as condições, quantidades e exigências estabelecidas neste Termo de Referência, no Edital e em seus Anexos;</w:t>
      </w:r>
    </w:p>
    <w:p>
      <w:pPr>
        <w:pStyle w:val="BodyText"/>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 xml:space="preserve">III – responsabilizar-se integralmente pelas despesas de transporte, carga, descarga, tributos, encargos trabalhistas, previdenciários, fiscais, comerciais e demais custos decorrentes da execução do objeto; além de </w:t>
      </w:r>
      <w:r>
        <w:rPr>
          <w:rFonts w:eastAsia="ヒラギノ角ゴ Pro W3" w:cs="Arial"/>
          <w:color w:val="auto"/>
          <w:sz w:val="24"/>
          <w:szCs w:val="24"/>
          <w:shd w:fill="auto" w:val="clear"/>
          <w:lang w:val="pt-BR"/>
        </w:rPr>
        <w:t>apresentar as certidões de regularidade fiscal, social e trabalhista, devidamente atualizadas e vigentes, conforme relação de documentos exigidos no Anexo II do Edital;</w:t>
      </w:r>
    </w:p>
    <w:p>
      <w:pPr>
        <w:pStyle w:val="BodyText"/>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IV – substituir, as suas expensas, no prazo de até 05 (cinco) dias úteis, contados da notificação/ciência, os materiais entregues com defeitos, avarias, desconformidades ou inadequações técnicas;</w:t>
      </w:r>
    </w:p>
    <w:p>
      <w:pPr>
        <w:pStyle w:val="BodyText"/>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V – manter, durante toda a execução da contratação, as condições de habilitação e qualificação exigidas;</w:t>
      </w:r>
    </w:p>
    <w:p>
      <w:pPr>
        <w:pStyle w:val="BodyText"/>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VI – comunicar imediatamente à contratante qualquer fato que possa comprometer a execução do fornecimento;</w:t>
      </w:r>
    </w:p>
    <w:p>
      <w:pPr>
        <w:pStyle w:val="BodyText"/>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VII – não transferir a terceiros, no todo ou em parte, as obrigações assumidas;</w:t>
      </w:r>
    </w:p>
    <w:p>
      <w:pPr>
        <w:pStyle w:val="BodyText"/>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VIII – responsabilizar-se pelos danos causados diretamente à Fundação ou a terceiros decorrentes de sua culpa ou dolo na execução contratual, nos termos do art. 120 da Lei Federal n.º 14.133/2021;</w:t>
      </w:r>
    </w:p>
    <w:p>
      <w:pPr>
        <w:pStyle w:val="BodyText"/>
        <w:suppressAutoHyphens w:val="true"/>
        <w:bidi w:val="0"/>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IX – observar integralmente as disposições da Lei Federal n.º 14.133/2021 e da regulamentação municipal aplicável;</w:t>
      </w:r>
    </w:p>
    <w:p>
      <w:pPr>
        <w:pStyle w:val="BodyText"/>
        <w:suppressAutoHyphens w:val="true"/>
        <w:bidi w:val="0"/>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X - Ser do ramo pertinente ao objeto da contratação;</w:t>
      </w:r>
    </w:p>
    <w:p>
      <w:pPr>
        <w:pStyle w:val="Normal"/>
        <w:snapToGrid w:val="false"/>
        <w:spacing w:lineRule="auto" w:line="276" w:before="0" w:after="0"/>
        <w:jc w:val="both"/>
        <w:rPr>
          <w:rFonts w:ascii="Arial" w:hAnsi="Arial"/>
          <w:color w:val="auto"/>
          <w:sz w:val="24"/>
          <w:szCs w:val="24"/>
          <w:lang w:val="pt-BR"/>
        </w:rPr>
      </w:pPr>
      <w:r>
        <w:rPr>
          <w:rFonts w:eastAsia="ヒラギノ角ゴ Pro W3;Cambria" w:cs="Arial"/>
          <w:color w:val="auto"/>
          <w:sz w:val="24"/>
          <w:szCs w:val="24"/>
          <w:lang w:val="pt-BR"/>
        </w:rPr>
        <w:t xml:space="preserve">XI – Sejam </w:t>
      </w:r>
      <w:r>
        <w:rPr>
          <w:rFonts w:eastAsia="Times New Roman" w:cs="Arial"/>
          <w:b w:val="false"/>
          <w:bCs w:val="false"/>
          <w:color w:val="auto"/>
          <w:kern w:val="0"/>
          <w:sz w:val="24"/>
          <w:szCs w:val="24"/>
          <w:shd w:fill="auto" w:val="clear"/>
          <w:lang w:val="pt-BR" w:eastAsia="pt-BR" w:bidi="ar-SA"/>
        </w:rPr>
        <w:t xml:space="preserve">observadas práticas de sustentabilidade, incluindo </w:t>
      </w:r>
      <w:r>
        <w:rPr>
          <w:color w:val="auto"/>
          <w:sz w:val="24"/>
          <w:szCs w:val="24"/>
          <w:lang w:val="pt-BR"/>
        </w:rPr>
        <w:t xml:space="preserve">uso racional dos materiais, destinação adequada das embalagens e </w:t>
      </w:r>
      <w:r>
        <w:rPr>
          <w:rFonts w:eastAsia="Arial" w:cs="Arial"/>
          <w:b w:val="false"/>
          <w:bCs w:val="false"/>
          <w:color w:val="auto"/>
          <w:sz w:val="24"/>
          <w:szCs w:val="24"/>
          <w:lang w:val="pt-BR"/>
        </w:rPr>
        <w:t>preferência por produtos menos agressivos ao meio ambiente, quando tecnicamente viáveis, seguindo os padrões já adotados pela Administração.</w:t>
      </w:r>
    </w:p>
    <w:p>
      <w:pPr>
        <w:pStyle w:val="Normal"/>
        <w:snapToGrid w:val="false"/>
        <w:spacing w:lineRule="auto" w:line="276" w:before="0" w:after="0"/>
        <w:jc w:val="both"/>
        <w:rPr>
          <w:rFonts w:ascii="Arial" w:hAnsi="Arial" w:eastAsia="Arial" w:cs="Arial"/>
          <w:b w:val="false"/>
          <w:bCs w:val="false"/>
          <w:color w:val="auto"/>
          <w:sz w:val="24"/>
          <w:szCs w:val="24"/>
          <w:lang w:val="pt-BR"/>
        </w:rPr>
      </w:pPr>
      <w:r>
        <w:rPr>
          <w:rFonts w:eastAsia="Arial" w:cs="Arial"/>
          <w:b w:val="false"/>
          <w:bCs w:val="false"/>
          <w:color w:val="auto"/>
          <w:sz w:val="24"/>
          <w:szCs w:val="24"/>
          <w:lang w:val="pt-BR"/>
        </w:rPr>
      </w:r>
    </w:p>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76" w:before="60" w:after="60"/>
        <w:jc w:val="both"/>
        <w:rPr>
          <w:rFonts w:ascii="Arial" w:hAnsi="Arial" w:eastAsia="ヒラギノ角ゴ Pro W3;Cambria" w:cs="Arial"/>
          <w:b/>
          <w:color w:val="auto"/>
          <w:sz w:val="24"/>
          <w:szCs w:val="24"/>
          <w:lang w:val="pt-BR"/>
        </w:rPr>
      </w:pPr>
      <w:r>
        <w:rPr>
          <w:rFonts w:eastAsia="ヒラギノ角ゴ Pro W3;Cambria" w:cs="Arial"/>
          <w:b/>
          <w:color w:val="auto"/>
          <w:sz w:val="24"/>
          <w:szCs w:val="24"/>
          <w:lang w:val="pt-BR"/>
        </w:rPr>
        <w:t>12. OBRIGAÇÕES DA CONTRATANTE</w:t>
      </w:r>
    </w:p>
    <w:p>
      <w:pPr>
        <w:pStyle w:val="BodyText"/>
        <w:spacing w:lineRule="auto" w:line="276" w:before="3" w:after="3"/>
        <w:ind w:start="0" w:end="0"/>
        <w:jc w:val="both"/>
        <w:rPr>
          <w:rFonts w:ascii="Arial" w:hAnsi="Arial"/>
          <w:color w:val="auto"/>
          <w:sz w:val="24"/>
          <w:szCs w:val="24"/>
          <w:lang w:val="pt-BR"/>
        </w:rPr>
      </w:pPr>
      <w:r>
        <w:rPr>
          <w:rFonts w:eastAsia="ヒラギノ角ゴ Pro W3" w:cs="Arial"/>
          <w:color w:val="auto"/>
          <w:sz w:val="24"/>
          <w:szCs w:val="24"/>
          <w:lang w:val="pt-BR"/>
        </w:rPr>
        <w:t>I – emitir a Ordem de Serviço ou instrumento equivalente;</w:t>
      </w:r>
    </w:p>
    <w:p>
      <w:pPr>
        <w:pStyle w:val="BodyText"/>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II – proporcionar as condições necessárias para a adequado recebimento do material;</w:t>
      </w:r>
    </w:p>
    <w:p>
      <w:pPr>
        <w:pStyle w:val="BodyText"/>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III – acompanhar, fiscalizar e avaliar o fornecimento, por meio de servidor designado;</w:t>
      </w:r>
    </w:p>
    <w:p>
      <w:pPr>
        <w:pStyle w:val="BodyText"/>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IV – receber o objeto provisória e definitivamente, na forma prevista neste Termo de Referência e na Lei Federal n.º 14.133/2021;</w:t>
      </w:r>
    </w:p>
    <w:p>
      <w:pPr>
        <w:pStyle w:val="BodyText"/>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V – rejeitar, no todo ou em parte, materiais entregues em desacordo com as especificações estabelecidas;</w:t>
      </w:r>
    </w:p>
    <w:p>
      <w:pPr>
        <w:pStyle w:val="BodyText"/>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VI – comunicar formalmente (preferencialmente via e-mail) à contratada quaisquer irregularidades verificadas na execução do fornecimento, para que sejam substituídos, reparados ou corrigidos, no total ou em parte, às expensas da Contratada;</w:t>
      </w:r>
    </w:p>
    <w:p>
      <w:pPr>
        <w:pStyle w:val="BodyText"/>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VII – efetuar os pagamentos devidos nas condições e prazos estabelecidos;</w:t>
      </w:r>
    </w:p>
    <w:p>
      <w:pPr>
        <w:pStyle w:val="BodyText"/>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VIII – exigir o cumprimento de todas as obrigações assumidas pela contratada, conforme condições estabelecidas neste Termo de Referência;</w:t>
      </w:r>
    </w:p>
    <w:p>
      <w:pPr>
        <w:pStyle w:val="BodyText"/>
        <w:suppressAutoHyphens w:val="true"/>
        <w:bidi w:val="0"/>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IX – aplicar as sanções administrativas cabíveis, quando constatado descumprimento contratual;</w:t>
      </w:r>
    </w:p>
    <w:p>
      <w:pPr>
        <w:pStyle w:val="BodyText"/>
        <w:suppressAutoHyphens w:val="true"/>
        <w:bidi w:val="0"/>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X - Atestar a Nota Fiscal/Fatura correspondente aos bens efetivamente recebidos e encaminhá-la ao setor competente para pagamento;</w:t>
      </w:r>
    </w:p>
    <w:p>
      <w:pPr>
        <w:pStyle w:val="BodyText"/>
        <w:suppressAutoHyphens w:val="true"/>
        <w:bidi w:val="0"/>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XI - Fornecer, mediante solicitação da Contratada, as informações necessárias à adequada execução do objeto e dirimir dúvidas relacionadas ao fornecimento; e</w:t>
      </w:r>
    </w:p>
    <w:p>
      <w:pPr>
        <w:pStyle w:val="BodyText"/>
        <w:suppressAutoHyphens w:val="true"/>
        <w:bidi w:val="0"/>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XII - A Fundação não responderá por compromissos assumidos pela Contratada com terceiros, ainda que vinculados à execução do ajuste, nem por danos causados a terceiros em decorrência de atos da Contratada, de seus profissionais, prepostos ou subordinados.</w:t>
      </w:r>
    </w:p>
    <w:p>
      <w:pPr>
        <w:pStyle w:val="BodyText"/>
        <w:suppressAutoHyphens w:val="true"/>
        <w:bidi w:val="0"/>
        <w:spacing w:lineRule="auto" w:line="276" w:before="60" w:after="60"/>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r>
    </w:p>
    <w:p>
      <w:pPr>
        <w:pStyle w:val="BodyText"/>
        <w:suppressAutoHyphens w:val="true"/>
        <w:bidi w:val="0"/>
        <w:spacing w:before="3" w:after="3"/>
        <w:ind w:start="0" w:end="0"/>
        <w:jc w:val="both"/>
        <w:rPr>
          <w:rFonts w:ascii="Arial" w:hAnsi="Arial" w:eastAsia="ヒラギノ角ゴ Pro W3" w:cs="Arial"/>
          <w:b/>
          <w:bCs/>
          <w:color w:val="auto"/>
          <w:sz w:val="24"/>
          <w:szCs w:val="24"/>
          <w:lang w:val="pt-BR"/>
        </w:rPr>
      </w:pPr>
      <w:r>
        <w:rPr>
          <w:rFonts w:eastAsia="ヒラギノ角ゴ Pro W3" w:cs="Arial"/>
          <w:b/>
          <w:bCs/>
          <w:color w:val="auto"/>
          <w:sz w:val="24"/>
          <w:szCs w:val="24"/>
          <w:lang w:val="pt-BR"/>
        </w:rPr>
        <w:t>13. DISPOSIÇÕES FINAIS</w:t>
      </w:r>
    </w:p>
    <w:p>
      <w:pPr>
        <w:pStyle w:val="BodyText"/>
        <w:suppressAutoHyphens w:val="true"/>
        <w:bidi w:val="0"/>
        <w:spacing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13.1. A contratação deverá observar integralmente:</w:t>
      </w:r>
    </w:p>
    <w:p>
      <w:pPr>
        <w:pStyle w:val="BodyText"/>
        <w:numPr>
          <w:ilvl w:val="0"/>
          <w:numId w:val="13"/>
        </w:numPr>
        <w:suppressAutoHyphens w:val="true"/>
        <w:bidi w:val="0"/>
        <w:spacing w:before="3" w:after="3"/>
        <w:jc w:val="both"/>
        <w:rPr>
          <w:rFonts w:ascii="Arial" w:hAnsi="Arial"/>
          <w:color w:val="auto"/>
          <w:sz w:val="24"/>
          <w:szCs w:val="24"/>
          <w:lang w:val="pt-BR"/>
        </w:rPr>
      </w:pPr>
      <w:r>
        <w:rPr>
          <w:rFonts w:eastAsia="ヒラギノ角ゴ Pro W3" w:cs="Arial"/>
          <w:color w:val="auto"/>
          <w:sz w:val="24"/>
          <w:szCs w:val="24"/>
          <w:lang w:val="pt-BR"/>
        </w:rPr>
        <w:t xml:space="preserve">a Lei Federal n.º 14.133/2021 e os Decretos Municipais </w:t>
      </w:r>
      <w:r>
        <w:rPr>
          <w:rFonts w:eastAsia="Calibri" w:cs="Arial"/>
          <w:b w:val="false"/>
          <w:bCs w:val="false"/>
          <w:color w:val="auto"/>
          <w:kern w:val="0"/>
          <w:sz w:val="24"/>
          <w:szCs w:val="24"/>
          <w:lang w:val="pt-BR" w:eastAsia="en-US"/>
        </w:rPr>
        <w:t>n.º 10.297/2023 e n.º 10.222/2023</w:t>
      </w:r>
      <w:r>
        <w:rPr>
          <w:rFonts w:eastAsia="ヒラギノ角ゴ Pro W3" w:cs="Arial"/>
          <w:color w:val="auto"/>
          <w:sz w:val="24"/>
          <w:szCs w:val="24"/>
          <w:lang w:val="pt-BR"/>
        </w:rPr>
        <w:t>;</w:t>
      </w:r>
    </w:p>
    <w:p>
      <w:pPr>
        <w:pStyle w:val="BodyText"/>
        <w:numPr>
          <w:ilvl w:val="0"/>
          <w:numId w:val="13"/>
        </w:numPr>
        <w:suppressAutoHyphens w:val="true"/>
        <w:bidi w:val="0"/>
        <w:spacing w:before="3" w:after="3"/>
        <w:jc w:val="both"/>
        <w:rPr>
          <w:rFonts w:ascii="Arial" w:hAnsi="Arial"/>
          <w:color w:val="auto"/>
          <w:sz w:val="24"/>
          <w:szCs w:val="24"/>
          <w:lang w:val="pt-BR"/>
        </w:rPr>
      </w:pPr>
      <w:r>
        <w:rPr>
          <w:rFonts w:eastAsia="ヒラギノ角ゴ Pro W3" w:cs="Arial"/>
          <w:color w:val="auto"/>
          <w:sz w:val="24"/>
          <w:szCs w:val="24"/>
          <w:lang w:val="pt-BR"/>
        </w:rPr>
        <w:t>os princípios da legalidade, eficiência, economicidade e planejamento;</w:t>
      </w:r>
    </w:p>
    <w:p>
      <w:pPr>
        <w:pStyle w:val="BodyText"/>
        <w:numPr>
          <w:ilvl w:val="0"/>
          <w:numId w:val="13"/>
        </w:numPr>
        <w:suppressAutoHyphens w:val="true"/>
        <w:bidi w:val="0"/>
        <w:spacing w:before="3" w:after="3"/>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 xml:space="preserve">as normas internas da Fundação Arquivo e Memória de Santos. </w:t>
      </w:r>
    </w:p>
    <w:p>
      <w:pPr>
        <w:pStyle w:val="BodyText"/>
        <w:suppressAutoHyphens w:val="true"/>
        <w:bidi w:val="0"/>
        <w:spacing w:before="3" w:after="3"/>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r>
    </w:p>
    <w:p>
      <w:pPr>
        <w:pStyle w:val="BodyText"/>
        <w:suppressAutoHyphens w:val="true"/>
        <w:bidi w:val="0"/>
        <w:spacing w:before="3" w:after="3"/>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Santos, ___ de ___________ de 2026.</w:t>
      </w:r>
    </w:p>
    <w:p>
      <w:pPr>
        <w:pStyle w:val="BodyText"/>
        <w:suppressAutoHyphens w:val="true"/>
        <w:bidi w:val="0"/>
        <w:spacing w:before="3" w:after="3"/>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r>
    </w:p>
    <w:p>
      <w:pPr>
        <w:pStyle w:val="BodyText"/>
        <w:suppressAutoHyphens w:val="true"/>
        <w:bidi w:val="0"/>
        <w:spacing w:before="3" w:after="3"/>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r>
    </w:p>
    <w:p>
      <w:pPr>
        <w:pStyle w:val="BodyText"/>
        <w:numPr>
          <w:ilvl w:val="0"/>
          <w:numId w:val="0"/>
        </w:numPr>
        <w:suppressAutoHyphens w:val="true"/>
        <w:bidi w:val="0"/>
        <w:spacing w:before="3" w:after="3"/>
        <w:ind w:hanging="0" w:start="72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r>
    </w:p>
    <w:tbl>
      <w:tblPr>
        <w:tblW w:w="8222" w:type="dxa"/>
        <w:jc w:val="center"/>
        <w:tblInd w:w="0" w:type="dxa"/>
        <w:tblLayout w:type="fixed"/>
        <w:tblCellMar>
          <w:top w:w="0" w:type="dxa"/>
          <w:start w:w="108" w:type="dxa"/>
          <w:bottom w:w="0" w:type="dxa"/>
          <w:end w:w="108" w:type="dxa"/>
        </w:tblCellMar>
      </w:tblPr>
      <w:tblGrid>
        <w:gridCol w:w="4322"/>
        <w:gridCol w:w="3900"/>
      </w:tblGrid>
      <w:tr>
        <w:trPr/>
        <w:tc>
          <w:tcPr>
            <w:tcW w:w="4322" w:type="dxa"/>
            <w:tcBorders/>
            <w:vAlign w:val="center"/>
          </w:tcPr>
          <w:p>
            <w:pPr>
              <w:pStyle w:val="BodyText"/>
              <w:numPr>
                <w:ilvl w:val="0"/>
                <w:numId w:val="0"/>
              </w:numPr>
              <w:suppressAutoHyphens w:val="true"/>
              <w:bidi w:val="0"/>
              <w:spacing w:before="3" w:after="3"/>
              <w:ind w:hanging="0" w:start="72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________________________</w:t>
            </w:r>
          </w:p>
        </w:tc>
        <w:tc>
          <w:tcPr>
            <w:tcW w:w="3900" w:type="dxa"/>
            <w:tcBorders/>
            <w:vAlign w:val="center"/>
          </w:tcPr>
          <w:p>
            <w:pPr>
              <w:pStyle w:val="BodyText"/>
              <w:numPr>
                <w:ilvl w:val="0"/>
                <w:numId w:val="0"/>
              </w:numPr>
              <w:suppressAutoHyphens w:val="true"/>
              <w:bidi w:val="0"/>
              <w:spacing w:before="3" w:after="3"/>
              <w:ind w:hanging="0" w:start="72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______________________</w:t>
            </w:r>
          </w:p>
        </w:tc>
      </w:tr>
      <w:tr>
        <w:trPr/>
        <w:tc>
          <w:tcPr>
            <w:tcW w:w="4322" w:type="dxa"/>
            <w:tcBorders/>
            <w:vAlign w:val="center"/>
          </w:tcPr>
          <w:p>
            <w:pPr>
              <w:pStyle w:val="BodyText"/>
              <w:numPr>
                <w:ilvl w:val="0"/>
                <w:numId w:val="0"/>
              </w:numPr>
              <w:suppressAutoHyphens w:val="true"/>
              <w:bidi w:val="0"/>
              <w:spacing w:before="3" w:after="3"/>
              <w:ind w:hanging="0" w:start="72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Diretoria Adm. Financeira</w:t>
              <w:br/>
              <w:t>(assinatura/carimbo)</w:t>
            </w:r>
          </w:p>
        </w:tc>
        <w:tc>
          <w:tcPr>
            <w:tcW w:w="3900" w:type="dxa"/>
            <w:tcBorders/>
            <w:vAlign w:val="center"/>
          </w:tcPr>
          <w:p>
            <w:pPr>
              <w:pStyle w:val="BodyText"/>
              <w:numPr>
                <w:ilvl w:val="0"/>
                <w:numId w:val="0"/>
              </w:numPr>
              <w:suppressAutoHyphens w:val="true"/>
              <w:bidi w:val="0"/>
              <w:spacing w:before="3" w:after="3"/>
              <w:ind w:hanging="0" w:start="72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Presidente – FAMS</w:t>
              <w:br/>
              <w:t>(assinatura/carimbo)</w:t>
            </w:r>
          </w:p>
        </w:tc>
      </w:tr>
    </w:tbl>
    <w:p>
      <w:pPr>
        <w:pStyle w:val="BodyText"/>
        <w:numPr>
          <w:ilvl w:val="0"/>
          <w:numId w:val="0"/>
        </w:numPr>
        <w:suppressAutoHyphens w:val="true"/>
        <w:bidi w:val="0"/>
        <w:spacing w:before="3" w:after="3"/>
        <w:ind w:hanging="0" w:start="72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r>
      <w:r>
        <w:br w:type="page"/>
      </w:r>
    </w:p>
    <w:p>
      <w:pPr>
        <w:pStyle w:val="Normal"/>
        <w:spacing w:before="0" w:after="80"/>
        <w:jc w:val="center"/>
        <w:rPr>
          <w:b/>
          <w:sz w:val="24"/>
          <w:szCs w:val="24"/>
          <w:lang w:val="pt-BR"/>
        </w:rPr>
      </w:pPr>
      <w:r>
        <w:rPr>
          <w:b/>
          <w:sz w:val="24"/>
          <w:szCs w:val="24"/>
          <w:lang w:val="pt-BR"/>
        </w:rPr>
        <w:t>ANEXO II – RELAÇÃO DOS DOCUMENTOS DE HABILITAÇÃO</w:t>
      </w:r>
    </w:p>
    <w:p>
      <w:pPr>
        <w:pStyle w:val="Normal"/>
        <w:jc w:val="center"/>
        <w:rPr>
          <w:lang w:val="pt-BR"/>
        </w:rPr>
      </w:pPr>
      <w:r>
        <w:rPr>
          <w:b/>
          <w:sz w:val="24"/>
          <w:szCs w:val="24"/>
          <w:lang w:val="pt-BR"/>
        </w:rPr>
        <w:t>EDITAL DE DISPENSA ELETRÔNICA n.º 43/2026</w:t>
      </w:r>
    </w:p>
    <w:p>
      <w:pPr>
        <w:pStyle w:val="Normal"/>
        <w:jc w:val="center"/>
        <w:rPr>
          <w:b/>
          <w:sz w:val="24"/>
          <w:szCs w:val="24"/>
          <w:lang w:val="pt-BR"/>
        </w:rPr>
      </w:pPr>
      <w:r>
        <w:rPr>
          <w:b/>
          <w:sz w:val="24"/>
          <w:szCs w:val="24"/>
          <w:lang w:val="pt-BR"/>
        </w:rPr>
        <w:t>PROCESSO n.º 52.501/2026-48</w:t>
      </w:r>
    </w:p>
    <w:p>
      <w:pPr>
        <w:pStyle w:val="Normal"/>
        <w:jc w:val="center"/>
        <w:rPr>
          <w:b/>
          <w:sz w:val="24"/>
          <w:szCs w:val="24"/>
          <w:lang w:val="pt-BR"/>
        </w:rPr>
      </w:pPr>
      <w:r>
        <w:rPr>
          <w:b/>
          <w:sz w:val="24"/>
          <w:szCs w:val="24"/>
          <w:lang w:val="pt-BR"/>
        </w:rPr>
      </w:r>
    </w:p>
    <w:p>
      <w:pPr>
        <w:pStyle w:val="Normal"/>
        <w:rPr>
          <w:b/>
          <w:sz w:val="24"/>
          <w:szCs w:val="24"/>
          <w:lang w:val="pt-BR"/>
        </w:rPr>
      </w:pPr>
      <w:r>
        <w:rPr>
          <w:b/>
          <w:sz w:val="24"/>
          <w:szCs w:val="24"/>
          <w:lang w:val="pt-BR"/>
        </w:rPr>
        <w:t>1. DOCUMENTAÇÃO HABILITATÓRIA</w:t>
      </w:r>
    </w:p>
    <w:p>
      <w:pPr>
        <w:pStyle w:val="Normal"/>
        <w:rPr>
          <w:b/>
          <w:sz w:val="24"/>
          <w:szCs w:val="24"/>
          <w:lang w:val="pt-BR"/>
        </w:rPr>
      </w:pPr>
      <w:r>
        <w:rPr>
          <w:b/>
          <w:sz w:val="24"/>
          <w:szCs w:val="24"/>
          <w:lang w:val="pt-BR"/>
        </w:rPr>
        <w:t>1.1.</w:t>
      </w:r>
      <w:r>
        <w:rPr>
          <w:b w:val="false"/>
          <w:bCs w:val="false"/>
          <w:sz w:val="24"/>
          <w:szCs w:val="24"/>
          <w:lang w:val="pt-BR"/>
        </w:rPr>
        <w:t xml:space="preserve"> O licitante classificado em primeiro lugar em cada lote deverá encaminhar a seguinte documentação:</w:t>
      </w:r>
    </w:p>
    <w:p>
      <w:pPr>
        <w:pStyle w:val="Normal"/>
        <w:spacing w:lineRule="auto" w:line="276"/>
        <w:ind w:start="360" w:end="0"/>
        <w:rPr>
          <w:lang w:val="pt-BR"/>
        </w:rPr>
      </w:pPr>
      <w:r>
        <w:rPr>
          <w:rFonts w:cs="Arial"/>
          <w:b/>
          <w:sz w:val="24"/>
          <w:szCs w:val="24"/>
          <w:lang w:val="pt-BR"/>
        </w:rPr>
        <w:t>HABILITAÇÃO JURÍDICA</w:t>
      </w:r>
    </w:p>
    <w:p>
      <w:pPr>
        <w:pStyle w:val="Normal"/>
        <w:numPr>
          <w:ilvl w:val="2"/>
          <w:numId w:val="1"/>
        </w:numPr>
        <w:suppressAutoHyphens w:val="true"/>
        <w:spacing w:lineRule="auto" w:line="276" w:before="0" w:after="0"/>
        <w:jc w:val="both"/>
        <w:rPr>
          <w:lang w:val="pt-BR"/>
        </w:rPr>
      </w:pPr>
      <w:r>
        <w:rPr>
          <w:rFonts w:cs="Arial"/>
          <w:sz w:val="24"/>
          <w:szCs w:val="24"/>
          <w:lang w:val="pt-BR"/>
        </w:rPr>
        <w:t>Ato constitutivo, estatuto ou contrato social em vigor, devidamente registrado em se tratando de sociedades empresariais e, no caso de sociedade por ações, acompanhado de documentos de eleição de seus administradores;</w:t>
      </w:r>
    </w:p>
    <w:p>
      <w:pPr>
        <w:pStyle w:val="Normal"/>
        <w:numPr>
          <w:ilvl w:val="2"/>
          <w:numId w:val="1"/>
        </w:numPr>
        <w:suppressAutoHyphens w:val="true"/>
        <w:spacing w:lineRule="auto" w:line="276" w:before="0" w:after="0"/>
        <w:jc w:val="both"/>
        <w:rPr>
          <w:lang w:val="pt-BR"/>
        </w:rPr>
      </w:pPr>
      <w:r>
        <w:rPr>
          <w:rFonts w:cs="Arial"/>
          <w:sz w:val="24"/>
          <w:szCs w:val="24"/>
          <w:lang w:val="pt-BR"/>
        </w:rPr>
        <w:t>Registro comercial, no caso de empresa individual;</w:t>
      </w:r>
    </w:p>
    <w:p>
      <w:pPr>
        <w:pStyle w:val="Normal"/>
        <w:numPr>
          <w:ilvl w:val="2"/>
          <w:numId w:val="1"/>
        </w:numPr>
        <w:suppressAutoHyphens w:val="true"/>
        <w:spacing w:lineRule="auto" w:line="276" w:before="0" w:after="0"/>
        <w:jc w:val="both"/>
        <w:rPr>
          <w:lang w:val="pt-BR"/>
        </w:rPr>
      </w:pPr>
      <w:r>
        <w:rPr>
          <w:rFonts w:cs="Arial"/>
          <w:sz w:val="24"/>
          <w:szCs w:val="24"/>
          <w:lang w:val="pt-BR"/>
        </w:rPr>
        <w:t>Inscrição do ato constitutivo, no caso de sociedades simples, acompanhada de prova da composição da diretoria em exercício;</w:t>
      </w:r>
    </w:p>
    <w:p>
      <w:pPr>
        <w:pStyle w:val="Normal"/>
        <w:numPr>
          <w:ilvl w:val="2"/>
          <w:numId w:val="1"/>
        </w:numPr>
        <w:suppressAutoHyphens w:val="true"/>
        <w:spacing w:lineRule="auto" w:line="276" w:before="0" w:after="0"/>
        <w:jc w:val="both"/>
        <w:rPr>
          <w:lang w:val="pt-BR"/>
        </w:rPr>
      </w:pPr>
      <w:r>
        <w:rPr>
          <w:rFonts w:cs="Arial"/>
          <w:sz w:val="24"/>
          <w:szCs w:val="24"/>
          <w:lang w:val="pt-BR"/>
        </w:rPr>
        <w:t>Os documentos apresentados deverão estar acompanhados de todas as alterações ou da consolidação respectiva.</w:t>
      </w:r>
    </w:p>
    <w:p>
      <w:pPr>
        <w:pStyle w:val="Normal"/>
        <w:suppressAutoHyphens w:val="true"/>
        <w:spacing w:lineRule="auto" w:line="276" w:before="0" w:after="0"/>
        <w:ind w:start="1440" w:end="0"/>
        <w:rPr>
          <w:rFonts w:ascii="Arial" w:hAnsi="Arial" w:cs="Arial"/>
          <w:sz w:val="24"/>
          <w:szCs w:val="24"/>
          <w:lang w:val="pt-BR"/>
        </w:rPr>
      </w:pPr>
      <w:r>
        <w:rPr>
          <w:rFonts w:cs="Arial"/>
          <w:sz w:val="24"/>
          <w:szCs w:val="24"/>
          <w:lang w:val="pt-BR"/>
        </w:rPr>
      </w:r>
    </w:p>
    <w:p>
      <w:pPr>
        <w:pStyle w:val="Normal"/>
        <w:spacing w:lineRule="auto" w:line="276"/>
        <w:ind w:firstLine="360" w:end="0"/>
        <w:rPr>
          <w:lang w:val="pt-BR"/>
        </w:rPr>
      </w:pPr>
      <w:r>
        <w:rPr>
          <w:rFonts w:cs="Arial"/>
          <w:b/>
          <w:sz w:val="24"/>
          <w:szCs w:val="24"/>
          <w:lang w:val="pt-BR"/>
        </w:rPr>
        <w:t>HABILITAÇÃO FISCAL, SOCIAL E TRABALHISTA</w:t>
      </w:r>
    </w:p>
    <w:p>
      <w:pPr>
        <w:pStyle w:val="Normal"/>
        <w:numPr>
          <w:ilvl w:val="2"/>
          <w:numId w:val="1"/>
        </w:numPr>
        <w:suppressAutoHyphens w:val="true"/>
        <w:spacing w:lineRule="auto" w:line="276" w:before="0" w:after="0"/>
        <w:rPr>
          <w:lang w:val="pt-BR"/>
        </w:rPr>
      </w:pPr>
      <w:r>
        <w:rPr>
          <w:rFonts w:cs="Arial"/>
          <w:sz w:val="24"/>
          <w:szCs w:val="24"/>
          <w:lang w:val="pt-BR"/>
        </w:rPr>
        <w:t xml:space="preserve">Prova de inscrição do </w:t>
      </w:r>
      <w:r>
        <w:rPr>
          <w:rFonts w:cs="Arial"/>
          <w:b/>
          <w:sz w:val="24"/>
          <w:szCs w:val="24"/>
          <w:lang w:val="pt-BR"/>
        </w:rPr>
        <w:t>CNPJ</w:t>
      </w:r>
      <w:r>
        <w:rPr>
          <w:rFonts w:cs="Arial"/>
          <w:sz w:val="24"/>
          <w:szCs w:val="24"/>
          <w:lang w:val="pt-BR"/>
        </w:rPr>
        <w:t>;</w:t>
      </w:r>
    </w:p>
    <w:p>
      <w:pPr>
        <w:pStyle w:val="Normal"/>
        <w:numPr>
          <w:ilvl w:val="2"/>
          <w:numId w:val="1"/>
        </w:numPr>
        <w:suppressAutoHyphens w:val="true"/>
        <w:spacing w:lineRule="auto" w:line="276" w:before="0" w:after="0"/>
        <w:jc w:val="both"/>
        <w:rPr>
          <w:lang w:val="pt-BR"/>
        </w:rPr>
      </w:pPr>
      <w:r>
        <w:rPr>
          <w:rFonts w:cs="Arial"/>
          <w:sz w:val="24"/>
          <w:szCs w:val="24"/>
          <w:lang w:val="pt-BR"/>
        </w:rPr>
        <w:t xml:space="preserve">Prova de regularidade relativa ao </w:t>
      </w:r>
      <w:r>
        <w:rPr>
          <w:rFonts w:cs="Arial"/>
          <w:b/>
          <w:sz w:val="24"/>
          <w:szCs w:val="24"/>
          <w:lang w:val="pt-BR"/>
        </w:rPr>
        <w:t>FGTS</w:t>
      </w:r>
      <w:r>
        <w:rPr>
          <w:rFonts w:cs="Arial"/>
          <w:sz w:val="24"/>
          <w:szCs w:val="24"/>
          <w:lang w:val="pt-BR"/>
        </w:rPr>
        <w:t>, demonstrando situação regular no cumprimento dos encargos sociais instituídos pela Lei (Certificado do F.G.T.S.);</w:t>
      </w:r>
    </w:p>
    <w:p>
      <w:pPr>
        <w:pStyle w:val="Normal"/>
        <w:numPr>
          <w:ilvl w:val="2"/>
          <w:numId w:val="1"/>
        </w:numPr>
        <w:suppressAutoHyphens w:val="true"/>
        <w:spacing w:lineRule="auto" w:line="276" w:before="0" w:after="0"/>
        <w:jc w:val="both"/>
        <w:rPr>
          <w:lang w:val="pt-BR"/>
        </w:rPr>
      </w:pPr>
      <w:r>
        <w:rPr>
          <w:rFonts w:cs="Arial"/>
          <w:sz w:val="24"/>
          <w:szCs w:val="24"/>
          <w:lang w:val="pt-BR"/>
        </w:rPr>
        <w:t xml:space="preserve">Prova de regularidade fiscal para com a </w:t>
      </w:r>
      <w:r>
        <w:rPr>
          <w:rFonts w:cs="Arial"/>
          <w:b/>
          <w:sz w:val="24"/>
          <w:szCs w:val="24"/>
          <w:lang w:val="pt-BR"/>
        </w:rPr>
        <w:t>Fazenda Federal</w:t>
      </w:r>
      <w:r>
        <w:rPr>
          <w:rFonts w:cs="Arial"/>
          <w:sz w:val="24"/>
          <w:szCs w:val="24"/>
          <w:lang w:val="pt-BR"/>
        </w:rPr>
        <w:t>: Certidão Negativa de Débitos Relativos a Créditos Tributários Federais e a Dívida Ativa da União ou Positiva com efeito de Negativa, emitida pela Receita Federal do Brasil, em conjunto com a Procuradoria-Geral da Fazenda Nacional – Portaria Conjunta PGFN/RFB nº 1.751, de 02 de outubro de 2014, ou outro meio equivalente admitido por Lei;</w:t>
      </w:r>
    </w:p>
    <w:p>
      <w:pPr>
        <w:pStyle w:val="Normal"/>
        <w:numPr>
          <w:ilvl w:val="2"/>
          <w:numId w:val="1"/>
        </w:numPr>
        <w:suppressAutoHyphens w:val="true"/>
        <w:spacing w:lineRule="auto" w:line="276" w:before="0" w:after="0"/>
        <w:jc w:val="both"/>
        <w:rPr>
          <w:lang w:val="pt-BR"/>
        </w:rPr>
      </w:pPr>
      <w:r>
        <w:rPr>
          <w:rFonts w:cs="Arial"/>
          <w:sz w:val="24"/>
          <w:szCs w:val="24"/>
          <w:lang w:val="pt-BR"/>
        </w:rPr>
        <w:t xml:space="preserve">Prova de regularidade fiscal para com a </w:t>
      </w:r>
      <w:r>
        <w:rPr>
          <w:rFonts w:cs="Arial"/>
          <w:b/>
          <w:sz w:val="24"/>
          <w:szCs w:val="24"/>
          <w:lang w:val="pt-BR"/>
        </w:rPr>
        <w:t>Fazenda Estadual</w:t>
      </w:r>
      <w:r>
        <w:rPr>
          <w:rFonts w:cs="Arial"/>
          <w:sz w:val="24"/>
          <w:szCs w:val="24"/>
          <w:lang w:val="pt-BR"/>
        </w:rPr>
        <w:t>, do domicílio ou sede do licitante, composta de Certidão Negativa de Tributos Estaduais ou Positiva com efeito de Negativa, expedida pela Secretaria da Fazenda do Governo do Estado, ou outro meio equivalente admitido por Lei;</w:t>
      </w:r>
    </w:p>
    <w:p>
      <w:pPr>
        <w:pStyle w:val="Normal"/>
        <w:numPr>
          <w:ilvl w:val="2"/>
          <w:numId w:val="1"/>
        </w:numPr>
        <w:suppressAutoHyphens w:val="true"/>
        <w:spacing w:lineRule="auto" w:line="276" w:before="0" w:after="0"/>
        <w:jc w:val="both"/>
        <w:rPr>
          <w:lang w:val="pt-BR"/>
        </w:rPr>
      </w:pPr>
      <w:r>
        <w:rPr>
          <w:rFonts w:cs="Arial"/>
          <w:sz w:val="24"/>
          <w:szCs w:val="24"/>
          <w:lang w:val="pt-BR"/>
        </w:rPr>
        <w:t xml:space="preserve">Prova de regularidade fiscal para com a </w:t>
      </w:r>
      <w:r>
        <w:rPr>
          <w:rFonts w:cs="Arial"/>
          <w:b/>
          <w:sz w:val="24"/>
          <w:szCs w:val="24"/>
          <w:lang w:val="pt-BR"/>
        </w:rPr>
        <w:t>Fazenda Municipal</w:t>
      </w:r>
      <w:r>
        <w:rPr>
          <w:rFonts w:cs="Arial"/>
          <w:sz w:val="24"/>
          <w:szCs w:val="24"/>
          <w:lang w:val="pt-BR"/>
        </w:rPr>
        <w:t>, do domicílio ou sede do licitante, composta de Certidão Negativa de Tributos Mobiliários ou Positiva com efeito de Negativa, expedida pela Secretaria de Finanças do Município, ou outro meio equivalente admitido por Lei;</w:t>
      </w:r>
    </w:p>
    <w:p>
      <w:pPr>
        <w:pStyle w:val="Normal"/>
        <w:numPr>
          <w:ilvl w:val="2"/>
          <w:numId w:val="1"/>
        </w:numPr>
        <w:suppressAutoHyphens w:val="true"/>
        <w:spacing w:lineRule="auto" w:line="276" w:before="0" w:after="0"/>
        <w:jc w:val="both"/>
        <w:rPr>
          <w:lang w:val="pt-BR"/>
        </w:rPr>
      </w:pPr>
      <w:r>
        <w:rPr>
          <w:rFonts w:cs="Arial"/>
          <w:sz w:val="24"/>
          <w:szCs w:val="24"/>
          <w:lang w:val="pt-BR"/>
        </w:rPr>
        <w:t xml:space="preserve">Prova de inexistência de débitos inadimplidos perante a </w:t>
      </w:r>
      <w:r>
        <w:rPr>
          <w:rFonts w:cs="Arial"/>
          <w:b/>
          <w:sz w:val="24"/>
          <w:szCs w:val="24"/>
          <w:lang w:val="pt-BR"/>
        </w:rPr>
        <w:t>Justiça do Trabalho</w:t>
      </w:r>
      <w:r>
        <w:rPr>
          <w:rFonts w:cs="Arial"/>
          <w:sz w:val="24"/>
          <w:szCs w:val="24"/>
          <w:lang w:val="pt-BR"/>
        </w:rPr>
        <w:t>, mediante a apresentação de Certidão Negativa de Débitos Trabalhistas – CNDT ou Certidão Positiva de Débitos Trabalhistas com Efeitos Negativos, expedida nas páginas eletrônicas do Tribunal Superior do Trabalho (Lei Federal n.º 12.440/2011 e Resolução Administrativa n.º 1.470 de 24 de agosto de 2011).</w:t>
      </w:r>
    </w:p>
    <w:p>
      <w:pPr>
        <w:pStyle w:val="Normal"/>
        <w:suppressAutoHyphens w:val="true"/>
        <w:spacing w:lineRule="auto" w:line="276" w:before="0" w:after="0"/>
        <w:rPr>
          <w:rFonts w:ascii="Arial" w:hAnsi="Arial"/>
          <w:sz w:val="24"/>
          <w:szCs w:val="24"/>
          <w:lang w:val="pt-BR"/>
        </w:rPr>
      </w:pPr>
      <w:r>
        <w:rPr>
          <w:sz w:val="24"/>
          <w:szCs w:val="24"/>
          <w:lang w:val="pt-BR"/>
        </w:rPr>
      </w:r>
    </w:p>
    <w:p>
      <w:pPr>
        <w:pStyle w:val="Normal"/>
        <w:spacing w:lineRule="auto" w:line="276"/>
        <w:ind w:start="360" w:end="0"/>
        <w:rPr>
          <w:lang w:val="pt-BR"/>
        </w:rPr>
      </w:pPr>
      <w:r>
        <w:rPr>
          <w:rFonts w:cs="Arial"/>
          <w:b/>
          <w:sz w:val="24"/>
          <w:szCs w:val="24"/>
          <w:lang w:val="pt-BR"/>
        </w:rPr>
        <w:t>QUALIFICAÇÃO ECONÔMICO-FINANCEIRA</w:t>
      </w:r>
    </w:p>
    <w:p>
      <w:pPr>
        <w:pStyle w:val="Normal"/>
        <w:numPr>
          <w:ilvl w:val="2"/>
          <w:numId w:val="1"/>
        </w:numPr>
        <w:suppressAutoHyphens w:val="true"/>
        <w:spacing w:lineRule="auto" w:line="276" w:before="0" w:after="0"/>
        <w:ind w:hanging="1018" w:start="1276" w:end="0"/>
        <w:jc w:val="both"/>
        <w:rPr>
          <w:lang w:val="pt-BR"/>
        </w:rPr>
      </w:pPr>
      <w:r>
        <w:rPr>
          <w:rFonts w:eastAsia="Arial" w:cs="Arial"/>
          <w:b w:val="false"/>
          <w:bCs w:val="false"/>
          <w:sz w:val="24"/>
          <w:szCs w:val="24"/>
          <w:lang w:val="pt-BR"/>
        </w:rPr>
        <w:t xml:space="preserve">Certidão Negativa de Falência expedida pelo distribuidor da sede da empresa ou de execução patrimonial do domicílio da pessoa física ou de firma individual, cuja data de emissão não poderá ser superior a </w:t>
      </w:r>
      <w:r>
        <w:rPr>
          <w:rFonts w:eastAsia="Arial" w:cs="Arial"/>
          <w:b/>
          <w:bCs/>
          <w:sz w:val="24"/>
          <w:szCs w:val="24"/>
          <w:lang w:val="pt-BR"/>
        </w:rPr>
        <w:t>60 (sessenta) dias da data da abertura desta licitação</w:t>
      </w:r>
      <w:r>
        <w:rPr>
          <w:rFonts w:eastAsia="Arial" w:cs="Arial"/>
          <w:b w:val="false"/>
          <w:bCs w:val="false"/>
          <w:sz w:val="24"/>
          <w:szCs w:val="24"/>
          <w:lang w:val="pt-BR"/>
        </w:rPr>
        <w:t>.</w:t>
      </w:r>
    </w:p>
    <w:p>
      <w:pPr>
        <w:pStyle w:val="Normal"/>
        <w:numPr>
          <w:ilvl w:val="0"/>
          <w:numId w:val="0"/>
        </w:numPr>
        <w:suppressAutoHyphens w:val="true"/>
        <w:spacing w:lineRule="auto" w:line="276" w:before="0" w:after="0"/>
        <w:ind w:hanging="0" w:start="1276" w:end="0"/>
        <w:rPr>
          <w:rFonts w:ascii="Arial" w:hAnsi="Arial" w:eastAsia="Arial" w:cs="Arial"/>
          <w:b w:val="false"/>
          <w:bCs w:val="false"/>
          <w:sz w:val="24"/>
          <w:szCs w:val="24"/>
          <w:lang w:val="pt-BR"/>
        </w:rPr>
      </w:pPr>
      <w:r>
        <w:rPr>
          <w:rFonts w:eastAsia="Arial" w:cs="Arial"/>
          <w:b w:val="false"/>
          <w:bCs w:val="false"/>
          <w:sz w:val="24"/>
          <w:szCs w:val="24"/>
          <w:lang w:val="pt-BR"/>
        </w:rPr>
      </w:r>
    </w:p>
    <w:p>
      <w:pPr>
        <w:pStyle w:val="Normal"/>
        <w:spacing w:lineRule="auto" w:line="276"/>
        <w:jc w:val="both"/>
        <w:rPr>
          <w:lang w:val="pt-BR"/>
        </w:rPr>
      </w:pPr>
      <w:r>
        <w:rPr>
          <w:b/>
          <w:bCs/>
          <w:sz w:val="24"/>
          <w:szCs w:val="24"/>
          <w:lang w:val="pt-BR"/>
        </w:rPr>
        <w:t>2.</w:t>
      </w:r>
      <w:r>
        <w:rPr>
          <w:sz w:val="24"/>
          <w:szCs w:val="24"/>
          <w:lang w:val="pt-BR"/>
        </w:rPr>
        <w:t xml:space="preserve"> </w:t>
      </w:r>
      <w:r>
        <w:rPr>
          <w:b/>
          <w:bCs/>
          <w:sz w:val="24"/>
          <w:szCs w:val="24"/>
          <w:lang w:val="pt-BR"/>
        </w:rPr>
        <w:t xml:space="preserve">APRESENTAÇÃO DOS DOCUMENTOS </w:t>
      </w:r>
    </w:p>
    <w:p>
      <w:pPr>
        <w:pStyle w:val="Normal"/>
        <w:spacing w:lineRule="auto" w:line="276"/>
        <w:jc w:val="both"/>
        <w:rPr>
          <w:lang w:val="pt-BR"/>
        </w:rPr>
      </w:pPr>
      <w:r>
        <w:rPr>
          <w:sz w:val="24"/>
          <w:szCs w:val="24"/>
          <w:lang w:val="pt-BR"/>
        </w:rPr>
        <w:t>Os documentos exigidos para fins de habilitação poderão ser apresentados em original, por cópia ou por verificação de autenticidade via internet.</w:t>
      </w:r>
    </w:p>
    <w:p>
      <w:pPr>
        <w:pStyle w:val="Normal"/>
        <w:spacing w:lineRule="auto" w:line="276" w:before="0" w:after="0"/>
        <w:jc w:val="both"/>
        <w:rPr>
          <w:rFonts w:ascii="Arial" w:hAnsi="Arial"/>
          <w:sz w:val="24"/>
          <w:szCs w:val="24"/>
          <w:lang w:val="pt-BR"/>
        </w:rPr>
      </w:pPr>
      <w:r>
        <w:rPr>
          <w:sz w:val="24"/>
          <w:szCs w:val="24"/>
          <w:lang w:val="pt-BR"/>
        </w:rPr>
      </w:r>
    </w:p>
    <w:p>
      <w:pPr>
        <w:pStyle w:val="Normal"/>
        <w:spacing w:lineRule="auto" w:line="276"/>
        <w:jc w:val="both"/>
        <w:rPr>
          <w:lang w:val="pt-BR"/>
        </w:rPr>
      </w:pPr>
      <w:r>
        <w:rPr>
          <w:b/>
          <w:bCs/>
          <w:sz w:val="24"/>
          <w:szCs w:val="24"/>
          <w:lang w:val="pt-BR"/>
        </w:rPr>
        <w:t>3. PRAZO DE VALIDADE DOS DOCUMENTOS</w:t>
      </w:r>
    </w:p>
    <w:p>
      <w:pPr>
        <w:pStyle w:val="Normal"/>
        <w:spacing w:lineRule="auto" w:line="276"/>
        <w:jc w:val="both"/>
        <w:rPr>
          <w:lang w:val="pt-BR"/>
        </w:rPr>
      </w:pPr>
      <w:r>
        <w:rPr>
          <w:sz w:val="24"/>
          <w:szCs w:val="24"/>
          <w:lang w:val="pt-BR"/>
        </w:rPr>
        <w:t xml:space="preserve">Nos documentos em que não houver prazo de validade assinalado, serão considerados válidos os emitidos até </w:t>
      </w:r>
      <w:r>
        <w:rPr>
          <w:b/>
          <w:bCs/>
          <w:sz w:val="24"/>
          <w:szCs w:val="24"/>
          <w:lang w:val="pt-BR"/>
        </w:rPr>
        <w:t>90 (noventa) dias</w:t>
      </w:r>
      <w:r>
        <w:rPr>
          <w:sz w:val="24"/>
          <w:szCs w:val="24"/>
          <w:lang w:val="pt-BR"/>
        </w:rPr>
        <w:t xml:space="preserve">, antes da data da abertura desta licitação, exceção feita ao item </w:t>
      </w:r>
      <w:r>
        <w:rPr>
          <w:b/>
          <w:sz w:val="24"/>
          <w:szCs w:val="24"/>
          <w:lang w:val="pt-BR"/>
        </w:rPr>
        <w:t>1.1.11.</w:t>
      </w:r>
      <w:r>
        <w:rPr>
          <w:sz w:val="24"/>
          <w:szCs w:val="24"/>
          <w:lang w:val="pt-BR"/>
        </w:rPr>
        <w:t xml:space="preserve"> deste Anexo;</w:t>
      </w:r>
    </w:p>
    <w:p>
      <w:pPr>
        <w:pStyle w:val="Normal"/>
        <w:spacing w:lineRule="auto" w:line="276" w:before="0" w:after="0"/>
        <w:jc w:val="both"/>
        <w:rPr>
          <w:rFonts w:ascii="Arial" w:hAnsi="Arial"/>
          <w:sz w:val="24"/>
          <w:szCs w:val="24"/>
          <w:lang w:val="pt-BR"/>
        </w:rPr>
      </w:pPr>
      <w:r>
        <w:rPr>
          <w:sz w:val="24"/>
          <w:szCs w:val="24"/>
          <w:lang w:val="pt-BR"/>
        </w:rPr>
      </w:r>
    </w:p>
    <w:p>
      <w:pPr>
        <w:pStyle w:val="Normal"/>
        <w:spacing w:lineRule="auto" w:line="276"/>
        <w:jc w:val="both"/>
        <w:rPr>
          <w:lang w:val="pt-BR"/>
        </w:rPr>
      </w:pPr>
      <w:r>
        <w:rPr>
          <w:b/>
          <w:bCs/>
          <w:sz w:val="24"/>
          <w:szCs w:val="24"/>
          <w:lang w:val="pt-BR"/>
        </w:rPr>
        <w:t xml:space="preserve">4. </w:t>
      </w:r>
      <w:r>
        <w:rPr>
          <w:sz w:val="24"/>
          <w:szCs w:val="24"/>
          <w:lang w:val="pt-BR"/>
        </w:rPr>
        <w:t>Todos os documentos deverão se reportar à sede ou filial que participou da licitação e que executará o fornecimento.</w:t>
      </w:r>
    </w:p>
    <w:p>
      <w:pPr>
        <w:pStyle w:val="Normal"/>
        <w:spacing w:lineRule="auto" w:line="276"/>
        <w:jc w:val="both"/>
        <w:rPr>
          <w:lang w:val="pt-BR"/>
        </w:rPr>
      </w:pPr>
      <w:r>
        <w:rPr>
          <w:b/>
          <w:bCs/>
          <w:sz w:val="24"/>
          <w:szCs w:val="24"/>
          <w:lang w:val="pt-BR"/>
        </w:rPr>
        <w:t>4.1.</w:t>
      </w:r>
      <w:r>
        <w:rPr>
          <w:sz w:val="24"/>
          <w:szCs w:val="24"/>
          <w:lang w:val="pt-BR"/>
        </w:rPr>
        <w:t xml:space="preserve"> No caso de o licitante desejar que um de seus estabelecimentos, distinto daquele participante da Dispensa Eletrônica, execute o fornecimento, deverão ser atendidos os seguintes requisitos:</w:t>
      </w:r>
    </w:p>
    <w:p>
      <w:pPr>
        <w:pStyle w:val="Normal"/>
        <w:numPr>
          <w:ilvl w:val="0"/>
          <w:numId w:val="2"/>
        </w:numPr>
        <w:spacing w:lineRule="auto" w:line="276"/>
        <w:jc w:val="both"/>
        <w:rPr>
          <w:lang w:val="pt-BR"/>
        </w:rPr>
      </w:pPr>
      <w:r>
        <w:rPr>
          <w:sz w:val="24"/>
          <w:szCs w:val="24"/>
          <w:lang w:val="pt-BR"/>
        </w:rPr>
        <w:t xml:space="preserve">que o ato constitutivo da licitante (matriz) conste expressamente a filial; </w:t>
      </w:r>
    </w:p>
    <w:p>
      <w:pPr>
        <w:pStyle w:val="Normal"/>
        <w:numPr>
          <w:ilvl w:val="0"/>
          <w:numId w:val="2"/>
        </w:numPr>
        <w:spacing w:lineRule="auto" w:line="276"/>
        <w:jc w:val="both"/>
        <w:rPr>
          <w:sz w:val="24"/>
          <w:szCs w:val="24"/>
          <w:lang w:val="pt-BR"/>
        </w:rPr>
      </w:pPr>
      <w:r>
        <w:rPr>
          <w:sz w:val="24"/>
          <w:szCs w:val="24"/>
          <w:lang w:val="pt-BR"/>
        </w:rPr>
        <w:t>que a licitante informe que o objeto será executado pela filial, quando então deverá ser comprovada a regularidade fiscal de ambos os estabelecimentos, com a apresentação das certidões negativas.</w:t>
      </w:r>
    </w:p>
    <w:p>
      <w:pPr>
        <w:pStyle w:val="Normal"/>
        <w:spacing w:lineRule="auto" w:line="276" w:before="0" w:after="0"/>
        <w:jc w:val="both"/>
        <w:rPr>
          <w:rFonts w:ascii="Arial" w:hAnsi="Arial"/>
          <w:sz w:val="24"/>
          <w:szCs w:val="24"/>
          <w:lang w:val="pt-BR"/>
        </w:rPr>
      </w:pPr>
      <w:r>
        <w:rPr>
          <w:sz w:val="24"/>
          <w:szCs w:val="24"/>
          <w:lang w:val="pt-BR"/>
        </w:rPr>
      </w:r>
    </w:p>
    <w:p>
      <w:pPr>
        <w:pStyle w:val="Normal"/>
        <w:spacing w:lineRule="auto" w:line="276"/>
        <w:jc w:val="both"/>
        <w:rPr>
          <w:lang w:val="pt-BR"/>
        </w:rPr>
      </w:pPr>
      <w:r>
        <w:rPr>
          <w:b/>
          <w:bCs/>
          <w:sz w:val="24"/>
          <w:szCs w:val="24"/>
          <w:lang w:val="pt-BR"/>
        </w:rPr>
        <w:t>5.</w:t>
      </w:r>
      <w:r>
        <w:rPr>
          <w:sz w:val="24"/>
          <w:szCs w:val="24"/>
          <w:lang w:val="pt-BR"/>
        </w:rPr>
        <w:t xml:space="preserve"> Não serão aceitos documentos sob a forma de protocolo ou com a validade vencida.</w:t>
      </w:r>
    </w:p>
    <w:p>
      <w:pPr>
        <w:pStyle w:val="Normal"/>
        <w:spacing w:lineRule="auto" w:line="276"/>
        <w:jc w:val="both"/>
        <w:rPr>
          <w:lang w:val="pt-BR"/>
        </w:rPr>
      </w:pPr>
      <w:r>
        <w:rPr>
          <w:b/>
          <w:bCs/>
          <w:sz w:val="24"/>
          <w:szCs w:val="24"/>
          <w:lang w:val="pt-BR"/>
        </w:rPr>
        <w:t>6.</w:t>
      </w:r>
      <w:r>
        <w:rPr>
          <w:sz w:val="24"/>
          <w:szCs w:val="24"/>
          <w:lang w:val="pt-BR"/>
        </w:rPr>
        <w:t xml:space="preserve"> Somente empresas que tenham o ramo de atividade compatível com o solicitado poderão participar da dispensa eletrônica de licitação; o não cumprimento acarretará a inabilitação.</w:t>
      </w:r>
    </w:p>
    <w:p>
      <w:pPr>
        <w:pStyle w:val="Normal"/>
        <w:spacing w:lineRule="auto" w:line="276"/>
        <w:jc w:val="both"/>
        <w:rPr>
          <w:lang w:val="pt-BR"/>
        </w:rPr>
      </w:pPr>
      <w:r>
        <w:rPr>
          <w:b/>
          <w:bCs/>
          <w:sz w:val="24"/>
          <w:szCs w:val="24"/>
          <w:lang w:val="pt-BR"/>
        </w:rPr>
        <w:t>7. OBS.: NOTA FISCAL ELETRÔNICA</w:t>
      </w:r>
    </w:p>
    <w:p>
      <w:pPr>
        <w:pStyle w:val="Normal"/>
        <w:spacing w:lineRule="auto" w:line="276"/>
        <w:jc w:val="both"/>
        <w:rPr>
          <w:lang w:val="pt-BR"/>
        </w:rPr>
      </w:pPr>
      <w:r>
        <w:rPr>
          <w:b w:val="false"/>
          <w:sz w:val="24"/>
          <w:szCs w:val="24"/>
          <w:lang w:val="pt-BR"/>
        </w:rPr>
        <w:t>De acordo com a Portaria CAT-162/2008, de 29/12/2008, e demais normas aplicáveis, os contribuintes obrigados deverão emitir Nota Fiscal Eletrônica – NF-e. O Decreto n.º 50.437/2005 acrescentou ao art. 124 do Regulamento do ICMS, aprovado pelo Decreto n.º 45.490/2000, os incisos XXII e XXIII, relativos à Nota Fiscal Eletrônica – NF-e e ao Documento Auxiliar da Nota Fiscal Eletrônica – DANFE, observadas as alterações posteriores da legislação.</w:t>
      </w:r>
    </w:p>
    <w:p>
      <w:pPr>
        <w:pStyle w:val="Normal"/>
        <w:spacing w:before="0" w:after="80"/>
        <w:jc w:val="center"/>
        <w:rPr>
          <w:b/>
          <w:sz w:val="24"/>
          <w:szCs w:val="24"/>
          <w:lang w:val="pt-BR"/>
        </w:rPr>
      </w:pPr>
      <w:r>
        <w:rPr>
          <w:b/>
          <w:sz w:val="24"/>
          <w:szCs w:val="24"/>
          <w:lang w:val="pt-BR"/>
        </w:rPr>
        <w:t>ANEXO III – MODELO DE PROPOSTA COMERCIAL</w:t>
      </w:r>
    </w:p>
    <w:p>
      <w:pPr>
        <w:pStyle w:val="Normal"/>
        <w:spacing w:before="0" w:after="80"/>
        <w:jc w:val="center"/>
        <w:rPr>
          <w:b/>
          <w:sz w:val="24"/>
          <w:szCs w:val="24"/>
          <w:lang w:val="pt-BR"/>
        </w:rPr>
      </w:pPr>
      <w:r>
        <w:rPr>
          <w:b/>
          <w:sz w:val="24"/>
          <w:szCs w:val="24"/>
          <w:lang w:val="pt-BR"/>
        </w:rPr>
      </w:r>
    </w:p>
    <w:p>
      <w:pPr>
        <w:pStyle w:val="Normal"/>
        <w:jc w:val="center"/>
        <w:rPr>
          <w:lang w:val="pt-BR"/>
        </w:rPr>
      </w:pPr>
      <w:r>
        <w:rPr>
          <w:b/>
          <w:sz w:val="24"/>
          <w:szCs w:val="24"/>
          <w:lang w:val="pt-BR"/>
        </w:rPr>
        <w:t>(ATENÇÃO: A PROPOSTA COMERCIAL DEVERÁ SEGUIR O MODELO ABAIXO)</w:t>
      </w:r>
    </w:p>
    <w:p>
      <w:pPr>
        <w:pStyle w:val="Normal"/>
        <w:jc w:val="center"/>
        <w:rPr>
          <w:lang w:val="pt-BR"/>
        </w:rPr>
      </w:pPr>
      <w:r>
        <w:rPr>
          <w:b/>
          <w:sz w:val="24"/>
          <w:szCs w:val="24"/>
          <w:lang w:val="pt-BR"/>
        </w:rPr>
        <w:t>EDITAL DE DISPENSA ELETRÔNICA n.º 43/2026</w:t>
      </w:r>
    </w:p>
    <w:p>
      <w:pPr>
        <w:pStyle w:val="Normal"/>
        <w:jc w:val="center"/>
        <w:rPr>
          <w:b/>
          <w:sz w:val="24"/>
          <w:szCs w:val="24"/>
          <w:lang w:val="pt-BR"/>
        </w:rPr>
      </w:pPr>
      <w:r>
        <w:rPr>
          <w:b/>
          <w:sz w:val="24"/>
          <w:szCs w:val="24"/>
          <w:lang w:val="pt-BR"/>
        </w:rPr>
        <w:t>PROCESSO n.º 52.501/2026-48</w:t>
      </w:r>
    </w:p>
    <w:p>
      <w:pPr>
        <w:pStyle w:val="Normal"/>
        <w:jc w:val="center"/>
        <w:rPr>
          <w:b/>
          <w:sz w:val="24"/>
          <w:szCs w:val="24"/>
          <w:lang w:val="pt-BR"/>
        </w:rPr>
      </w:pPr>
      <w:r>
        <w:rPr>
          <w:b/>
          <w:sz w:val="24"/>
          <w:szCs w:val="24"/>
          <w:lang w:val="pt-BR"/>
        </w:rPr>
      </w:r>
    </w:p>
    <w:tbl>
      <w:tblPr>
        <w:tblW w:w="10221" w:type="dxa"/>
        <w:jc w:val="start"/>
        <w:tblInd w:w="55" w:type="dxa"/>
        <w:tblLayout w:type="fixed"/>
        <w:tblCellMar>
          <w:top w:w="0" w:type="dxa"/>
          <w:start w:w="70" w:type="dxa"/>
          <w:bottom w:w="0" w:type="dxa"/>
          <w:end w:w="70" w:type="dxa"/>
        </w:tblCellMar>
      </w:tblPr>
      <w:tblGrid>
        <w:gridCol w:w="1716"/>
        <w:gridCol w:w="2410"/>
        <w:gridCol w:w="6095"/>
      </w:tblGrid>
      <w:tr>
        <w:trPr>
          <w:trHeight w:val="397" w:hRule="atLeast"/>
        </w:trPr>
        <w:tc>
          <w:tcPr>
            <w:tcW w:w="10221" w:type="dxa"/>
            <w:gridSpan w:val="3"/>
            <w:tcBorders/>
            <w:vAlign w:val="center"/>
          </w:tcPr>
          <w:p>
            <w:pPr>
              <w:pStyle w:val="Normal"/>
              <w:spacing w:before="0" w:after="200"/>
              <w:rPr>
                <w:rFonts w:ascii="Arial" w:hAnsi="Arial" w:cs="Arial"/>
                <w:b/>
                <w:bCs/>
                <w:color w:val="000000"/>
                <w:sz w:val="24"/>
                <w:szCs w:val="24"/>
                <w:lang w:val="pt-BR"/>
              </w:rPr>
            </w:pPr>
            <w:r>
              <w:rPr>
                <w:rFonts w:cs="Arial"/>
                <w:b/>
                <w:bCs/>
                <w:color w:val="000000"/>
                <w:sz w:val="24"/>
                <w:szCs w:val="24"/>
                <w:lang w:val="pt-BR"/>
              </w:rPr>
              <w:t>Empresa:</w:t>
            </w:r>
          </w:p>
        </w:tc>
      </w:tr>
      <w:tr>
        <w:trPr>
          <w:trHeight w:val="397" w:hRule="atLeast"/>
        </w:trPr>
        <w:tc>
          <w:tcPr>
            <w:tcW w:w="10221" w:type="dxa"/>
            <w:gridSpan w:val="3"/>
            <w:tcBorders/>
            <w:vAlign w:val="center"/>
          </w:tcPr>
          <w:p>
            <w:pPr>
              <w:pStyle w:val="Normal"/>
              <w:spacing w:before="0" w:after="200"/>
              <w:rPr>
                <w:rFonts w:ascii="Arial" w:hAnsi="Arial" w:cs="Arial"/>
                <w:b/>
                <w:bCs/>
                <w:color w:val="000000"/>
                <w:sz w:val="24"/>
                <w:szCs w:val="24"/>
                <w:lang w:val="pt-BR"/>
              </w:rPr>
            </w:pPr>
            <w:r>
              <w:rPr>
                <w:rFonts w:cs="Arial"/>
                <w:b/>
                <w:bCs/>
                <w:color w:val="000000"/>
                <w:sz w:val="24"/>
                <w:szCs w:val="24"/>
                <w:lang w:val="pt-BR"/>
              </w:rPr>
              <w:t>Endereço:</w:t>
            </w:r>
          </w:p>
        </w:tc>
      </w:tr>
      <w:tr>
        <w:trPr>
          <w:trHeight w:val="397" w:hRule="atLeast"/>
        </w:trPr>
        <w:tc>
          <w:tcPr>
            <w:tcW w:w="4126" w:type="dxa"/>
            <w:gridSpan w:val="2"/>
            <w:tcBorders/>
            <w:vAlign w:val="center"/>
          </w:tcPr>
          <w:p>
            <w:pPr>
              <w:pStyle w:val="Normal"/>
              <w:spacing w:before="0" w:after="200"/>
              <w:rPr>
                <w:rFonts w:ascii="Arial" w:hAnsi="Arial" w:cs="Arial"/>
                <w:b/>
                <w:bCs/>
                <w:color w:val="000000"/>
                <w:sz w:val="24"/>
                <w:szCs w:val="24"/>
                <w:lang w:val="pt-BR"/>
              </w:rPr>
            </w:pPr>
            <w:r>
              <w:rPr>
                <w:rFonts w:cs="Arial"/>
                <w:b/>
                <w:bCs/>
                <w:color w:val="000000"/>
                <w:sz w:val="24"/>
                <w:szCs w:val="24"/>
                <w:lang w:val="pt-BR"/>
              </w:rPr>
              <w:t>Bairro:</w:t>
            </w:r>
          </w:p>
        </w:tc>
        <w:tc>
          <w:tcPr>
            <w:tcW w:w="6095" w:type="dxa"/>
            <w:tcBorders/>
            <w:vAlign w:val="center"/>
          </w:tcPr>
          <w:p>
            <w:pPr>
              <w:pStyle w:val="Normal"/>
              <w:spacing w:before="0" w:after="200"/>
              <w:rPr>
                <w:rFonts w:ascii="Arial" w:hAnsi="Arial" w:cs="Arial"/>
                <w:b/>
                <w:bCs/>
                <w:color w:val="000000"/>
                <w:sz w:val="24"/>
                <w:szCs w:val="24"/>
                <w:lang w:val="pt-BR"/>
              </w:rPr>
            </w:pPr>
            <w:r>
              <w:rPr>
                <w:rFonts w:cs="Arial"/>
                <w:b/>
                <w:bCs/>
                <w:color w:val="000000"/>
                <w:sz w:val="24"/>
                <w:szCs w:val="24"/>
                <w:lang w:val="pt-BR"/>
              </w:rPr>
              <w:t>Cidade:</w:t>
            </w:r>
          </w:p>
        </w:tc>
      </w:tr>
      <w:tr>
        <w:trPr>
          <w:trHeight w:val="397" w:hRule="atLeast"/>
        </w:trPr>
        <w:tc>
          <w:tcPr>
            <w:tcW w:w="1716" w:type="dxa"/>
            <w:tcBorders/>
            <w:vAlign w:val="center"/>
          </w:tcPr>
          <w:p>
            <w:pPr>
              <w:pStyle w:val="Normal"/>
              <w:spacing w:before="0" w:after="200"/>
              <w:rPr>
                <w:rFonts w:ascii="Arial" w:hAnsi="Arial" w:cs="Arial"/>
                <w:b/>
                <w:bCs/>
                <w:color w:val="000000"/>
                <w:sz w:val="24"/>
                <w:szCs w:val="24"/>
                <w:lang w:val="pt-BR"/>
              </w:rPr>
            </w:pPr>
            <w:r>
              <w:rPr>
                <w:rFonts w:cs="Arial"/>
                <w:b/>
                <w:bCs/>
                <w:color w:val="000000"/>
                <w:sz w:val="24"/>
                <w:szCs w:val="24"/>
                <w:lang w:val="pt-BR"/>
              </w:rPr>
              <w:t>Estado:</w:t>
            </w:r>
          </w:p>
        </w:tc>
        <w:tc>
          <w:tcPr>
            <w:tcW w:w="2410" w:type="dxa"/>
            <w:tcBorders/>
            <w:vAlign w:val="center"/>
          </w:tcPr>
          <w:p>
            <w:pPr>
              <w:pStyle w:val="Normal"/>
              <w:spacing w:before="0" w:after="200"/>
              <w:rPr>
                <w:rFonts w:ascii="Arial" w:hAnsi="Arial" w:cs="Arial"/>
                <w:b/>
                <w:bCs/>
                <w:color w:val="000000"/>
                <w:sz w:val="24"/>
                <w:szCs w:val="24"/>
                <w:lang w:val="pt-BR"/>
              </w:rPr>
            </w:pPr>
            <w:r>
              <w:rPr>
                <w:rFonts w:cs="Arial"/>
                <w:b/>
                <w:bCs/>
                <w:color w:val="000000"/>
                <w:sz w:val="24"/>
                <w:szCs w:val="24"/>
                <w:lang w:val="pt-BR"/>
              </w:rPr>
              <w:t>CEP.:</w:t>
            </w:r>
          </w:p>
        </w:tc>
        <w:tc>
          <w:tcPr>
            <w:tcW w:w="6095" w:type="dxa"/>
            <w:tcBorders/>
            <w:vAlign w:val="center"/>
          </w:tcPr>
          <w:p>
            <w:pPr>
              <w:pStyle w:val="Normal"/>
              <w:spacing w:before="0" w:after="200"/>
              <w:rPr>
                <w:lang w:val="pt-BR"/>
              </w:rPr>
            </w:pPr>
            <w:r>
              <w:rPr>
                <w:rFonts w:cs="Arial"/>
                <w:b/>
                <w:bCs/>
                <w:color w:val="000000"/>
                <w:sz w:val="24"/>
                <w:szCs w:val="24"/>
                <w:lang w:val="pt-BR"/>
              </w:rPr>
              <w:t>Telefone</w:t>
            </w:r>
            <w:r>
              <w:rPr>
                <w:rFonts w:cs="Arial"/>
                <w:color w:val="000000"/>
                <w:sz w:val="24"/>
                <w:szCs w:val="24"/>
                <w:lang w:val="pt-BR"/>
              </w:rPr>
              <w:t>: (     )</w:t>
            </w:r>
          </w:p>
        </w:tc>
      </w:tr>
      <w:tr>
        <w:trPr>
          <w:trHeight w:val="397" w:hRule="atLeast"/>
        </w:trPr>
        <w:tc>
          <w:tcPr>
            <w:tcW w:w="4126" w:type="dxa"/>
            <w:gridSpan w:val="2"/>
            <w:tcBorders/>
            <w:vAlign w:val="center"/>
          </w:tcPr>
          <w:p>
            <w:pPr>
              <w:pStyle w:val="Normal"/>
              <w:spacing w:before="0" w:after="200"/>
              <w:rPr>
                <w:lang w:val="pt-BR"/>
              </w:rPr>
            </w:pPr>
            <w:r>
              <w:rPr>
                <w:rFonts w:cs="Arial"/>
                <w:b/>
                <w:bCs/>
                <w:color w:val="000000"/>
                <w:sz w:val="24"/>
                <w:szCs w:val="24"/>
                <w:lang w:val="pt-BR"/>
              </w:rPr>
              <w:t>CNPJ nº:</w:t>
            </w:r>
          </w:p>
        </w:tc>
        <w:tc>
          <w:tcPr>
            <w:tcW w:w="6095" w:type="dxa"/>
            <w:tcBorders/>
            <w:vAlign w:val="center"/>
          </w:tcPr>
          <w:p>
            <w:pPr>
              <w:pStyle w:val="Normal"/>
              <w:spacing w:before="0" w:after="200"/>
              <w:rPr>
                <w:rFonts w:ascii="Arial" w:hAnsi="Arial" w:cs="Arial"/>
                <w:b/>
                <w:color w:val="000000"/>
                <w:sz w:val="24"/>
                <w:szCs w:val="24"/>
                <w:lang w:val="pt-BR"/>
              </w:rPr>
            </w:pPr>
            <w:r>
              <w:rPr>
                <w:rFonts w:cs="Arial"/>
                <w:b/>
                <w:color w:val="000000"/>
                <w:sz w:val="24"/>
                <w:szCs w:val="24"/>
                <w:lang w:val="pt-BR"/>
              </w:rPr>
              <w:t>Inscrição Estadual n.º:</w:t>
            </w:r>
          </w:p>
        </w:tc>
      </w:tr>
      <w:tr>
        <w:trPr>
          <w:trHeight w:val="397" w:hRule="atLeast"/>
        </w:trPr>
        <w:tc>
          <w:tcPr>
            <w:tcW w:w="10221" w:type="dxa"/>
            <w:gridSpan w:val="3"/>
            <w:tcBorders/>
            <w:vAlign w:val="center"/>
          </w:tcPr>
          <w:p>
            <w:pPr>
              <w:pStyle w:val="Normal"/>
              <w:spacing w:before="0" w:after="200"/>
              <w:rPr>
                <w:rFonts w:ascii="Arial" w:hAnsi="Arial" w:cs="Arial"/>
                <w:b/>
                <w:bCs/>
                <w:color w:val="000000"/>
                <w:sz w:val="24"/>
                <w:szCs w:val="24"/>
                <w:lang w:val="pt-BR"/>
              </w:rPr>
            </w:pPr>
            <w:r>
              <w:rPr>
                <w:rFonts w:cs="Arial"/>
                <w:b/>
                <w:bCs/>
                <w:color w:val="000000"/>
                <w:sz w:val="24"/>
                <w:szCs w:val="24"/>
                <w:lang w:val="pt-BR"/>
              </w:rPr>
              <w:t>Email para contato:</w:t>
            </w:r>
          </w:p>
        </w:tc>
      </w:tr>
      <w:tr>
        <w:trPr>
          <w:trHeight w:val="397" w:hRule="atLeast"/>
        </w:trPr>
        <w:tc>
          <w:tcPr>
            <w:tcW w:w="10221" w:type="dxa"/>
            <w:gridSpan w:val="3"/>
            <w:tcBorders/>
            <w:vAlign w:val="center"/>
          </w:tcPr>
          <w:p>
            <w:pPr>
              <w:pStyle w:val="Normal"/>
              <w:spacing w:before="0" w:after="200"/>
              <w:rPr>
                <w:rFonts w:ascii="Arial" w:hAnsi="Arial" w:cs="Arial"/>
                <w:b/>
                <w:bCs/>
                <w:color w:val="000000"/>
                <w:sz w:val="24"/>
                <w:szCs w:val="24"/>
                <w:lang w:val="pt-BR"/>
              </w:rPr>
            </w:pPr>
            <w:r>
              <w:rPr>
                <w:rFonts w:cs="Arial"/>
                <w:b/>
                <w:bCs/>
                <w:color w:val="000000"/>
                <w:sz w:val="24"/>
                <w:szCs w:val="24"/>
                <w:lang w:val="pt-BR"/>
              </w:rPr>
              <w:t>Nome Representante Legal:</w:t>
            </w:r>
          </w:p>
        </w:tc>
      </w:tr>
      <w:tr>
        <w:trPr>
          <w:trHeight w:val="397" w:hRule="atLeast"/>
        </w:trPr>
        <w:tc>
          <w:tcPr>
            <w:tcW w:w="10221" w:type="dxa"/>
            <w:gridSpan w:val="3"/>
            <w:tcBorders/>
            <w:vAlign w:val="center"/>
          </w:tcPr>
          <w:p>
            <w:pPr>
              <w:pStyle w:val="Normal"/>
              <w:spacing w:before="0" w:after="200"/>
              <w:rPr>
                <w:rFonts w:ascii="Arial" w:hAnsi="Arial" w:cs="Arial"/>
                <w:b/>
                <w:bCs/>
                <w:color w:val="000000"/>
                <w:sz w:val="24"/>
                <w:szCs w:val="24"/>
                <w:lang w:val="pt-BR"/>
              </w:rPr>
            </w:pPr>
            <w:r>
              <w:rPr>
                <w:rFonts w:cs="Arial"/>
                <w:b/>
                <w:bCs/>
                <w:color w:val="000000"/>
                <w:sz w:val="24"/>
                <w:szCs w:val="24"/>
                <w:lang w:val="pt-BR"/>
              </w:rPr>
              <w:t>CPF:</w:t>
            </w:r>
          </w:p>
        </w:tc>
      </w:tr>
    </w:tbl>
    <w:p>
      <w:pPr>
        <w:pStyle w:val="Normal"/>
        <w:rPr>
          <w:lang w:val="pt-BR"/>
        </w:rPr>
      </w:pPr>
      <w:r>
        <w:rPr>
          <w:b w:val="false"/>
          <w:sz w:val="24"/>
          <w:szCs w:val="24"/>
          <w:lang w:val="pt-BR"/>
        </w:rPr>
        <w:t>Pelo presente, formulamos Proposta Comercial para atender à Fundação Arquivo e Memória de Santos, de acordo com as condições, especificações e demais exigências estabelecidas no Edital n.º 43/2026 e seus Anexos, que rege a presente Dispensa Eletrônica, nos seguintes termos:</w:t>
      </w:r>
    </w:p>
    <w:tbl>
      <w:tblPr>
        <w:tblStyle w:val="TableGrid"/>
        <w:tblW w:w="9970"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1994"/>
        <w:gridCol w:w="1994"/>
        <w:gridCol w:w="1994"/>
        <w:gridCol w:w="1994"/>
        <w:gridCol w:w="1994"/>
      </w:tblGrid>
      <w:tr>
        <w:trPr>
          <w:cantSplit/>
        </w:trPr>
        <w:tc>
          <w:tcPr>
            <w:tcW w:w="1994" w:type="dxa"/>
            <w:tcBorders/>
            <w:shd w:fill="D9EAF7" w:val="clear"/>
            <w:vAlign w:val="center"/>
          </w:tcPr>
          <w:p>
            <w:pPr>
              <w:pStyle w:val="Normal"/>
              <w:widowControl/>
              <w:suppressAutoHyphens w:val="true"/>
              <w:spacing w:before="0" w:after="80"/>
              <w:jc w:val="center"/>
              <w:rPr>
                <w:lang w:val="pt-BR"/>
              </w:rPr>
            </w:pPr>
            <w:r>
              <w:rPr>
                <w:rFonts w:eastAsia="ＭＳ 明朝" w:cs=""/>
                <w:b/>
                <w:kern w:val="0"/>
                <w:sz w:val="24"/>
                <w:szCs w:val="24"/>
                <w:lang w:val="pt-BR" w:eastAsia="en-US" w:bidi="ar-SA"/>
              </w:rPr>
              <w:t>Item</w:t>
            </w:r>
          </w:p>
        </w:tc>
        <w:tc>
          <w:tcPr>
            <w:tcW w:w="1994" w:type="dxa"/>
            <w:tcBorders/>
            <w:shd w:fill="D9EAF7" w:val="clear"/>
            <w:vAlign w:val="center"/>
          </w:tcPr>
          <w:p>
            <w:pPr>
              <w:pStyle w:val="Normal"/>
              <w:widowControl/>
              <w:suppressAutoHyphens w:val="true"/>
              <w:spacing w:before="0" w:after="80"/>
              <w:jc w:val="center"/>
              <w:rPr>
                <w:lang w:val="pt-BR"/>
              </w:rPr>
            </w:pPr>
            <w:r>
              <w:rPr>
                <w:rFonts w:eastAsia="ＭＳ 明朝" w:cs=""/>
                <w:b/>
                <w:kern w:val="0"/>
                <w:sz w:val="24"/>
                <w:szCs w:val="24"/>
                <w:lang w:val="pt-BR" w:eastAsia="en-US" w:bidi="ar-SA"/>
              </w:rPr>
              <w:t>Descrição</w:t>
            </w:r>
          </w:p>
        </w:tc>
        <w:tc>
          <w:tcPr>
            <w:tcW w:w="1994" w:type="dxa"/>
            <w:tcBorders/>
            <w:shd w:fill="D9EAF7" w:val="clear"/>
            <w:vAlign w:val="center"/>
          </w:tcPr>
          <w:p>
            <w:pPr>
              <w:pStyle w:val="Normal"/>
              <w:widowControl/>
              <w:suppressAutoHyphens w:val="true"/>
              <w:spacing w:before="0" w:after="80"/>
              <w:jc w:val="center"/>
              <w:rPr>
                <w:lang w:val="pt-BR"/>
              </w:rPr>
            </w:pPr>
            <w:r>
              <w:rPr>
                <w:rFonts w:eastAsia="ＭＳ 明朝" w:cs=""/>
                <w:b/>
                <w:kern w:val="0"/>
                <w:sz w:val="24"/>
                <w:szCs w:val="24"/>
                <w:lang w:val="pt-BR" w:eastAsia="en-US" w:bidi="ar-SA"/>
              </w:rPr>
              <w:t>Quantidade</w:t>
            </w:r>
          </w:p>
        </w:tc>
        <w:tc>
          <w:tcPr>
            <w:tcW w:w="1994" w:type="dxa"/>
            <w:tcBorders/>
            <w:shd w:fill="D9EAF7" w:val="clear"/>
            <w:vAlign w:val="center"/>
          </w:tcPr>
          <w:p>
            <w:pPr>
              <w:pStyle w:val="Normal"/>
              <w:widowControl/>
              <w:suppressAutoHyphens w:val="true"/>
              <w:spacing w:before="0" w:after="80"/>
              <w:jc w:val="center"/>
              <w:rPr>
                <w:lang w:val="pt-BR"/>
              </w:rPr>
            </w:pPr>
            <w:r>
              <w:rPr>
                <w:rFonts w:eastAsia="ＭＳ 明朝" w:cs=""/>
                <w:b/>
                <w:kern w:val="0"/>
                <w:sz w:val="24"/>
                <w:szCs w:val="24"/>
                <w:lang w:val="pt-BR" w:eastAsia="en-US" w:bidi="ar-SA"/>
              </w:rPr>
              <w:t>Valor Unitário (R$)</w:t>
            </w:r>
          </w:p>
        </w:tc>
        <w:tc>
          <w:tcPr>
            <w:tcW w:w="1994" w:type="dxa"/>
            <w:tcBorders/>
            <w:shd w:fill="D9EAF7" w:val="clear"/>
            <w:vAlign w:val="center"/>
          </w:tcPr>
          <w:p>
            <w:pPr>
              <w:pStyle w:val="Normal"/>
              <w:widowControl/>
              <w:suppressAutoHyphens w:val="true"/>
              <w:spacing w:before="0" w:after="80"/>
              <w:jc w:val="center"/>
              <w:rPr>
                <w:lang w:val="pt-BR"/>
              </w:rPr>
            </w:pPr>
            <w:r>
              <w:rPr>
                <w:rFonts w:eastAsia="ＭＳ 明朝" w:cs=""/>
                <w:b/>
                <w:kern w:val="0"/>
                <w:sz w:val="24"/>
                <w:szCs w:val="24"/>
                <w:lang w:val="pt-BR" w:eastAsia="en-US" w:bidi="ar-SA"/>
              </w:rPr>
              <w:t>Valor Total (R$)</w:t>
            </w:r>
          </w:p>
        </w:tc>
      </w:tr>
      <w:tr>
        <w:trPr>
          <w:cantSplit/>
        </w:trPr>
        <w:tc>
          <w:tcPr>
            <w:tcW w:w="1994" w:type="dxa"/>
            <w:tcBorders/>
            <w:vAlign w:val="center"/>
          </w:tcPr>
          <w:p>
            <w:pPr>
              <w:pStyle w:val="Normal"/>
              <w:widowControl/>
              <w:suppressAutoHyphens w:val="true"/>
              <w:spacing w:before="0" w:after="80"/>
              <w:jc w:val="center"/>
              <w:rPr>
                <w:lang w:val="pt-BR"/>
              </w:rPr>
            </w:pPr>
            <w:r>
              <w:rPr>
                <w:rFonts w:eastAsia="ＭＳ 明朝" w:cs=""/>
                <w:b w:val="false"/>
                <w:kern w:val="0"/>
                <w:sz w:val="24"/>
                <w:szCs w:val="24"/>
                <w:lang w:val="pt-BR" w:eastAsia="en-US" w:bidi="ar-SA"/>
              </w:rPr>
              <w:t>01</w:t>
            </w:r>
          </w:p>
        </w:tc>
        <w:tc>
          <w:tcPr>
            <w:tcW w:w="1994" w:type="dxa"/>
            <w:tcBorders/>
            <w:vAlign w:val="center"/>
          </w:tcPr>
          <w:p>
            <w:pPr>
              <w:pStyle w:val="Normal"/>
              <w:widowControl/>
              <w:suppressAutoHyphens w:val="true"/>
              <w:spacing w:before="0" w:after="80"/>
              <w:jc w:val="start"/>
              <w:rPr>
                <w:lang w:val="pt-BR"/>
              </w:rPr>
            </w:pPr>
            <w:r>
              <w:rPr>
                <w:rFonts w:eastAsia="ＭＳ 明朝" w:cs=""/>
                <w:b w:val="false"/>
                <w:i/>
                <w:iCs/>
                <w:kern w:val="0"/>
                <w:sz w:val="24"/>
                <w:szCs w:val="24"/>
                <w:lang w:val="pt-BR" w:eastAsia="en-US" w:bidi="ar-SA"/>
              </w:rPr>
              <w:t>Banner</w:t>
            </w:r>
            <w:r>
              <w:rPr>
                <w:rFonts w:eastAsia="ＭＳ 明朝" w:cs=""/>
                <w:b w:val="false"/>
                <w:kern w:val="0"/>
                <w:sz w:val="24"/>
                <w:szCs w:val="24"/>
                <w:lang w:val="pt-BR" w:eastAsia="en-US" w:bidi="ar-SA"/>
              </w:rPr>
              <w:t xml:space="preserve"> em lona 1,00 m x 1,50 m, impressão digital solvente, alta resolução, 4x0 cores, acabamento no verso em madeira e cordão de nylon</w:t>
            </w:r>
          </w:p>
        </w:tc>
        <w:tc>
          <w:tcPr>
            <w:tcW w:w="1994" w:type="dxa"/>
            <w:tcBorders/>
            <w:vAlign w:val="center"/>
          </w:tcPr>
          <w:p>
            <w:pPr>
              <w:pStyle w:val="Normal"/>
              <w:widowControl/>
              <w:suppressAutoHyphens w:val="true"/>
              <w:spacing w:before="0" w:after="80"/>
              <w:jc w:val="center"/>
              <w:rPr>
                <w:lang w:val="pt-BR"/>
              </w:rPr>
            </w:pPr>
            <w:r>
              <w:rPr>
                <w:rFonts w:eastAsia="ＭＳ 明朝" w:cs=""/>
                <w:b w:val="false"/>
                <w:kern w:val="0"/>
                <w:sz w:val="24"/>
                <w:szCs w:val="24"/>
                <w:lang w:val="pt-BR" w:eastAsia="en-US" w:bidi="ar-SA"/>
              </w:rPr>
              <w:t>12</w:t>
            </w:r>
          </w:p>
        </w:tc>
        <w:tc>
          <w:tcPr>
            <w:tcW w:w="1994" w:type="dxa"/>
            <w:tcBorders/>
            <w:vAlign w:val="center"/>
          </w:tcPr>
          <w:p>
            <w:pPr>
              <w:pStyle w:val="Normal"/>
              <w:widowControl/>
              <w:suppressAutoHyphens w:val="true"/>
              <w:spacing w:before="0" w:after="80"/>
              <w:jc w:val="center"/>
              <w:rPr>
                <w:rFonts w:eastAsia="ＭＳ 明朝" w:cs=""/>
                <w:kern w:val="0"/>
                <w:sz w:val="24"/>
                <w:szCs w:val="24"/>
                <w:lang w:val="pt-BR" w:eastAsia="en-US" w:bidi="ar-SA"/>
              </w:rPr>
            </w:pPr>
            <w:r>
              <w:rPr>
                <w:rFonts w:eastAsia="ＭＳ 明朝" w:cs=""/>
                <w:kern w:val="0"/>
                <w:sz w:val="24"/>
                <w:szCs w:val="24"/>
                <w:lang w:val="pt-BR" w:eastAsia="en-US" w:bidi="ar-SA"/>
              </w:rPr>
            </w:r>
          </w:p>
        </w:tc>
        <w:tc>
          <w:tcPr>
            <w:tcW w:w="1994" w:type="dxa"/>
            <w:tcBorders/>
            <w:vAlign w:val="center"/>
          </w:tcPr>
          <w:p>
            <w:pPr>
              <w:pStyle w:val="Normal"/>
              <w:widowControl/>
              <w:suppressAutoHyphens w:val="true"/>
              <w:spacing w:before="0" w:after="80"/>
              <w:jc w:val="center"/>
              <w:rPr>
                <w:rFonts w:eastAsia="ＭＳ 明朝" w:cs=""/>
                <w:kern w:val="0"/>
                <w:sz w:val="24"/>
                <w:szCs w:val="24"/>
                <w:lang w:val="pt-BR" w:eastAsia="en-US" w:bidi="ar-SA"/>
              </w:rPr>
            </w:pPr>
            <w:r>
              <w:rPr>
                <w:rFonts w:eastAsia="ＭＳ 明朝" w:cs=""/>
                <w:kern w:val="0"/>
                <w:sz w:val="24"/>
                <w:szCs w:val="24"/>
                <w:lang w:val="pt-BR" w:eastAsia="en-US" w:bidi="ar-SA"/>
              </w:rPr>
            </w:r>
          </w:p>
        </w:tc>
      </w:tr>
    </w:tbl>
    <w:p>
      <w:pPr>
        <w:pStyle w:val="Normal"/>
        <w:jc w:val="end"/>
        <w:rPr>
          <w:b w:val="false"/>
          <w:bCs w:val="false"/>
          <w:sz w:val="24"/>
          <w:szCs w:val="24"/>
          <w:lang w:val="pt-BR"/>
        </w:rPr>
      </w:pPr>
      <w:r>
        <w:rPr>
          <w:b w:val="false"/>
          <w:bCs w:val="false"/>
          <w:sz w:val="24"/>
          <w:szCs w:val="24"/>
          <w:lang w:val="pt-BR"/>
        </w:rPr>
        <w:t>(a ser preenchido pelo licitante)</w:t>
      </w:r>
    </w:p>
    <w:p>
      <w:pPr>
        <w:pStyle w:val="Normal"/>
        <w:rPr>
          <w:b/>
          <w:sz w:val="24"/>
          <w:szCs w:val="24"/>
          <w:lang w:val="pt-BR"/>
        </w:rPr>
      </w:pPr>
      <w:r>
        <w:rPr>
          <w:b/>
          <w:sz w:val="24"/>
          <w:szCs w:val="24"/>
          <w:lang w:val="pt-BR"/>
        </w:rPr>
        <w:t>Valor Total Global: R$ __________________ (______________________________).</w:t>
      </w:r>
    </w:p>
    <w:p>
      <w:pPr>
        <w:pStyle w:val="Normal"/>
        <w:jc w:val="both"/>
        <w:rPr>
          <w:lang w:val="pt-BR"/>
        </w:rPr>
      </w:pPr>
      <w:r>
        <w:rPr>
          <w:b w:val="false"/>
          <w:sz w:val="24"/>
          <w:szCs w:val="24"/>
          <w:lang w:val="pt-BR"/>
        </w:rPr>
        <w:t>Nos valores propostos estão incluídas todas as despesas diretas e indiretas necessárias ao integral cumprimento do objeto, inclusive materiais, mão de obra, impressão, acabamento, embalagem, transporte, descarregamento, entrega, tributos, encargos sociais, trabalhistas, previdenciários, fiscais e comerciais.</w:t>
      </w:r>
    </w:p>
    <w:p>
      <w:pPr>
        <w:pStyle w:val="Normal"/>
        <w:rPr>
          <w:lang w:val="pt-BR"/>
        </w:rPr>
      </w:pPr>
      <w:r>
        <w:rPr>
          <w:b/>
          <w:bCs/>
          <w:sz w:val="24"/>
          <w:szCs w:val="24"/>
          <w:lang w:val="pt-BR"/>
        </w:rPr>
        <w:t>Validade da Proposta:</w:t>
      </w:r>
      <w:r>
        <w:rPr>
          <w:b w:val="false"/>
          <w:sz w:val="24"/>
          <w:szCs w:val="24"/>
          <w:lang w:val="pt-BR"/>
        </w:rPr>
        <w:t xml:space="preserve"> </w:t>
      </w:r>
      <w:r>
        <w:rPr>
          <w:b w:val="false"/>
          <w:bCs w:val="false"/>
          <w:sz w:val="24"/>
          <w:szCs w:val="24"/>
          <w:lang w:val="pt-BR"/>
        </w:rPr>
        <w:t>90 (noventa) dias.</w:t>
      </w:r>
    </w:p>
    <w:p>
      <w:pPr>
        <w:pStyle w:val="Normal"/>
        <w:jc w:val="both"/>
        <w:rPr>
          <w:lang w:val="pt-BR"/>
        </w:rPr>
      </w:pPr>
      <w:r>
        <w:rPr>
          <w:b/>
          <w:bCs/>
          <w:sz w:val="24"/>
          <w:szCs w:val="24"/>
          <w:lang w:val="pt-BR"/>
        </w:rPr>
        <w:t>Prazo de fornecimento:</w:t>
      </w:r>
      <w:r>
        <w:rPr>
          <w:b w:val="false"/>
          <w:sz w:val="24"/>
          <w:szCs w:val="24"/>
          <w:lang w:val="pt-BR"/>
        </w:rPr>
        <w:t xml:space="preserve"> a FAMS disponibilizará as artes em até 05 (cinco) dias úteis após a conclusão do procedimento de seleção do fornecedor, e a contratada terá até 15 (quinze) dias úteis, a partir da disponibilização das artes, para confeccionar e entregar integralmente os 12 </w:t>
      </w:r>
      <w:r>
        <w:rPr>
          <w:b w:val="false"/>
          <w:i/>
          <w:iCs/>
          <w:sz w:val="24"/>
          <w:szCs w:val="24"/>
          <w:lang w:val="pt-BR"/>
        </w:rPr>
        <w:t>banners.</w:t>
      </w:r>
    </w:p>
    <w:p>
      <w:pPr>
        <w:pStyle w:val="Normal"/>
        <w:jc w:val="both"/>
        <w:rPr>
          <w:b w:val="false"/>
          <w:i/>
          <w:iCs/>
          <w:sz w:val="24"/>
          <w:szCs w:val="24"/>
          <w:lang w:val="pt-BR"/>
        </w:rPr>
      </w:pPr>
      <w:r>
        <w:rPr>
          <w:b w:val="false"/>
          <w:i/>
          <w:iCs/>
          <w:sz w:val="24"/>
          <w:szCs w:val="24"/>
          <w:lang w:val="pt-BR"/>
        </w:rPr>
      </w:r>
    </w:p>
    <w:p>
      <w:pPr>
        <w:pStyle w:val="Normal"/>
        <w:jc w:val="both"/>
        <w:rPr>
          <w:b/>
          <w:bCs/>
          <w:i w:val="false"/>
          <w:iCs w:val="false"/>
          <w:sz w:val="24"/>
          <w:szCs w:val="24"/>
          <w:lang w:val="pt-BR"/>
        </w:rPr>
      </w:pPr>
      <w:r>
        <w:rPr>
          <w:b/>
          <w:bCs/>
          <w:i w:val="false"/>
          <w:iCs w:val="false"/>
          <w:sz w:val="24"/>
          <w:szCs w:val="24"/>
          <w:lang w:val="pt-BR"/>
        </w:rPr>
        <w:t>Local de Entrega:</w:t>
      </w:r>
      <w:r>
        <w:rPr>
          <w:b w:val="false"/>
          <w:bCs w:val="false"/>
          <w:i w:val="false"/>
          <w:iCs w:val="false"/>
          <w:sz w:val="24"/>
          <w:szCs w:val="24"/>
          <w:lang w:val="pt-BR"/>
        </w:rPr>
        <w:t xml:space="preserve"> A entrega deverá ocorrer de forma única no Outeiro de Santa Catarina, situado à Rua Visconde do Rio Branco, n.º 48 – Centro – Santos/SP.</w:t>
      </w:r>
    </w:p>
    <w:p>
      <w:pPr>
        <w:pStyle w:val="Normal"/>
        <w:jc w:val="both"/>
        <w:rPr>
          <w:b w:val="false"/>
          <w:bCs w:val="false"/>
          <w:i w:val="false"/>
          <w:iCs w:val="false"/>
          <w:sz w:val="24"/>
          <w:szCs w:val="24"/>
          <w:lang w:val="pt-BR"/>
        </w:rPr>
      </w:pPr>
      <w:r>
        <w:rPr>
          <w:b w:val="false"/>
          <w:bCs w:val="false"/>
          <w:i w:val="false"/>
          <w:iCs w:val="false"/>
          <w:sz w:val="24"/>
          <w:szCs w:val="24"/>
          <w:lang w:val="pt-BR"/>
        </w:rPr>
      </w:r>
    </w:p>
    <w:p>
      <w:pPr>
        <w:pStyle w:val="Normal"/>
        <w:jc w:val="both"/>
        <w:rPr>
          <w:b/>
          <w:bCs/>
          <w:i w:val="false"/>
          <w:iCs w:val="false"/>
          <w:sz w:val="24"/>
          <w:szCs w:val="24"/>
          <w:lang w:val="pt-BR"/>
        </w:rPr>
      </w:pPr>
      <w:r>
        <w:rPr>
          <w:b/>
          <w:bCs/>
          <w:i w:val="false"/>
          <w:iCs w:val="false"/>
          <w:sz w:val="24"/>
          <w:szCs w:val="24"/>
          <w:lang w:val="pt-BR"/>
        </w:rPr>
        <w:t xml:space="preserve">Condições de Pagamento: </w:t>
      </w:r>
      <w:r>
        <w:rPr>
          <w:b w:val="false"/>
          <w:bCs w:val="false"/>
          <w:i w:val="false"/>
          <w:iCs w:val="false"/>
          <w:sz w:val="24"/>
          <w:szCs w:val="24"/>
          <w:lang w:val="pt-BR"/>
        </w:rPr>
        <w:t>O pagamento será efetuado em 20 (vinte) dias corridos, contados a partir da data de emissão da nota de liquidação. Eventuais boletos encaminhados pelos fornecedores serão tidos como inexistentes para todos os fins e efeitos.</w:t>
      </w:r>
    </w:p>
    <w:p>
      <w:pPr>
        <w:pStyle w:val="Normal"/>
        <w:jc w:val="both"/>
        <w:rPr>
          <w:b w:val="false"/>
          <w:sz w:val="24"/>
          <w:szCs w:val="24"/>
          <w:lang w:val="pt-BR"/>
        </w:rPr>
      </w:pPr>
      <w:r>
        <w:rPr>
          <w:b w:val="false"/>
          <w:sz w:val="24"/>
          <w:szCs w:val="24"/>
          <w:lang w:val="pt-BR"/>
        </w:rPr>
      </w:r>
    </w:p>
    <w:p>
      <w:pPr>
        <w:pStyle w:val="Normal"/>
        <w:rPr>
          <w:lang w:val="pt-BR"/>
        </w:rPr>
      </w:pPr>
      <w:r>
        <w:rPr>
          <w:b w:val="false"/>
          <w:sz w:val="24"/>
          <w:szCs w:val="24"/>
          <w:lang w:val="pt-BR"/>
        </w:rPr>
        <w:t>Santos, _____ de __________________ de 2026.</w:t>
      </w:r>
    </w:p>
    <w:p>
      <w:pPr>
        <w:pStyle w:val="Normal"/>
        <w:rPr>
          <w:sz w:val="24"/>
          <w:szCs w:val="24"/>
          <w:lang w:val="pt-BR"/>
        </w:rPr>
      </w:pPr>
      <w:r>
        <w:rPr>
          <w:sz w:val="24"/>
          <w:szCs w:val="24"/>
          <w:lang w:val="pt-BR"/>
        </w:rPr>
      </w:r>
    </w:p>
    <w:p>
      <w:pPr>
        <w:pStyle w:val="Normal"/>
        <w:rPr>
          <w:sz w:val="24"/>
          <w:szCs w:val="24"/>
          <w:lang w:val="pt-BR"/>
        </w:rPr>
      </w:pPr>
      <w:r>
        <w:rPr>
          <w:sz w:val="24"/>
          <w:szCs w:val="24"/>
          <w:lang w:val="pt-BR"/>
        </w:rPr>
      </w:r>
    </w:p>
    <w:p>
      <w:pPr>
        <w:pStyle w:val="Normal"/>
        <w:jc w:val="center"/>
        <w:rPr>
          <w:lang w:val="pt-BR"/>
        </w:rPr>
      </w:pPr>
      <w:r>
        <w:rPr>
          <w:b w:val="false"/>
          <w:sz w:val="24"/>
          <w:szCs w:val="24"/>
          <w:lang w:val="pt-BR"/>
        </w:rPr>
        <w:t>________________________________________</w:t>
      </w:r>
    </w:p>
    <w:p>
      <w:pPr>
        <w:pStyle w:val="Normal"/>
        <w:jc w:val="center"/>
        <w:rPr>
          <w:lang w:val="pt-BR"/>
        </w:rPr>
      </w:pPr>
      <w:r>
        <w:rPr>
          <w:b w:val="false"/>
          <w:sz w:val="24"/>
          <w:szCs w:val="24"/>
          <w:lang w:val="pt-BR"/>
        </w:rPr>
        <w:t>Assinatura do Representante Legal da Empresa</w:t>
      </w:r>
    </w:p>
    <w:p>
      <w:pPr>
        <w:pStyle w:val="Normal"/>
        <w:rPr>
          <w:sz w:val="24"/>
          <w:szCs w:val="24"/>
          <w:lang w:val="pt-BR"/>
        </w:rPr>
      </w:pPr>
      <w:r>
        <w:rPr>
          <w:sz w:val="24"/>
          <w:szCs w:val="24"/>
          <w:lang w:val="pt-BR"/>
        </w:rPr>
      </w:r>
      <w:r>
        <w:br w:type="page"/>
      </w:r>
    </w:p>
    <w:p>
      <w:pPr>
        <w:pStyle w:val="Normal"/>
        <w:spacing w:before="0" w:after="80"/>
        <w:jc w:val="center"/>
        <w:rPr>
          <w:b/>
          <w:sz w:val="24"/>
          <w:szCs w:val="24"/>
          <w:lang w:val="pt-BR"/>
        </w:rPr>
      </w:pPr>
      <w:r>
        <w:rPr>
          <w:b/>
          <w:sz w:val="24"/>
          <w:szCs w:val="24"/>
          <w:lang w:val="pt-BR"/>
        </w:rPr>
        <w:t>ANEXO IV – MODELO DE AUTORIZAÇÃO DE FORNECIMENTO</w:t>
      </w:r>
    </w:p>
    <w:p>
      <w:pPr>
        <w:pStyle w:val="Normal"/>
        <w:spacing w:before="0" w:after="0"/>
        <w:jc w:val="center"/>
        <w:rPr>
          <w:b/>
          <w:sz w:val="24"/>
          <w:szCs w:val="24"/>
          <w:lang w:val="pt-BR"/>
        </w:rPr>
      </w:pPr>
      <w:r>
        <w:rPr>
          <w:b/>
          <w:sz w:val="24"/>
          <w:szCs w:val="24"/>
          <w:lang w:val="pt-BR"/>
        </w:rPr>
      </w:r>
    </w:p>
    <w:p>
      <w:pPr>
        <w:pStyle w:val="Normal"/>
        <w:jc w:val="center"/>
        <w:rPr>
          <w:lang w:val="pt-BR"/>
        </w:rPr>
      </w:pPr>
      <w:r>
        <w:rPr>
          <w:b/>
          <w:sz w:val="24"/>
          <w:szCs w:val="24"/>
          <w:lang w:val="pt-BR"/>
        </w:rPr>
        <w:t>EDITAL DE DISPENSA ELETRÔNICA n.º 43/2026</w:t>
      </w:r>
    </w:p>
    <w:p>
      <w:pPr>
        <w:pStyle w:val="Normal"/>
        <w:jc w:val="center"/>
        <w:rPr>
          <w:b/>
          <w:sz w:val="24"/>
          <w:szCs w:val="24"/>
          <w:lang w:val="pt-BR"/>
        </w:rPr>
      </w:pPr>
      <w:r>
        <w:rPr>
          <w:b/>
          <w:sz w:val="24"/>
          <w:szCs w:val="24"/>
          <w:lang w:val="pt-BR"/>
        </w:rPr>
        <w:t>PROCESSO n.º 52.501/2026-48</w:t>
      </w:r>
    </w:p>
    <w:p>
      <w:pPr>
        <w:pStyle w:val="Normal"/>
        <w:spacing w:before="0" w:after="0"/>
        <w:jc w:val="center"/>
        <w:rPr>
          <w:b/>
          <w:sz w:val="24"/>
          <w:szCs w:val="24"/>
          <w:lang w:val="pt-BR"/>
        </w:rPr>
      </w:pPr>
      <w:r>
        <w:rPr>
          <w:b/>
          <w:sz w:val="24"/>
          <w:szCs w:val="24"/>
          <w:lang w:val="pt-BR"/>
        </w:rPr>
      </w:r>
    </w:p>
    <w:p>
      <w:pPr>
        <w:pStyle w:val="Normal"/>
        <w:rPr>
          <w:lang w:val="pt-BR"/>
        </w:rPr>
      </w:pPr>
      <w:r>
        <w:rPr>
          <w:b w:val="false"/>
          <w:sz w:val="24"/>
          <w:szCs w:val="24"/>
          <w:lang w:val="pt-BR"/>
        </w:rPr>
        <w:t>Empenho n.º:</w:t>
      </w:r>
    </w:p>
    <w:p>
      <w:pPr>
        <w:pStyle w:val="Normal"/>
        <w:rPr>
          <w:lang w:val="pt-BR"/>
        </w:rPr>
      </w:pPr>
      <w:r>
        <w:rPr>
          <w:b w:val="false"/>
          <w:sz w:val="24"/>
          <w:szCs w:val="24"/>
          <w:lang w:val="pt-BR"/>
        </w:rPr>
        <w:t xml:space="preserve">Unidade Requisitante: </w:t>
      </w:r>
    </w:p>
    <w:p>
      <w:pPr>
        <w:pStyle w:val="Normal"/>
        <w:rPr>
          <w:lang w:val="pt-BR"/>
        </w:rPr>
      </w:pPr>
      <w:r>
        <w:rPr>
          <w:b w:val="false"/>
          <w:sz w:val="24"/>
          <w:szCs w:val="24"/>
          <w:lang w:val="pt-BR"/>
        </w:rPr>
        <w:t xml:space="preserve">Dotação Orçamentária n.º </w:t>
      </w:r>
    </w:p>
    <w:p>
      <w:pPr>
        <w:pStyle w:val="Normal"/>
        <w:rPr>
          <w:lang w:val="pt-BR"/>
        </w:rPr>
      </w:pPr>
      <w:r>
        <w:rPr>
          <w:b w:val="false"/>
          <w:sz w:val="24"/>
          <w:szCs w:val="24"/>
          <w:lang w:val="pt-BR"/>
        </w:rPr>
        <w:t>Fonte de Recursos n.º</w:t>
      </w:r>
    </w:p>
    <w:p>
      <w:pPr>
        <w:pStyle w:val="Normal"/>
        <w:rPr>
          <w:lang w:val="pt-BR"/>
        </w:rPr>
      </w:pPr>
      <w:r>
        <w:rPr>
          <w:b w:val="false"/>
          <w:sz w:val="24"/>
          <w:szCs w:val="24"/>
          <w:lang w:val="pt-BR"/>
        </w:rPr>
        <w:t>Fornecedor:</w:t>
      </w:r>
    </w:p>
    <w:p>
      <w:pPr>
        <w:pStyle w:val="Normal"/>
        <w:rPr>
          <w:lang w:val="pt-BR"/>
        </w:rPr>
      </w:pPr>
      <w:r>
        <w:rPr>
          <w:b w:val="false"/>
          <w:sz w:val="24"/>
          <w:szCs w:val="24"/>
          <w:lang w:val="pt-BR"/>
        </w:rPr>
        <w:t>CNPJ:</w:t>
      </w:r>
    </w:p>
    <w:p>
      <w:pPr>
        <w:pStyle w:val="Normal"/>
        <w:rPr>
          <w:lang w:val="pt-BR"/>
        </w:rPr>
      </w:pPr>
      <w:r>
        <w:rPr>
          <w:b w:val="false"/>
          <w:sz w:val="24"/>
          <w:szCs w:val="24"/>
          <w:lang w:val="pt-BR"/>
        </w:rPr>
        <w:t>Endereço:</w:t>
      </w:r>
    </w:p>
    <w:p>
      <w:pPr>
        <w:pStyle w:val="Normal"/>
        <w:rPr>
          <w:lang w:val="pt-BR"/>
        </w:rPr>
      </w:pPr>
      <w:r>
        <w:rPr>
          <w:b w:val="false"/>
          <w:sz w:val="24"/>
          <w:szCs w:val="24"/>
          <w:lang w:val="pt-BR"/>
        </w:rPr>
        <w:t>Bairro:</w:t>
      </w:r>
    </w:p>
    <w:p>
      <w:pPr>
        <w:pStyle w:val="Normal"/>
        <w:rPr>
          <w:lang w:val="pt-BR"/>
        </w:rPr>
      </w:pPr>
      <w:r>
        <w:rPr>
          <w:b w:val="false"/>
          <w:sz w:val="24"/>
          <w:szCs w:val="24"/>
          <w:lang w:val="pt-BR"/>
        </w:rPr>
        <w:t>Tel.:</w:t>
      </w:r>
    </w:p>
    <w:p>
      <w:pPr>
        <w:pStyle w:val="Normal"/>
        <w:rPr>
          <w:lang w:val="pt-BR"/>
        </w:rPr>
      </w:pPr>
      <w:r>
        <w:rPr>
          <w:b w:val="false"/>
          <w:sz w:val="24"/>
          <w:szCs w:val="24"/>
          <w:lang w:val="pt-BR"/>
        </w:rPr>
        <w:t>Cidade:</w:t>
      </w:r>
    </w:p>
    <w:p>
      <w:pPr>
        <w:pStyle w:val="Normal"/>
        <w:rPr>
          <w:lang w:val="pt-BR"/>
        </w:rPr>
      </w:pPr>
      <w:r>
        <w:rPr>
          <w:b w:val="false"/>
          <w:sz w:val="24"/>
          <w:szCs w:val="24"/>
          <w:lang w:val="pt-BR"/>
        </w:rPr>
        <w:t>UF:</w:t>
      </w:r>
    </w:p>
    <w:p>
      <w:pPr>
        <w:pStyle w:val="Normal"/>
        <w:rPr>
          <w:lang w:val="pt-BR"/>
        </w:rPr>
      </w:pPr>
      <w:r>
        <w:rPr>
          <w:b w:val="false"/>
          <w:sz w:val="24"/>
          <w:szCs w:val="24"/>
          <w:lang w:val="pt-BR"/>
        </w:rPr>
        <w:t>CEP:</w:t>
      </w:r>
    </w:p>
    <w:p>
      <w:pPr>
        <w:pStyle w:val="Normal"/>
        <w:rPr>
          <w:lang w:val="pt-BR"/>
        </w:rPr>
      </w:pPr>
      <w:r>
        <w:rPr>
          <w:b w:val="false"/>
          <w:sz w:val="24"/>
          <w:szCs w:val="24"/>
          <w:lang w:val="pt-BR"/>
        </w:rPr>
        <w:t>Representante Legal:</w:t>
      </w:r>
    </w:p>
    <w:p>
      <w:pPr>
        <w:pStyle w:val="Normal"/>
        <w:rPr>
          <w:lang w:val="pt-BR"/>
        </w:rPr>
      </w:pPr>
      <w:r>
        <w:rPr>
          <w:b w:val="false"/>
          <w:sz w:val="24"/>
          <w:szCs w:val="24"/>
          <w:lang w:val="pt-BR"/>
        </w:rPr>
        <w:t>CPF n.º:</w:t>
      </w:r>
    </w:p>
    <w:p>
      <w:pPr>
        <w:pStyle w:val="Normal"/>
        <w:rPr>
          <w:lang w:val="pt-BR"/>
        </w:rPr>
      </w:pPr>
      <w:r>
        <w:rPr>
          <w:b w:val="false"/>
          <w:sz w:val="24"/>
          <w:szCs w:val="24"/>
          <w:lang w:val="pt-BR"/>
        </w:rPr>
        <w:t>E-mail:</w:t>
      </w:r>
    </w:p>
    <w:p>
      <w:pPr>
        <w:pStyle w:val="Normal"/>
        <w:rPr>
          <w:b w:val="false"/>
          <w:sz w:val="24"/>
          <w:szCs w:val="24"/>
          <w:lang w:val="pt-BR"/>
        </w:rPr>
      </w:pPr>
      <w:r>
        <w:rPr>
          <w:b w:val="false"/>
          <w:sz w:val="24"/>
          <w:szCs w:val="24"/>
          <w:lang w:val="pt-BR"/>
        </w:rPr>
      </w:r>
    </w:p>
    <w:p>
      <w:pPr>
        <w:pStyle w:val="Normal"/>
        <w:jc w:val="both"/>
        <w:rPr>
          <w:b w:val="false"/>
          <w:sz w:val="24"/>
          <w:szCs w:val="24"/>
          <w:lang w:val="pt-BR"/>
        </w:rPr>
      </w:pPr>
      <w:r>
        <w:rPr>
          <w:b w:val="false"/>
          <w:sz w:val="24"/>
          <w:szCs w:val="24"/>
          <w:lang w:val="pt-BR"/>
        </w:rPr>
        <w:t>Tendo sido aceita a proposta apresentada no processo administrativo em epígrafe e adjudicado o respectivo objeto, com fundamento na Lei Federal n.º 14.133/2021, deverá a contratada fornecer à Fundação Arquivo e Memória de Santos – FAMS, CNPJ/MF n.º 01.446.932/0001-25, com sede na Rua Visconde do Rio Branco, n.º 48 – Centro – Santos/SP, os materiais abaixo discriminados:</w:t>
      </w:r>
    </w:p>
    <w:p>
      <w:pPr>
        <w:pStyle w:val="Normal"/>
        <w:jc w:val="both"/>
        <w:rPr>
          <w:b w:val="false"/>
          <w:sz w:val="24"/>
          <w:szCs w:val="24"/>
          <w:lang w:val="pt-BR"/>
        </w:rPr>
      </w:pPr>
      <w:r>
        <w:rPr>
          <w:b w:val="false"/>
          <w:sz w:val="24"/>
          <w:szCs w:val="24"/>
          <w:lang w:val="pt-BR"/>
        </w:rPr>
      </w:r>
    </w:p>
    <w:tbl>
      <w:tblPr>
        <w:tblStyle w:val="TableGrid"/>
        <w:tblW w:w="9970"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1994"/>
        <w:gridCol w:w="1994"/>
        <w:gridCol w:w="1994"/>
        <w:gridCol w:w="1994"/>
        <w:gridCol w:w="1994"/>
      </w:tblGrid>
      <w:tr>
        <w:trPr>
          <w:cantSplit/>
        </w:trPr>
        <w:tc>
          <w:tcPr>
            <w:tcW w:w="1994" w:type="dxa"/>
            <w:tcBorders/>
            <w:shd w:fill="D9EAF7" w:val="clear"/>
            <w:vAlign w:val="center"/>
          </w:tcPr>
          <w:p>
            <w:pPr>
              <w:pStyle w:val="Normal"/>
              <w:widowControl/>
              <w:suppressAutoHyphens w:val="true"/>
              <w:spacing w:before="0" w:after="80"/>
              <w:jc w:val="center"/>
              <w:rPr>
                <w:lang w:val="pt-BR"/>
              </w:rPr>
            </w:pPr>
            <w:r>
              <w:rPr>
                <w:rFonts w:eastAsia="ＭＳ 明朝" w:cs=""/>
                <w:b/>
                <w:kern w:val="0"/>
                <w:sz w:val="24"/>
                <w:szCs w:val="24"/>
                <w:lang w:val="pt-BR" w:eastAsia="en-US" w:bidi="ar-SA"/>
              </w:rPr>
              <w:t>Item</w:t>
            </w:r>
          </w:p>
        </w:tc>
        <w:tc>
          <w:tcPr>
            <w:tcW w:w="1994" w:type="dxa"/>
            <w:tcBorders/>
            <w:shd w:fill="D9EAF7" w:val="clear"/>
            <w:vAlign w:val="center"/>
          </w:tcPr>
          <w:p>
            <w:pPr>
              <w:pStyle w:val="Normal"/>
              <w:widowControl/>
              <w:suppressAutoHyphens w:val="true"/>
              <w:spacing w:before="0" w:after="80"/>
              <w:jc w:val="center"/>
              <w:rPr>
                <w:lang w:val="pt-BR"/>
              </w:rPr>
            </w:pPr>
            <w:r>
              <w:rPr>
                <w:rFonts w:eastAsia="ＭＳ 明朝" w:cs=""/>
                <w:b/>
                <w:kern w:val="0"/>
                <w:sz w:val="24"/>
                <w:szCs w:val="24"/>
                <w:lang w:val="pt-BR" w:eastAsia="en-US" w:bidi="ar-SA"/>
              </w:rPr>
              <w:t>Descrição</w:t>
            </w:r>
          </w:p>
        </w:tc>
        <w:tc>
          <w:tcPr>
            <w:tcW w:w="1994" w:type="dxa"/>
            <w:tcBorders/>
            <w:shd w:fill="D9EAF7" w:val="clear"/>
            <w:vAlign w:val="center"/>
          </w:tcPr>
          <w:p>
            <w:pPr>
              <w:pStyle w:val="Normal"/>
              <w:widowControl/>
              <w:suppressAutoHyphens w:val="true"/>
              <w:spacing w:before="0" w:after="80"/>
              <w:jc w:val="center"/>
              <w:rPr>
                <w:lang w:val="pt-BR"/>
              </w:rPr>
            </w:pPr>
            <w:r>
              <w:rPr>
                <w:rFonts w:eastAsia="ＭＳ 明朝" w:cs=""/>
                <w:b/>
                <w:kern w:val="0"/>
                <w:sz w:val="24"/>
                <w:szCs w:val="24"/>
                <w:lang w:val="pt-BR" w:eastAsia="en-US" w:bidi="ar-SA"/>
              </w:rPr>
              <w:t>Quantidade</w:t>
            </w:r>
          </w:p>
        </w:tc>
        <w:tc>
          <w:tcPr>
            <w:tcW w:w="1994" w:type="dxa"/>
            <w:tcBorders/>
            <w:shd w:fill="D9EAF7" w:val="clear"/>
            <w:vAlign w:val="center"/>
          </w:tcPr>
          <w:p>
            <w:pPr>
              <w:pStyle w:val="Normal"/>
              <w:widowControl/>
              <w:suppressAutoHyphens w:val="true"/>
              <w:spacing w:before="0" w:after="80"/>
              <w:jc w:val="center"/>
              <w:rPr>
                <w:lang w:val="pt-BR"/>
              </w:rPr>
            </w:pPr>
            <w:r>
              <w:rPr>
                <w:rFonts w:eastAsia="ＭＳ 明朝" w:cs=""/>
                <w:b/>
                <w:kern w:val="0"/>
                <w:sz w:val="24"/>
                <w:szCs w:val="24"/>
                <w:lang w:val="pt-BR" w:eastAsia="en-US" w:bidi="ar-SA"/>
              </w:rPr>
              <w:t>Valor Unitário (R$)</w:t>
            </w:r>
          </w:p>
        </w:tc>
        <w:tc>
          <w:tcPr>
            <w:tcW w:w="1994" w:type="dxa"/>
            <w:tcBorders/>
            <w:shd w:fill="D9EAF7" w:val="clear"/>
            <w:vAlign w:val="center"/>
          </w:tcPr>
          <w:p>
            <w:pPr>
              <w:pStyle w:val="Normal"/>
              <w:widowControl/>
              <w:suppressAutoHyphens w:val="true"/>
              <w:spacing w:before="0" w:after="80"/>
              <w:jc w:val="center"/>
              <w:rPr>
                <w:lang w:val="pt-BR"/>
              </w:rPr>
            </w:pPr>
            <w:r>
              <w:rPr>
                <w:rFonts w:eastAsia="ＭＳ 明朝" w:cs=""/>
                <w:b/>
                <w:kern w:val="0"/>
                <w:sz w:val="24"/>
                <w:szCs w:val="24"/>
                <w:lang w:val="pt-BR" w:eastAsia="en-US" w:bidi="ar-SA"/>
              </w:rPr>
              <w:t>Valor Total (R$)</w:t>
            </w:r>
          </w:p>
        </w:tc>
      </w:tr>
      <w:tr>
        <w:trPr>
          <w:cantSplit/>
        </w:trPr>
        <w:tc>
          <w:tcPr>
            <w:tcW w:w="1994" w:type="dxa"/>
            <w:tcBorders/>
            <w:vAlign w:val="center"/>
          </w:tcPr>
          <w:p>
            <w:pPr>
              <w:pStyle w:val="Normal"/>
              <w:widowControl/>
              <w:suppressAutoHyphens w:val="true"/>
              <w:spacing w:before="0" w:after="80"/>
              <w:jc w:val="center"/>
              <w:rPr>
                <w:lang w:val="pt-BR"/>
              </w:rPr>
            </w:pPr>
            <w:r>
              <w:rPr>
                <w:rFonts w:eastAsia="ＭＳ 明朝" w:cs=""/>
                <w:b w:val="false"/>
                <w:kern w:val="0"/>
                <w:sz w:val="24"/>
                <w:szCs w:val="24"/>
                <w:lang w:val="pt-BR" w:eastAsia="en-US" w:bidi="ar-SA"/>
              </w:rPr>
              <w:t>01</w:t>
            </w:r>
          </w:p>
        </w:tc>
        <w:tc>
          <w:tcPr>
            <w:tcW w:w="1994" w:type="dxa"/>
            <w:tcBorders/>
            <w:vAlign w:val="center"/>
          </w:tcPr>
          <w:p>
            <w:pPr>
              <w:pStyle w:val="Normal"/>
              <w:widowControl/>
              <w:suppressAutoHyphens w:val="true"/>
              <w:spacing w:before="0" w:after="80"/>
              <w:jc w:val="start"/>
              <w:rPr>
                <w:lang w:val="pt-BR"/>
              </w:rPr>
            </w:pPr>
            <w:r>
              <w:rPr>
                <w:rFonts w:eastAsia="ＭＳ 明朝" w:cs=""/>
                <w:b w:val="false"/>
                <w:kern w:val="0"/>
                <w:sz w:val="24"/>
                <w:szCs w:val="24"/>
                <w:lang w:val="pt-BR" w:eastAsia="en-US" w:bidi="ar-SA"/>
              </w:rPr>
              <w:t>Banner em lona 1,00 m x 1,50 m, impressão digital solvente, alta resolução, 4x0 cores, acabamento no verso em madeira e cordão de nylon</w:t>
            </w:r>
          </w:p>
        </w:tc>
        <w:tc>
          <w:tcPr>
            <w:tcW w:w="1994" w:type="dxa"/>
            <w:tcBorders/>
            <w:vAlign w:val="center"/>
          </w:tcPr>
          <w:p>
            <w:pPr>
              <w:pStyle w:val="Normal"/>
              <w:widowControl/>
              <w:suppressAutoHyphens w:val="true"/>
              <w:spacing w:before="0" w:after="80"/>
              <w:jc w:val="center"/>
              <w:rPr>
                <w:lang w:val="pt-BR"/>
              </w:rPr>
            </w:pPr>
            <w:r>
              <w:rPr>
                <w:rFonts w:eastAsia="ＭＳ 明朝" w:cs=""/>
                <w:b w:val="false"/>
                <w:kern w:val="0"/>
                <w:sz w:val="24"/>
                <w:szCs w:val="24"/>
                <w:lang w:val="pt-BR" w:eastAsia="en-US" w:bidi="ar-SA"/>
              </w:rPr>
              <w:t>12</w:t>
            </w:r>
          </w:p>
        </w:tc>
        <w:tc>
          <w:tcPr>
            <w:tcW w:w="1994" w:type="dxa"/>
            <w:tcBorders/>
            <w:vAlign w:val="center"/>
          </w:tcPr>
          <w:p>
            <w:pPr>
              <w:pStyle w:val="Normal"/>
              <w:widowControl/>
              <w:suppressAutoHyphens w:val="true"/>
              <w:spacing w:before="0" w:after="80"/>
              <w:jc w:val="center"/>
              <w:rPr>
                <w:rFonts w:eastAsia="ＭＳ 明朝" w:cs=""/>
                <w:kern w:val="0"/>
                <w:sz w:val="24"/>
                <w:szCs w:val="24"/>
                <w:lang w:val="pt-BR" w:eastAsia="en-US" w:bidi="ar-SA"/>
              </w:rPr>
            </w:pPr>
            <w:r>
              <w:rPr>
                <w:rFonts w:eastAsia="ＭＳ 明朝" w:cs=""/>
                <w:kern w:val="0"/>
                <w:sz w:val="24"/>
                <w:szCs w:val="24"/>
                <w:lang w:val="pt-BR" w:eastAsia="en-US" w:bidi="ar-SA"/>
              </w:rPr>
            </w:r>
          </w:p>
        </w:tc>
        <w:tc>
          <w:tcPr>
            <w:tcW w:w="1994" w:type="dxa"/>
            <w:tcBorders/>
            <w:vAlign w:val="center"/>
          </w:tcPr>
          <w:p>
            <w:pPr>
              <w:pStyle w:val="Normal"/>
              <w:widowControl/>
              <w:suppressAutoHyphens w:val="true"/>
              <w:spacing w:before="0" w:after="80"/>
              <w:jc w:val="center"/>
              <w:rPr>
                <w:rFonts w:eastAsia="ＭＳ 明朝" w:cs=""/>
                <w:kern w:val="0"/>
                <w:sz w:val="24"/>
                <w:szCs w:val="24"/>
                <w:lang w:val="pt-BR" w:eastAsia="en-US" w:bidi="ar-SA"/>
              </w:rPr>
            </w:pPr>
            <w:r>
              <w:rPr>
                <w:rFonts w:eastAsia="ＭＳ 明朝" w:cs=""/>
                <w:kern w:val="0"/>
                <w:sz w:val="24"/>
                <w:szCs w:val="24"/>
                <w:lang w:val="pt-BR" w:eastAsia="en-US" w:bidi="ar-SA"/>
              </w:rPr>
            </w:r>
          </w:p>
        </w:tc>
      </w:tr>
    </w:tbl>
    <w:p>
      <w:pPr>
        <w:pStyle w:val="Normal"/>
        <w:rPr>
          <w:lang w:val="pt-BR"/>
        </w:rPr>
      </w:pPr>
      <w:r>
        <w:rPr>
          <w:b/>
          <w:sz w:val="24"/>
          <w:szCs w:val="24"/>
          <w:lang w:val="pt-BR"/>
        </w:rPr>
        <w:t xml:space="preserve">Valor Total desta Autorização de Fornecimento: </w:t>
      </w:r>
      <w:r>
        <w:rPr>
          <w:b w:val="false"/>
          <w:bCs w:val="false"/>
          <w:sz w:val="24"/>
          <w:szCs w:val="24"/>
          <w:lang w:val="pt-BR"/>
        </w:rPr>
        <w:t>R$ _______ (_____________________).</w:t>
      </w:r>
    </w:p>
    <w:p>
      <w:pPr>
        <w:pStyle w:val="Normal"/>
        <w:rPr>
          <w:b/>
          <w:sz w:val="24"/>
          <w:szCs w:val="24"/>
          <w:lang w:val="pt-BR"/>
        </w:rPr>
      </w:pPr>
      <w:r>
        <w:rPr>
          <w:b/>
          <w:sz w:val="24"/>
          <w:szCs w:val="24"/>
          <w:lang w:val="pt-BR"/>
        </w:rPr>
        <w:t>DA EXECUÇÃO DO OBJETO</w:t>
      </w:r>
    </w:p>
    <w:p>
      <w:pPr>
        <w:pStyle w:val="Normal"/>
        <w:jc w:val="both"/>
        <w:rPr>
          <w:lang w:val="pt-BR"/>
        </w:rPr>
      </w:pPr>
      <w:r>
        <w:rPr>
          <w:b/>
          <w:bCs/>
          <w:sz w:val="24"/>
          <w:szCs w:val="24"/>
          <w:lang w:val="pt-BR"/>
        </w:rPr>
        <w:t>Prazo e Forma de Entrega:</w:t>
      </w:r>
      <w:r>
        <w:rPr>
          <w:b w:val="false"/>
          <w:sz w:val="24"/>
          <w:szCs w:val="24"/>
          <w:lang w:val="pt-BR"/>
        </w:rPr>
        <w:t xml:space="preserve"> A execução do objeto terá início a partir da formalização da contratação e da disponibilização das artes pela FAMS.</w:t>
      </w:r>
    </w:p>
    <w:p>
      <w:pPr>
        <w:pStyle w:val="Normal"/>
        <w:jc w:val="both"/>
        <w:rPr>
          <w:lang w:val="pt-BR"/>
        </w:rPr>
      </w:pPr>
      <w:r>
        <w:rPr>
          <w:b w:val="false"/>
          <w:sz w:val="24"/>
          <w:szCs w:val="24"/>
          <w:lang w:val="pt-BR"/>
        </w:rPr>
        <w:t xml:space="preserve">A contratada deverá confeccionar os </w:t>
      </w:r>
      <w:r>
        <w:rPr>
          <w:b w:val="false"/>
          <w:i/>
          <w:iCs/>
          <w:sz w:val="24"/>
          <w:szCs w:val="24"/>
          <w:lang w:val="pt-BR"/>
        </w:rPr>
        <w:t>banners</w:t>
      </w:r>
      <w:r>
        <w:rPr>
          <w:b w:val="false"/>
          <w:sz w:val="24"/>
          <w:szCs w:val="24"/>
          <w:lang w:val="pt-BR"/>
        </w:rPr>
        <w:t xml:space="preserve"> rigorosamente de acordo com as especificações do Termo de Referência e com os arquivos fornecidos pela Administração.</w:t>
      </w:r>
    </w:p>
    <w:p>
      <w:pPr>
        <w:pStyle w:val="Normal"/>
        <w:jc w:val="both"/>
        <w:rPr>
          <w:lang w:val="pt-BR"/>
        </w:rPr>
      </w:pPr>
      <w:r>
        <w:rPr>
          <w:b w:val="false"/>
          <w:sz w:val="24"/>
          <w:szCs w:val="24"/>
          <w:lang w:val="pt-BR"/>
        </w:rPr>
        <w:t xml:space="preserve">A FAMS disponibilizará as artes à contratada no prazo máximo de </w:t>
      </w:r>
      <w:r>
        <w:rPr>
          <w:b/>
          <w:bCs/>
          <w:sz w:val="24"/>
          <w:szCs w:val="24"/>
          <w:lang w:val="pt-BR"/>
        </w:rPr>
        <w:t>05 (cinco) dias úteis</w:t>
      </w:r>
      <w:r>
        <w:rPr>
          <w:b w:val="false"/>
          <w:sz w:val="24"/>
          <w:szCs w:val="24"/>
          <w:lang w:val="pt-BR"/>
        </w:rPr>
        <w:t xml:space="preserve"> após a conclusão do procedimento de seleção do fornecedor.</w:t>
      </w:r>
    </w:p>
    <w:p>
      <w:pPr>
        <w:pStyle w:val="Normal"/>
        <w:jc w:val="both"/>
        <w:rPr>
          <w:lang w:val="pt-BR"/>
        </w:rPr>
      </w:pPr>
      <w:r>
        <w:rPr>
          <w:b w:val="false"/>
          <w:sz w:val="24"/>
          <w:szCs w:val="24"/>
          <w:lang w:val="pt-BR"/>
        </w:rPr>
        <w:t>A partir da disponibilização das artes, a contratada terá prazo máximo de 1</w:t>
      </w:r>
      <w:r>
        <w:rPr>
          <w:b/>
          <w:bCs/>
          <w:sz w:val="24"/>
          <w:szCs w:val="24"/>
          <w:lang w:val="pt-BR"/>
        </w:rPr>
        <w:t>5 (quinze) dias úteis</w:t>
      </w:r>
      <w:r>
        <w:rPr>
          <w:b w:val="false"/>
          <w:sz w:val="24"/>
          <w:szCs w:val="24"/>
          <w:lang w:val="pt-BR"/>
        </w:rPr>
        <w:t xml:space="preserve"> para confeccionar e entregar integralmente os 12 </w:t>
      </w:r>
      <w:r>
        <w:rPr>
          <w:b w:val="false"/>
          <w:i/>
          <w:iCs/>
          <w:sz w:val="24"/>
          <w:szCs w:val="24"/>
          <w:lang w:val="pt-BR"/>
        </w:rPr>
        <w:t>banners</w:t>
      </w:r>
      <w:r>
        <w:rPr>
          <w:b w:val="false"/>
          <w:sz w:val="24"/>
          <w:szCs w:val="24"/>
          <w:lang w:val="pt-BR"/>
        </w:rPr>
        <w:t>.</w:t>
      </w:r>
    </w:p>
    <w:p>
      <w:pPr>
        <w:pStyle w:val="Normal"/>
        <w:jc w:val="both"/>
        <w:rPr>
          <w:lang w:val="pt-BR"/>
        </w:rPr>
      </w:pPr>
      <w:r>
        <w:rPr>
          <w:b/>
          <w:bCs/>
          <w:sz w:val="24"/>
          <w:szCs w:val="24"/>
          <w:lang w:val="pt-BR"/>
        </w:rPr>
        <w:t>Local de Entrega:</w:t>
      </w:r>
      <w:r>
        <w:rPr>
          <w:b w:val="false"/>
          <w:sz w:val="24"/>
          <w:szCs w:val="24"/>
          <w:lang w:val="pt-BR"/>
        </w:rPr>
        <w:t xml:space="preserve"> A entrega será realizada no Outeiro de Santa Catarina, Rua Visconde do Rio Branco, n.º 48 – Centro – Santos/SP, de segunda a sexta-feira, exceto feriados e pontos facultativos, das 9h às 16h, mediante aviso prévio pelo e-mail: </w:t>
      </w:r>
      <w:hyperlink r:id="rId7">
        <w:r>
          <w:rPr>
            <w:rStyle w:val="Hyperlink"/>
            <w:b w:val="false"/>
            <w:sz w:val="24"/>
            <w:szCs w:val="24"/>
            <w:lang w:val="pt-BR"/>
          </w:rPr>
          <w:t>sede@fundasantos.org.br</w:t>
        </w:r>
      </w:hyperlink>
      <w:r>
        <w:rPr>
          <w:b w:val="false"/>
          <w:sz w:val="24"/>
          <w:szCs w:val="24"/>
          <w:lang w:val="pt-BR"/>
        </w:rPr>
        <w:t>.</w:t>
      </w:r>
    </w:p>
    <w:p>
      <w:pPr>
        <w:pStyle w:val="Normal"/>
        <w:jc w:val="both"/>
        <w:rPr>
          <w:lang w:val="pt-BR"/>
        </w:rPr>
      </w:pPr>
      <w:r>
        <w:rPr>
          <w:b/>
          <w:bCs/>
          <w:sz w:val="24"/>
          <w:szCs w:val="24"/>
          <w:lang w:val="pt-BR"/>
        </w:rPr>
        <w:t>Condições da Entrega:</w:t>
      </w:r>
      <w:r>
        <w:rPr>
          <w:b w:val="false"/>
          <w:sz w:val="24"/>
          <w:szCs w:val="24"/>
          <w:lang w:val="pt-BR"/>
        </w:rPr>
        <w:t xml:space="preserve"> A entrega deverá ocorrer em parcela única.</w:t>
      </w:r>
    </w:p>
    <w:p>
      <w:pPr>
        <w:pStyle w:val="Normal"/>
        <w:spacing w:lineRule="auto" w:line="276" w:before="0" w:after="0"/>
        <w:jc w:val="both"/>
        <w:rPr>
          <w:lang w:val="pt-BR"/>
        </w:rPr>
      </w:pPr>
      <w:r>
        <w:rPr>
          <w:rFonts w:eastAsia="" w:cs="" w:cstheme="minorBidi" w:eastAsiaTheme="minorEastAsia"/>
          <w:b w:val="false"/>
          <w:color w:val="auto"/>
          <w:kern w:val="0"/>
          <w:sz w:val="24"/>
          <w:szCs w:val="24"/>
          <w:lang w:val="pt-BR" w:eastAsia="en-US" w:bidi="ar-SA"/>
        </w:rPr>
        <w:t>Os produtos deverão ser acondicionados adequadamente para evitar danos durante o transporte.</w:t>
      </w:r>
    </w:p>
    <w:p>
      <w:pPr>
        <w:pStyle w:val="Normal"/>
        <w:jc w:val="both"/>
        <w:rPr>
          <w:lang w:val="pt-BR"/>
        </w:rPr>
      </w:pPr>
      <w:r>
        <w:rPr>
          <w:b w:val="false"/>
          <w:sz w:val="24"/>
          <w:szCs w:val="24"/>
          <w:lang w:val="pt-BR"/>
        </w:rPr>
        <w:t>Todas as despesas necessárias à execução do objeto, inclusive materiais, mão de obra, impressão, acabamento, embalagem, transporte, descarregamento e entrega, deverão estar incluídas no preço contratado.</w:t>
      </w:r>
    </w:p>
    <w:p>
      <w:pPr>
        <w:pStyle w:val="Normal"/>
        <w:jc w:val="both"/>
        <w:rPr>
          <w:b w:val="false"/>
          <w:sz w:val="24"/>
          <w:szCs w:val="24"/>
          <w:lang w:val="pt-BR"/>
        </w:rPr>
      </w:pPr>
      <w:r>
        <w:rPr>
          <w:b w:val="false"/>
          <w:sz w:val="24"/>
          <w:szCs w:val="24"/>
          <w:lang w:val="pt-BR"/>
        </w:rPr>
        <w:t>A contratada será responsável pela adequada execução do objeto e pela correção ou substituição dos produtos entregues em desacordo com as especificações, no prazo de 05 (cinco) dias úteis, contados do apontamento.</w:t>
      </w:r>
    </w:p>
    <w:p>
      <w:pPr>
        <w:pStyle w:val="Normal"/>
        <w:spacing w:before="0" w:after="0"/>
        <w:jc w:val="both"/>
        <w:rPr>
          <w:b w:val="false"/>
          <w:sz w:val="24"/>
          <w:szCs w:val="24"/>
          <w:lang w:val="pt-BR"/>
        </w:rPr>
      </w:pPr>
      <w:r>
        <w:rPr>
          <w:b w:val="false"/>
          <w:sz w:val="24"/>
          <w:szCs w:val="24"/>
          <w:lang w:val="pt-BR"/>
        </w:rPr>
      </w:r>
    </w:p>
    <w:p>
      <w:pPr>
        <w:pStyle w:val="Normal"/>
        <w:rPr>
          <w:lang w:val="pt-BR"/>
        </w:rPr>
      </w:pPr>
      <w:r>
        <w:rPr>
          <w:b/>
          <w:sz w:val="24"/>
          <w:szCs w:val="24"/>
          <w:lang w:val="pt-BR"/>
        </w:rPr>
        <w:t>PROCEDIMENTO DE FISCALIZAÇÃO E GERENCIAMENTO</w:t>
      </w:r>
    </w:p>
    <w:p>
      <w:pPr>
        <w:pStyle w:val="Normal"/>
        <w:jc w:val="both"/>
        <w:rPr>
          <w:b w:val="false"/>
          <w:sz w:val="24"/>
          <w:szCs w:val="24"/>
          <w:lang w:val="pt-BR"/>
        </w:rPr>
      </w:pPr>
      <w:r>
        <w:rPr>
          <w:b w:val="false"/>
          <w:sz w:val="24"/>
          <w:szCs w:val="24"/>
          <w:lang w:val="pt-BR"/>
        </w:rPr>
        <w:t>A fiscalização e o gerenciamento da Autorização de Fornecimento serão realizados pela Diretoria Técnica da FAMS ou por servidor designado, que verificará a conformidade quantitativa e qualitativa dos materiais entregues.</w:t>
      </w:r>
    </w:p>
    <w:p>
      <w:pPr>
        <w:pStyle w:val="SemEspaamento"/>
        <w:jc w:val="both"/>
        <w:rPr/>
      </w:pPr>
      <w:r>
        <w:rPr>
          <w:rStyle w:val="Hyperlink"/>
          <w:rFonts w:cs="Arial" w:ascii="Arial" w:hAnsi="Arial"/>
          <w:bCs/>
          <w:color w:val="000000"/>
          <w:sz w:val="24"/>
          <w:szCs w:val="24"/>
          <w:u w:val="none"/>
          <w:lang w:val="pt-BR"/>
        </w:rPr>
        <w:t>A Autorização de Fornecimento deverá ser executada fielmente pelas partes, de acordo com as cláusulas avençadas e as normas da Lei n.º 14.133, de 2021, e cada parte responderá pelas consequências de sua inexecução total ou parcial.</w:t>
      </w:r>
    </w:p>
    <w:p>
      <w:pPr>
        <w:pStyle w:val="Normal"/>
        <w:spacing w:before="0" w:after="0"/>
        <w:jc w:val="both"/>
        <w:rPr>
          <w:b w:val="false"/>
          <w:sz w:val="24"/>
          <w:szCs w:val="24"/>
          <w:lang w:val="pt-BR"/>
        </w:rPr>
      </w:pPr>
      <w:r>
        <w:rPr>
          <w:b w:val="false"/>
          <w:sz w:val="24"/>
          <w:szCs w:val="24"/>
          <w:lang w:val="pt-BR"/>
        </w:rPr>
      </w:r>
    </w:p>
    <w:p>
      <w:pPr>
        <w:pStyle w:val="Normal"/>
        <w:rPr>
          <w:lang w:val="pt-BR"/>
        </w:rPr>
      </w:pPr>
      <w:r>
        <w:rPr>
          <w:b/>
          <w:sz w:val="24"/>
          <w:szCs w:val="24"/>
          <w:lang w:val="pt-BR"/>
        </w:rPr>
        <w:t>DO FATURAMENTO E DO PAGAMENTO</w:t>
      </w:r>
    </w:p>
    <w:p>
      <w:pPr>
        <w:pStyle w:val="Normal"/>
        <w:rPr>
          <w:rFonts w:ascii="Arial" w:hAnsi="Arial" w:cs="Arial"/>
          <w:sz w:val="24"/>
          <w:szCs w:val="24"/>
          <w:lang w:val="pt-BR" w:eastAsia="en-US" w:bidi="ar-SA"/>
        </w:rPr>
      </w:pPr>
      <w:r>
        <w:rPr>
          <w:rFonts w:cs="Arial"/>
          <w:sz w:val="24"/>
          <w:szCs w:val="24"/>
          <w:lang w:val="pt-BR" w:eastAsia="en-US" w:bidi="ar-SA"/>
        </w:rPr>
        <w:t>O pagamento será efetuado em 20 (vinte) dias corridos, contados a partir da data de emissão da nota de liquidação. Eventuais boletos encaminhados pelos fornecedores serão tidos como inexistentes para todos os fins e efeitos.</w:t>
      </w:r>
    </w:p>
    <w:p>
      <w:pPr>
        <w:pStyle w:val="Normal"/>
        <w:spacing w:before="0" w:after="0"/>
        <w:rPr>
          <w:rFonts w:ascii="Arial" w:hAnsi="Arial" w:cs="Arial"/>
          <w:sz w:val="24"/>
          <w:szCs w:val="24"/>
          <w:lang w:val="pt-BR" w:eastAsia="en-US" w:bidi="ar-SA"/>
        </w:rPr>
      </w:pPr>
      <w:r>
        <w:rPr>
          <w:rFonts w:cs="Arial"/>
          <w:sz w:val="24"/>
          <w:szCs w:val="24"/>
          <w:lang w:val="pt-BR" w:eastAsia="en-US" w:bidi="ar-SA"/>
        </w:rPr>
      </w:r>
    </w:p>
    <w:p>
      <w:pPr>
        <w:pStyle w:val="Normal"/>
        <w:ind w:start="-11" w:end="0"/>
        <w:rPr>
          <w:rFonts w:ascii="Arial" w:hAnsi="Arial" w:cs="Arial"/>
          <w:sz w:val="24"/>
          <w:szCs w:val="24"/>
          <w:lang w:val="pt-BR" w:eastAsia="en-US" w:bidi="ar-SA"/>
        </w:rPr>
      </w:pPr>
      <w:r>
        <w:rPr>
          <w:rFonts w:cs="Arial"/>
          <w:b w:val="false"/>
          <w:sz w:val="24"/>
          <w:szCs w:val="24"/>
          <w:lang w:val="pt-BR" w:eastAsia="en-US" w:bidi="ar-SA"/>
        </w:rPr>
        <w:t>OBS: Nota Fiscal Eletrônica: De acordo com a Portaria CAT 001/11 – D.O.E. SP 08/01/2011, as empresas situadas no estado de São Paulo deverão emitir obrigatoriamente a Nota Fiscal Eletrônica. O Decreto nº 50.437/2005 acrescentou ao art. 124 do Regulamento do ICMS, aprovado pelo Decreto nº 45.490/2000, os incisos XXII e XXIII, na redação dada pelo Decreto nº 52.097/2007, que dispõem sobre a emissão de Documento Fiscal Eletrônico (DFE) e do Documento Auxiliar da Nota Fiscal Eletrônica (Danfe).</w:t>
      </w:r>
    </w:p>
    <w:p>
      <w:pPr>
        <w:pStyle w:val="Normal"/>
        <w:jc w:val="both"/>
        <w:rPr>
          <w:b w:val="false"/>
          <w:sz w:val="24"/>
          <w:szCs w:val="24"/>
          <w:lang w:val="pt-BR"/>
        </w:rPr>
      </w:pPr>
      <w:r>
        <w:rPr>
          <w:b w:val="false"/>
          <w:sz w:val="24"/>
          <w:szCs w:val="24"/>
          <w:lang w:val="pt-BR"/>
        </w:rPr>
      </w:r>
    </w:p>
    <w:p>
      <w:pPr>
        <w:pStyle w:val="Normal"/>
        <w:jc w:val="both"/>
        <w:rPr>
          <w:b w:val="false"/>
          <w:sz w:val="24"/>
          <w:szCs w:val="24"/>
          <w:lang w:val="pt-BR"/>
        </w:rPr>
      </w:pPr>
      <w:r>
        <w:rPr>
          <w:b w:val="false"/>
          <w:sz w:val="24"/>
          <w:szCs w:val="24"/>
          <w:lang w:val="pt-BR"/>
        </w:rPr>
      </w:r>
    </w:p>
    <w:p>
      <w:pPr>
        <w:pStyle w:val="Normal"/>
        <w:rPr>
          <w:lang w:val="pt-BR"/>
        </w:rPr>
      </w:pPr>
      <w:r>
        <w:rPr>
          <w:b/>
          <w:sz w:val="24"/>
          <w:szCs w:val="24"/>
          <w:lang w:val="pt-BR"/>
        </w:rPr>
        <w:t>OBRIGAÇÕES DA CONTRATADA</w:t>
      </w:r>
    </w:p>
    <w:p>
      <w:pPr>
        <w:pStyle w:val="Normal"/>
        <w:rPr>
          <w:rFonts w:ascii="Arial" w:hAnsi="Arial"/>
          <w:sz w:val="24"/>
          <w:szCs w:val="24"/>
          <w:lang w:val="pt-BR"/>
        </w:rPr>
      </w:pPr>
      <w:r>
        <w:rPr>
          <w:sz w:val="24"/>
          <w:szCs w:val="24"/>
          <w:lang w:val="pt-BR"/>
        </w:rPr>
        <w:t xml:space="preserve"> </w:t>
      </w:r>
      <w:r>
        <w:rPr>
          <w:rFonts w:eastAsia="ヒラギノ角ゴ Pro W3" w:cs="Arial"/>
          <w:sz w:val="24"/>
          <w:szCs w:val="24"/>
          <w:lang w:val="pt-BR"/>
        </w:rPr>
        <w:t>OBRIGAÇÕES DA CONTRATADA</w:t>
      </w:r>
    </w:p>
    <w:p>
      <w:pPr>
        <w:pStyle w:val="BodyText"/>
        <w:spacing w:lineRule="auto" w:line="276" w:before="3" w:after="3"/>
        <w:ind w:start="0" w:end="0"/>
        <w:jc w:val="both"/>
        <w:rPr>
          <w:lang w:val="pt-BR"/>
        </w:rPr>
      </w:pPr>
      <w:r>
        <w:rPr>
          <w:rFonts w:eastAsia="ヒラギノ角ゴ Pro W3" w:cs="Arial"/>
          <w:sz w:val="24"/>
          <w:szCs w:val="24"/>
          <w:lang w:val="pt-BR"/>
        </w:rPr>
        <w:t xml:space="preserve">I – fornecer os materiais em estrita conformidade com as especificações técnicas deste Termo de Referência, em perfeitas condições de uso, devidamente acondicionados de modo a evitar danos durante o transporte e a entrega, observadas as normas técnicas aplicáveis ao objeto, quando houver. </w:t>
      </w:r>
    </w:p>
    <w:p>
      <w:pPr>
        <w:pStyle w:val="BodyText"/>
        <w:spacing w:lineRule="auto" w:line="276" w:before="60" w:after="60"/>
        <w:ind w:start="0" w:end="0"/>
        <w:jc w:val="both"/>
        <w:rPr>
          <w:rFonts w:ascii="Arial" w:hAnsi="Arial" w:eastAsia="ヒラギノ角ゴ Pro W3" w:cs="Arial"/>
          <w:sz w:val="24"/>
          <w:szCs w:val="24"/>
          <w:lang w:val="pt-BR"/>
        </w:rPr>
      </w:pPr>
      <w:r>
        <w:rPr>
          <w:rFonts w:eastAsia="ヒラギノ角ゴ Pro W3" w:cs="Arial"/>
          <w:sz w:val="24"/>
          <w:szCs w:val="24"/>
          <w:lang w:val="pt-BR"/>
        </w:rPr>
        <w:t>II – realizar a entrega em local e nos prazos estabelecidos, conforme as condições, quantidades e exigências estabelecidas neste Termo de Referência, no Edital e em seus Anexos;</w:t>
      </w:r>
    </w:p>
    <w:p>
      <w:pPr>
        <w:pStyle w:val="BodyText"/>
        <w:spacing w:lineRule="auto" w:line="276" w:before="3" w:after="3"/>
        <w:ind w:start="0" w:end="0"/>
        <w:jc w:val="both"/>
        <w:rPr>
          <w:rFonts w:ascii="Arial" w:hAnsi="Arial" w:eastAsia="ヒラギノ角ゴ Pro W3" w:cs="Arial"/>
          <w:sz w:val="24"/>
          <w:szCs w:val="24"/>
          <w:lang w:val="pt-BR"/>
        </w:rPr>
      </w:pPr>
      <w:r>
        <w:rPr>
          <w:rFonts w:eastAsia="ヒラギノ角ゴ Pro W3" w:cs="Arial"/>
          <w:sz w:val="24"/>
          <w:szCs w:val="24"/>
          <w:lang w:val="pt-BR"/>
        </w:rPr>
        <w:t xml:space="preserve">III – responsabilizar-se integralmente pelas despesas de transporte, carga, descarga, tributos, encargos trabalhistas, previdenciários, fiscais, comerciais e demais custos decorrentes da execução do objeto; além de </w:t>
      </w:r>
      <w:r>
        <w:rPr>
          <w:rFonts w:eastAsia="ヒラギノ角ゴ Pro W3" w:cs="Arial"/>
          <w:sz w:val="24"/>
          <w:szCs w:val="24"/>
          <w:shd w:fill="auto" w:val="clear"/>
          <w:lang w:val="pt-BR"/>
        </w:rPr>
        <w:t>apresentar as certidões de regularidade fiscal, social e trabalhista, devidamente atualizadas e vigentes, conforme relação de documentos exigidos no Anexo II do Edital;</w:t>
      </w:r>
    </w:p>
    <w:p>
      <w:pPr>
        <w:pStyle w:val="BodyText"/>
        <w:spacing w:lineRule="auto" w:line="276" w:before="3" w:after="3"/>
        <w:ind w:start="0" w:end="0"/>
        <w:jc w:val="both"/>
        <w:rPr>
          <w:rFonts w:ascii="Arial" w:hAnsi="Arial" w:eastAsia="ヒラギノ角ゴ Pro W3" w:cs="Arial"/>
          <w:sz w:val="24"/>
          <w:szCs w:val="24"/>
          <w:lang w:val="pt-BR"/>
        </w:rPr>
      </w:pPr>
      <w:r>
        <w:rPr>
          <w:rFonts w:eastAsia="ヒラギノ角ゴ Pro W3" w:cs="Arial"/>
          <w:sz w:val="24"/>
          <w:szCs w:val="24"/>
          <w:lang w:val="pt-BR"/>
        </w:rPr>
        <w:t>IV – substituir, as suas expensas, no prazo de até 05 (cinco) dias úteis, contados da notificação/ciência, os materiais entregues com defeitos, avarias, desconformidades ou inadequações técnicas;</w:t>
      </w:r>
    </w:p>
    <w:p>
      <w:pPr>
        <w:pStyle w:val="BodyText"/>
        <w:spacing w:lineRule="auto" w:line="276" w:before="3" w:after="3"/>
        <w:ind w:start="0" w:end="0"/>
        <w:jc w:val="both"/>
        <w:rPr>
          <w:rFonts w:ascii="Arial" w:hAnsi="Arial" w:eastAsia="ヒラギノ角ゴ Pro W3" w:cs="Arial"/>
          <w:sz w:val="24"/>
          <w:szCs w:val="24"/>
          <w:lang w:val="pt-BR"/>
        </w:rPr>
      </w:pPr>
      <w:r>
        <w:rPr>
          <w:rFonts w:eastAsia="ヒラギノ角ゴ Pro W3" w:cs="Arial"/>
          <w:sz w:val="24"/>
          <w:szCs w:val="24"/>
          <w:lang w:val="pt-BR"/>
        </w:rPr>
        <w:t>V – manter, durante toda a execução da contratação, as condições de habilitação e qualificação exigidas;</w:t>
      </w:r>
    </w:p>
    <w:p>
      <w:pPr>
        <w:pStyle w:val="BodyText"/>
        <w:spacing w:lineRule="auto" w:line="276" w:before="3" w:after="3"/>
        <w:ind w:start="0" w:end="0"/>
        <w:jc w:val="both"/>
        <w:rPr>
          <w:rFonts w:ascii="Arial" w:hAnsi="Arial" w:eastAsia="ヒラギノ角ゴ Pro W3" w:cs="Arial"/>
          <w:sz w:val="24"/>
          <w:szCs w:val="24"/>
          <w:lang w:val="pt-BR"/>
        </w:rPr>
      </w:pPr>
      <w:r>
        <w:rPr>
          <w:rFonts w:eastAsia="ヒラギノ角ゴ Pro W3" w:cs="Arial"/>
          <w:sz w:val="24"/>
          <w:szCs w:val="24"/>
          <w:lang w:val="pt-BR"/>
        </w:rPr>
        <w:t>VI – comunicar imediatamente à contratante qualquer fato que possa comprometer a execução do fornecimento;</w:t>
      </w:r>
    </w:p>
    <w:p>
      <w:pPr>
        <w:pStyle w:val="BodyText"/>
        <w:spacing w:lineRule="auto" w:line="276" w:before="3" w:after="3"/>
        <w:ind w:start="0" w:end="0"/>
        <w:jc w:val="both"/>
        <w:rPr>
          <w:rFonts w:ascii="Arial" w:hAnsi="Arial" w:eastAsia="ヒラギノ角ゴ Pro W3" w:cs="Arial"/>
          <w:sz w:val="24"/>
          <w:szCs w:val="24"/>
          <w:lang w:val="pt-BR"/>
        </w:rPr>
      </w:pPr>
      <w:r>
        <w:rPr>
          <w:rFonts w:eastAsia="ヒラギノ角ゴ Pro W3" w:cs="Arial"/>
          <w:sz w:val="24"/>
          <w:szCs w:val="24"/>
          <w:lang w:val="pt-BR"/>
        </w:rPr>
        <w:t>VII – não transferir a terceiros, no todo ou em parte, as obrigações assumidas;</w:t>
      </w:r>
    </w:p>
    <w:p>
      <w:pPr>
        <w:pStyle w:val="BodyText"/>
        <w:spacing w:lineRule="auto" w:line="276" w:before="3" w:after="3"/>
        <w:ind w:start="0" w:end="0"/>
        <w:jc w:val="both"/>
        <w:rPr>
          <w:rFonts w:ascii="Arial" w:hAnsi="Arial" w:eastAsia="ヒラギノ角ゴ Pro W3" w:cs="Arial"/>
          <w:sz w:val="24"/>
          <w:szCs w:val="24"/>
          <w:lang w:val="pt-BR"/>
        </w:rPr>
      </w:pPr>
      <w:r>
        <w:rPr>
          <w:rFonts w:eastAsia="ヒラギノ角ゴ Pro W3" w:cs="Arial"/>
          <w:sz w:val="24"/>
          <w:szCs w:val="24"/>
          <w:lang w:val="pt-BR"/>
        </w:rPr>
        <w:t>VIII – responsabilizar-se pelos danos causados diretamente à Fundação ou a terceiros decorrentes de sua culpa ou dolo na execução contratual, nos termos do art. 120 da Lei Federal n.º 14.133/2021;</w:t>
      </w:r>
    </w:p>
    <w:p>
      <w:pPr>
        <w:pStyle w:val="BodyText"/>
        <w:suppressAutoHyphens w:val="true"/>
        <w:bidi w:val="0"/>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IX – observar integralmente as disposições da Lei Federal n.º 14.133/2021 e da regulamentação municipal aplicável;</w:t>
      </w:r>
    </w:p>
    <w:p>
      <w:pPr>
        <w:pStyle w:val="BodyText"/>
        <w:suppressAutoHyphens w:val="true"/>
        <w:bidi w:val="0"/>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X - Ser do ramo pertinente ao objeto da contratação;</w:t>
      </w:r>
    </w:p>
    <w:p>
      <w:pPr>
        <w:pStyle w:val="Normal"/>
        <w:snapToGrid w:val="false"/>
        <w:spacing w:lineRule="auto" w:line="276" w:before="0" w:after="0"/>
        <w:jc w:val="both"/>
        <w:rPr>
          <w:lang w:val="pt-BR"/>
        </w:rPr>
      </w:pPr>
      <w:r>
        <w:rPr>
          <w:rFonts w:eastAsia="ヒラギノ角ゴ Pro W3;Cambria" w:cs="Arial"/>
          <w:sz w:val="24"/>
          <w:szCs w:val="24"/>
          <w:lang w:val="pt-BR"/>
        </w:rPr>
        <w:t xml:space="preserve">XI – Sejam </w:t>
      </w:r>
      <w:r>
        <w:rPr>
          <w:rFonts w:eastAsia="Times New Roman" w:cs="Arial"/>
          <w:b w:val="false"/>
          <w:bCs w:val="false"/>
          <w:color w:val="000000"/>
          <w:kern w:val="0"/>
          <w:sz w:val="24"/>
          <w:szCs w:val="24"/>
          <w:shd w:fill="auto" w:val="clear"/>
          <w:lang w:val="pt-BR" w:eastAsia="pt-BR" w:bidi="ar-SA"/>
        </w:rPr>
        <w:t xml:space="preserve">observadas práticas de sustentabilidade, incluindo </w:t>
      </w:r>
      <w:r>
        <w:rPr>
          <w:sz w:val="24"/>
          <w:szCs w:val="24"/>
          <w:lang w:val="pt-BR"/>
        </w:rPr>
        <w:t xml:space="preserve">uso racional dos materiais, </w:t>
      </w:r>
      <w:r>
        <w:rPr>
          <w:sz w:val="24"/>
          <w:szCs w:val="24"/>
          <w:lang w:val="pt-BR" w:eastAsia="en-US" w:bidi="ar-SA"/>
        </w:rPr>
        <w:t xml:space="preserve">destinação adequada das embalagens e </w:t>
      </w:r>
      <w:r>
        <w:rPr>
          <w:rFonts w:eastAsia="Arial" w:cs="Arial"/>
          <w:b w:val="false"/>
          <w:bCs w:val="false"/>
          <w:sz w:val="24"/>
          <w:szCs w:val="24"/>
          <w:lang w:val="pt-BR" w:eastAsia="en-US" w:bidi="ar-SA"/>
        </w:rPr>
        <w:t>preferência por produtos menos agressivos ao meio ambiente, quando tecnicamente viáveis, seguindo os padrões já adotados pela Administração.</w:t>
      </w:r>
    </w:p>
    <w:p>
      <w:pPr>
        <w:pStyle w:val="Normal"/>
        <w:snapToGrid w:val="false"/>
        <w:spacing w:lineRule="auto" w:line="276" w:before="0" w:after="0"/>
        <w:jc w:val="both"/>
        <w:rPr>
          <w:rFonts w:ascii="Arial" w:hAnsi="Arial" w:eastAsia="Arial" w:cs="Arial"/>
          <w:b w:val="false"/>
          <w:bCs w:val="false"/>
          <w:sz w:val="24"/>
          <w:szCs w:val="24"/>
          <w:lang w:val="pt-BR" w:eastAsia="en-US" w:bidi="ar-SA"/>
        </w:rPr>
      </w:pPr>
      <w:r>
        <w:rPr>
          <w:rFonts w:eastAsia="Arial" w:cs="Arial"/>
          <w:b w:val="false"/>
          <w:bCs w:val="false"/>
          <w:sz w:val="24"/>
          <w:szCs w:val="24"/>
          <w:lang w:val="pt-BR" w:eastAsia="en-US" w:bidi="ar-SA"/>
        </w:rPr>
      </w:r>
    </w:p>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76" w:before="60" w:after="60"/>
        <w:jc w:val="both"/>
        <w:rPr>
          <w:rFonts w:ascii="Arial" w:hAnsi="Arial" w:eastAsia="ヒラギノ角ゴ Pro W3;Cambria" w:cs="Arial"/>
          <w:b/>
          <w:sz w:val="24"/>
          <w:szCs w:val="24"/>
          <w:lang w:val="pt-BR" w:eastAsia="en-US" w:bidi="ar-SA"/>
        </w:rPr>
      </w:pPr>
      <w:r>
        <w:rPr>
          <w:rFonts w:eastAsia="ヒラギノ角ゴ Pro W3;Cambria" w:cs="Arial"/>
          <w:b/>
          <w:sz w:val="24"/>
          <w:szCs w:val="24"/>
          <w:lang w:val="pt-BR" w:eastAsia="en-US" w:bidi="ar-SA"/>
        </w:rPr>
        <w:t>12. OBRIGAÇÕES DA CONTRATANTE</w:t>
      </w:r>
    </w:p>
    <w:p>
      <w:pPr>
        <w:pStyle w:val="BodyText"/>
        <w:spacing w:lineRule="auto" w:line="276" w:before="3" w:after="3"/>
        <w:ind w:start="0" w:end="0"/>
        <w:jc w:val="both"/>
        <w:rPr>
          <w:lang w:val="pt-BR"/>
        </w:rPr>
      </w:pPr>
      <w:r>
        <w:rPr>
          <w:rFonts w:eastAsia="ヒラギノ角ゴ Pro W3" w:cs="Arial"/>
          <w:sz w:val="24"/>
          <w:szCs w:val="24"/>
          <w:lang w:val="pt-BR"/>
        </w:rPr>
        <w:t>I – emitir a Ordem de Serviço ou instrumento equivalente;</w:t>
      </w:r>
    </w:p>
    <w:p>
      <w:pPr>
        <w:pStyle w:val="BodyText"/>
        <w:spacing w:lineRule="auto" w:line="276" w:before="3" w:after="3"/>
        <w:ind w:start="0" w:end="0"/>
        <w:jc w:val="both"/>
        <w:rPr>
          <w:rFonts w:ascii="Arial" w:hAnsi="Arial" w:eastAsia="ヒラギノ角ゴ Pro W3" w:cs="Arial"/>
          <w:sz w:val="24"/>
          <w:szCs w:val="24"/>
          <w:lang w:val="pt-BR"/>
        </w:rPr>
      </w:pPr>
      <w:r>
        <w:rPr>
          <w:rFonts w:eastAsia="ヒラギノ角ゴ Pro W3" w:cs="Arial"/>
          <w:sz w:val="24"/>
          <w:szCs w:val="24"/>
          <w:lang w:val="pt-BR"/>
        </w:rPr>
        <w:t>II – proporcionar as condições necessárias para a adequado recebimento do material;</w:t>
      </w:r>
    </w:p>
    <w:p>
      <w:pPr>
        <w:pStyle w:val="BodyText"/>
        <w:spacing w:lineRule="auto" w:line="276" w:before="3" w:after="3"/>
        <w:ind w:start="0" w:end="0"/>
        <w:jc w:val="both"/>
        <w:rPr>
          <w:rFonts w:ascii="Arial" w:hAnsi="Arial" w:eastAsia="ヒラギノ角ゴ Pro W3" w:cs="Arial"/>
          <w:sz w:val="24"/>
          <w:szCs w:val="24"/>
          <w:lang w:val="pt-BR"/>
        </w:rPr>
      </w:pPr>
      <w:r>
        <w:rPr>
          <w:rFonts w:eastAsia="ヒラギノ角ゴ Pro W3" w:cs="Arial"/>
          <w:sz w:val="24"/>
          <w:szCs w:val="24"/>
          <w:lang w:val="pt-BR"/>
        </w:rPr>
        <w:t>III – acompanhar, fiscalizar e avaliar o fornecimento, por meio de servidor designado;</w:t>
      </w:r>
    </w:p>
    <w:p>
      <w:pPr>
        <w:pStyle w:val="BodyText"/>
        <w:spacing w:lineRule="auto" w:line="276" w:before="3" w:after="3"/>
        <w:ind w:start="0" w:end="0"/>
        <w:jc w:val="both"/>
        <w:rPr>
          <w:rFonts w:ascii="Arial" w:hAnsi="Arial" w:eastAsia="ヒラギノ角ゴ Pro W3" w:cs="Arial"/>
          <w:sz w:val="24"/>
          <w:szCs w:val="24"/>
          <w:lang w:val="pt-BR"/>
        </w:rPr>
      </w:pPr>
      <w:r>
        <w:rPr>
          <w:rFonts w:eastAsia="ヒラギノ角ゴ Pro W3" w:cs="Arial"/>
          <w:sz w:val="24"/>
          <w:szCs w:val="24"/>
          <w:lang w:val="pt-BR"/>
        </w:rPr>
        <w:t>IV – receber o objeto provisória e definitivamente, na forma prevista neste Termo de Referência e na Lei Federal n.º 14.133/2021;</w:t>
      </w:r>
    </w:p>
    <w:p>
      <w:pPr>
        <w:pStyle w:val="BodyText"/>
        <w:spacing w:lineRule="auto" w:line="276" w:before="3" w:after="3"/>
        <w:ind w:start="0" w:end="0"/>
        <w:jc w:val="both"/>
        <w:rPr>
          <w:rFonts w:ascii="Arial" w:hAnsi="Arial" w:eastAsia="ヒラギノ角ゴ Pro W3" w:cs="Arial"/>
          <w:sz w:val="24"/>
          <w:szCs w:val="24"/>
          <w:lang w:val="pt-BR"/>
        </w:rPr>
      </w:pPr>
      <w:r>
        <w:rPr>
          <w:rFonts w:eastAsia="ヒラギノ角ゴ Pro W3" w:cs="Arial"/>
          <w:sz w:val="24"/>
          <w:szCs w:val="24"/>
          <w:lang w:val="pt-BR"/>
        </w:rPr>
        <w:t>V – rejeitar, no todo ou em parte, materiais entregues em desacordo com as especificações estabelecidas;</w:t>
      </w:r>
    </w:p>
    <w:p>
      <w:pPr>
        <w:pStyle w:val="BodyText"/>
        <w:spacing w:lineRule="auto" w:line="276" w:before="3" w:after="3"/>
        <w:ind w:start="0" w:end="0"/>
        <w:jc w:val="both"/>
        <w:rPr>
          <w:rFonts w:ascii="Arial" w:hAnsi="Arial" w:eastAsia="ヒラギノ角ゴ Pro W3" w:cs="Arial"/>
          <w:sz w:val="24"/>
          <w:szCs w:val="24"/>
          <w:lang w:val="pt-BR"/>
        </w:rPr>
      </w:pPr>
      <w:r>
        <w:rPr>
          <w:rFonts w:eastAsia="ヒラギノ角ゴ Pro W3" w:cs="Arial"/>
          <w:sz w:val="24"/>
          <w:szCs w:val="24"/>
          <w:lang w:val="pt-BR"/>
        </w:rPr>
        <w:t>VI – comunicar formalmente (preferencialmente via e-mail) à contratada quaisquer irregularidades verificadas na execução do fornecimento, para que sejam substituídos, reparados ou corrigidos, no total ou em parte, às expensas da Contratada;</w:t>
      </w:r>
    </w:p>
    <w:p>
      <w:pPr>
        <w:pStyle w:val="BodyText"/>
        <w:spacing w:lineRule="auto" w:line="276" w:before="3" w:after="3"/>
        <w:ind w:start="0" w:end="0"/>
        <w:jc w:val="both"/>
        <w:rPr>
          <w:rFonts w:ascii="Arial" w:hAnsi="Arial" w:eastAsia="ヒラギノ角ゴ Pro W3" w:cs="Arial"/>
          <w:sz w:val="24"/>
          <w:szCs w:val="24"/>
          <w:lang w:val="pt-BR"/>
        </w:rPr>
      </w:pPr>
      <w:r>
        <w:rPr>
          <w:rFonts w:eastAsia="ヒラギノ角ゴ Pro W3" w:cs="Arial"/>
          <w:sz w:val="24"/>
          <w:szCs w:val="24"/>
          <w:lang w:val="pt-BR"/>
        </w:rPr>
        <w:t>VII – efetuar os pagamentos devidos nas condições e prazos estabelecidos;</w:t>
      </w:r>
    </w:p>
    <w:p>
      <w:pPr>
        <w:pStyle w:val="BodyText"/>
        <w:spacing w:lineRule="auto" w:line="276" w:before="3" w:after="3"/>
        <w:ind w:start="0" w:end="0"/>
        <w:jc w:val="both"/>
        <w:rPr>
          <w:rFonts w:ascii="Arial" w:hAnsi="Arial" w:eastAsia="ヒラギノ角ゴ Pro W3" w:cs="Arial"/>
          <w:sz w:val="24"/>
          <w:szCs w:val="24"/>
          <w:lang w:val="pt-BR"/>
        </w:rPr>
      </w:pPr>
      <w:r>
        <w:rPr>
          <w:rFonts w:eastAsia="ヒラギノ角ゴ Pro W3" w:cs="Arial"/>
          <w:sz w:val="24"/>
          <w:szCs w:val="24"/>
          <w:lang w:val="pt-BR"/>
        </w:rPr>
        <w:t>VIII – exigir o cumprimento de todas as obrigações assumidas pela contratada, conforme condições estabelecidas neste Termo de Referência;</w:t>
      </w:r>
    </w:p>
    <w:p>
      <w:pPr>
        <w:pStyle w:val="BodyText"/>
        <w:suppressAutoHyphens w:val="true"/>
        <w:bidi w:val="0"/>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IX – aplicar as sanções administrativas cabíveis, quando constatado descumprimento contratual;</w:t>
      </w:r>
    </w:p>
    <w:p>
      <w:pPr>
        <w:pStyle w:val="BodyText"/>
        <w:suppressAutoHyphens w:val="true"/>
        <w:bidi w:val="0"/>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X - Atestar a Nota Fiscal/Fatura correspondente aos bens efetivamente recebidos e encaminhá-la ao setor competente para pagamento;</w:t>
      </w:r>
    </w:p>
    <w:p>
      <w:pPr>
        <w:pStyle w:val="BodyText"/>
        <w:suppressAutoHyphens w:val="true"/>
        <w:bidi w:val="0"/>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color w:val="auto"/>
          <w:sz w:val="24"/>
          <w:szCs w:val="24"/>
          <w:lang w:val="pt-BR"/>
        </w:rPr>
        <w:t>XI - Fornecer, mediante solicitação da Contratada, as informações necessárias à adequada execução do objeto e dirimir dúvidas relacionadas ao fornecimento; e</w:t>
      </w:r>
    </w:p>
    <w:p>
      <w:pPr>
        <w:pStyle w:val="BodyText"/>
        <w:suppressAutoHyphens w:val="true"/>
        <w:bidi w:val="0"/>
        <w:spacing w:lineRule="auto" w:line="276" w:before="3" w:after="3"/>
        <w:ind w:start="0" w:end="0"/>
        <w:jc w:val="both"/>
        <w:rPr>
          <w:rFonts w:ascii="Arial" w:hAnsi="Arial" w:eastAsia="ヒラギノ角ゴ Pro W3" w:cs="Arial"/>
          <w:color w:val="auto"/>
          <w:sz w:val="24"/>
          <w:szCs w:val="24"/>
          <w:lang w:val="pt-BR"/>
        </w:rPr>
      </w:pPr>
      <w:r>
        <w:rPr>
          <w:rFonts w:eastAsia="ヒラギノ角ゴ Pro W3" w:cs="Arial"/>
          <w:b w:val="false"/>
          <w:color w:val="auto"/>
          <w:sz w:val="24"/>
          <w:szCs w:val="24"/>
          <w:lang w:val="pt-BR"/>
        </w:rPr>
        <w:t>XII - A Fundação não responderá por compromissos assumidos pela Contratada com terceiros, ainda que vinculados à execução do ajuste, nem por danos causados a terceiros em decorrência de atos da Contratada, de seus profissionais, prepostos ou subordinados.</w:t>
      </w:r>
    </w:p>
    <w:p>
      <w:pPr>
        <w:pStyle w:val="BodyText"/>
        <w:suppressAutoHyphens w:val="true"/>
        <w:bidi w:val="0"/>
        <w:spacing w:lineRule="auto" w:line="276" w:before="3" w:after="3"/>
        <w:ind w:start="0" w:end="0"/>
        <w:jc w:val="both"/>
        <w:rPr>
          <w:rFonts w:ascii="Arial" w:hAnsi="Arial" w:eastAsia="ヒラギノ角ゴ Pro W3" w:cs="Arial"/>
          <w:b w:val="false"/>
          <w:color w:val="auto"/>
          <w:sz w:val="24"/>
          <w:szCs w:val="24"/>
          <w:lang w:val="pt-BR"/>
        </w:rPr>
      </w:pPr>
      <w:r>
        <w:rPr>
          <w:rFonts w:eastAsia="ヒラギノ角ゴ Pro W3" w:cs="Arial"/>
          <w:b w:val="false"/>
          <w:color w:val="auto"/>
          <w:sz w:val="24"/>
          <w:szCs w:val="24"/>
          <w:lang w:val="pt-BR"/>
        </w:rPr>
      </w:r>
    </w:p>
    <w:p>
      <w:pPr>
        <w:pStyle w:val="Normal"/>
        <w:rPr>
          <w:lang w:val="pt-BR"/>
        </w:rPr>
      </w:pPr>
      <w:r>
        <w:rPr>
          <w:b/>
          <w:sz w:val="24"/>
          <w:szCs w:val="24"/>
          <w:lang w:val="pt-BR"/>
        </w:rPr>
        <w:t>DAS PENALIDADES</w:t>
      </w:r>
    </w:p>
    <w:p>
      <w:pPr>
        <w:pStyle w:val="PargrafodaLista"/>
        <w:numPr>
          <w:ilvl w:val="1"/>
          <w:numId w:val="14"/>
        </w:numPr>
        <w:spacing w:lineRule="auto" w:line="240" w:before="0" w:after="120"/>
        <w:ind w:hanging="360" w:start="1080" w:end="0"/>
        <w:contextualSpacing/>
        <w:jc w:val="both"/>
        <w:rPr>
          <w:lang w:val="pt-BR"/>
        </w:rPr>
      </w:pPr>
      <w:r>
        <w:rPr>
          <w:rFonts w:cs="Arial"/>
          <w:sz w:val="24"/>
          <w:szCs w:val="24"/>
          <w:lang w:val="pt-BR"/>
        </w:rPr>
        <w:t>30% (trinta por cento) sobre o valor total da Autorização de Fornecimento no caso de inexecução total;</w:t>
      </w:r>
    </w:p>
    <w:p>
      <w:pPr>
        <w:pStyle w:val="PargrafodaLista"/>
        <w:numPr>
          <w:ilvl w:val="1"/>
          <w:numId w:val="14"/>
        </w:numPr>
        <w:spacing w:lineRule="auto" w:line="240" w:before="0" w:after="120"/>
        <w:ind w:hanging="360" w:start="1080" w:end="0"/>
        <w:contextualSpacing/>
        <w:jc w:val="both"/>
        <w:rPr>
          <w:lang w:val="pt-BR"/>
        </w:rPr>
      </w:pPr>
      <w:r>
        <w:rPr>
          <w:rFonts w:cs="Arial"/>
          <w:sz w:val="24"/>
          <w:szCs w:val="24"/>
          <w:lang w:val="pt-BR"/>
        </w:rPr>
        <w:t>20% (vinte por cento) sobre o valor total da Autorização de Fornecimento no caso de inadimplemento parcial, ou seja, na hipótese de fornecimento incompleto.</w:t>
      </w:r>
    </w:p>
    <w:p>
      <w:pPr>
        <w:pStyle w:val="PargrafodaLista"/>
        <w:numPr>
          <w:ilvl w:val="1"/>
          <w:numId w:val="14"/>
        </w:numPr>
        <w:spacing w:lineRule="auto" w:line="240" w:before="0" w:after="120"/>
        <w:ind w:hanging="360" w:start="1080" w:end="0"/>
        <w:contextualSpacing/>
        <w:jc w:val="both"/>
        <w:rPr>
          <w:rFonts w:ascii="Arial" w:hAnsi="Arial" w:cs="Arial"/>
          <w:sz w:val="24"/>
          <w:szCs w:val="24"/>
          <w:lang w:val="pt-BR"/>
        </w:rPr>
      </w:pPr>
      <w:r>
        <w:rPr>
          <w:rFonts w:cs="Arial"/>
          <w:sz w:val="24"/>
          <w:szCs w:val="24"/>
          <w:lang w:val="pt-BR"/>
        </w:rPr>
        <w:t>01% (um por cento) ao dia, sobre o valor total da Autorização de Fornecimento, na hipótese de atraso na entrega do Objeto no prazo e nas condições fixadas neste Edital.</w:t>
      </w:r>
    </w:p>
    <w:p>
      <w:pPr>
        <w:pStyle w:val="PargrafodaLista"/>
        <w:numPr>
          <w:ilvl w:val="1"/>
          <w:numId w:val="14"/>
        </w:numPr>
        <w:spacing w:lineRule="auto" w:line="240" w:before="0" w:after="120"/>
        <w:ind w:hanging="360" w:start="1080" w:end="0"/>
        <w:contextualSpacing/>
        <w:jc w:val="both"/>
        <w:rPr>
          <w:rFonts w:ascii="Arial" w:hAnsi="Arial" w:cs="Arial"/>
          <w:sz w:val="24"/>
          <w:szCs w:val="24"/>
          <w:lang w:val="pt-BR"/>
        </w:rPr>
      </w:pPr>
      <w:r>
        <w:rPr>
          <w:rFonts w:cs="Arial"/>
          <w:sz w:val="24"/>
          <w:szCs w:val="24"/>
          <w:lang w:val="pt-BR"/>
        </w:rPr>
        <w:t>10% (dez por cento) sobre o valor total da Autorização de Fornecimento, no caso de descumprimento de qualquer outra cláusula ou condição da Autorização de Fornecimento, não mencionada nos incisos anteriores.</w:t>
      </w:r>
    </w:p>
    <w:p>
      <w:pPr>
        <w:pStyle w:val="Normal"/>
        <w:spacing w:before="0" w:after="0"/>
        <w:rPr>
          <w:b w:val="false"/>
          <w:sz w:val="24"/>
          <w:szCs w:val="24"/>
          <w:lang w:val="pt-BR"/>
        </w:rPr>
      </w:pPr>
      <w:r>
        <w:rPr>
          <w:b w:val="false"/>
          <w:sz w:val="24"/>
          <w:szCs w:val="24"/>
          <w:lang w:val="pt-BR"/>
        </w:rPr>
      </w:r>
    </w:p>
    <w:p>
      <w:pPr>
        <w:pStyle w:val="Normal"/>
        <w:rPr>
          <w:lang w:val="pt-BR"/>
        </w:rPr>
      </w:pPr>
      <w:r>
        <w:rPr>
          <w:b/>
          <w:sz w:val="24"/>
          <w:szCs w:val="24"/>
          <w:lang w:val="pt-BR"/>
        </w:rPr>
        <w:t>OBSERVAÇÕES:</w:t>
      </w:r>
    </w:p>
    <w:p>
      <w:pPr>
        <w:pStyle w:val="Normal"/>
        <w:jc w:val="both"/>
        <w:rPr>
          <w:sz w:val="24"/>
          <w:szCs w:val="24"/>
          <w:lang w:val="pt-BR"/>
        </w:rPr>
      </w:pPr>
      <w:r>
        <w:rPr>
          <w:rFonts w:cs="Arial"/>
          <w:sz w:val="24"/>
          <w:szCs w:val="24"/>
          <w:lang w:val="pt-BR"/>
        </w:rPr>
        <w:t>a) Fazer constar</w:t>
      </w:r>
      <w:r>
        <w:rPr>
          <w:rFonts w:cs="Arial"/>
          <w:sz w:val="24"/>
          <w:szCs w:val="24"/>
          <w:lang w:val="pt-BR" w:eastAsia="en-US" w:bidi="ar-SA"/>
        </w:rPr>
        <w:t xml:space="preserve"> da Nota fiscal o número do processo de pagamento, Nota de Empenho e também o Banco e o nº da Conta-Corrente para Crédito; </w:t>
      </w:r>
    </w:p>
    <w:p>
      <w:pPr>
        <w:pStyle w:val="Normal"/>
        <w:jc w:val="both"/>
        <w:rPr>
          <w:rFonts w:ascii="Arial" w:hAnsi="Arial" w:cs="Arial"/>
          <w:sz w:val="24"/>
          <w:szCs w:val="24"/>
          <w:lang w:val="pt-BR" w:eastAsia="en-US" w:bidi="ar-SA"/>
        </w:rPr>
      </w:pPr>
      <w:r>
        <w:rPr>
          <w:rFonts w:cs="Arial"/>
          <w:sz w:val="24"/>
          <w:szCs w:val="24"/>
          <w:lang w:val="pt-BR" w:eastAsia="en-US" w:bidi="ar-SA"/>
        </w:rPr>
        <w:t xml:space="preserve">b) Frete, embalagem e impostos inclusos no (s) preço (s) acima; </w:t>
      </w:r>
    </w:p>
    <w:p>
      <w:pPr>
        <w:pStyle w:val="Normal"/>
        <w:jc w:val="both"/>
        <w:rPr>
          <w:rFonts w:ascii="Arial" w:hAnsi="Arial" w:cs="Arial"/>
          <w:sz w:val="24"/>
          <w:szCs w:val="24"/>
          <w:lang w:val="pt-BR" w:eastAsia="en-US" w:bidi="ar-SA"/>
        </w:rPr>
      </w:pPr>
      <w:r>
        <w:rPr>
          <w:rFonts w:cs="Arial"/>
          <w:sz w:val="24"/>
          <w:szCs w:val="24"/>
          <w:lang w:val="pt-BR" w:eastAsia="en-US" w:bidi="ar-SA"/>
        </w:rPr>
        <w:t>c) De acordo com a portaria CAT-162, 29/12/2008 é obrigatório a emissão de Nota Fiscal Eletrônica – NF-e.</w:t>
      </w:r>
    </w:p>
    <w:p>
      <w:pPr>
        <w:pStyle w:val="Normal"/>
        <w:rPr>
          <w:rFonts w:ascii="Arial" w:hAnsi="Arial" w:cs="Arial"/>
          <w:sz w:val="24"/>
          <w:szCs w:val="24"/>
          <w:lang w:val="pt-BR"/>
        </w:rPr>
      </w:pPr>
      <w:r>
        <w:rPr>
          <w:rFonts w:cs="Arial"/>
          <w:sz w:val="24"/>
          <w:szCs w:val="24"/>
          <w:lang w:val="pt-BR"/>
        </w:rPr>
        <w:t>Preparado por: __________________________</w:t>
      </w:r>
    </w:p>
    <w:p>
      <w:pPr>
        <w:pStyle w:val="Normal"/>
        <w:rPr>
          <w:b w:val="false"/>
          <w:sz w:val="24"/>
          <w:szCs w:val="24"/>
          <w:lang w:val="pt-BR"/>
        </w:rPr>
      </w:pPr>
      <w:r>
        <w:rPr>
          <w:b w:val="false"/>
          <w:sz w:val="24"/>
          <w:szCs w:val="24"/>
          <w:lang w:val="pt-BR"/>
        </w:rPr>
        <w:t>Em: ____/____/2026</w:t>
      </w:r>
    </w:p>
    <w:p>
      <w:pPr>
        <w:pStyle w:val="Normal"/>
        <w:rPr>
          <w:b w:val="false"/>
          <w:sz w:val="24"/>
          <w:szCs w:val="24"/>
          <w:lang w:val="pt-BR"/>
        </w:rPr>
      </w:pPr>
      <w:r>
        <w:rPr>
          <w:b w:val="false"/>
          <w:sz w:val="24"/>
          <w:szCs w:val="24"/>
          <w:lang w:val="pt-BR"/>
        </w:rPr>
      </w:r>
    </w:p>
    <w:p>
      <w:pPr>
        <w:pStyle w:val="Normal"/>
        <w:rPr>
          <w:b w:val="false"/>
          <w:sz w:val="24"/>
          <w:szCs w:val="24"/>
          <w:lang w:val="pt-BR"/>
        </w:rPr>
      </w:pPr>
      <w:r>
        <w:rPr>
          <w:b w:val="false"/>
          <w:sz w:val="24"/>
          <w:szCs w:val="24"/>
          <w:lang w:val="pt-BR"/>
        </w:rPr>
        <w:t>AUTORIZO: ____________________________</w:t>
      </w:r>
    </w:p>
    <w:p>
      <w:pPr>
        <w:pStyle w:val="Normal"/>
        <w:spacing w:before="0" w:after="80"/>
        <w:rPr>
          <w:b w:val="false"/>
          <w:sz w:val="24"/>
          <w:szCs w:val="24"/>
          <w:lang w:val="pt-BR"/>
        </w:rPr>
      </w:pPr>
      <w:r>
        <w:rPr>
          <w:b w:val="false"/>
          <w:sz w:val="24"/>
          <w:szCs w:val="24"/>
          <w:lang w:val="pt-BR"/>
        </w:rPr>
        <w:t>Em: ____/____/2026</w:t>
      </w:r>
    </w:p>
    <w:sectPr>
      <w:headerReference w:type="even" r:id="rId8"/>
      <w:headerReference w:type="default" r:id="rId9"/>
      <w:headerReference w:type="first" r:id="rId10"/>
      <w:type w:val="nextPage"/>
      <w:pgSz w:w="12240" w:h="15840"/>
      <w:pgMar w:left="1134" w:right="1134" w:gutter="0" w:header="309" w:top="1668" w:footer="0" w:bottom="10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mbria">
    <w:charset w:val="00" w:characterSet="windows-1252"/>
    <w:family w:val="roman"/>
    <w:pitch w:val="variable"/>
  </w:font>
  <w:font w:name="Calibri">
    <w:charset w:val="00" w:characterSet="windows-1252"/>
    <w:family w:val="roman"/>
    <w:pitch w:val="variable"/>
  </w:font>
  <w:font w:name="Courier">
    <w:altName w:val="Courier New"/>
    <w:charset w:val="00" w:characterSet="windows-1252"/>
    <w:family w:val="roman"/>
    <w:pitch w:val="variable"/>
  </w:font>
  <w:font w:name="OpenSymbol">
    <w:altName w:val="Arial Unicode MS"/>
    <w:charset w:val="02"/>
    <w:family w:val="roman"/>
    <w:pitch w:val="variable"/>
  </w:font>
  <w:font w:name="Liberation Sans">
    <w:altName w:val="Arial"/>
    <w:charset w:val="00" w:characterSet="windows-1252"/>
    <w:family w:val="swiss"/>
    <w:pitch w:val="variable"/>
  </w:font>
  <w:font w:name="OpenSymbol">
    <w:altName w:val="Arial Unicode MS"/>
    <w:charset w:val="01"/>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end"/>
      <w:rPr/>
    </w:pPr>
    <w:r>
      <w:drawing>
        <wp:anchor distT="0" distB="0" distL="0" distR="0" simplePos="0" relativeHeight="22" behindDoc="1" locked="0" layoutInCell="0" allowOverlap="1">
          <wp:simplePos x="0" y="0"/>
          <wp:positionH relativeFrom="column">
            <wp:posOffset>2318385</wp:posOffset>
          </wp:positionH>
          <wp:positionV relativeFrom="paragraph">
            <wp:posOffset>-48895</wp:posOffset>
          </wp:positionV>
          <wp:extent cx="1635760" cy="809625"/>
          <wp:effectExtent l="0" t="0" r="0" b="0"/>
          <wp:wrapSquare wrapText="largest"/>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tretch>
                    <a:fillRect/>
                  </a:stretch>
                </pic:blipFill>
                <pic:spPr bwMode="auto">
                  <a:xfrm>
                    <a:off x="0" y="0"/>
                    <a:ext cx="1635760" cy="809625"/>
                  </a:xfrm>
                  <a:prstGeom prst="rect">
                    <a:avLst/>
                  </a:prstGeom>
                  <a:noFill/>
                </pic:spPr>
              </pic:pic>
            </a:graphicData>
          </a:graphic>
        </wp:anchor>
      </w:drawing>
    </w:r>
    <w:r>
      <w:rPr/>
      <w:t>Fl. _______</w:t>
    </w:r>
  </w:p>
  <w:p>
    <w:pPr>
      <w:pStyle w:val="Header"/>
      <w:jc w:val="end"/>
      <w:rPr/>
    </w:pPr>
    <w:r>
      <w:rPr/>
    </w:r>
  </w:p>
  <w:p>
    <w:pPr>
      <w:pStyle w:val="Header"/>
      <w:jc w:val="end"/>
      <w:rPr/>
    </w:pPr>
    <w:r>
      <w:rPr/>
    </w:r>
  </w:p>
  <w:p>
    <w:pPr>
      <w:pStyle w:val="Header"/>
      <w:jc w:val="end"/>
      <w:rPr/>
    </w:pPr>
    <w:r>
      <w:rPr/>
      <w:t>Proc. n.º 52.501/26-48</w:t>
    </w:r>
  </w:p>
  <w:p>
    <w:pPr>
      <w:pStyle w:val="Header"/>
      <w:jc w:val="end"/>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end"/>
      <w:rPr/>
    </w:pPr>
    <w:r>
      <w:drawing>
        <wp:anchor distT="0" distB="0" distL="0" distR="0" simplePos="0" relativeHeight="22" behindDoc="1" locked="0" layoutInCell="0" allowOverlap="1">
          <wp:simplePos x="0" y="0"/>
          <wp:positionH relativeFrom="column">
            <wp:posOffset>2318385</wp:posOffset>
          </wp:positionH>
          <wp:positionV relativeFrom="paragraph">
            <wp:posOffset>-48895</wp:posOffset>
          </wp:positionV>
          <wp:extent cx="1635760" cy="809625"/>
          <wp:effectExtent l="0" t="0" r="0" b="0"/>
          <wp:wrapSquare wrapText="largest"/>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1"/>
                  <a:stretch>
                    <a:fillRect/>
                  </a:stretch>
                </pic:blipFill>
                <pic:spPr bwMode="auto">
                  <a:xfrm>
                    <a:off x="0" y="0"/>
                    <a:ext cx="1635760" cy="809625"/>
                  </a:xfrm>
                  <a:prstGeom prst="rect">
                    <a:avLst/>
                  </a:prstGeom>
                  <a:noFill/>
                </pic:spPr>
              </pic:pic>
            </a:graphicData>
          </a:graphic>
        </wp:anchor>
      </w:drawing>
    </w:r>
    <w:r>
      <w:rPr/>
      <w:t>Fl. _______</w:t>
    </w:r>
  </w:p>
  <w:p>
    <w:pPr>
      <w:pStyle w:val="Header"/>
      <w:jc w:val="end"/>
      <w:rPr/>
    </w:pPr>
    <w:r>
      <w:rPr/>
    </w:r>
  </w:p>
  <w:p>
    <w:pPr>
      <w:pStyle w:val="Header"/>
      <w:jc w:val="end"/>
      <w:rPr/>
    </w:pPr>
    <w:r>
      <w:rPr/>
    </w:r>
  </w:p>
  <w:p>
    <w:pPr>
      <w:pStyle w:val="Header"/>
      <w:jc w:val="end"/>
      <w:rPr/>
    </w:pPr>
    <w:r>
      <w:rPr/>
      <w:t>Proc. n.º 52.501/26-48</w:t>
    </w:r>
  </w:p>
  <w:p>
    <w:pPr>
      <w:pStyle w:val="Header"/>
      <w:jc w:val="end"/>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2">
    <w:lvl w:ilvl="0">
      <w:start w:val="1"/>
      <w:numFmt w:val="lowerLetter"/>
      <w:lvlText w:val="%1)"/>
      <w:lvlJc w:val="start"/>
      <w:pPr>
        <w:tabs>
          <w:tab w:val="num" w:pos="720"/>
        </w:tabs>
        <w:ind w:start="720" w:hanging="360"/>
      </w:pPr>
      <w:rPr>
        <w:rFonts w:ascii="Arial" w:hAnsi="Arial"/>
        <w:b/>
        <w:bCs/>
        <w:sz w:val="24"/>
        <w:szCs w:val="24"/>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
    <w:lvl w:ilvl="0">
      <w:start w:val="1"/>
      <w:numFmt w:val="bullet"/>
      <w:lvlText w:val=""/>
      <w:lvlJc w:val="start"/>
      <w:pPr>
        <w:tabs>
          <w:tab w:val="num" w:pos="1080"/>
        </w:tabs>
        <w:ind w:start="108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4">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5">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6">
    <w:lvl w:ilvl="0">
      <w:start w:val="1"/>
      <w:numFmt w:val="decimal"/>
      <w:lvlText w:val="%1."/>
      <w:lvlJc w:val="start"/>
      <w:pPr>
        <w:tabs>
          <w:tab w:val="num" w:pos="1080"/>
        </w:tabs>
        <w:ind w:start="108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7">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8">
    <w:lvl w:ilvl="0">
      <w:start w:val="1"/>
      <w:numFmt w:val="lowerLetter"/>
      <w:lvlText w:val="%1)"/>
      <w:lvlJc w:val="start"/>
      <w:pPr>
        <w:tabs>
          <w:tab w:val="num" w:pos="720"/>
        </w:tabs>
        <w:ind w:start="720" w:hanging="360"/>
      </w:pPr>
      <w:rPr>
        <w:rFonts w:ascii="Arial" w:hAnsi="Arial"/>
        <w:b/>
        <w:bCs/>
        <w:sz w:val="24"/>
        <w:szCs w:val="24"/>
      </w:rPr>
    </w:lvl>
    <w:lvl w:ilvl="1">
      <w:start w:val="1"/>
      <w:numFmt w:val="lowerLetter"/>
      <w:lvlText w:val="%2)"/>
      <w:lvlJc w:val="start"/>
      <w:pPr>
        <w:tabs>
          <w:tab w:val="num" w:pos="1080"/>
        </w:tabs>
        <w:ind w:start="1080" w:hanging="360"/>
      </w:pPr>
      <w:rPr>
        <w:rFonts w:ascii="Arial" w:hAnsi="Arial"/>
        <w:b/>
        <w:bCs/>
        <w:sz w:val="24"/>
        <w:szCs w:val="24"/>
      </w:rPr>
    </w:lvl>
    <w:lvl w:ilvl="2">
      <w:start w:val="1"/>
      <w:numFmt w:val="lowerLetter"/>
      <w:lvlText w:val="%3)"/>
      <w:lvlJc w:val="start"/>
      <w:pPr>
        <w:tabs>
          <w:tab w:val="num" w:pos="1440"/>
        </w:tabs>
        <w:ind w:start="1440" w:hanging="360"/>
      </w:pPr>
      <w:rPr>
        <w:rFonts w:ascii="Arial" w:hAnsi="Arial"/>
        <w:b/>
        <w:bCs/>
        <w:sz w:val="24"/>
        <w:szCs w:val="24"/>
      </w:rPr>
    </w:lvl>
    <w:lvl w:ilvl="3">
      <w:start w:val="1"/>
      <w:numFmt w:val="lowerLetter"/>
      <w:lvlText w:val="%4)"/>
      <w:lvlJc w:val="start"/>
      <w:pPr>
        <w:tabs>
          <w:tab w:val="num" w:pos="1800"/>
        </w:tabs>
        <w:ind w:start="1800" w:hanging="360"/>
      </w:pPr>
      <w:rPr>
        <w:rFonts w:ascii="Arial" w:hAnsi="Arial"/>
        <w:b/>
        <w:bCs/>
        <w:sz w:val="24"/>
        <w:szCs w:val="24"/>
      </w:rPr>
    </w:lvl>
    <w:lvl w:ilvl="4">
      <w:start w:val="1"/>
      <w:numFmt w:val="lowerLetter"/>
      <w:lvlText w:val="%5)"/>
      <w:lvlJc w:val="start"/>
      <w:pPr>
        <w:tabs>
          <w:tab w:val="num" w:pos="2160"/>
        </w:tabs>
        <w:ind w:start="2160" w:hanging="360"/>
      </w:pPr>
      <w:rPr>
        <w:rFonts w:ascii="Arial" w:hAnsi="Arial"/>
        <w:b/>
        <w:bCs/>
        <w:sz w:val="24"/>
        <w:szCs w:val="24"/>
      </w:rPr>
    </w:lvl>
    <w:lvl w:ilvl="5">
      <w:start w:val="1"/>
      <w:numFmt w:val="lowerLetter"/>
      <w:lvlText w:val="%6)"/>
      <w:lvlJc w:val="start"/>
      <w:pPr>
        <w:tabs>
          <w:tab w:val="num" w:pos="2520"/>
        </w:tabs>
        <w:ind w:start="2520" w:hanging="360"/>
      </w:pPr>
      <w:rPr>
        <w:rFonts w:ascii="Arial" w:hAnsi="Arial"/>
        <w:b/>
        <w:bCs/>
        <w:sz w:val="24"/>
        <w:szCs w:val="24"/>
      </w:rPr>
    </w:lvl>
    <w:lvl w:ilvl="6">
      <w:start w:val="1"/>
      <w:numFmt w:val="lowerLetter"/>
      <w:lvlText w:val="%7)"/>
      <w:lvlJc w:val="start"/>
      <w:pPr>
        <w:tabs>
          <w:tab w:val="num" w:pos="2880"/>
        </w:tabs>
        <w:ind w:start="2880" w:hanging="360"/>
      </w:pPr>
      <w:rPr>
        <w:rFonts w:ascii="Arial" w:hAnsi="Arial"/>
        <w:b/>
        <w:bCs/>
        <w:sz w:val="24"/>
        <w:szCs w:val="24"/>
      </w:rPr>
    </w:lvl>
    <w:lvl w:ilvl="7">
      <w:start w:val="1"/>
      <w:numFmt w:val="lowerLetter"/>
      <w:lvlText w:val="%8)"/>
      <w:lvlJc w:val="start"/>
      <w:pPr>
        <w:tabs>
          <w:tab w:val="num" w:pos="3240"/>
        </w:tabs>
        <w:ind w:start="3240" w:hanging="360"/>
      </w:pPr>
      <w:rPr>
        <w:rFonts w:ascii="Arial" w:hAnsi="Arial"/>
        <w:b/>
        <w:bCs/>
        <w:sz w:val="24"/>
        <w:szCs w:val="24"/>
      </w:rPr>
    </w:lvl>
    <w:lvl w:ilvl="8">
      <w:start w:val="1"/>
      <w:numFmt w:val="lowerLetter"/>
      <w:lvlText w:val="%9)"/>
      <w:lvlJc w:val="start"/>
      <w:pPr>
        <w:tabs>
          <w:tab w:val="num" w:pos="3600"/>
        </w:tabs>
        <w:ind w:start="3600" w:hanging="360"/>
      </w:pPr>
      <w:rPr>
        <w:rFonts w:ascii="Arial" w:hAnsi="Arial"/>
        <w:b/>
        <w:bCs/>
        <w:sz w:val="24"/>
        <w:szCs w:val="24"/>
      </w:rPr>
    </w:lvl>
  </w:abstractNum>
  <w:abstractNum w:abstractNumId="9">
    <w:lvl w:ilvl="0">
      <w:start w:val="1"/>
      <w:numFmt w:val="lowerLetter"/>
      <w:lvlText w:val="%1)"/>
      <w:lvlJc w:val="start"/>
      <w:pPr>
        <w:tabs>
          <w:tab w:val="num" w:pos="720"/>
        </w:tabs>
        <w:ind w:start="720" w:hanging="360"/>
      </w:pPr>
      <w:rPr>
        <w:rFonts w:ascii="Arial" w:hAnsi="Arial"/>
        <w:b/>
        <w:bCs/>
        <w:sz w:val="24"/>
        <w:szCs w:val="24"/>
      </w:rPr>
    </w:lvl>
    <w:lvl w:ilvl="1">
      <w:start w:val="1"/>
      <w:numFmt w:val="lowerLetter"/>
      <w:lvlText w:val="%2)"/>
      <w:lvlJc w:val="start"/>
      <w:pPr>
        <w:tabs>
          <w:tab w:val="num" w:pos="1080"/>
        </w:tabs>
        <w:ind w:start="1080" w:hanging="360"/>
      </w:pPr>
      <w:rPr>
        <w:rFonts w:ascii="Arial" w:hAnsi="Arial"/>
        <w:b/>
        <w:bCs/>
        <w:sz w:val="24"/>
        <w:szCs w:val="24"/>
      </w:rPr>
    </w:lvl>
    <w:lvl w:ilvl="2">
      <w:start w:val="1"/>
      <w:numFmt w:val="lowerLetter"/>
      <w:lvlText w:val="%3)"/>
      <w:lvlJc w:val="start"/>
      <w:pPr>
        <w:tabs>
          <w:tab w:val="num" w:pos="1440"/>
        </w:tabs>
        <w:ind w:start="1440" w:hanging="360"/>
      </w:pPr>
      <w:rPr>
        <w:rFonts w:ascii="Arial" w:hAnsi="Arial"/>
        <w:b/>
        <w:bCs/>
        <w:sz w:val="24"/>
        <w:szCs w:val="24"/>
      </w:rPr>
    </w:lvl>
    <w:lvl w:ilvl="3">
      <w:start w:val="1"/>
      <w:numFmt w:val="lowerLetter"/>
      <w:lvlText w:val="%4)"/>
      <w:lvlJc w:val="start"/>
      <w:pPr>
        <w:tabs>
          <w:tab w:val="num" w:pos="1800"/>
        </w:tabs>
        <w:ind w:start="1800" w:hanging="360"/>
      </w:pPr>
      <w:rPr>
        <w:rFonts w:ascii="Arial" w:hAnsi="Arial"/>
        <w:b/>
        <w:bCs/>
        <w:sz w:val="24"/>
        <w:szCs w:val="24"/>
      </w:rPr>
    </w:lvl>
    <w:lvl w:ilvl="4">
      <w:start w:val="1"/>
      <w:numFmt w:val="lowerLetter"/>
      <w:lvlText w:val="%5)"/>
      <w:lvlJc w:val="start"/>
      <w:pPr>
        <w:tabs>
          <w:tab w:val="num" w:pos="2160"/>
        </w:tabs>
        <w:ind w:start="2160" w:hanging="360"/>
      </w:pPr>
      <w:rPr>
        <w:rFonts w:ascii="Arial" w:hAnsi="Arial"/>
        <w:b/>
        <w:bCs/>
        <w:sz w:val="24"/>
        <w:szCs w:val="24"/>
      </w:rPr>
    </w:lvl>
    <w:lvl w:ilvl="5">
      <w:start w:val="1"/>
      <w:numFmt w:val="lowerLetter"/>
      <w:lvlText w:val="%6)"/>
      <w:lvlJc w:val="start"/>
      <w:pPr>
        <w:tabs>
          <w:tab w:val="num" w:pos="2520"/>
        </w:tabs>
        <w:ind w:start="2520" w:hanging="360"/>
      </w:pPr>
      <w:rPr>
        <w:rFonts w:ascii="Arial" w:hAnsi="Arial"/>
        <w:b/>
        <w:bCs/>
        <w:sz w:val="24"/>
        <w:szCs w:val="24"/>
      </w:rPr>
    </w:lvl>
    <w:lvl w:ilvl="6">
      <w:start w:val="1"/>
      <w:numFmt w:val="lowerLetter"/>
      <w:lvlText w:val="%7)"/>
      <w:lvlJc w:val="start"/>
      <w:pPr>
        <w:tabs>
          <w:tab w:val="num" w:pos="2880"/>
        </w:tabs>
        <w:ind w:start="2880" w:hanging="360"/>
      </w:pPr>
      <w:rPr>
        <w:rFonts w:ascii="Arial" w:hAnsi="Arial"/>
        <w:b/>
        <w:bCs/>
        <w:sz w:val="24"/>
        <w:szCs w:val="24"/>
      </w:rPr>
    </w:lvl>
    <w:lvl w:ilvl="7">
      <w:start w:val="1"/>
      <w:numFmt w:val="lowerLetter"/>
      <w:lvlText w:val="%8)"/>
      <w:lvlJc w:val="start"/>
      <w:pPr>
        <w:tabs>
          <w:tab w:val="num" w:pos="3240"/>
        </w:tabs>
        <w:ind w:start="3240" w:hanging="360"/>
      </w:pPr>
      <w:rPr>
        <w:rFonts w:ascii="Arial" w:hAnsi="Arial"/>
        <w:b/>
        <w:bCs/>
        <w:sz w:val="24"/>
        <w:szCs w:val="24"/>
      </w:rPr>
    </w:lvl>
    <w:lvl w:ilvl="8">
      <w:start w:val="1"/>
      <w:numFmt w:val="lowerLetter"/>
      <w:lvlText w:val="%9)"/>
      <w:lvlJc w:val="start"/>
      <w:pPr>
        <w:tabs>
          <w:tab w:val="num" w:pos="3600"/>
        </w:tabs>
        <w:ind w:start="3600" w:hanging="360"/>
      </w:pPr>
      <w:rPr>
        <w:rFonts w:ascii="Arial" w:hAnsi="Arial"/>
        <w:b/>
        <w:bCs/>
        <w:sz w:val="24"/>
        <w:szCs w:val="24"/>
      </w:rPr>
    </w:lvl>
  </w:abstractNum>
  <w:abstractNum w:abstractNumId="10">
    <w:lvl w:ilvl="0">
      <w:start w:val="1"/>
      <w:numFmt w:val="lowerLetter"/>
      <w:lvlText w:val="%1)"/>
      <w:lvlJc w:val="start"/>
      <w:pPr>
        <w:tabs>
          <w:tab w:val="num" w:pos="720"/>
        </w:tabs>
        <w:ind w:start="720" w:hanging="360"/>
      </w:pPr>
      <w:rPr>
        <w:rFonts w:ascii="Arial" w:hAnsi="Arial"/>
        <w:b/>
        <w:bCs/>
        <w:sz w:val="24"/>
        <w:szCs w:val="24"/>
      </w:rPr>
    </w:lvl>
    <w:lvl w:ilvl="1">
      <w:start w:val="1"/>
      <w:numFmt w:val="lowerLetter"/>
      <w:lvlText w:val="%2)"/>
      <w:lvlJc w:val="start"/>
      <w:pPr>
        <w:tabs>
          <w:tab w:val="num" w:pos="1080"/>
        </w:tabs>
        <w:ind w:start="1080" w:hanging="360"/>
      </w:pPr>
      <w:rPr>
        <w:rFonts w:ascii="Arial" w:hAnsi="Arial"/>
        <w:b/>
        <w:bCs/>
        <w:sz w:val="24"/>
        <w:szCs w:val="24"/>
      </w:rPr>
    </w:lvl>
    <w:lvl w:ilvl="2">
      <w:start w:val="1"/>
      <w:numFmt w:val="lowerLetter"/>
      <w:lvlText w:val="%3)"/>
      <w:lvlJc w:val="start"/>
      <w:pPr>
        <w:tabs>
          <w:tab w:val="num" w:pos="1440"/>
        </w:tabs>
        <w:ind w:start="1440" w:hanging="360"/>
      </w:pPr>
      <w:rPr>
        <w:rFonts w:ascii="Arial" w:hAnsi="Arial"/>
        <w:b/>
        <w:bCs/>
        <w:sz w:val="24"/>
        <w:szCs w:val="24"/>
      </w:rPr>
    </w:lvl>
    <w:lvl w:ilvl="3">
      <w:start w:val="1"/>
      <w:numFmt w:val="lowerLetter"/>
      <w:lvlText w:val="%4)"/>
      <w:lvlJc w:val="start"/>
      <w:pPr>
        <w:tabs>
          <w:tab w:val="num" w:pos="1800"/>
        </w:tabs>
        <w:ind w:start="1800" w:hanging="360"/>
      </w:pPr>
      <w:rPr>
        <w:rFonts w:ascii="Arial" w:hAnsi="Arial"/>
        <w:b/>
        <w:bCs/>
        <w:sz w:val="24"/>
        <w:szCs w:val="24"/>
      </w:rPr>
    </w:lvl>
    <w:lvl w:ilvl="4">
      <w:start w:val="1"/>
      <w:numFmt w:val="lowerLetter"/>
      <w:lvlText w:val="%5)"/>
      <w:lvlJc w:val="start"/>
      <w:pPr>
        <w:tabs>
          <w:tab w:val="num" w:pos="2160"/>
        </w:tabs>
        <w:ind w:start="2160" w:hanging="360"/>
      </w:pPr>
      <w:rPr>
        <w:rFonts w:ascii="Arial" w:hAnsi="Arial"/>
        <w:b/>
        <w:bCs/>
        <w:sz w:val="24"/>
        <w:szCs w:val="24"/>
      </w:rPr>
    </w:lvl>
    <w:lvl w:ilvl="5">
      <w:start w:val="1"/>
      <w:numFmt w:val="lowerLetter"/>
      <w:lvlText w:val="%6)"/>
      <w:lvlJc w:val="start"/>
      <w:pPr>
        <w:tabs>
          <w:tab w:val="num" w:pos="2520"/>
        </w:tabs>
        <w:ind w:start="2520" w:hanging="360"/>
      </w:pPr>
      <w:rPr>
        <w:rFonts w:ascii="Arial" w:hAnsi="Arial"/>
        <w:b/>
        <w:bCs/>
        <w:sz w:val="24"/>
        <w:szCs w:val="24"/>
      </w:rPr>
    </w:lvl>
    <w:lvl w:ilvl="6">
      <w:start w:val="1"/>
      <w:numFmt w:val="lowerLetter"/>
      <w:lvlText w:val="%7)"/>
      <w:lvlJc w:val="start"/>
      <w:pPr>
        <w:tabs>
          <w:tab w:val="num" w:pos="2880"/>
        </w:tabs>
        <w:ind w:start="2880" w:hanging="360"/>
      </w:pPr>
      <w:rPr>
        <w:rFonts w:ascii="Arial" w:hAnsi="Arial"/>
        <w:b/>
        <w:bCs/>
        <w:sz w:val="24"/>
        <w:szCs w:val="24"/>
      </w:rPr>
    </w:lvl>
    <w:lvl w:ilvl="7">
      <w:start w:val="1"/>
      <w:numFmt w:val="lowerLetter"/>
      <w:lvlText w:val="%8)"/>
      <w:lvlJc w:val="start"/>
      <w:pPr>
        <w:tabs>
          <w:tab w:val="num" w:pos="3240"/>
        </w:tabs>
        <w:ind w:start="3240" w:hanging="360"/>
      </w:pPr>
      <w:rPr>
        <w:rFonts w:ascii="Arial" w:hAnsi="Arial"/>
        <w:b/>
        <w:bCs/>
        <w:sz w:val="24"/>
        <w:szCs w:val="24"/>
      </w:rPr>
    </w:lvl>
    <w:lvl w:ilvl="8">
      <w:start w:val="1"/>
      <w:numFmt w:val="lowerLetter"/>
      <w:lvlText w:val="%9)"/>
      <w:lvlJc w:val="start"/>
      <w:pPr>
        <w:tabs>
          <w:tab w:val="num" w:pos="3600"/>
        </w:tabs>
        <w:ind w:start="3600" w:hanging="360"/>
      </w:pPr>
      <w:rPr>
        <w:rFonts w:ascii="Arial" w:hAnsi="Arial"/>
        <w:b/>
        <w:bCs/>
        <w:sz w:val="24"/>
        <w:szCs w:val="24"/>
      </w:rPr>
    </w:lvl>
  </w:abstractNum>
  <w:abstractNum w:abstractNumId="11">
    <w:lvl w:ilvl="0">
      <w:start w:val="1"/>
      <w:numFmt w:val="upperRoman"/>
      <w:lvlText w:val="%1."/>
      <w:lvlJc w:val="start"/>
      <w:pPr>
        <w:tabs>
          <w:tab w:val="num" w:pos="720"/>
        </w:tabs>
        <w:ind w:start="720" w:hanging="360"/>
      </w:pPr>
      <w:rPr>
        <w:rFonts w:ascii="Arial" w:hAnsi="Arial"/>
        <w:b/>
        <w:bCs/>
        <w:sz w:val="24"/>
        <w:szCs w:val="24"/>
      </w:rPr>
    </w:lvl>
    <w:lvl w:ilvl="1">
      <w:start w:val="1"/>
      <w:numFmt w:val="upperRoman"/>
      <w:lvlText w:val="%2."/>
      <w:lvlJc w:val="start"/>
      <w:pPr>
        <w:tabs>
          <w:tab w:val="num" w:pos="1080"/>
        </w:tabs>
        <w:ind w:start="1080" w:hanging="360"/>
      </w:pPr>
      <w:rPr>
        <w:rFonts w:ascii="Arial" w:hAnsi="Arial"/>
        <w:b/>
        <w:bCs/>
        <w:sz w:val="24"/>
        <w:szCs w:val="24"/>
      </w:rPr>
    </w:lvl>
    <w:lvl w:ilvl="2">
      <w:start w:val="1"/>
      <w:numFmt w:val="upperRoman"/>
      <w:lvlText w:val="%3."/>
      <w:lvlJc w:val="start"/>
      <w:pPr>
        <w:tabs>
          <w:tab w:val="num" w:pos="1440"/>
        </w:tabs>
        <w:ind w:start="1440" w:hanging="360"/>
      </w:pPr>
      <w:rPr>
        <w:rFonts w:ascii="Arial" w:hAnsi="Arial"/>
        <w:b/>
        <w:bCs/>
        <w:sz w:val="24"/>
        <w:szCs w:val="24"/>
      </w:rPr>
    </w:lvl>
    <w:lvl w:ilvl="3">
      <w:start w:val="1"/>
      <w:numFmt w:val="upperRoman"/>
      <w:lvlText w:val="%4."/>
      <w:lvlJc w:val="start"/>
      <w:pPr>
        <w:tabs>
          <w:tab w:val="num" w:pos="1800"/>
        </w:tabs>
        <w:ind w:start="1800" w:hanging="360"/>
      </w:pPr>
      <w:rPr>
        <w:rFonts w:ascii="Arial" w:hAnsi="Arial"/>
        <w:b/>
        <w:bCs/>
        <w:sz w:val="24"/>
        <w:szCs w:val="24"/>
      </w:rPr>
    </w:lvl>
    <w:lvl w:ilvl="4">
      <w:start w:val="1"/>
      <w:numFmt w:val="upperRoman"/>
      <w:lvlText w:val="%5."/>
      <w:lvlJc w:val="start"/>
      <w:pPr>
        <w:tabs>
          <w:tab w:val="num" w:pos="2160"/>
        </w:tabs>
        <w:ind w:start="2160" w:hanging="360"/>
      </w:pPr>
      <w:rPr>
        <w:rFonts w:ascii="Arial" w:hAnsi="Arial"/>
        <w:b/>
        <w:bCs/>
        <w:sz w:val="24"/>
        <w:szCs w:val="24"/>
      </w:rPr>
    </w:lvl>
    <w:lvl w:ilvl="5">
      <w:start w:val="1"/>
      <w:numFmt w:val="upperRoman"/>
      <w:lvlText w:val="%6."/>
      <w:lvlJc w:val="start"/>
      <w:pPr>
        <w:tabs>
          <w:tab w:val="num" w:pos="2520"/>
        </w:tabs>
        <w:ind w:start="2520" w:hanging="360"/>
      </w:pPr>
      <w:rPr>
        <w:rFonts w:ascii="Arial" w:hAnsi="Arial"/>
        <w:b/>
        <w:bCs/>
        <w:sz w:val="24"/>
        <w:szCs w:val="24"/>
      </w:rPr>
    </w:lvl>
    <w:lvl w:ilvl="6">
      <w:start w:val="1"/>
      <w:numFmt w:val="upperRoman"/>
      <w:lvlText w:val="%7."/>
      <w:lvlJc w:val="start"/>
      <w:pPr>
        <w:tabs>
          <w:tab w:val="num" w:pos="2880"/>
        </w:tabs>
        <w:ind w:start="2880" w:hanging="360"/>
      </w:pPr>
      <w:rPr>
        <w:rFonts w:ascii="Arial" w:hAnsi="Arial"/>
        <w:b/>
        <w:bCs/>
        <w:sz w:val="24"/>
        <w:szCs w:val="24"/>
      </w:rPr>
    </w:lvl>
    <w:lvl w:ilvl="7">
      <w:start w:val="1"/>
      <w:numFmt w:val="upperRoman"/>
      <w:lvlText w:val="%8."/>
      <w:lvlJc w:val="start"/>
      <w:pPr>
        <w:tabs>
          <w:tab w:val="num" w:pos="3240"/>
        </w:tabs>
        <w:ind w:start="3240" w:hanging="360"/>
      </w:pPr>
      <w:rPr>
        <w:rFonts w:ascii="Arial" w:hAnsi="Arial"/>
        <w:b/>
        <w:bCs/>
        <w:sz w:val="24"/>
        <w:szCs w:val="24"/>
      </w:rPr>
    </w:lvl>
    <w:lvl w:ilvl="8">
      <w:start w:val="1"/>
      <w:numFmt w:val="upperRoman"/>
      <w:lvlText w:val="%9."/>
      <w:lvlJc w:val="start"/>
      <w:pPr>
        <w:tabs>
          <w:tab w:val="num" w:pos="3600"/>
        </w:tabs>
        <w:ind w:start="3600" w:hanging="360"/>
      </w:pPr>
      <w:rPr>
        <w:rFonts w:ascii="Arial" w:hAnsi="Arial"/>
        <w:b/>
        <w:bCs/>
        <w:sz w:val="24"/>
        <w:szCs w:val="24"/>
      </w:rPr>
    </w:lvl>
  </w:abstractNum>
  <w:abstractNum w:abstractNumId="12">
    <w:lvl w:ilvl="0">
      <w:start w:val="1"/>
      <w:numFmt w:val="lowerLetter"/>
      <w:lvlText w:val="%1)"/>
      <w:lvlJc w:val="start"/>
      <w:pPr>
        <w:tabs>
          <w:tab w:val="num" w:pos="720"/>
        </w:tabs>
        <w:ind w:start="720" w:hanging="360"/>
      </w:pPr>
      <w:rPr>
        <w:rFonts w:ascii="Arial" w:hAnsi="Arial"/>
        <w:b/>
        <w:bCs/>
        <w:sz w:val="24"/>
        <w:szCs w:val="24"/>
      </w:rPr>
    </w:lvl>
    <w:lvl w:ilvl="1">
      <w:start w:val="1"/>
      <w:numFmt w:val="lowerLetter"/>
      <w:lvlText w:val="%2)"/>
      <w:lvlJc w:val="start"/>
      <w:pPr>
        <w:tabs>
          <w:tab w:val="num" w:pos="1080"/>
        </w:tabs>
        <w:ind w:start="1080" w:hanging="360"/>
      </w:pPr>
      <w:rPr>
        <w:rFonts w:ascii="Arial" w:hAnsi="Arial"/>
        <w:b/>
        <w:bCs/>
        <w:sz w:val="24"/>
        <w:szCs w:val="24"/>
      </w:rPr>
    </w:lvl>
    <w:lvl w:ilvl="2">
      <w:start w:val="1"/>
      <w:numFmt w:val="upperRoman"/>
      <w:lvlText w:val="%3."/>
      <w:lvlJc w:val="start"/>
      <w:pPr>
        <w:tabs>
          <w:tab w:val="num" w:pos="1440"/>
        </w:tabs>
        <w:ind w:start="1440" w:hanging="360"/>
      </w:pPr>
      <w:rPr>
        <w:rFonts w:ascii="Arial" w:hAnsi="Arial"/>
        <w:b/>
        <w:bCs/>
        <w:sz w:val="24"/>
        <w:szCs w:val="24"/>
      </w:rPr>
    </w:lvl>
    <w:lvl w:ilvl="3">
      <w:start w:val="1"/>
      <w:numFmt w:val="lowerLetter"/>
      <w:lvlText w:val="%4)"/>
      <w:lvlJc w:val="start"/>
      <w:pPr>
        <w:tabs>
          <w:tab w:val="num" w:pos="1800"/>
        </w:tabs>
        <w:ind w:start="1800" w:hanging="360"/>
      </w:pPr>
      <w:rPr>
        <w:rFonts w:ascii="Arial" w:hAnsi="Arial"/>
        <w:b/>
        <w:bCs/>
        <w:sz w:val="24"/>
        <w:szCs w:val="24"/>
      </w:rPr>
    </w:lvl>
    <w:lvl w:ilvl="4">
      <w:start w:val="1"/>
      <w:numFmt w:val="lowerLetter"/>
      <w:lvlText w:val="%5)"/>
      <w:lvlJc w:val="start"/>
      <w:pPr>
        <w:tabs>
          <w:tab w:val="num" w:pos="2160"/>
        </w:tabs>
        <w:ind w:start="2160" w:hanging="360"/>
      </w:pPr>
      <w:rPr>
        <w:rFonts w:ascii="Arial" w:hAnsi="Arial"/>
        <w:b/>
        <w:bCs/>
        <w:sz w:val="24"/>
        <w:szCs w:val="24"/>
      </w:rPr>
    </w:lvl>
    <w:lvl w:ilvl="5">
      <w:start w:val="1"/>
      <w:numFmt w:val="lowerLetter"/>
      <w:lvlText w:val="%6)"/>
      <w:lvlJc w:val="start"/>
      <w:pPr>
        <w:tabs>
          <w:tab w:val="num" w:pos="2520"/>
        </w:tabs>
        <w:ind w:start="2520" w:hanging="360"/>
      </w:pPr>
      <w:rPr>
        <w:rFonts w:ascii="Arial" w:hAnsi="Arial"/>
        <w:b/>
        <w:bCs/>
        <w:sz w:val="24"/>
        <w:szCs w:val="24"/>
      </w:rPr>
    </w:lvl>
    <w:lvl w:ilvl="6">
      <w:start w:val="1"/>
      <w:numFmt w:val="lowerLetter"/>
      <w:lvlText w:val="%7)"/>
      <w:lvlJc w:val="start"/>
      <w:pPr>
        <w:tabs>
          <w:tab w:val="num" w:pos="2880"/>
        </w:tabs>
        <w:ind w:start="2880" w:hanging="360"/>
      </w:pPr>
      <w:rPr>
        <w:rFonts w:ascii="Arial" w:hAnsi="Arial"/>
        <w:b/>
        <w:bCs/>
        <w:sz w:val="24"/>
        <w:szCs w:val="24"/>
      </w:rPr>
    </w:lvl>
    <w:lvl w:ilvl="7">
      <w:start w:val="1"/>
      <w:numFmt w:val="lowerLetter"/>
      <w:lvlText w:val="%8)"/>
      <w:lvlJc w:val="start"/>
      <w:pPr>
        <w:tabs>
          <w:tab w:val="num" w:pos="3240"/>
        </w:tabs>
        <w:ind w:start="3240" w:hanging="360"/>
      </w:pPr>
      <w:rPr>
        <w:rFonts w:ascii="Arial" w:hAnsi="Arial"/>
        <w:b/>
        <w:bCs/>
        <w:sz w:val="24"/>
        <w:szCs w:val="24"/>
      </w:rPr>
    </w:lvl>
    <w:lvl w:ilvl="8">
      <w:start w:val="1"/>
      <w:numFmt w:val="lowerLetter"/>
      <w:lvlText w:val="%9)"/>
      <w:lvlJc w:val="start"/>
      <w:pPr>
        <w:tabs>
          <w:tab w:val="num" w:pos="3600"/>
        </w:tabs>
        <w:ind w:start="3600" w:hanging="360"/>
      </w:pPr>
      <w:rPr>
        <w:rFonts w:ascii="Arial" w:hAnsi="Arial"/>
        <w:b/>
        <w:bCs/>
        <w:sz w:val="24"/>
        <w:szCs w:val="24"/>
      </w:rPr>
    </w:lvl>
  </w:abstractNum>
  <w:abstractNum w:abstractNumId="13">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14">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15">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60"/>
  <w:defaultTabStop w:val="720"/>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 w:cs="" w:asciiTheme="minorHAnsi" w:cstheme="minorBidi" w:eastAsiaTheme="minorEastAsia"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widowControl/>
      <w:suppressAutoHyphens w:val="true"/>
      <w:bidi w:val="0"/>
      <w:spacing w:lineRule="auto" w:line="240" w:before="0" w:after="80"/>
      <w:jc w:val="start"/>
    </w:pPr>
    <w:rPr>
      <w:rFonts w:ascii="Arial" w:hAnsi="Arial" w:eastAsia="" w:cs="" w:cstheme="minorBidi" w:eastAsiaTheme="minorEastAsia"/>
      <w:color w:val="auto"/>
      <w:kern w:val="0"/>
      <w:sz w:val="21"/>
      <w:szCs w:val="22"/>
      <w:lang w:val="en-US" w:eastAsia="en-US" w:bidi="ar-SA"/>
    </w:rPr>
  </w:style>
  <w:style w:type="paragraph" w:styleId="Heading1">
    <w:name w:val="heading 1"/>
    <w:basedOn w:val="Normal"/>
    <w:next w:val="Normal"/>
    <w:link w:val="Heading1Char"/>
    <w:uiPriority w:val="9"/>
    <w:qFormat/>
    <w:rsid w:val="00fc693f"/>
    <w:pPr>
      <w:keepNext w:val="true"/>
      <w:keepLines/>
      <w:spacing w:before="160" w:after="80"/>
      <w:outlineLvl w:val="0"/>
    </w:pPr>
    <w:rPr>
      <w:rFonts w:ascii="Calibri" w:hAnsi="Calibri" w:eastAsia="" w:cs="" w:asciiTheme="majorHAnsi" w:cstheme="majorBidi" w:eastAsiaTheme="majorEastAsia" w:hAnsiTheme="majorHAnsi"/>
      <w:b/>
      <w:bCs/>
      <w:color w:themeColor="accent1" w:themeShade="bf" w:val="365F91"/>
      <w:sz w:val="22"/>
      <w:szCs w:val="28"/>
    </w:rPr>
  </w:style>
  <w:style w:type="paragraph" w:styleId="Heading2">
    <w:name w:val="heading 2"/>
    <w:basedOn w:val="Normal"/>
    <w:next w:val="Normal"/>
    <w:link w:val="Heading2Char"/>
    <w:uiPriority w:val="9"/>
    <w:unhideWhenUsed/>
    <w:qFormat/>
    <w:rsid w:val="00fc693f"/>
    <w:pPr>
      <w:keepNext w:val="true"/>
      <w:keepLines/>
      <w:spacing w:before="120" w:after="60"/>
      <w:outlineLvl w:val="1"/>
    </w:pPr>
    <w:rPr>
      <w:rFonts w:ascii="Calibri" w:hAnsi="Calibri" w:eastAsia="" w:cs="" w:asciiTheme="majorHAnsi" w:cstheme="majorBidi" w:eastAsiaTheme="majorEastAsia" w:hAnsiTheme="majorHAnsi"/>
      <w:b/>
      <w:bCs/>
      <w:color w:themeColor="accent1" w:val="4F81BD"/>
      <w:sz w:val="21"/>
      <w:szCs w:val="26"/>
    </w:rPr>
  </w:style>
  <w:style w:type="paragraph" w:styleId="Heading3">
    <w:name w:val="heading 3"/>
    <w:basedOn w:val="Normal"/>
    <w:next w:val="Normal"/>
    <w:link w:val="Heading3Char"/>
    <w:uiPriority w:val="9"/>
    <w:unhideWhenUsed/>
    <w:qFormat/>
    <w:rsid w:val="00fc693f"/>
    <w:pPr>
      <w:keepNext w:val="true"/>
      <w:keepLines/>
      <w:spacing w:before="200" w:after="0"/>
      <w:outlineLvl w:val="2"/>
    </w:pPr>
    <w:rPr>
      <w:rFonts w:ascii="Calibri" w:hAnsi="Calibri" w:eastAsia="" w:cs="" w:asciiTheme="majorHAnsi" w:cstheme="majorBidi" w:eastAsiaTheme="majorEastAsia" w:hAnsiTheme="majorHAnsi"/>
      <w:b/>
      <w:bCs/>
      <w:color w:themeColor="accent1" w:val="4F81BD"/>
    </w:rPr>
  </w:style>
  <w:style w:type="paragraph" w:styleId="Heading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 w:cs="" w:asciiTheme="majorHAnsi" w:cstheme="majorBidi" w:eastAsiaTheme="majorEastAsia" w:hAnsiTheme="majorHAnsi"/>
      <w:b/>
      <w:bCs/>
      <w:i/>
      <w:iCs/>
      <w:color w:themeColor="accent1" w:val="4F81BD"/>
    </w:rPr>
  </w:style>
  <w:style w:type="paragraph" w:styleId="Heading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 w:cs="" w:asciiTheme="majorHAnsi" w:cstheme="majorBidi" w:eastAsiaTheme="majorEastAsia" w:hAnsiTheme="majorHAnsi"/>
      <w:color w:themeColor="accent1" w:themeShade="7f" w:val="243F60"/>
    </w:rPr>
  </w:style>
  <w:style w:type="paragraph" w:styleId="Heading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 w:cs="" w:asciiTheme="majorHAnsi" w:cstheme="majorBidi" w:eastAsiaTheme="majorEastAsia" w:hAnsiTheme="majorHAnsi"/>
      <w:i/>
      <w:iCs/>
      <w:color w:themeColor="accent1" w:themeShade="7f" w:val="243F60"/>
    </w:rPr>
  </w:style>
  <w:style w:type="paragraph" w:styleId="Heading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 w:cs="" w:asciiTheme="majorHAnsi" w:cstheme="majorBidi" w:eastAsiaTheme="majorEastAsia" w:hAnsiTheme="majorHAnsi"/>
      <w:i/>
      <w:iCs/>
      <w:color w:themeColor="text1" w:themeTint="bf" w:val="404040"/>
    </w:rPr>
  </w:style>
  <w:style w:type="paragraph" w:styleId="Heading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 w:cs="" w:asciiTheme="majorHAnsi" w:cstheme="majorBidi" w:eastAsiaTheme="majorEastAsia" w:hAnsiTheme="majorHAnsi"/>
      <w:color w:themeColor="accent1" w:val="4F81BD"/>
      <w:sz w:val="20"/>
      <w:szCs w:val="20"/>
    </w:rPr>
  </w:style>
  <w:style w:type="paragraph" w:styleId="Heading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 w:cs="" w:asciiTheme="majorHAnsi" w:cstheme="majorBidi" w:eastAsiaTheme="majorEastAsia" w:hAnsiTheme="majorHAnsi"/>
      <w:i/>
      <w:iCs/>
      <w:color w:themeColor="text1" w:themeTint="bf" w:val="404040"/>
      <w:sz w:val="20"/>
      <w:szCs w:val="20"/>
    </w:rPr>
  </w:style>
  <w:style w:type="character" w:styleId="HeaderChar" w:customStyle="1">
    <w:name w:val="Header Char"/>
    <w:basedOn w:val="DefaultParagraphFont"/>
    <w:uiPriority w:val="99"/>
    <w:qFormat/>
    <w:rsid w:val="00e618bf"/>
    <w:rPr/>
  </w:style>
  <w:style w:type="character" w:styleId="FooterChar" w:customStyle="1">
    <w:name w:val="Footer Char"/>
    <w:basedOn w:val="DefaultParagraphFont"/>
    <w:uiPriority w:val="99"/>
    <w:qFormat/>
    <w:rsid w:val="00e618b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uiPriority w:val="9"/>
    <w:qFormat/>
    <w:rsid w:val="00fc693f"/>
    <w:rPr>
      <w:rFonts w:ascii="Calibri" w:hAnsi="Calibri" w:eastAsia="" w:cs="" w:asciiTheme="majorHAnsi" w:cstheme="majorBidi" w:eastAsiaTheme="majorEastAsia" w:hAnsiTheme="majorHAnsi"/>
      <w:b/>
      <w:bCs/>
      <w:color w:themeColor="accent1" w:themeShade="bf" w:val="365F91"/>
      <w:sz w:val="28"/>
      <w:szCs w:val="28"/>
    </w:rPr>
  </w:style>
  <w:style w:type="character" w:styleId="Heading2Char" w:customStyle="1">
    <w:name w:val="Heading 2 Char"/>
    <w:basedOn w:val="DefaultParagraphFont"/>
    <w:uiPriority w:val="9"/>
    <w:qFormat/>
    <w:rsid w:val="00fc693f"/>
    <w:rPr>
      <w:rFonts w:ascii="Calibri" w:hAnsi="Calibri" w:eastAsia="" w:cs="" w:asciiTheme="majorHAnsi" w:cstheme="majorBidi" w:eastAsiaTheme="majorEastAsia" w:hAnsiTheme="majorHAnsi"/>
      <w:b/>
      <w:bCs/>
      <w:color w:themeColor="accent1" w:val="4F81BD"/>
      <w:sz w:val="26"/>
      <w:szCs w:val="26"/>
    </w:rPr>
  </w:style>
  <w:style w:type="character" w:styleId="Heading3Char" w:customStyle="1">
    <w:name w:val="Heading 3 Char"/>
    <w:basedOn w:val="DefaultParagraphFont"/>
    <w:uiPriority w:val="9"/>
    <w:qFormat/>
    <w:rsid w:val="00fc693f"/>
    <w:rPr>
      <w:rFonts w:ascii="Calibri" w:hAnsi="Calibri" w:eastAsia="" w:cs="" w:asciiTheme="majorHAnsi" w:cstheme="majorBidi" w:eastAsiaTheme="majorEastAsia" w:hAnsiTheme="majorHAnsi"/>
      <w:b/>
      <w:bCs/>
      <w:color w:themeColor="accent1" w:val="4F81BD"/>
    </w:rPr>
  </w:style>
  <w:style w:type="character" w:styleId="TitleChar" w:customStyle="1">
    <w:name w:val="Title Char"/>
    <w:basedOn w:val="DefaultParagraphFont"/>
    <w:uiPriority w:val="10"/>
    <w:qFormat/>
    <w:rsid w:val="00fc693f"/>
    <w:rPr>
      <w:rFonts w:ascii="Calibri" w:hAnsi="Calibri" w:eastAsia="" w:cs="" w:asciiTheme="majorHAnsi" w:cstheme="majorBidi" w:eastAsiaTheme="majorEastAsia" w:hAnsiTheme="majorHAnsi"/>
      <w:color w:themeColor="text2" w:themeShade="bf" w:val="17365D"/>
      <w:spacing w:val="5"/>
      <w:kern w:val="2"/>
      <w:sz w:val="52"/>
      <w:szCs w:val="52"/>
    </w:rPr>
  </w:style>
  <w:style w:type="character" w:styleId="SubtitleChar" w:customStyle="1">
    <w:name w:val="Subtitle Char"/>
    <w:basedOn w:val="DefaultParagraphFont"/>
    <w:uiPriority w:val="11"/>
    <w:qFormat/>
    <w:rsid w:val="00fc693f"/>
    <w:rPr>
      <w:rFonts w:ascii="Calibri" w:hAnsi="Calibri" w:eastAsia="" w:cs="" w:asciiTheme="majorHAnsi" w:cstheme="majorBidi" w:eastAsiaTheme="majorEastAsia" w:hAnsiTheme="majorHAnsi"/>
      <w:i/>
      <w:iCs/>
      <w:color w:themeColor="accent1" w:val="4F81BD"/>
      <w:spacing w:val="15"/>
      <w:sz w:val="24"/>
      <w:szCs w:val="24"/>
    </w:rPr>
  </w:style>
  <w:style w:type="character" w:styleId="BodyTextChar" w:customStyle="1">
    <w:name w:val="Body Text Char"/>
    <w:basedOn w:val="DefaultParagraphFon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Text"/>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themeColor="text1" w:val="000000"/>
    </w:rPr>
  </w:style>
  <w:style w:type="character" w:styleId="Heading4Char" w:customStyle="1">
    <w:name w:val="Heading 4 Char"/>
    <w:basedOn w:val="DefaultParagraphFont"/>
    <w:uiPriority w:val="9"/>
    <w:semiHidden/>
    <w:qFormat/>
    <w:rsid w:val="00fc693f"/>
    <w:rPr>
      <w:rFonts w:ascii="Calibri" w:hAnsi="Calibri" w:eastAsia="" w:cs="" w:asciiTheme="majorHAnsi" w:cstheme="majorBidi" w:eastAsiaTheme="majorEastAsia" w:hAnsiTheme="majorHAnsi"/>
      <w:b/>
      <w:bCs/>
      <w:i/>
      <w:iCs/>
      <w:color w:themeColor="accent1" w:val="4F81BD"/>
    </w:rPr>
  </w:style>
  <w:style w:type="character" w:styleId="Heading5Char" w:customStyle="1">
    <w:name w:val="Heading 5 Char"/>
    <w:basedOn w:val="DefaultParagraphFont"/>
    <w:uiPriority w:val="9"/>
    <w:semiHidden/>
    <w:qFormat/>
    <w:rsid w:val="00fc693f"/>
    <w:rPr>
      <w:rFonts w:ascii="Calibri" w:hAnsi="Calibri" w:eastAsia="" w:cs="" w:asciiTheme="majorHAnsi" w:cstheme="majorBidi" w:eastAsiaTheme="majorEastAsia" w:hAnsiTheme="majorHAnsi"/>
      <w:color w:themeColor="accent1" w:themeShade="7f" w:val="243F60"/>
    </w:rPr>
  </w:style>
  <w:style w:type="character" w:styleId="Heading6Char" w:customStyle="1">
    <w:name w:val="Heading 6 Char"/>
    <w:basedOn w:val="DefaultParagraphFont"/>
    <w:uiPriority w:val="9"/>
    <w:semiHidden/>
    <w:qFormat/>
    <w:rsid w:val="00fc693f"/>
    <w:rPr>
      <w:rFonts w:ascii="Calibri" w:hAnsi="Calibri" w:eastAsia="" w:cs="" w:asciiTheme="majorHAnsi" w:cstheme="majorBidi" w:eastAsiaTheme="majorEastAsia" w:hAnsiTheme="majorHAnsi"/>
      <w:i/>
      <w:iCs/>
      <w:color w:themeColor="accent1" w:themeShade="7f" w:val="243F60"/>
    </w:rPr>
  </w:style>
  <w:style w:type="character" w:styleId="Heading7Char" w:customStyle="1">
    <w:name w:val="Heading 7 Char"/>
    <w:basedOn w:val="DefaultParagraphFont"/>
    <w:uiPriority w:val="9"/>
    <w:semiHidden/>
    <w:qFormat/>
    <w:rsid w:val="00fc693f"/>
    <w:rPr>
      <w:rFonts w:ascii="Calibri" w:hAnsi="Calibri" w:eastAsia="" w:cs="" w:asciiTheme="majorHAnsi" w:cstheme="majorBidi" w:eastAsiaTheme="majorEastAsia" w:hAnsiTheme="majorHAnsi"/>
      <w:i/>
      <w:iCs/>
      <w:color w:themeColor="text1" w:themeTint="bf" w:val="404040"/>
    </w:rPr>
  </w:style>
  <w:style w:type="character" w:styleId="Heading8Char" w:customStyle="1">
    <w:name w:val="Heading 8 Char"/>
    <w:basedOn w:val="DefaultParagraphFont"/>
    <w:uiPriority w:val="9"/>
    <w:semiHidden/>
    <w:qFormat/>
    <w:rsid w:val="00fc693f"/>
    <w:rPr>
      <w:rFonts w:ascii="Calibri" w:hAnsi="Calibri" w:eastAsia="" w:cs="" w:asciiTheme="majorHAnsi" w:cstheme="majorBidi" w:eastAsiaTheme="majorEastAsia" w:hAnsiTheme="majorHAnsi"/>
      <w:color w:themeColor="accent1" w:val="4F81BD"/>
      <w:sz w:val="20"/>
      <w:szCs w:val="20"/>
    </w:rPr>
  </w:style>
  <w:style w:type="character" w:styleId="Heading9Char" w:customStyle="1">
    <w:name w:val="Heading 9 Char"/>
    <w:basedOn w:val="DefaultParagraphFont"/>
    <w:uiPriority w:val="9"/>
    <w:semiHidden/>
    <w:qFormat/>
    <w:rsid w:val="00fc693f"/>
    <w:rPr>
      <w:rFonts w:ascii="Calibri" w:hAnsi="Calibri" w:eastAsia=""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character" w:styleId="Hyperlink">
    <w:name w:val="Hyperlink"/>
    <w:rPr>
      <w:color w:val="000080"/>
      <w:u w:val="single"/>
    </w:rPr>
  </w:style>
  <w:style w:type="character" w:styleId="Marcadoresuser">
    <w:name w:val="Marcadores (user)"/>
    <w:qFormat/>
    <w:rPr>
      <w:rFonts w:ascii="OpenSymbol" w:hAnsi="OpenSymbol" w:eastAsia="OpenSymbol" w:cs="OpenSymbol"/>
    </w:rPr>
  </w:style>
  <w:style w:type="character" w:styleId="Smbolosdenumeraouser">
    <w:name w:val="Símbolos de numeração (user)"/>
    <w:qFormat/>
    <w:rPr>
      <w:rFonts w:ascii="Arial" w:hAnsi="Arial"/>
      <w:b/>
      <w:bCs/>
      <w:sz w:val="24"/>
      <w:szCs w:val="24"/>
    </w:rPr>
  </w:style>
  <w:style w:type="character" w:styleId="WW8Num15z0">
    <w:name w:val="WW8Num15z0"/>
    <w:qFormat/>
    <w:rPr/>
  </w:style>
  <w:style w:type="character" w:styleId="WW8Num15z1">
    <w:name w:val="WW8Num15z1"/>
    <w:qFormat/>
    <w:rPr>
      <w:b w:val="fals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uiPriority w:val="99"/>
    <w:unhideWhenUsed/>
    <w:rsid w:val="00aa1d8d"/>
    <w:pPr>
      <w:spacing w:before="0" w:after="120"/>
    </w:pPr>
    <w:rPr/>
  </w:style>
  <w:style w:type="paragraph" w:styleId="List">
    <w:name w:val="List"/>
    <w:basedOn w:val="Normal"/>
    <w:uiPriority w:val="99"/>
    <w:unhideWhenUsed/>
    <w:rsid w:val="00aa1d8d"/>
    <w:pPr>
      <w:spacing w:before="0" w:after="80"/>
      <w:ind w:hanging="360" w:start="360"/>
      <w:contextualSpacing/>
    </w:pPr>
    <w:rPr/>
  </w:style>
  <w:style w:type="paragraph" w:styleId="Caption">
    <w:name w:val="caption"/>
    <w:basedOn w:val="Normal"/>
    <w:next w:val="Normal"/>
    <w:uiPriority w:val="35"/>
    <w:semiHidden/>
    <w:unhideWhenUsed/>
    <w:qFormat/>
    <w:rsid w:val="00fc693f"/>
    <w:pPr>
      <w:spacing w:lineRule="auto" w:line="240"/>
    </w:pPr>
    <w:rPr>
      <w:b/>
      <w:bCs/>
      <w:color w:themeColor="accent1" w:val="4F81BD"/>
      <w:sz w:val="18"/>
      <w:szCs w:val="18"/>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Cabealhoerodap">
    <w:name w:val="Cabeçalho e rodapé"/>
    <w:basedOn w:val="Normal"/>
    <w:qFormat/>
    <w:pPr/>
    <w:rPr/>
  </w:style>
  <w:style w:type="paragraph" w:styleId="Cabealhoerodapuser">
    <w:name w:val="Cabeçalho e rodapé (user)"/>
    <w:basedOn w:val="Normal"/>
    <w:qFormat/>
    <w:pPr/>
    <w:rPr/>
  </w:style>
  <w:style w:type="paragraph" w:styleId="Header">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style>
  <w:style w:type="paragraph" w:styleId="NoSpacing">
    <w:name w:val="No Spacing"/>
    <w:uiPriority w:val="1"/>
    <w:qFormat/>
    <w:rsid w:val="00fc693f"/>
    <w:pPr>
      <w:widowControl/>
      <w:suppressAutoHyphens w:val="true"/>
      <w:bidi w:val="0"/>
      <w:spacing w:lineRule="auto" w:line="240" w:before="0" w:after="0"/>
      <w:jc w:val="start"/>
    </w:pPr>
    <w:rPr>
      <w:rFonts w:ascii="Cambria" w:hAnsi="Cambria" w:eastAsia="" w:cs="" w:asciiTheme="minorHAnsi" w:cstheme="minorBidi" w:eastAsiaTheme="minorEastAsia" w:hAnsiTheme="minorHAnsi"/>
      <w:color w:val="auto"/>
      <w:kern w:val="0"/>
      <w:sz w:val="22"/>
      <w:szCs w:val="22"/>
      <w:lang w:val="en-US" w:eastAsia="en-US" w:bidi="ar-SA"/>
    </w:rPr>
  </w:style>
  <w:style w:type="paragraph" w:styleId="Title">
    <w:name w:val="Title"/>
    <w:basedOn w:val="Normal"/>
    <w:next w:val="Normal"/>
    <w:link w:val="TitleChar"/>
    <w:uiPriority w:val="10"/>
    <w:qFormat/>
    <w:rsid w:val="00fc693f"/>
    <w:pPr>
      <w:pBdr>
        <w:bottom w:val="single" w:sz="8" w:space="4" w:color="4F81BD" w:themeColor="accent1"/>
      </w:pBdr>
      <w:spacing w:lineRule="auto" w:line="240" w:before="0" w:after="300"/>
      <w:contextualSpacing/>
    </w:pPr>
    <w:rPr>
      <w:rFonts w:ascii="Calibri" w:hAnsi="Calibri" w:eastAsia="" w:cs="" w:asciiTheme="majorHAnsi" w:cstheme="majorBidi" w:eastAsiaTheme="majorEastAsia" w:hAnsiTheme="majorHAnsi"/>
      <w:color w:themeColor="text2" w:themeShade="bf" w:val="17365D"/>
      <w:spacing w:val="5"/>
      <w:kern w:val="2"/>
      <w:sz w:val="52"/>
      <w:szCs w:val="52"/>
    </w:rPr>
  </w:style>
  <w:style w:type="paragraph" w:styleId="Subtitle">
    <w:name w:val="Subtitle"/>
    <w:basedOn w:val="Normal"/>
    <w:next w:val="Normal"/>
    <w:link w:val="SubtitleChar"/>
    <w:uiPriority w:val="11"/>
    <w:qFormat/>
    <w:rsid w:val="00fc693f"/>
    <w:pPr/>
    <w:rPr>
      <w:rFonts w:ascii="Calibri" w:hAnsi="Calibri" w:eastAsia="" w:cs="" w:asciiTheme="majorHAnsi" w:cstheme="majorBidi" w:eastAsiaTheme="majorEastAsia" w:hAnsiTheme="majorHAnsi"/>
      <w:i/>
      <w:iCs/>
      <w:color w:themeColor="accent1" w:val="4F81BD"/>
      <w:spacing w:val="15"/>
      <w:sz w:val="24"/>
      <w:szCs w:val="24"/>
    </w:rPr>
  </w:style>
  <w:style w:type="paragraph" w:styleId="ListParagraph">
    <w:name w:val="List Paragraph"/>
    <w:basedOn w:val="Normal"/>
    <w:uiPriority w:val="34"/>
    <w:qFormat/>
    <w:rsid w:val="00fc693f"/>
    <w:pPr>
      <w:spacing w:before="0" w:after="80"/>
      <w:ind w:start="720"/>
      <w:contextualSpacing/>
    </w:pPr>
    <w:rPr/>
  </w:style>
  <w:style w:type="paragraph" w:styleId="BodyText2">
    <w:name w:val="Body Text 2"/>
    <w:basedOn w:val="Normal"/>
    <w:link w:val="BodyText2Char"/>
    <w:uiPriority w:val="99"/>
    <w:unhideWhenUsed/>
    <w:qFormat/>
    <w:rsid w:val="00aa1d8d"/>
    <w:pPr>
      <w:spacing w:lineRule="auto" w:line="480" w:before="0" w:after="120"/>
    </w:pPr>
    <w:rPr/>
  </w:style>
  <w:style w:type="paragraph" w:styleId="BodyText3">
    <w:name w:val="Body Text 3"/>
    <w:basedOn w:val="Normal"/>
    <w:link w:val="BodyText3Char"/>
    <w:uiPriority w:val="99"/>
    <w:unhideWhenUsed/>
    <w:qFormat/>
    <w:rsid w:val="00aa1d8d"/>
    <w:pPr>
      <w:spacing w:before="0" w:after="120"/>
    </w:pPr>
    <w:rPr>
      <w:sz w:val="16"/>
      <w:szCs w:val="16"/>
    </w:rPr>
  </w:style>
  <w:style w:type="paragraph" w:styleId="List2">
    <w:name w:val="List 2"/>
    <w:basedOn w:val="Normal"/>
    <w:uiPriority w:val="99"/>
    <w:unhideWhenUsed/>
    <w:qFormat/>
    <w:rsid w:val="00326f90"/>
    <w:pPr>
      <w:spacing w:before="0" w:after="80"/>
      <w:ind w:hanging="360" w:start="720"/>
      <w:contextualSpacing/>
    </w:pPr>
    <w:rPr/>
  </w:style>
  <w:style w:type="paragraph" w:styleId="List3">
    <w:name w:val="List 3"/>
    <w:basedOn w:val="Normal"/>
    <w:uiPriority w:val="99"/>
    <w:unhideWhenUsed/>
    <w:qFormat/>
    <w:rsid w:val="00326f90"/>
    <w:pPr>
      <w:spacing w:before="0" w:after="80"/>
      <w:ind w:hanging="360" w:start="1080"/>
      <w:contextualSpacing/>
    </w:pPr>
    <w:rPr/>
  </w:style>
  <w:style w:type="paragraph" w:styleId="ListBullet">
    <w:name w:val="List Bullet"/>
    <w:basedOn w:val="Normal"/>
    <w:uiPriority w:val="99"/>
    <w:unhideWhenUsed/>
    <w:rsid w:val="00326f90"/>
    <w:pPr>
      <w:numPr>
        <w:ilvl w:val="0"/>
        <w:numId w:val="1"/>
      </w:numPr>
      <w:spacing w:before="0" w:after="80"/>
      <w:contextualSpacing/>
    </w:pPr>
    <w:rPr/>
  </w:style>
  <w:style w:type="paragraph" w:styleId="ListBullet2">
    <w:name w:val="List Bullet 2"/>
    <w:basedOn w:val="Normal"/>
    <w:uiPriority w:val="99"/>
    <w:unhideWhenUsed/>
    <w:rsid w:val="00326f90"/>
    <w:pPr>
      <w:numPr>
        <w:ilvl w:val="0"/>
        <w:numId w:val="2"/>
      </w:numPr>
      <w:spacing w:before="0" w:after="80"/>
      <w:contextualSpacing/>
    </w:pPr>
    <w:rPr/>
  </w:style>
  <w:style w:type="paragraph" w:styleId="ListBullet3">
    <w:name w:val="List Bullet 3"/>
    <w:basedOn w:val="Normal"/>
    <w:uiPriority w:val="99"/>
    <w:unhideWhenUsed/>
    <w:rsid w:val="00326f90"/>
    <w:pPr>
      <w:numPr>
        <w:ilvl w:val="0"/>
        <w:numId w:val="3"/>
      </w:numPr>
      <w:spacing w:before="0" w:after="80"/>
      <w:contextualSpacing/>
    </w:pPr>
    <w:rPr/>
  </w:style>
  <w:style w:type="paragraph" w:styleId="ListNumber">
    <w:name w:val="List Number"/>
    <w:basedOn w:val="Normal"/>
    <w:uiPriority w:val="99"/>
    <w:unhideWhenUsed/>
    <w:rsid w:val="00326f90"/>
    <w:pPr>
      <w:numPr>
        <w:ilvl w:val="0"/>
        <w:numId w:val="4"/>
      </w:numPr>
      <w:spacing w:before="0" w:after="80"/>
      <w:contextualSpacing/>
    </w:pPr>
    <w:rPr/>
  </w:style>
  <w:style w:type="paragraph" w:styleId="ListNumber2">
    <w:name w:val="List Number 2"/>
    <w:basedOn w:val="Normal"/>
    <w:uiPriority w:val="99"/>
    <w:unhideWhenUsed/>
    <w:rsid w:val="0029639d"/>
    <w:pPr>
      <w:numPr>
        <w:ilvl w:val="0"/>
        <w:numId w:val="5"/>
      </w:numPr>
      <w:spacing w:before="0" w:after="80"/>
      <w:contextualSpacing/>
    </w:pPr>
    <w:rPr/>
  </w:style>
  <w:style w:type="paragraph" w:styleId="ListNumber3">
    <w:name w:val="List Number 3"/>
    <w:basedOn w:val="Normal"/>
    <w:uiPriority w:val="99"/>
    <w:unhideWhenUsed/>
    <w:rsid w:val="0029639d"/>
    <w:pPr>
      <w:numPr>
        <w:ilvl w:val="0"/>
        <w:numId w:val="6"/>
      </w:numPr>
      <w:spacing w:before="0" w:after="80"/>
      <w:contextualSpacing/>
    </w:pPr>
    <w:rPr/>
  </w:style>
  <w:style w:type="paragraph" w:styleId="ListContinue">
    <w:name w:val="List Continue"/>
    <w:basedOn w:val="Normal"/>
    <w:uiPriority w:val="99"/>
    <w:unhideWhenUsed/>
    <w:rsid w:val="0029639d"/>
    <w:pPr>
      <w:spacing w:before="0" w:after="120"/>
      <w:ind w:start="360"/>
      <w:contextualSpacing/>
    </w:pPr>
    <w:rPr/>
  </w:style>
  <w:style w:type="paragraph" w:styleId="ListContinue2">
    <w:name w:val="List Continue 2"/>
    <w:basedOn w:val="Normal"/>
    <w:uiPriority w:val="99"/>
    <w:unhideWhenUsed/>
    <w:rsid w:val="0029639d"/>
    <w:pPr>
      <w:spacing w:before="0" w:after="120"/>
      <w:ind w:start="720"/>
      <w:contextualSpacing/>
    </w:pPr>
    <w:rPr/>
  </w:style>
  <w:style w:type="paragraph" w:styleId="ListContinue3">
    <w:name w:val="List Continue 3"/>
    <w:basedOn w:val="Normal"/>
    <w:uiPriority w:val="99"/>
    <w:unhideWhenUsed/>
    <w:rsid w:val="0029639d"/>
    <w:pPr>
      <w:spacing w:before="0" w:after="120"/>
      <w:ind w:start="1080"/>
      <w:contextualSpacing/>
    </w:pPr>
    <w:rPr/>
  </w:style>
  <w:style w:type="paragraph" w:styleId="MacroText">
    <w:name w:val="macro"/>
    <w:link w:val="MacroTextCh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suppressAutoHyphens w:val="true"/>
      <w:bidi w:val="0"/>
      <w:spacing w:lineRule="auto" w:line="276" w:before="0" w:after="200"/>
      <w:jc w:val="start"/>
    </w:pPr>
    <w:rPr>
      <w:rFonts w:ascii="Courier" w:hAnsi="Courier" w:eastAsia="" w:cs="" w:cstheme="minorBidi" w:eastAsiaTheme="minorEastAsia"/>
      <w:color w:val="auto"/>
      <w:kern w:val="0"/>
      <w:sz w:val="20"/>
      <w:szCs w:val="20"/>
      <w:lang w:val="en-US" w:eastAsia="en-US" w:bidi="ar-SA"/>
    </w:rPr>
  </w:style>
  <w:style w:type="paragraph" w:styleId="Quote">
    <w:name w:val="Quote"/>
    <w:basedOn w:val="Normal"/>
    <w:next w:val="Normal"/>
    <w:link w:val="QuoteChar"/>
    <w:uiPriority w:val="29"/>
    <w:qFormat/>
    <w:rsid w:val="00fc693f"/>
    <w:pPr/>
    <w:rPr>
      <w:i/>
      <w:iCs/>
      <w:color w:themeColor="text1" w:val="000000"/>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start="936" w:end="936"/>
    </w:pPr>
    <w:rPr>
      <w:b/>
      <w:bCs/>
      <w:i/>
      <w:iCs/>
      <w:color w:themeColor="accent1" w:val="4F81BD"/>
    </w:rPr>
  </w:style>
  <w:style w:type="paragraph" w:styleId="IndexHeading">
    <w:name w:val="index heading"/>
    <w:basedOn w:val="Ttulo"/>
    <w:pPr/>
    <w:rPr/>
  </w:style>
  <w:style w:type="paragraph" w:styleId="TOCHeading">
    <w:name w:val="TOC Heading"/>
    <w:basedOn w:val="Heading1"/>
    <w:next w:val="Normal"/>
    <w:uiPriority w:val="39"/>
    <w:semiHidden/>
    <w:unhideWhenUsed/>
    <w:qFormat/>
    <w:rsid w:val="00fc693f"/>
    <w:pPr>
      <w:outlineLvl w:val="9"/>
    </w:pPr>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paragraph" w:styleId="SemEspaamento">
    <w:name w:val="Sem Espaçamento"/>
    <w:qFormat/>
    <w:pPr>
      <w:widowControl/>
      <w:suppressAutoHyphens w:val="true"/>
      <w:bidi w:val="0"/>
      <w:spacing w:before="0" w:after="0"/>
      <w:jc w:val="both"/>
    </w:pPr>
    <w:rPr>
      <w:rFonts w:ascii="Calibri" w:hAnsi="Calibri" w:eastAsia="Times New Roman" w:cs="Times New Roman"/>
      <w:color w:val="auto"/>
      <w:kern w:val="0"/>
      <w:sz w:val="22"/>
      <w:szCs w:val="22"/>
      <w:lang w:val="pt-BR" w:eastAsia="en-US" w:bidi="ar-SA"/>
    </w:rPr>
  </w:style>
  <w:style w:type="paragraph" w:styleId="PargrafodaLista">
    <w:name w:val="Parágrafo da Lista"/>
    <w:basedOn w:val="Normal"/>
    <w:qFormat/>
    <w:pPr>
      <w:spacing w:before="0" w:after="200"/>
      <w:ind w:hanging="0" w:start="720" w:end="0"/>
      <w:contextualSpacing/>
    </w:pPr>
    <w:rPr/>
  </w:style>
  <w:style w:type="numbering" w:styleId="Semlista" w:default="1">
    <w:name w:val="Sem lista"/>
    <w:uiPriority w:val="99"/>
    <w:semiHidden/>
    <w:unhideWhenUsed/>
    <w:qFormat/>
  </w:style>
  <w:style w:type="numbering" w:styleId="WW8Num15">
    <w:name w:val="WW8Num15"/>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Pr/>
    </w:tblStylePr>
    <w:tblStylePr w:type="nwCell">
      <w:rPr>
        <w:color w:val="000000" w:themeColor="text1"/>
      </w:rPr>
      <w:tbl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Pr/>
    </w:tblStylePr>
    <w:tblStylePr w:type="nwCell">
      <w:rPr>
        <w:color w:val="000000" w:themeColor="text1"/>
      </w:rPr>
      <w:tbl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Pr/>
    </w:tblStylePr>
    <w:tblStylePr w:type="nwCell">
      <w:rPr>
        <w:color w:val="000000" w:themeColor="text1"/>
      </w:rPr>
      <w:tbl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Pr/>
    </w:tblStylePr>
    <w:tblStylePr w:type="nwCell">
      <w:rPr>
        <w:color w:val="000000" w:themeColor="text1"/>
      </w:rPr>
      <w:tbl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Pr/>
    </w:tblStylePr>
    <w:tblStylePr w:type="nwCell">
      <w:rPr>
        <w:color w:val="000000" w:themeColor="text1"/>
      </w:rPr>
      <w:tbl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bllcompras.com/" TargetMode="External"/><Relationship Id="rId3" Type="http://schemas.openxmlformats.org/officeDocument/2006/relationships/hyperlink" Target="http://www.bllcompras.com/" TargetMode="External"/><Relationship Id="rId4" Type="http://schemas.openxmlformats.org/officeDocument/2006/relationships/hyperlink" Target="http://www.fundasantos.org.br/" TargetMode="External"/><Relationship Id="rId5" Type="http://schemas.openxmlformats.org/officeDocument/2006/relationships/hyperlink" Target="mailto:sede@fundasantos.org.br" TargetMode="External"/><Relationship Id="rId6" Type="http://schemas.openxmlformats.org/officeDocument/2006/relationships/hyperlink" Target="mailto:sede@fundasantos.org.br" TargetMode="External"/><Relationship Id="rId7" Type="http://schemas.openxmlformats.org/officeDocument/2006/relationships/hyperlink" Target="mailto:sede@fundasantos.org.br"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Application>LibreOffice/26.2.6.3$Windows_X86_64 LibreOffice_project/8221e31b3ac356a1623c672912a3d2b492f7e3d1</Application>
  <AppVersion>15.0000</AppVersion>
  <Pages>21</Pages>
  <Words>5779</Words>
  <Characters>34030</Characters>
  <CharactersWithSpaces>39504</CharactersWithSpaces>
  <Paragraphs>369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dc:language>pt-BR</dc:language>
  <cp:lastModifiedBy/>
  <cp:lastPrinted>2026-10-13T09:42:51Z</cp:lastPrinted>
  <dcterms:modified xsi:type="dcterms:W3CDTF">2026-10-14T10:38:02Z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