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570CDCC1"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w:t>
            </w:r>
            <w:r w:rsidR="0089206B">
              <w:rPr>
                <w:rFonts w:ascii="Times New Roman" w:hAnsi="Times New Roman" w:cs="Times New Roman"/>
                <w:b/>
                <w:bCs/>
              </w:rPr>
              <w:t>10</w:t>
            </w:r>
            <w:r w:rsidR="00DF4316" w:rsidRPr="00DF4316">
              <w:rPr>
                <w:rFonts w:ascii="Times New Roman" w:hAnsi="Times New Roman" w:cs="Times New Roman"/>
                <w:b/>
                <w:bCs/>
              </w:rPr>
              <w:t>/2026</w:t>
            </w:r>
          </w:p>
        </w:tc>
        <w:tc>
          <w:tcPr>
            <w:tcW w:w="2573" w:type="pct"/>
            <w:shd w:val="clear" w:color="auto" w:fill="95B3D7"/>
            <w:vAlign w:val="center"/>
          </w:tcPr>
          <w:p w14:paraId="067DE18F" w14:textId="2942155D"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 xml:space="preserve">Nº </w:t>
            </w:r>
            <w:r w:rsidR="0089206B" w:rsidRPr="0089206B">
              <w:rPr>
                <w:rFonts w:ascii="Times New Roman" w:eastAsia="Times New Roman" w:hAnsi="Times New Roman" w:cs="Times New Roman"/>
                <w:b/>
                <w:bCs/>
                <w:sz w:val="24"/>
                <w:szCs w:val="24"/>
                <w:lang w:val="pt-BR" w:eastAsia="pt-BR" w:bidi="ar-SA"/>
              </w:rPr>
              <w:t>344079.2026.2152-08</w:t>
            </w:r>
          </w:p>
        </w:tc>
      </w:tr>
      <w:tr w:rsidR="00FF3B77" w:rsidRPr="00FF3B77" w14:paraId="1C093D48" w14:textId="77777777" w:rsidTr="001B533D">
        <w:trPr>
          <w:trHeight w:val="382"/>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0DAA6738"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09782F">
              <w:rPr>
                <w:rFonts w:ascii="Times New Roman" w:hAnsi="Times New Roman" w:cs="Times New Roman"/>
                <w:bCs/>
                <w:color w:val="000000" w:themeColor="text1"/>
                <w:sz w:val="20"/>
                <w:szCs w:val="20"/>
              </w:rPr>
              <w:t>ITEM</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40A517A5"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1B533D">
              <w:rPr>
                <w:rFonts w:ascii="Times New Roman" w:hAnsi="Times New Roman" w:cs="Times New Roman"/>
                <w:bCs/>
                <w:color w:val="000000" w:themeColor="text1"/>
                <w:sz w:val="20"/>
                <w:szCs w:val="20"/>
              </w:rPr>
              <w:t>ITEM</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5EF91D26" w:rsidR="00FF3B77" w:rsidRPr="0089206B" w:rsidRDefault="0089206B" w:rsidP="00C81235">
            <w:pPr>
              <w:spacing w:line="276" w:lineRule="auto"/>
              <w:jc w:val="both"/>
              <w:rPr>
                <w:rFonts w:ascii="Times New Roman" w:hAnsi="Times New Roman" w:cs="Times New Roman"/>
                <w:b/>
                <w:color w:val="000000" w:themeColor="text1"/>
                <w:szCs w:val="20"/>
              </w:rPr>
            </w:pPr>
            <w:r w:rsidRPr="0089206B">
              <w:rPr>
                <w:rFonts w:ascii="Times New Roman" w:eastAsia="Times New Roman" w:hAnsi="Times New Roman" w:cs="Times New Roman"/>
                <w:b/>
                <w:sz w:val="24"/>
                <w:szCs w:val="24"/>
                <w:lang w:val="pt-BR" w:eastAsia="pt-BR" w:bidi="ar-SA"/>
              </w:rPr>
              <w:t>Contratação de empresa para aquisição de equipamentos e mobiliário destinados à promoção, ao fortalecimento e ao desenvolvimento das ações culturais executadas pela Secretaria Municipal de Cultura e Turismo do Município de Governador Edison Lobão – MA, conforme o Plano de Aplicação de Recursos da Política Nacional Aldir Blanc (PNAB), Plano de Ação nº 30882120250002-024027.</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1F44079E"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89206B">
              <w:rPr>
                <w:rFonts w:ascii="Times New Roman" w:hAnsi="Times New Roman" w:cs="Times New Roman"/>
              </w:rPr>
              <w:t>31</w:t>
            </w:r>
            <w:r w:rsidR="00DF4316" w:rsidRPr="00E040CE">
              <w:rPr>
                <w:rFonts w:ascii="Times New Roman" w:hAnsi="Times New Roman" w:cs="Times New Roman"/>
              </w:rPr>
              <w:t>/0</w:t>
            </w:r>
            <w:r w:rsidR="0089206B">
              <w:rPr>
                <w:rFonts w:ascii="Times New Roman" w:hAnsi="Times New Roman" w:cs="Times New Roman"/>
              </w:rPr>
              <w:t>7</w:t>
            </w:r>
            <w:r w:rsidR="00DF4316" w:rsidRPr="00E040CE">
              <w:rPr>
                <w:rFonts w:ascii="Times New Roman" w:hAnsi="Times New Roman" w:cs="Times New Roman"/>
              </w:rPr>
              <w:t>/2026</w:t>
            </w:r>
          </w:p>
          <w:p w14:paraId="49C8731A" w14:textId="7D272F73"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89206B">
              <w:rPr>
                <w:rFonts w:ascii="Times New Roman" w:hAnsi="Times New Roman" w:cs="Times New Roman"/>
              </w:rPr>
              <w:t>14</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0D66F390" w14:textId="28633B56" w:rsidR="0089206B" w:rsidRPr="0089206B" w:rsidRDefault="0089206B" w:rsidP="0089206B">
            <w:pPr>
              <w:pStyle w:val="SemEspaamento"/>
              <w:jc w:val="center"/>
              <w:rPr>
                <w:rFonts w:ascii="Times New Roman" w:hAnsi="Times New Roman" w:cs="Times New Roman"/>
                <w:b/>
                <w:sz w:val="24"/>
                <w:lang w:val="pt-BR" w:eastAsia="pt-BR" w:bidi="ar-SA"/>
              </w:rPr>
            </w:pPr>
            <w:r w:rsidRPr="0089206B">
              <w:rPr>
                <w:rFonts w:ascii="Times New Roman" w:hAnsi="Times New Roman" w:cs="Times New Roman"/>
                <w:b/>
                <w:sz w:val="24"/>
                <w:lang w:val="pt-BR" w:eastAsia="pt-BR" w:bidi="ar-SA"/>
              </w:rPr>
              <w:t>Elandias Bezerra Sousa</w:t>
            </w:r>
          </w:p>
          <w:p w14:paraId="4DBB2E7D" w14:textId="7C3B638C" w:rsidR="0089206B" w:rsidRPr="0089206B" w:rsidRDefault="0089206B" w:rsidP="0089206B">
            <w:pPr>
              <w:pStyle w:val="SemEspaamento"/>
              <w:jc w:val="center"/>
              <w:rPr>
                <w:rFonts w:ascii="Times New Roman" w:hAnsi="Times New Roman" w:cs="Times New Roman"/>
                <w:b/>
                <w:sz w:val="24"/>
                <w:lang w:val="pt-BR" w:eastAsia="pt-BR" w:bidi="ar-SA"/>
              </w:rPr>
            </w:pPr>
            <w:r w:rsidRPr="0089206B">
              <w:rPr>
                <w:rFonts w:ascii="Times New Roman" w:hAnsi="Times New Roman" w:cs="Times New Roman"/>
                <w:b/>
                <w:sz w:val="24"/>
                <w:lang w:val="pt-BR" w:eastAsia="pt-BR" w:bidi="ar-SA"/>
              </w:rPr>
              <w:t>Secretário Municipal de Cultura e Turismo</w:t>
            </w:r>
          </w:p>
          <w:p w14:paraId="0AEAB156" w14:textId="0C0F9B08" w:rsidR="00FF4334" w:rsidRPr="00FF4334" w:rsidRDefault="00FF4334" w:rsidP="0089206B">
            <w:pPr>
              <w:spacing w:line="276" w:lineRule="auto"/>
              <w:jc w:val="center"/>
              <w:rPr>
                <w:rFonts w:ascii="Times New Roman" w:hAnsi="Times New Roman" w:cs="Times New Roman"/>
                <w:sz w:val="24"/>
                <w:szCs w:val="24"/>
              </w:rPr>
            </w:pPr>
          </w:p>
          <w:p w14:paraId="68A1E06B" w14:textId="7BEF97AE" w:rsidR="00FF4334" w:rsidRPr="009A0237" w:rsidRDefault="00FF4334" w:rsidP="00FF4334">
            <w:pPr>
              <w:spacing w:line="276" w:lineRule="auto"/>
              <w:jc w:val="center"/>
              <w:rPr>
                <w:sz w:val="24"/>
                <w:szCs w:val="24"/>
              </w:rPr>
            </w:pPr>
          </w:p>
          <w:p w14:paraId="52738CAE" w14:textId="3B1F6D91" w:rsidR="00FF3B77" w:rsidRPr="00FF3B77" w:rsidRDefault="00FF3B77" w:rsidP="00FF4334">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C564D32" w14:textId="55DC44DD" w:rsidR="009B3867" w:rsidRDefault="009B3867" w:rsidP="00D95F14">
      <w:pPr>
        <w:rPr>
          <w:rFonts w:ascii="Times New Roman" w:eastAsia="Times New Roman" w:hAnsi="Times New Roman" w:cs="Times New Roman"/>
          <w:b/>
          <w:color w:val="000000"/>
          <w:sz w:val="24"/>
          <w:szCs w:val="24"/>
        </w:rPr>
      </w:pPr>
    </w:p>
    <w:p w14:paraId="7E4AB9FC" w14:textId="77777777" w:rsidR="009B3867" w:rsidRDefault="009B3867"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PREFEITURA MUNICIPAL DE GOVERNADOR EDISON LOBÃO-MA</w:t>
      </w:r>
    </w:p>
    <w:p w14:paraId="5303886E" w14:textId="56BDFDCB"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w:t>
      </w:r>
      <w:r w:rsidR="0089206B">
        <w:rPr>
          <w:rFonts w:ascii="Times New Roman" w:eastAsia="Times New Roman" w:hAnsi="Times New Roman" w:cs="Times New Roman"/>
          <w:b/>
          <w:color w:val="000000"/>
          <w:sz w:val="24"/>
          <w:szCs w:val="24"/>
        </w:rPr>
        <w:t>10</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240E7E84"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89206B" w:rsidRPr="0089206B">
        <w:rPr>
          <w:rFonts w:ascii="Times New Roman" w:eastAsia="Times New Roman" w:hAnsi="Times New Roman" w:cs="Times New Roman"/>
          <w:b/>
          <w:bCs/>
          <w:sz w:val="24"/>
          <w:szCs w:val="24"/>
          <w:lang w:val="pt-BR" w:eastAsia="pt-BR" w:bidi="ar-SA"/>
        </w:rPr>
        <w:t>344079.2026.2152-08</w:t>
      </w:r>
      <w:r w:rsidRPr="009B3867">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292129D9"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PREFEITURA MUNICIPAL DE GOVERNADOR EDISON LOBÃO - MA por meio do Secretaria Municipal de</w:t>
      </w:r>
      <w:r w:rsidR="00B45FD8">
        <w:rPr>
          <w:rFonts w:ascii="Times New Roman" w:eastAsia="Times New Roman" w:hAnsi="Times New Roman" w:cs="Times New Roman"/>
          <w:color w:val="000000"/>
          <w:sz w:val="24"/>
          <w:szCs w:val="24"/>
        </w:rPr>
        <w:t xml:space="preserve"> </w:t>
      </w:r>
      <w:r w:rsidR="00B45FD8" w:rsidRPr="00B45FD8">
        <w:rPr>
          <w:rFonts w:ascii="Times New Roman" w:hAnsi="Times New Roman" w:cs="Times New Roman"/>
          <w:sz w:val="24"/>
          <w:lang w:val="pt-BR" w:eastAsia="pt-BR" w:bidi="ar-SA"/>
        </w:rPr>
        <w:t>Cultura e Turismo</w:t>
      </w:r>
      <w:r>
        <w:rPr>
          <w:rFonts w:ascii="Times New Roman" w:eastAsia="Times New Roman" w:hAnsi="Times New Roman" w:cs="Times New Roman"/>
          <w:color w:val="000000"/>
          <w:sz w:val="24"/>
          <w:szCs w:val="24"/>
        </w:rPr>
        <w:t xml:space="preserve"> </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w:t>
      </w:r>
      <w:r w:rsidR="001D68B9">
        <w:rPr>
          <w:rFonts w:ascii="Times New Roman" w:eastAsia="Times New Roman" w:hAnsi="Times New Roman" w:cs="Times New Roman"/>
          <w:color w:val="000000"/>
          <w:sz w:val="24"/>
          <w:szCs w:val="24"/>
        </w:rPr>
        <w:t>Rua João Luís</w:t>
      </w:r>
      <w:r>
        <w:rPr>
          <w:rFonts w:ascii="Times New Roman" w:eastAsia="Times New Roman" w:hAnsi="Times New Roman" w:cs="Times New Roman"/>
          <w:color w:val="000000"/>
          <w:sz w:val="24"/>
          <w:szCs w:val="24"/>
        </w:rPr>
        <w:t xml:space="preserve">,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29BCEB4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89206B">
        <w:rPr>
          <w:rFonts w:ascii="Times New Roman" w:eastAsia="Times New Roman" w:hAnsi="Times New Roman" w:cs="Times New Roman"/>
          <w:color w:val="000000"/>
          <w:sz w:val="24"/>
          <w:szCs w:val="24"/>
        </w:rPr>
        <w:t>31</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89206B">
        <w:rPr>
          <w:rFonts w:ascii="Times New Roman" w:eastAsia="Times New Roman" w:hAnsi="Times New Roman" w:cs="Times New Roman"/>
          <w:color w:val="000000"/>
          <w:sz w:val="24"/>
          <w:szCs w:val="24"/>
        </w:rPr>
        <w:t>7</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89206B">
        <w:rPr>
          <w:rFonts w:ascii="Times New Roman" w:eastAsia="Times New Roman" w:hAnsi="Times New Roman" w:cs="Times New Roman"/>
          <w:color w:val="000000"/>
          <w:sz w:val="24"/>
          <w:szCs w:val="24"/>
        </w:rPr>
        <w:t>14</w:t>
      </w:r>
      <w:r w:rsidR="00E040CE">
        <w:rPr>
          <w:rFonts w:ascii="Times New Roman" w:eastAsia="Times New Roman" w:hAnsi="Times New Roman" w:cs="Times New Roman"/>
          <w:color w:val="000000"/>
          <w:sz w:val="24"/>
          <w:szCs w:val="24"/>
        </w:rPr>
        <w:t>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715122">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61FE3ED8" w:rsidR="005479A7" w:rsidRPr="00B45FD8" w:rsidRDefault="00187902"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4"/>
          <w:szCs w:val="24"/>
        </w:rPr>
        <w:t xml:space="preserve"> </w:t>
      </w:r>
      <w:r w:rsidR="0089206B" w:rsidRPr="0089206B">
        <w:rPr>
          <w:rFonts w:ascii="Times New Roman" w:eastAsia="Times New Roman" w:hAnsi="Times New Roman" w:cs="Times New Roman"/>
          <w:b/>
          <w:sz w:val="24"/>
          <w:szCs w:val="24"/>
          <w:lang w:val="pt-BR" w:eastAsia="pt-BR" w:bidi="ar-SA"/>
        </w:rPr>
        <w:t>Contratação de empresa para aquisição de equipamentos e mobiliário destinados à promoção, ao fortalecimento e ao desenvolvimento das ações culturais executadas pela Secretaria Municipal de Cultura e Turismo do Município de Governador Edison Lobão – MA, conforme o Plano de Aplicação de Recursos da Política Nacional Aldir Blanc (PNAB), Plano de Ação nº 30882120250002-024027</w:t>
      </w:r>
      <w:r w:rsidR="00922619">
        <w:rPr>
          <w:rFonts w:ascii="Times New Roman" w:eastAsia="Times New Roman" w:hAnsi="Times New Roman" w:cs="Times New Roman"/>
          <w:color w:val="000000"/>
          <w:sz w:val="24"/>
          <w:szCs w:val="24"/>
        </w:rPr>
        <w:t xml:space="preserve">, </w:t>
      </w:r>
      <w:r w:rsidR="0089206B" w:rsidRPr="00B45FD8">
        <w:rPr>
          <w:rFonts w:ascii="Times New Roman" w:hAnsi="Times New Roman" w:cs="Times New Roman"/>
          <w:sz w:val="24"/>
        </w:rPr>
        <w:t>conforme condições, quantidades e exigências estabelecidas neste Edital e seus anexos.</w:t>
      </w:r>
    </w:p>
    <w:p w14:paraId="32B2FB9C" w14:textId="4E04C8A9" w:rsidR="00110CC6" w:rsidRPr="00B45FD8" w:rsidRDefault="00B45FD8"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B45FD8">
        <w:rPr>
          <w:rFonts w:ascii="Times New Roman" w:hAnsi="Times New Roman" w:cs="Times New Roman"/>
          <w:sz w:val="24"/>
        </w:rPr>
        <w:t xml:space="preserve">A contratação visa atender às necessidades da Secretaria Municipal de Cultura e Turismo do Município de Governador Edison Lobão – MA, por meio da aquisição de equipamentos e mobiliário destinados ao fortalecimento da infraestrutura cultural, proporcionando melhores condições para a realização de oficinas, cursos, apresentações artísticas, exposições, eventos culturais e demais ações previstas no </w:t>
      </w:r>
      <w:r w:rsidRPr="00B45FD8">
        <w:rPr>
          <w:rFonts w:ascii="Times New Roman" w:hAnsi="Times New Roman" w:cs="Times New Roman"/>
          <w:sz w:val="24"/>
          <w:szCs w:val="24"/>
        </w:rPr>
        <w:t xml:space="preserve">Plano de Aplicação de Recursos da Política Nacional </w:t>
      </w:r>
      <w:proofErr w:type="spellStart"/>
      <w:r w:rsidRPr="00B45FD8">
        <w:rPr>
          <w:rFonts w:ascii="Times New Roman" w:hAnsi="Times New Roman" w:cs="Times New Roman"/>
          <w:sz w:val="24"/>
          <w:szCs w:val="24"/>
        </w:rPr>
        <w:t>Aldir</w:t>
      </w:r>
      <w:proofErr w:type="spellEnd"/>
      <w:r w:rsidRPr="00B45FD8">
        <w:rPr>
          <w:rFonts w:ascii="Times New Roman" w:hAnsi="Times New Roman" w:cs="Times New Roman"/>
          <w:sz w:val="24"/>
          <w:szCs w:val="24"/>
        </w:rPr>
        <w:t xml:space="preserve"> </w:t>
      </w:r>
      <w:proofErr w:type="spellStart"/>
      <w:r w:rsidRPr="00B45FD8">
        <w:rPr>
          <w:rFonts w:ascii="Times New Roman" w:hAnsi="Times New Roman" w:cs="Times New Roman"/>
          <w:sz w:val="24"/>
          <w:szCs w:val="24"/>
        </w:rPr>
        <w:t>Blanc</w:t>
      </w:r>
      <w:proofErr w:type="spellEnd"/>
      <w:r w:rsidRPr="00B45FD8">
        <w:rPr>
          <w:rFonts w:ascii="Times New Roman" w:hAnsi="Times New Roman" w:cs="Times New Roman"/>
          <w:sz w:val="24"/>
          <w:szCs w:val="24"/>
        </w:rPr>
        <w:t xml:space="preserve"> (PNAB), contribuindo para a valorização da cultura local, o fortalecimento das políticas públicas culturais e a adequada aplicação dos recursos públicos.</w:t>
      </w:r>
    </w:p>
    <w:p w14:paraId="51713B5E" w14:textId="7F7BD0F6" w:rsidR="005479A7" w:rsidRDefault="00B45FD8"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t>A licitação será por item, conforme tabela constante do Termo de Referência.</w:t>
      </w:r>
    </w:p>
    <w:p w14:paraId="7FFF6893" w14:textId="69EEF26A" w:rsidR="005479A7" w:rsidRDefault="00B45FD8"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critério de julgamento adotado será o Menor Preço por item, observadas as exigências contidas neste Edital e seus Anexos.</w:t>
      </w:r>
    </w:p>
    <w:p w14:paraId="2E77BB16" w14:textId="77777777" w:rsidR="00E040CE" w:rsidRDefault="00E040CE" w:rsidP="00715122">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2.3. É de responsabilidade do cadastrado conferir a exatidão dos seus dados cadastrais nos Sistemas relacionados no item anterior e mantê-los atualizados junto aos órgãos responsáveis pela informação, devendo proceder, imediatamente, à correção ou à </w:t>
      </w:r>
      <w:r w:rsidRPr="0043145B">
        <w:rPr>
          <w:rFonts w:ascii="Times New Roman" w:eastAsia="Times New Roman" w:hAnsi="Times New Roman" w:cs="Times New Roman"/>
          <w:color w:val="000000"/>
          <w:sz w:val="24"/>
          <w:szCs w:val="24"/>
        </w:rPr>
        <w:lastRenderedPageBreak/>
        <w:t>alteração dos registros tão logo identifique incorreção ou aqueles se tornem desatualizados.</w:t>
      </w:r>
    </w:p>
    <w:p w14:paraId="1BF0906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2.6.1 aquele que não atenda às condições deste Edital e seu(s) anexo(s);</w:t>
      </w:r>
    </w:p>
    <w:p w14:paraId="4F67AAD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2.10. Equiparam-se aos autores do projeto as empresas integrantes do mesmo grupo econômico.</w:t>
      </w:r>
    </w:p>
    <w:p w14:paraId="76ACAE2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2.13. A vedação de que trata o item anterior estende-se a terceiro que auxilie a condução da contratação na qualidade de integrante de equipe de apoio, profissional especializado ou funcionário ou representante de empresa que preste assessoria técnica.</w:t>
      </w:r>
    </w:p>
    <w:p w14:paraId="3A6A1E0B"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3.6. Nos itens em que a participação não for exclusiva para microempresas e empresas de pequeno porte, a assinalação do campo “não” apenas produzirá o efeito de o licitante </w:t>
      </w:r>
      <w:r w:rsidRPr="0043145B">
        <w:rPr>
          <w:rFonts w:ascii="Times New Roman" w:eastAsia="Times New Roman" w:hAnsi="Times New Roman" w:cs="Times New Roman"/>
          <w:color w:val="000000"/>
          <w:sz w:val="24"/>
          <w:szCs w:val="24"/>
        </w:rPr>
        <w:lastRenderedPageBreak/>
        <w:t>não ter direito ao tratamento favorecido previsto na Lei Complementar nº 123, de 2006, mesmo que microempresa, empresa de pequeno porte ou sociedade cooperativa.</w:t>
      </w:r>
    </w:p>
    <w:p w14:paraId="7062805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3.8. Os licitantes poderão retirar ou substituir a proposta até a abertura da sessão pública.</w:t>
      </w:r>
    </w:p>
    <w:p w14:paraId="233B35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0ABB05B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4.7. A apresentação das propostas implica obrigatoriedade do cumprimento das disposições nelas contidas, em conformidade com o que dispõe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2B5B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4.8. O prazo de validade da proposta não será inferior a 60 (sessenta) dias, a contar da data de sua apresentação.</w:t>
      </w:r>
    </w:p>
    <w:p w14:paraId="1E92F06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3B8956B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w:t>
      </w:r>
      <w:r w:rsidR="00271C29">
        <w:rPr>
          <w:rFonts w:ascii="Times New Roman" w:eastAsia="Times New Roman" w:hAnsi="Times New Roman" w:cs="Times New Roman"/>
          <w:color w:val="000000"/>
          <w:sz w:val="24"/>
          <w:szCs w:val="24"/>
        </w:rPr>
        <w:t xml:space="preserve"> unitário do item</w:t>
      </w:r>
      <w:r w:rsidRPr="0043145B">
        <w:rPr>
          <w:rFonts w:ascii="Times New Roman" w:eastAsia="Times New Roman" w:hAnsi="Times New Roman" w:cs="Times New Roman"/>
          <w:color w:val="000000"/>
          <w:sz w:val="24"/>
          <w:szCs w:val="24"/>
        </w:rPr>
        <w:t>.</w:t>
      </w:r>
    </w:p>
    <w:p w14:paraId="6BF6497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F9C139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5.27. No caso de equivalência dos valores apresentados pelas microempresas e empresas de pequeno porte que se encontrem nos intervalos estabelecidos nos subitens </w:t>
      </w:r>
      <w:r w:rsidRPr="0043145B">
        <w:rPr>
          <w:rFonts w:ascii="Times New Roman" w:eastAsia="Times New Roman" w:hAnsi="Times New Roman" w:cs="Times New Roman"/>
          <w:color w:val="000000"/>
          <w:sz w:val="24"/>
          <w:szCs w:val="24"/>
        </w:rPr>
        <w:lastRenderedPageBreak/>
        <w:t>anteriores, será realizado sorteio entre elas para que se identifique aquela que primeiro poderá apresentar melhor oferta.</w:t>
      </w:r>
    </w:p>
    <w:p w14:paraId="63FFD8F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5.29.1. disputa final, hipótese em que os licitantes empatados poderão apresentar nova proposta em ato contínuo à classificação;</w:t>
      </w:r>
    </w:p>
    <w:p w14:paraId="709FCE2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5.29.3. desenvolvimento pelo licitante de ações de equidade entre homens e mulheres no ambiente de trabalho, conforme regulamento;</w:t>
      </w:r>
    </w:p>
    <w:p w14:paraId="3F96588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6FAA979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5.35. O agente de contratação solicitará ao licitante mais bem classificado que, no prazo de </w:t>
      </w:r>
      <w:r w:rsidR="00E95B03">
        <w:rPr>
          <w:rFonts w:ascii="Times New Roman" w:eastAsia="Times New Roman" w:hAnsi="Times New Roman" w:cs="Times New Roman"/>
          <w:color w:val="000000"/>
          <w:sz w:val="24"/>
          <w:szCs w:val="24"/>
        </w:rPr>
        <w:t>1</w:t>
      </w:r>
      <w:r w:rsidRPr="0043145B">
        <w:rPr>
          <w:rFonts w:ascii="Times New Roman" w:eastAsia="Times New Roman" w:hAnsi="Times New Roman" w:cs="Times New Roman"/>
          <w:color w:val="000000"/>
          <w:sz w:val="24"/>
          <w:szCs w:val="24"/>
        </w:rPr>
        <w:t xml:space="preserve"> (</w:t>
      </w:r>
      <w:r w:rsidR="00E95B03">
        <w:rPr>
          <w:rFonts w:ascii="Times New Roman" w:eastAsia="Times New Roman" w:hAnsi="Times New Roman" w:cs="Times New Roman"/>
          <w:color w:val="000000"/>
          <w:sz w:val="24"/>
          <w:szCs w:val="24"/>
        </w:rPr>
        <w:t>uma</w:t>
      </w:r>
      <w:r w:rsidRPr="0043145B">
        <w:rPr>
          <w:rFonts w:ascii="Times New Roman" w:eastAsia="Times New Roman" w:hAnsi="Times New Roman" w:cs="Times New Roman"/>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0D5256D6"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bookmarkStart w:id="1" w:name="_heading=h.fy7e7c1avbmy" w:colFirst="0" w:colLast="0"/>
      <w:bookmarkEnd w:id="1"/>
    </w:p>
    <w:p w14:paraId="0B7D6D34"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152D9701"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6. DA FASE DE JULGAMENTO</w:t>
      </w:r>
    </w:p>
    <w:p w14:paraId="4CBB6697"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6CBDFA" w14:textId="1106CB8C" w:rsidR="0043145B" w:rsidRP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color w:val="000000"/>
          <w:sz w:val="24"/>
          <w:szCs w:val="24"/>
        </w:rPr>
        <w:lastRenderedPageBreak/>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w:t>
      </w:r>
    </w:p>
    <w:p w14:paraId="57C0F25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 Cadastro Nacional de Empresas Inidôneas e Suspensas - CEIS, mantido pela Controladoria-Geral da União (https://www.portaltransparencia.gov.br/sancoes/ceis</w:t>
      </w:r>
    </w:p>
    <w:p w14:paraId="201CE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e</w:t>
      </w:r>
    </w:p>
    <w:p w14:paraId="0FCCCE4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381474D0"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6.13. não obedecer às especificações técnicas contidas no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w:t>
      </w:r>
    </w:p>
    <w:p w14:paraId="0612433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FD4F0C4"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6.26. Caso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xml:space="preserve"> exija a apresentação de amostra, o licitante classificado em primeiro lugar deverá apresentá-la, conforme disciplinado no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sob pena de não aceitação da proposta.</w:t>
      </w:r>
    </w:p>
    <w:p w14:paraId="5CB7D0C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62 a 70 da Lei nº 14.133, de 2021.</w:t>
      </w:r>
    </w:p>
    <w:p w14:paraId="326EDD4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7.11. Os documentos exigidos para habilitação serão enviados por meio do sistema, em formato digital, no prazo de duas horas, prorrogável por igual período, contado da solicitação do agente de contratação.</w:t>
      </w:r>
    </w:p>
    <w:p w14:paraId="1B458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71125372"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7.19. HABILITAÇÃO JURÍDICA</w:t>
      </w:r>
    </w:p>
    <w:p w14:paraId="69AFE1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7.19.1. Pessoa física: cédula de identidade (RG) ou documento equivalente que, por força de lei, tenha validade para fins de identificação em todo o território nacional;</w:t>
      </w:r>
    </w:p>
    <w:p w14:paraId="1B59C2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7.19.2. Empresário individual: inscrição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w:t>
      </w:r>
    </w:p>
    <w:p w14:paraId="5D7689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7.19.3. </w:t>
      </w:r>
      <w:proofErr w:type="spellStart"/>
      <w:proofErr w:type="gram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w:t>
      </w:r>
      <w:proofErr w:type="gramEnd"/>
      <w:r w:rsidRPr="0043145B">
        <w:rPr>
          <w:rFonts w:ascii="Times New Roman" w:eastAsia="Times New Roman" w:hAnsi="Times New Roman" w:cs="Times New Roman"/>
          <w:color w:val="000000"/>
          <w:sz w:val="24"/>
          <w:szCs w:val="24"/>
        </w:rPr>
        <w:t xml:space="preserve"> - MEI: Certificado da Condição de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7.19.4.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w:t>
      </w:r>
      <w:proofErr w:type="gramStart"/>
      <w:r w:rsidRPr="0043145B">
        <w:rPr>
          <w:rFonts w:ascii="Times New Roman" w:eastAsia="Times New Roman" w:hAnsi="Times New Roman" w:cs="Times New Roman"/>
          <w:color w:val="000000"/>
          <w:sz w:val="24"/>
          <w:szCs w:val="24"/>
        </w:rPr>
        <w:t>sede, acompanhada</w:t>
      </w:r>
      <w:proofErr w:type="gramEnd"/>
      <w:r w:rsidRPr="0043145B">
        <w:rPr>
          <w:rFonts w:ascii="Times New Roman" w:eastAsia="Times New Roman" w:hAnsi="Times New Roman" w:cs="Times New Roman"/>
          <w:color w:val="000000"/>
          <w:sz w:val="24"/>
          <w:szCs w:val="24"/>
        </w:rPr>
        <w:t xml:space="preserve"> de documento comprobatório de seus administradores;</w:t>
      </w:r>
    </w:p>
    <w:p w14:paraId="7A80E1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7.19.6. Sociedade simples: inscrição do ato constitutivo no Registro Civil de Pessoas Jurídicas do local de sua sede, acompanhada de documento comprobatório de seus administradores;</w:t>
      </w:r>
    </w:p>
    <w:p w14:paraId="52446B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7.19.7. Filial, sucursal ou agência de sociedade simples ou empresária: inscrição do ato constitutivo da filial, sucursal ou agência da sociedade simples ou empresária, </w:t>
      </w:r>
      <w:proofErr w:type="spellStart"/>
      <w:r w:rsidRPr="0043145B">
        <w:rPr>
          <w:rFonts w:ascii="Times New Roman" w:eastAsia="Times New Roman" w:hAnsi="Times New Roman" w:cs="Times New Roman"/>
          <w:color w:val="000000"/>
          <w:sz w:val="24"/>
          <w:szCs w:val="24"/>
        </w:rPr>
        <w:t>respectivamente</w:t>
      </w:r>
      <w:proofErr w:type="spellEnd"/>
      <w:r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7.19.8. Sociedade cooperativa: ata de fundação e estatuto social, com a ata da assembleia que o aprovou, devidamente arquivado na Junta Comercial ou inscrito no Registro Civil das Pessoas Jurídicas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 além do registro de que trata 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107 da Lei nº 5.764, de 16 de dezembro 1971.</w:t>
      </w:r>
    </w:p>
    <w:p w14:paraId="32189B8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7.19.9. Os documentos apresentados deverão estar acompanhados de todas as alterações.</w:t>
      </w:r>
    </w:p>
    <w:p w14:paraId="75143E7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D18877B"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7.20. HABILITAÇÃO FISCAL, SOCIAL E TRABALHISTA</w:t>
      </w:r>
    </w:p>
    <w:p w14:paraId="456D7E5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7.20.1. Prova de inscrição no Cadastro Nacional de Pessoas Jurídicas ou no Cadastro de Pessoas Físicas, conforme o caso;</w:t>
      </w:r>
    </w:p>
    <w:p w14:paraId="149539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7.20.3. Prova de regularidade com o Fundo de Garantia do Tempo de Serviço (FGTS);</w:t>
      </w:r>
    </w:p>
    <w:p w14:paraId="525BC33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7.20.5. Prova de inscrição no cadastro de contribuintes Estadual e Municipal relativo ao domicílio ou sede do fornecedor, pertinente ao seu ramo de atividade e compatível com o objeto contratual;</w:t>
      </w:r>
    </w:p>
    <w:p w14:paraId="18B075F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7.20.6. Prova de regularidade com a Fazenda Estadual e Municipal do domicílio ou sede do fornecedor, relativa à atividade em cujo exercício contrata ou concorre;</w:t>
      </w:r>
    </w:p>
    <w:p w14:paraId="44AADDB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7.20.7. Caso o fornecedor seja considerado isento dos tributos Estadual e Municipal relacionados ao objeto contratual, deverá comprovar tal condição mediante a apresentação de declaração da Fazenda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7.20.8. O fornecedor enquadrado como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48E966C6"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7.21. QUALIFICAÇÃO ECONÔMICO-FINANCEIRA</w:t>
      </w:r>
    </w:p>
    <w:p w14:paraId="53A91E5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69, inciso I da Lei 14.133/2021, comprovando;</w:t>
      </w:r>
    </w:p>
    <w:p w14:paraId="3E97E1D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7.21.3. índices de Liquidez Geral (LG), Liquidez Corrente (LC), e Solvência Geral (SG) superiores a 1 (um);</w:t>
      </w:r>
    </w:p>
    <w:p w14:paraId="63C04E9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7.21.4. As empresas criadas no exercício financeiro da licitação deverão atender a todas as exigências da habilitação e poderão substituir os demonstrativos contábeis pelo balanço de abertura.</w:t>
      </w:r>
    </w:p>
    <w:p w14:paraId="63950F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7.21.5. Os documentos referidos acima limitar-se-ão ao último exercício no caso de a pessoa jurídica ter sido constituída há menos de 2 (dois) anos;</w:t>
      </w:r>
    </w:p>
    <w:p w14:paraId="6875889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7.21.6. Os documentos referidos acima deverão ser exigidos com base no limite definido pela Receita Federal do Brasil para transmissão da Escrituração Contábil Digital - ECD ao </w:t>
      </w:r>
      <w:proofErr w:type="spellStart"/>
      <w:r w:rsidRPr="0043145B">
        <w:rPr>
          <w:rFonts w:ascii="Times New Roman" w:eastAsia="Times New Roman" w:hAnsi="Times New Roman" w:cs="Times New Roman"/>
          <w:color w:val="000000"/>
          <w:sz w:val="24"/>
          <w:szCs w:val="24"/>
        </w:rPr>
        <w:t>Sped</w:t>
      </w:r>
      <w:proofErr w:type="spellEnd"/>
      <w:r w:rsidRPr="0043145B">
        <w:rPr>
          <w:rFonts w:ascii="Times New Roman" w:eastAsia="Times New Roman" w:hAnsi="Times New Roman" w:cs="Times New Roman"/>
          <w:color w:val="000000"/>
          <w:sz w:val="24"/>
          <w:szCs w:val="24"/>
        </w:rPr>
        <w:t>.</w:t>
      </w:r>
    </w:p>
    <w:p w14:paraId="00052FD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7.21.8. As empresas criadas no exercício financeiro da licitação deverão atender a todas as exigências da habilitação e poderão substituir os demonstrativos contábeis pelo balanço de abertura. (Lei nº 14.133, de 2021,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39F7F73"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7.22. QUALIFICAÇÃO TÉCNICA</w:t>
      </w:r>
    </w:p>
    <w:p w14:paraId="25DEFFA5" w14:textId="77777777" w:rsidR="00E95B03" w:rsidRPr="00E95B03" w:rsidRDefault="0043145B" w:rsidP="00E95B03">
      <w:pPr>
        <w:spacing w:line="276" w:lineRule="auto"/>
        <w:ind w:left="284" w:right="-5"/>
        <w:jc w:val="both"/>
        <w:rPr>
          <w:rFonts w:ascii="Times New Roman" w:hAnsi="Times New Roman" w:cs="Times New Roman"/>
          <w:b/>
          <w:bCs/>
          <w:color w:val="000000"/>
          <w:sz w:val="24"/>
          <w:szCs w:val="24"/>
        </w:rPr>
      </w:pPr>
      <w:r w:rsidRPr="00E95B03">
        <w:rPr>
          <w:rFonts w:ascii="Times New Roman" w:eastAsia="Times New Roman" w:hAnsi="Times New Roman" w:cs="Times New Roman"/>
          <w:color w:val="000000"/>
          <w:sz w:val="24"/>
          <w:szCs w:val="24"/>
        </w:rPr>
        <w:t xml:space="preserve">7.22.1. </w:t>
      </w:r>
      <w:r w:rsidR="00E95B03" w:rsidRPr="00E95B03">
        <w:rPr>
          <w:rFonts w:ascii="Times New Roman" w:hAnsi="Times New Roman" w:cs="Times New Roman"/>
          <w:color w:val="000000"/>
          <w:sz w:val="24"/>
          <w:szCs w:val="24"/>
        </w:rPr>
        <w:t>A licitante deverá comprovar sua capacidade técnica por meio da apresentação de, no mínimo, 1 (um) atestado ou declaração de capacidade técnica, emitido por pessoa jurídica de direito público ou privado, que comprove ter fornecido bens compatíveis com o objeto desta licitação, especialmente veículos automotores ou bens similares, em condições satisfatórias de entrega e cumprimento contratual.</w:t>
      </w:r>
    </w:p>
    <w:p w14:paraId="77021150" w14:textId="1BAB7B6D"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7.22.2. </w:t>
      </w:r>
      <w:r w:rsidRPr="00E95B03">
        <w:rPr>
          <w:rFonts w:ascii="Times New Roman" w:hAnsi="Times New Roman" w:cs="Times New Roman"/>
          <w:color w:val="000000"/>
          <w:sz w:val="24"/>
          <w:szCs w:val="24"/>
        </w:rPr>
        <w:t>O(s) atestado(s) ou declaração(</w:t>
      </w:r>
      <w:proofErr w:type="spellStart"/>
      <w:r w:rsidRPr="00E95B03">
        <w:rPr>
          <w:rFonts w:ascii="Times New Roman" w:hAnsi="Times New Roman" w:cs="Times New Roman"/>
          <w:color w:val="000000"/>
          <w:sz w:val="24"/>
          <w:szCs w:val="24"/>
        </w:rPr>
        <w:t>ões</w:t>
      </w:r>
      <w:proofErr w:type="spellEnd"/>
      <w:r w:rsidRPr="00E95B03">
        <w:rPr>
          <w:rFonts w:ascii="Times New Roman" w:hAnsi="Times New Roman" w:cs="Times New Roman"/>
          <w:color w:val="000000"/>
          <w:sz w:val="24"/>
          <w:szCs w:val="24"/>
        </w:rPr>
        <w:t>) de capacidade técnica deverá(</w:t>
      </w:r>
      <w:proofErr w:type="spellStart"/>
      <w:r w:rsidRPr="00E95B03">
        <w:rPr>
          <w:rFonts w:ascii="Times New Roman" w:hAnsi="Times New Roman" w:cs="Times New Roman"/>
          <w:color w:val="000000"/>
          <w:sz w:val="24"/>
          <w:szCs w:val="24"/>
        </w:rPr>
        <w:t>ão</w:t>
      </w:r>
      <w:proofErr w:type="spellEnd"/>
      <w:r w:rsidRPr="00E95B03">
        <w:rPr>
          <w:rFonts w:ascii="Times New Roman" w:hAnsi="Times New Roman" w:cs="Times New Roman"/>
          <w:color w:val="000000"/>
          <w:sz w:val="24"/>
          <w:szCs w:val="24"/>
        </w:rPr>
        <w:t>) conter, no mínimo, a identificação do contratante, descrição do objeto fornecido, período de fornecimento e informação quanto ao cumprimento satisfatório da obrigação contratual.</w:t>
      </w:r>
    </w:p>
    <w:p w14:paraId="255F28FE" w14:textId="405108E9"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7.22.3.</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Será admitida a apresentação de mais de um atestado, desde que comprovem, em conjunto, a experiência da licitante no fornecimento de bens compatíveis com o objeto desta licitação.</w:t>
      </w:r>
    </w:p>
    <w:p w14:paraId="4EB466B9" w14:textId="5A12E650"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7.22.4</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 xml:space="preserve">A licitante deverá comprovar que possui atividade econômica compatível com </w:t>
      </w:r>
      <w:r w:rsidRPr="00E95B03">
        <w:rPr>
          <w:rFonts w:ascii="Times New Roman" w:hAnsi="Times New Roman" w:cs="Times New Roman"/>
          <w:color w:val="000000"/>
          <w:sz w:val="24"/>
          <w:szCs w:val="24"/>
        </w:rPr>
        <w:lastRenderedPageBreak/>
        <w:t>o objeto da licitação, mediante apresentação de documento constitutivo (contrato social ou equivalente), com previsão de fornecimento de veículos ou bens correlatos.</w:t>
      </w:r>
    </w:p>
    <w:p w14:paraId="79D5A7DC" w14:textId="4BD4DADE"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7.22.5</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Poderá ser solicitada a apresentação de catálogos, fichas técnicas ou documentos equivalentes dos veículos ofertados, exclusivamente para fins de verificação de conformidade com as especificações do Termo de Referência.</w:t>
      </w:r>
    </w:p>
    <w:p w14:paraId="1495AF44" w14:textId="40429134"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7.22.6</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A Administração poderá realizar diligências para verificar a autenticidade e veracidade das informações e documentos apresentados, junto às entidades emissoras ou órgãos competentes, nos termos da legislação vigente.</w:t>
      </w:r>
    </w:p>
    <w:p w14:paraId="5E9497A9" w14:textId="77777777" w:rsidR="00715122" w:rsidRDefault="00715122" w:rsidP="00715122">
      <w:pPr>
        <w:spacing w:line="276" w:lineRule="auto"/>
        <w:ind w:left="284" w:right="-5"/>
        <w:jc w:val="both"/>
        <w:rPr>
          <w:rFonts w:ascii="Times New Roman" w:eastAsia="Times New Roman" w:hAnsi="Times New Roman" w:cs="Times New Roman"/>
          <w:b/>
          <w:color w:val="000000"/>
          <w:sz w:val="24"/>
          <w:szCs w:val="24"/>
        </w:rPr>
      </w:pPr>
    </w:p>
    <w:p w14:paraId="3770C8FD"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b/>
          <w:color w:val="000000"/>
          <w:sz w:val="24"/>
          <w:szCs w:val="24"/>
        </w:rPr>
        <w:t>7.23. DISPOSIÇÕES GERAIS DA HABILITAÇÃO</w:t>
      </w:r>
    </w:p>
    <w:p w14:paraId="07775EA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74CF556B"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7.23.2. Todos os documentos expedidos pela empresa deverão estar subscritos por seu representante legal ou procurador, com identificação clara do subscritor;</w:t>
      </w:r>
    </w:p>
    <w:p w14:paraId="41DFAC5A"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7.23.3. Os documentos emitidos via Internet serão conferidos pelo Pregoeiro ou sua equipe de apoio;</w:t>
      </w:r>
    </w:p>
    <w:p w14:paraId="05A27585"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218214C"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7.23.5. Caso a licitante pretenda que um de seus estabelecimentos, que não o participante desta licitação, execute o futuro contrato, deverá apresentar toda documentação de habilitação de ambos os estabelecimentos.</w:t>
      </w:r>
    </w:p>
    <w:p w14:paraId="2E80233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 xml:space="preserve">7.23.6. Todo e qualquer documento apresentado em língua estrangeira deverá estar acompanhado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tradução para o idioma pátrio, feita por tradutor público juramentado;</w:t>
      </w:r>
    </w:p>
    <w:p w14:paraId="3F6C7D53" w14:textId="757F44D2" w:rsidR="0043145B" w:rsidRP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7.23.7. Não serão aceitos documentos cujas datas e caracteres estejam ilegíveis ou rasurados de tal forma que não possam ser entendidos;</w:t>
      </w:r>
    </w:p>
    <w:p w14:paraId="4010BA5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7.23.8. Os documentos exigidos para habilitação não poderão, em hipótese alguma, ser substituídos por protocolos, que apenas configurem o seu requerimento, não podendo, ainda, ser remetidos posteriormente ao prazo fixado.</w:t>
      </w:r>
    </w:p>
    <w:p w14:paraId="5CC93F4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F7BD32" w14:textId="487C9EEC"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9. DOS RECURSOS</w:t>
      </w:r>
    </w:p>
    <w:p w14:paraId="26221B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9.1. A interposição de recurso referente ao julgamento das propostas, à habilitação ou inabilitação de licitantes, à anulação ou revogação da licitação, observará o disposto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165 da Lei nº 14.133, de 2021.</w:t>
      </w:r>
    </w:p>
    <w:p w14:paraId="05926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9.2. O prazo </w:t>
      </w:r>
      <w:proofErr w:type="spellStart"/>
      <w:r w:rsidRPr="0043145B">
        <w:rPr>
          <w:rFonts w:ascii="Times New Roman" w:eastAsia="Times New Roman" w:hAnsi="Times New Roman" w:cs="Times New Roman"/>
          <w:color w:val="000000"/>
          <w:sz w:val="24"/>
          <w:szCs w:val="24"/>
        </w:rPr>
        <w:t>recursal</w:t>
      </w:r>
      <w:proofErr w:type="spellEnd"/>
      <w:r w:rsidRPr="0043145B">
        <w:rPr>
          <w:rFonts w:ascii="Times New Roman" w:eastAsia="Times New Roman" w:hAnsi="Times New Roman" w:cs="Times New Roman"/>
          <w:color w:val="000000"/>
          <w:sz w:val="24"/>
          <w:szCs w:val="24"/>
        </w:rPr>
        <w:t xml:space="preserve"> é de 3 (três) dias úteis, contados da data de intimação ou de lavratura da ata.</w:t>
      </w:r>
    </w:p>
    <w:p w14:paraId="5C7C288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 Quando o recurso apresentado impugnar o julgamento das propostas ou o ato de habilitação ou inabilitação do licitante:</w:t>
      </w:r>
    </w:p>
    <w:p w14:paraId="222B31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9.3.1. a intenção de recorrer deverá ser manifestada imediatamente, sob pena de preclusão;</w:t>
      </w:r>
    </w:p>
    <w:p w14:paraId="6E0BB5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9.3.2. o prazo para a manifestação da intenção de recorrer não será inferior a 10 (dez) minutos.</w:t>
      </w:r>
    </w:p>
    <w:p w14:paraId="52432F6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9.4. O prazo para apresentação das razões recursais será iniciado na data de intimação ou de lavratura da ata de habilitação ou inabilitação;</w:t>
      </w:r>
    </w:p>
    <w:p w14:paraId="767FA8A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9.5. Na hipótese de adoção da inversão de fases prevista no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17 da Lei nº 14.133, de 2021, o prazo para apresentação das razões recursais será iniciado na data de intimação da ata de julgamento.</w:t>
      </w:r>
    </w:p>
    <w:p w14:paraId="1A7563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9.6. Os recursos deverão ser encaminhados em campo próprio do sistema.</w:t>
      </w:r>
    </w:p>
    <w:p w14:paraId="248899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821C1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9.8. Os recursos interpostos fora do prazo não serão conhecidos.</w:t>
      </w:r>
    </w:p>
    <w:p w14:paraId="457CF33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8BD3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9.10. O recurso e o pedido de reconsideração terão efeito suspensivo do ato ou da decisão recorrida até que sobrevenha decisão final da autoridade competente.</w:t>
      </w:r>
    </w:p>
    <w:p w14:paraId="403D06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9.11. O acolhimento do recurso invalida tão somente os atos insuscetíveis de aproveitamento.</w:t>
      </w:r>
    </w:p>
    <w:p w14:paraId="003311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9.12. Os autos do processo permanecerão com vista franqueada aos interessados no sítio eletrônico https://transparencia.governadoredisonlobao.ma.gov.br/licitacoes</w:t>
      </w:r>
    </w:p>
    <w:p w14:paraId="4233F169" w14:textId="2E9E2423" w:rsid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3DD0F1C" w14:textId="52996815" w:rsidR="00A21B28"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3ACF55" w14:textId="77777777" w:rsidR="00A21B28" w:rsidRPr="0043145B"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C117A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10. DAS INFRAÇÕES ADMINISTRATIVAS E SANÇÕES</w:t>
      </w:r>
    </w:p>
    <w:p w14:paraId="53B5F12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5F0826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 Comete infração administrativa, nos termos da lei, o licitante que, com dolo ou culpa:</w:t>
      </w:r>
    </w:p>
    <w:p w14:paraId="76C7E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10.2. deixar de entregar a documentação exigida para o certame ou não entregar qualquer documento que tenha sido solicitado pelo agente de contratação durante o certame;</w:t>
      </w:r>
    </w:p>
    <w:p w14:paraId="6DF260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 salvo em decorrência de fato superveniente devidamente justificado, não mantiver a proposta, em especial quando:</w:t>
      </w:r>
    </w:p>
    <w:p w14:paraId="0672784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10.3.1. não enviar a proposta adequada ao último lance ofertado ou após a negociação;</w:t>
      </w:r>
    </w:p>
    <w:p w14:paraId="707D09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10.3.2. recusar-se a enviar o detalhamento da proposta quando exigível;</w:t>
      </w:r>
    </w:p>
    <w:p w14:paraId="07E7CE3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10.3.3. pedir para ser desclassificado quando encerrada a etapa competitiva; ou</w:t>
      </w:r>
    </w:p>
    <w:p w14:paraId="62DEF4B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10.3.4. deixar de apresentar amostra;</w:t>
      </w:r>
    </w:p>
    <w:p w14:paraId="1E5ED71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10.4. apresentar proposta ou amostra em desacordo com as especificações do edital;</w:t>
      </w:r>
    </w:p>
    <w:p w14:paraId="376D5EB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10.5. não celebrar o contrato ou não entregar a documentação exigida para a contratação, quando convocado dentro do prazo de validade de sua proposta;</w:t>
      </w:r>
    </w:p>
    <w:p w14:paraId="79D6C35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10.6. recusar-se, sem justificativa, a assinar o contrato, ou a aceitar ou retirar o instrumento equivalente no prazo estabelecido pela Administração;</w:t>
      </w:r>
    </w:p>
    <w:p w14:paraId="3F115B1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 apresentar declaração ou documentação falsa exigida para o certame ou prestar declaração falsa durante a licitação, fraudar a licitação, comportar-se de modo inidôneo ou cometer fraude de qualquer natureza, em especial quando:</w:t>
      </w:r>
    </w:p>
    <w:p w14:paraId="17E063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10.7.1. agir em conluio ou em desconformidade com a lei;</w:t>
      </w:r>
    </w:p>
    <w:p w14:paraId="1664CF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10.7.2. induzir deliberadamente a erro no julgamento;</w:t>
      </w:r>
    </w:p>
    <w:p w14:paraId="34860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10.7.3. apresentar amostra falsificada ou deteriorada;</w:t>
      </w:r>
    </w:p>
    <w:p w14:paraId="15986B1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10.8. praticar atos ilícitos com vistas a frustrar os objetivos da licitação;</w:t>
      </w:r>
    </w:p>
    <w:p w14:paraId="1351775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10.9. praticar ato lesivo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Lei n.º 12.846, de 2013.</w:t>
      </w:r>
    </w:p>
    <w:p w14:paraId="375B6B7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 Com fulcro na Lei nº 14.133, de 2021, a Administração poderá, garantida a prévia defesa, aplicar aos licitantes e/ou adjudicatários as seguintes sanções, sem prejuízo das responsabilidades civil e criminal:</w:t>
      </w:r>
    </w:p>
    <w:p w14:paraId="4935A2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10.10.1. advertência;</w:t>
      </w:r>
    </w:p>
    <w:p w14:paraId="2996719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10.10.2. multa;</w:t>
      </w:r>
    </w:p>
    <w:p w14:paraId="0B906F6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10.10.3. impedimento de licitar e contratar; e</w:t>
      </w:r>
    </w:p>
    <w:p w14:paraId="3F0F33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10.10.4.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452D7D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 Na aplicação das sanções serão considerados:</w:t>
      </w:r>
    </w:p>
    <w:p w14:paraId="7D23706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10.11.1. a natureza e a gravidade da infração cometida;</w:t>
      </w:r>
    </w:p>
    <w:p w14:paraId="539B21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10.11.2. as peculiaridades do caso concreto;</w:t>
      </w:r>
    </w:p>
    <w:p w14:paraId="015F9F3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10.11.3. as circunstâncias agravantes ou atenuantes;</w:t>
      </w:r>
    </w:p>
    <w:p w14:paraId="4C6A967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10.11.4. os danos que dela provierem para a Administração Pública;</w:t>
      </w:r>
    </w:p>
    <w:p w14:paraId="301ACBD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10.11.5. a implantação ou o aperfeiçoamento de programa de integridade, conforme normas e orientações dos órgãos de controle.</w:t>
      </w:r>
    </w:p>
    <w:p w14:paraId="0F09D08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10.12. A multa será recolhida em percentual de 0,5% a 30% incidente sobre o valor do contrato licitado, recolhida no prazo máximo de 30 (trinta) dias úteis, a contar da comunicação oficial.</w:t>
      </w:r>
    </w:p>
    <w:p w14:paraId="0692202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10.13. As sanções de advertência, impedimento de licitar e contratar 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2EE7CF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10.14. Na aplicação da sanção de multa será facultada a defesa do interessado no prazo de 15 (quinze) dias úteis, contado da data de sua intimação.</w:t>
      </w:r>
    </w:p>
    <w:p w14:paraId="0DFE4A7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10.15. A apuração de responsabilidade relacionadas às sanções de impedimento de licitar e contratar e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7B61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5AC3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10.17. Caberá a apresentação de pedido de reconsideração da aplicação da sanção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13FF7F5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10.18. O recurso e o pedido de reconsideração terão efeito suspensivo do ato ou da decisão recorrida até que sobrevenha decisão final da autoridade competente.</w:t>
      </w:r>
    </w:p>
    <w:p w14:paraId="4BC480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10.19. A aplicação das sanções previstas neste edital não exclui, em hipótese alguma, a obrigação de reparação integral dos danos causados.</w:t>
      </w:r>
    </w:p>
    <w:p w14:paraId="4C817C5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7C7C52AD"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11. DA IMPUGNAÇÃO AO EDITAL E DO PEDIDO DE ESCLARECIMENTO</w:t>
      </w:r>
    </w:p>
    <w:p w14:paraId="2DA6380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11.2. A resposta à impugnação ou ao pedido de esclarecimento será divulgada em sítio eletrônico oficial no prazo de até 3 (três) dias úteis, limitado ao último dia útil anterior à data da abertura do certame.</w:t>
      </w:r>
    </w:p>
    <w:p w14:paraId="339935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11.3. A impugnação e o pedido de esclarecimento poderão ser realizados por forma eletrônica, pelo seguinte e-mail: cplribeiraozinho2025.2028@gmail.com</w:t>
      </w:r>
    </w:p>
    <w:p w14:paraId="179B204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11.4. As impugnações e pedidos de esclarecimentos não suspendem os prazos previstos no certame.</w:t>
      </w:r>
    </w:p>
    <w:p w14:paraId="3464084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0530EAB1"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11.6. Acolhida a impugnação, será definida e publicada nova data para a realização do certame.</w:t>
      </w:r>
    </w:p>
    <w:p w14:paraId="0DC924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12. DAS DISPOSIÇÕES GERAIS</w:t>
      </w:r>
    </w:p>
    <w:p w14:paraId="3110A02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 Será divulgada ata da sessão pública no sistema eletrônico.</w:t>
      </w:r>
    </w:p>
    <w:p w14:paraId="4EBCD6E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12.3. Todas as referências de tempo no Edital, no aviso e durante a sessão pública observarão o horário de Brasília - DF.</w:t>
      </w:r>
    </w:p>
    <w:p w14:paraId="45832F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12.4. A homologação do resultado desta licitação não implicará direito à contratação.</w:t>
      </w:r>
    </w:p>
    <w:p w14:paraId="54CB3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A970D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12.7. Na contagem dos prazos estabelecidos neste Edital e seus Anexos, excluir-se-á o dia do início e incluir-se-á o do vencimento. Só se iniciam e vencem os prazos em dias de expediente na Administração.</w:t>
      </w:r>
    </w:p>
    <w:p w14:paraId="7FF26F5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12.8. O desatendimento de exigências formais não essenciais não importará o afastamento do licitante, desde que seja possível o aproveitamento do ato, observados os princípios da isonomia e do interesse público.</w:t>
      </w:r>
    </w:p>
    <w:p w14:paraId="12A7447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12.9. Em caso de divergência entre disposições deste Edital e de seus anexos ou demais peças que compõem o processo, prevalecerão as deste Edital.</w:t>
      </w:r>
    </w:p>
    <w:p w14:paraId="35FB331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12.10. O Edital e seus anexos estão disponíveis, na íntegra, no Portal Nacional de Contratações Públicas (PNCP) no endereço eletrônico https://pncp.gov.br/app/editais</w:t>
      </w:r>
    </w:p>
    <w:p w14:paraId="228AE07D" w14:textId="5A730A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 Integram este Edital, para todos os fins e efeitos, os seguintes anexos:</w:t>
      </w:r>
    </w:p>
    <w:p w14:paraId="6AFAE23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12.11.1. ANEXO I – Termo de Referência</w:t>
      </w:r>
    </w:p>
    <w:p w14:paraId="3B0B7FE3" w14:textId="35C5A523" w:rsidR="005479A7"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2" w:name="_Hlk214960627"/>
    </w:p>
    <w:p w14:paraId="4335F76A" w14:textId="1197E66C"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CD0605">
        <w:rPr>
          <w:rFonts w:ascii="Times New Roman" w:eastAsia="Times New Roman" w:hAnsi="Times New Roman" w:cs="Times New Roman"/>
          <w:b/>
          <w:color w:val="000000"/>
          <w:sz w:val="24"/>
          <w:szCs w:val="24"/>
        </w:rPr>
        <w:t>16</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CD0605">
        <w:rPr>
          <w:rFonts w:ascii="Times New Roman" w:eastAsia="Times New Roman" w:hAnsi="Times New Roman" w:cs="Times New Roman"/>
          <w:color w:val="000000"/>
          <w:sz w:val="24"/>
          <w:szCs w:val="24"/>
        </w:rPr>
        <w:t>julho</w:t>
      </w:r>
      <w:r w:rsidR="001B533D">
        <w:rPr>
          <w:rFonts w:ascii="Times New Roman" w:eastAsia="Times New Roman" w:hAnsi="Times New Roman" w:cs="Times New Roman"/>
          <w:color w:val="000000"/>
          <w:sz w:val="24"/>
          <w:szCs w:val="24"/>
        </w:rPr>
        <w:t xml:space="preserve"> de</w:t>
      </w:r>
      <w:r w:rsidR="00A10672">
        <w:rPr>
          <w:rFonts w:ascii="Times New Roman" w:eastAsia="Times New Roman" w:hAnsi="Times New Roman" w:cs="Times New Roman"/>
          <w:color w:val="000000"/>
          <w:sz w:val="24"/>
          <w:szCs w:val="24"/>
        </w:rPr>
        <w:t xml:space="preserve"> 202</w:t>
      </w:r>
      <w:bookmarkEnd w:id="2"/>
      <w:r w:rsidR="00284B60">
        <w:rPr>
          <w:rFonts w:ascii="Times New Roman" w:eastAsia="Times New Roman" w:hAnsi="Times New Roman" w:cs="Times New Roman"/>
          <w:color w:val="000000"/>
          <w:sz w:val="24"/>
          <w:szCs w:val="24"/>
        </w:rPr>
        <w:t>6</w:t>
      </w:r>
    </w:p>
    <w:p w14:paraId="1D158F8D" w14:textId="79758546" w:rsidR="005479A7" w:rsidRDefault="005479A7">
      <w:pPr>
        <w:rPr>
          <w:rFonts w:ascii="Times New Roman" w:eastAsia="Times New Roman" w:hAnsi="Times New Roman" w:cs="Times New Roman"/>
          <w:color w:val="000000"/>
          <w:sz w:val="24"/>
          <w:szCs w:val="24"/>
        </w:rPr>
      </w:pPr>
    </w:p>
    <w:p w14:paraId="2C86B6A8" w14:textId="471A17FC" w:rsidR="00CD0605" w:rsidRDefault="00CD0605">
      <w:pPr>
        <w:rPr>
          <w:rFonts w:ascii="Times New Roman" w:eastAsia="Times New Roman" w:hAnsi="Times New Roman" w:cs="Times New Roman"/>
          <w:color w:val="000000"/>
          <w:sz w:val="24"/>
          <w:szCs w:val="24"/>
        </w:rPr>
      </w:pPr>
    </w:p>
    <w:p w14:paraId="4F16E6ED" w14:textId="3CA5FDC5" w:rsidR="00CD0605" w:rsidRDefault="00CD0605">
      <w:pPr>
        <w:rPr>
          <w:rFonts w:ascii="Times New Roman" w:eastAsia="Times New Roman" w:hAnsi="Times New Roman" w:cs="Times New Roman"/>
          <w:color w:val="000000"/>
          <w:sz w:val="24"/>
          <w:szCs w:val="24"/>
        </w:rPr>
      </w:pPr>
    </w:p>
    <w:p w14:paraId="47054914" w14:textId="77777777" w:rsidR="00CD0605" w:rsidRDefault="00CD0605">
      <w:pPr>
        <w:rPr>
          <w:rFonts w:ascii="Times New Roman" w:eastAsia="Times New Roman" w:hAnsi="Times New Roman" w:cs="Times New Roman"/>
          <w:color w:val="000000"/>
          <w:sz w:val="24"/>
          <w:szCs w:val="24"/>
        </w:rPr>
      </w:pPr>
    </w:p>
    <w:p w14:paraId="0B6F7ECD" w14:textId="77777777" w:rsidR="00CD0605" w:rsidRPr="0089206B" w:rsidRDefault="00CD0605" w:rsidP="00CD0605">
      <w:pPr>
        <w:pStyle w:val="SemEspaamento"/>
        <w:jc w:val="center"/>
        <w:rPr>
          <w:rFonts w:ascii="Times New Roman" w:hAnsi="Times New Roman" w:cs="Times New Roman"/>
          <w:b/>
          <w:sz w:val="24"/>
          <w:lang w:val="pt-BR" w:eastAsia="pt-BR" w:bidi="ar-SA"/>
        </w:rPr>
      </w:pPr>
      <w:bookmarkStart w:id="3" w:name="_heading=h.6yail619483v" w:colFirst="0" w:colLast="0"/>
      <w:bookmarkEnd w:id="3"/>
      <w:r w:rsidRPr="0089206B">
        <w:rPr>
          <w:rFonts w:ascii="Times New Roman" w:hAnsi="Times New Roman" w:cs="Times New Roman"/>
          <w:b/>
          <w:sz w:val="24"/>
          <w:lang w:val="pt-BR" w:eastAsia="pt-BR" w:bidi="ar-SA"/>
        </w:rPr>
        <w:t>Elandias Bezerra Sousa</w:t>
      </w:r>
    </w:p>
    <w:p w14:paraId="4F602F7A" w14:textId="77777777" w:rsidR="00CD0605" w:rsidRPr="0089206B" w:rsidRDefault="00CD0605" w:rsidP="00CD0605">
      <w:pPr>
        <w:pStyle w:val="SemEspaamento"/>
        <w:jc w:val="center"/>
        <w:rPr>
          <w:rFonts w:ascii="Times New Roman" w:hAnsi="Times New Roman" w:cs="Times New Roman"/>
          <w:b/>
          <w:sz w:val="24"/>
          <w:lang w:val="pt-BR" w:eastAsia="pt-BR" w:bidi="ar-SA"/>
        </w:rPr>
      </w:pPr>
      <w:r w:rsidRPr="0089206B">
        <w:rPr>
          <w:rFonts w:ascii="Times New Roman" w:hAnsi="Times New Roman" w:cs="Times New Roman"/>
          <w:b/>
          <w:sz w:val="24"/>
          <w:lang w:val="pt-BR" w:eastAsia="pt-BR" w:bidi="ar-SA"/>
        </w:rPr>
        <w:t>Secretário Municipal de Cultura e Turismo</w:t>
      </w:r>
    </w:p>
    <w:p w14:paraId="380A2D38" w14:textId="77777777" w:rsidR="00CD0605" w:rsidRPr="00FF4334" w:rsidRDefault="00CD0605" w:rsidP="00CD0605">
      <w:pPr>
        <w:spacing w:line="276" w:lineRule="auto"/>
        <w:jc w:val="center"/>
        <w:rPr>
          <w:rFonts w:ascii="Times New Roman" w:hAnsi="Times New Roman" w:cs="Times New Roman"/>
          <w:sz w:val="24"/>
          <w:szCs w:val="24"/>
        </w:rPr>
      </w:pPr>
    </w:p>
    <w:p w14:paraId="5F1F20BC" w14:textId="51337ADB" w:rsidR="00596D38" w:rsidRDefault="00596D38" w:rsidP="00690CDB">
      <w:pPr>
        <w:spacing w:line="276" w:lineRule="auto"/>
        <w:jc w:val="center"/>
        <w:rPr>
          <w:rFonts w:ascii="Times New Roman" w:hAnsi="Times New Roman" w:cs="Times New Roman"/>
          <w:b/>
          <w:bCs/>
          <w:sz w:val="24"/>
          <w:szCs w:val="24"/>
        </w:rPr>
      </w:pP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30D16E4A"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6D80E78B" w14:textId="053FB776"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86DD5FF" w14:textId="28B79751"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634C5AF" w14:textId="51909A72"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381F962" w14:textId="1C48E2A5"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32B96B4" w14:textId="2A414B29"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5ED4095" w14:textId="19D3620F"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D658954" w14:textId="1B5237FB"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C3A5134" w14:textId="244A1A80"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9E75579" w14:textId="4AC6ECE8"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C7B53FA" w14:textId="3251738A"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9CA472D" w14:textId="60198594"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E265EE6" w14:textId="3113791E"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31A4C63" w14:textId="01A6D07D"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798FC09" w14:textId="4309E10D"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6D0B97CC" w14:textId="70CB5269"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325762A" w14:textId="0F32F204"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07B453E" w14:textId="041C216F"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63B64DC" w14:textId="6F9914F9"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EC6987B" w14:textId="03D482A0"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AA3E2BC" w14:textId="4C3DF906"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08733E6" w14:textId="77777777"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4592702" w14:textId="0B3A4AE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5824DB" w14:textId="0E8AD47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053962" w14:textId="06775D3D"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C40B1B9" w14:textId="48EEC166"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A7E52EE" w14:textId="2B40250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D8D8E7" w14:textId="5805F69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1822C2D" w14:textId="77777777" w:rsidR="005479A7" w:rsidRDefault="005479A7" w:rsidP="006F6973">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C1D2DB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0E6F1C9"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6517CE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C6F6B0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CD0BFCF"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256CAB9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DA3A10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4D57213" w14:textId="77777777" w:rsidR="00F5321E" w:rsidRDefault="00F5321E" w:rsidP="000C21EC">
      <w:pPr>
        <w:widowControl/>
        <w:pBdr>
          <w:top w:val="nil"/>
          <w:left w:val="nil"/>
          <w:bottom w:val="nil"/>
          <w:right w:val="nil"/>
          <w:between w:val="nil"/>
        </w:pBdr>
        <w:ind w:right="-17"/>
        <w:rPr>
          <w:rFonts w:ascii="Times New Roman" w:eastAsia="Times New Roman" w:hAnsi="Times New Roman" w:cs="Times New Roman"/>
          <w:b/>
          <w:color w:val="000000"/>
          <w:sz w:val="24"/>
          <w:szCs w:val="24"/>
        </w:rPr>
      </w:pPr>
      <w:bookmarkStart w:id="4" w:name="_GoBack"/>
      <w:bookmarkEnd w:id="4"/>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5" w:name="_heading=h.av9lzjl4oycv" w:colFirst="0" w:colLast="0"/>
      <w:bookmarkEnd w:id="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10">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4"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5"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6">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7">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ascii="Times New Roman" w:eastAsia="Times New Roman" w:hAnsi="Times New Roman" w:cs="Times New Roman"/>
          <w:color w:val="000000"/>
          <w:sz w:val="24"/>
          <w:szCs w:val="24"/>
        </w:rPr>
        <w:lastRenderedPageBreak/>
        <w:t>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8"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9">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20"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1"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2">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23">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4"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5"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6"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7"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8"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29"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256B73">
      <w:headerReference w:type="even" r:id="rId30"/>
      <w:headerReference w:type="default" r:id="rId31"/>
      <w:footerReference w:type="default" r:id="rId32"/>
      <w:headerReference w:type="first" r:id="rId33"/>
      <w:pgSz w:w="11910" w:h="16840"/>
      <w:pgMar w:top="2127"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EC947" w14:textId="77777777" w:rsidR="00F45E18" w:rsidRDefault="00F45E18">
      <w:r>
        <w:separator/>
      </w:r>
    </w:p>
  </w:endnote>
  <w:endnote w:type="continuationSeparator" w:id="0">
    <w:p w14:paraId="755CC03F" w14:textId="77777777" w:rsidR="00F45E18" w:rsidRDefault="00F45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256B73" w:rsidRDefault="00256B73">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9A76C" w14:textId="77777777" w:rsidR="00F45E18" w:rsidRDefault="00F45E18">
      <w:r>
        <w:separator/>
      </w:r>
    </w:p>
  </w:footnote>
  <w:footnote w:type="continuationSeparator" w:id="0">
    <w:p w14:paraId="551B0CB1" w14:textId="77777777" w:rsidR="00F45E18" w:rsidRDefault="00F45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256B73" w:rsidRDefault="00256B73">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256B73" w:rsidRDefault="00256B73">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2F1943D4">
          <wp:simplePos x="0" y="0"/>
          <wp:positionH relativeFrom="margin">
            <wp:align>left</wp:align>
          </wp:positionH>
          <wp:positionV relativeFrom="paragraph">
            <wp:posOffset>-449580</wp:posOffset>
          </wp:positionV>
          <wp:extent cx="2399030" cy="12954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401168" cy="1296554"/>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256B73" w:rsidRDefault="00256B73">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256B73" w:rsidRDefault="00256B73">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256B73" w:rsidRDefault="00256B73">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256B73" w:rsidRDefault="00256B73">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256B73" w:rsidRDefault="00256B73">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256B73" w:rsidRDefault="00256B73">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256B73" w:rsidRDefault="00256B73">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89206B" w:rsidRDefault="0089206B">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89206B" w:rsidRDefault="0089206B">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89206B" w:rsidRDefault="0089206B">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89206B" w:rsidRDefault="0089206B">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89206B" w:rsidRDefault="0089206B">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89206B" w:rsidRDefault="0089206B">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89206B" w:rsidRDefault="0089206B">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256B73" w:rsidRDefault="00256B73">
    <w:pPr>
      <w:pBdr>
        <w:top w:val="nil"/>
        <w:left w:val="nil"/>
        <w:bottom w:val="nil"/>
        <w:right w:val="nil"/>
        <w:between w:val="nil"/>
      </w:pBdr>
      <w:tabs>
        <w:tab w:val="center" w:pos="4252"/>
        <w:tab w:val="right" w:pos="8504"/>
      </w:tabs>
      <w:rPr>
        <w:color w:val="000000"/>
      </w:rPr>
    </w:pPr>
  </w:p>
  <w:p w14:paraId="326091EC" w14:textId="77777777" w:rsidR="00256B73" w:rsidRDefault="00256B73">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256B73" w:rsidRDefault="00256B7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251"/>
    <w:rsid w:val="00091C71"/>
    <w:rsid w:val="0009782F"/>
    <w:rsid w:val="000B208C"/>
    <w:rsid w:val="000C21EC"/>
    <w:rsid w:val="000D36C6"/>
    <w:rsid w:val="000E02C9"/>
    <w:rsid w:val="000F67EC"/>
    <w:rsid w:val="00100990"/>
    <w:rsid w:val="0010656E"/>
    <w:rsid w:val="001075D1"/>
    <w:rsid w:val="00110CC6"/>
    <w:rsid w:val="00111CD9"/>
    <w:rsid w:val="00162A13"/>
    <w:rsid w:val="00187902"/>
    <w:rsid w:val="00191276"/>
    <w:rsid w:val="001A2ACB"/>
    <w:rsid w:val="001B533D"/>
    <w:rsid w:val="001B6B3C"/>
    <w:rsid w:val="001D16DD"/>
    <w:rsid w:val="001D1BDA"/>
    <w:rsid w:val="001D305D"/>
    <w:rsid w:val="001D68B9"/>
    <w:rsid w:val="001E2165"/>
    <w:rsid w:val="001E7E43"/>
    <w:rsid w:val="001F0A5F"/>
    <w:rsid w:val="001F6BBC"/>
    <w:rsid w:val="00212D71"/>
    <w:rsid w:val="00213B5E"/>
    <w:rsid w:val="00256B73"/>
    <w:rsid w:val="00260F6D"/>
    <w:rsid w:val="00262973"/>
    <w:rsid w:val="00265D23"/>
    <w:rsid w:val="00271C29"/>
    <w:rsid w:val="002845CA"/>
    <w:rsid w:val="00284B60"/>
    <w:rsid w:val="002A76B0"/>
    <w:rsid w:val="002A7851"/>
    <w:rsid w:val="002F6AA1"/>
    <w:rsid w:val="00300D61"/>
    <w:rsid w:val="00303C83"/>
    <w:rsid w:val="003127BA"/>
    <w:rsid w:val="00350F09"/>
    <w:rsid w:val="00357AD8"/>
    <w:rsid w:val="00365FA9"/>
    <w:rsid w:val="00366367"/>
    <w:rsid w:val="00371340"/>
    <w:rsid w:val="00372EC0"/>
    <w:rsid w:val="00374E9D"/>
    <w:rsid w:val="003A626E"/>
    <w:rsid w:val="004128DD"/>
    <w:rsid w:val="004149F2"/>
    <w:rsid w:val="0041553B"/>
    <w:rsid w:val="00424577"/>
    <w:rsid w:val="0043145B"/>
    <w:rsid w:val="004361F7"/>
    <w:rsid w:val="004A1566"/>
    <w:rsid w:val="004C21BD"/>
    <w:rsid w:val="004C54C4"/>
    <w:rsid w:val="004D269A"/>
    <w:rsid w:val="004E2504"/>
    <w:rsid w:val="004F2A5A"/>
    <w:rsid w:val="0051261F"/>
    <w:rsid w:val="0052150A"/>
    <w:rsid w:val="005443FA"/>
    <w:rsid w:val="00545200"/>
    <w:rsid w:val="005479A7"/>
    <w:rsid w:val="00562632"/>
    <w:rsid w:val="005626E9"/>
    <w:rsid w:val="00562E25"/>
    <w:rsid w:val="00566C08"/>
    <w:rsid w:val="00572063"/>
    <w:rsid w:val="005858FD"/>
    <w:rsid w:val="0059666A"/>
    <w:rsid w:val="00596955"/>
    <w:rsid w:val="00596D38"/>
    <w:rsid w:val="005A0C17"/>
    <w:rsid w:val="005C3453"/>
    <w:rsid w:val="005D379F"/>
    <w:rsid w:val="00652568"/>
    <w:rsid w:val="00670475"/>
    <w:rsid w:val="0067082F"/>
    <w:rsid w:val="0067428F"/>
    <w:rsid w:val="00677FAD"/>
    <w:rsid w:val="006877E3"/>
    <w:rsid w:val="00690CDB"/>
    <w:rsid w:val="00692604"/>
    <w:rsid w:val="006A712A"/>
    <w:rsid w:val="006B4017"/>
    <w:rsid w:val="006B6096"/>
    <w:rsid w:val="006F0161"/>
    <w:rsid w:val="006F6973"/>
    <w:rsid w:val="00703D93"/>
    <w:rsid w:val="00715122"/>
    <w:rsid w:val="00721855"/>
    <w:rsid w:val="00722777"/>
    <w:rsid w:val="007446E8"/>
    <w:rsid w:val="0079789E"/>
    <w:rsid w:val="007B71A0"/>
    <w:rsid w:val="007C14E9"/>
    <w:rsid w:val="007C3886"/>
    <w:rsid w:val="007C49BD"/>
    <w:rsid w:val="007C52F5"/>
    <w:rsid w:val="007D122F"/>
    <w:rsid w:val="007D58F3"/>
    <w:rsid w:val="007E1838"/>
    <w:rsid w:val="007E7F3E"/>
    <w:rsid w:val="0080015A"/>
    <w:rsid w:val="00831C62"/>
    <w:rsid w:val="00836B58"/>
    <w:rsid w:val="008426F6"/>
    <w:rsid w:val="0089206B"/>
    <w:rsid w:val="008B345F"/>
    <w:rsid w:val="008C57AE"/>
    <w:rsid w:val="008C6641"/>
    <w:rsid w:val="008D1BDD"/>
    <w:rsid w:val="008D7433"/>
    <w:rsid w:val="00922619"/>
    <w:rsid w:val="0092779A"/>
    <w:rsid w:val="0093522A"/>
    <w:rsid w:val="00935ACC"/>
    <w:rsid w:val="009368C5"/>
    <w:rsid w:val="0095132F"/>
    <w:rsid w:val="009603EE"/>
    <w:rsid w:val="009662B4"/>
    <w:rsid w:val="009724C3"/>
    <w:rsid w:val="009814CC"/>
    <w:rsid w:val="0099749F"/>
    <w:rsid w:val="009A1F45"/>
    <w:rsid w:val="009A5BC9"/>
    <w:rsid w:val="009B3867"/>
    <w:rsid w:val="009D2AA6"/>
    <w:rsid w:val="009D5B88"/>
    <w:rsid w:val="009E41CC"/>
    <w:rsid w:val="00A10672"/>
    <w:rsid w:val="00A21B28"/>
    <w:rsid w:val="00A3107A"/>
    <w:rsid w:val="00A35F8D"/>
    <w:rsid w:val="00A40984"/>
    <w:rsid w:val="00A42C7D"/>
    <w:rsid w:val="00A53AAA"/>
    <w:rsid w:val="00A80EEE"/>
    <w:rsid w:val="00A835D5"/>
    <w:rsid w:val="00AB10EE"/>
    <w:rsid w:val="00AE335E"/>
    <w:rsid w:val="00B0432A"/>
    <w:rsid w:val="00B200B6"/>
    <w:rsid w:val="00B30C04"/>
    <w:rsid w:val="00B33FA9"/>
    <w:rsid w:val="00B347A5"/>
    <w:rsid w:val="00B37518"/>
    <w:rsid w:val="00B45FD8"/>
    <w:rsid w:val="00B65694"/>
    <w:rsid w:val="00B73E9D"/>
    <w:rsid w:val="00B91011"/>
    <w:rsid w:val="00B9346C"/>
    <w:rsid w:val="00BB5F5E"/>
    <w:rsid w:val="00C11D52"/>
    <w:rsid w:val="00C120D8"/>
    <w:rsid w:val="00C23DAE"/>
    <w:rsid w:val="00C3494E"/>
    <w:rsid w:val="00C404D2"/>
    <w:rsid w:val="00C53D6C"/>
    <w:rsid w:val="00C572F1"/>
    <w:rsid w:val="00C65A5A"/>
    <w:rsid w:val="00C70823"/>
    <w:rsid w:val="00C76CBD"/>
    <w:rsid w:val="00C81235"/>
    <w:rsid w:val="00C8192C"/>
    <w:rsid w:val="00C9098E"/>
    <w:rsid w:val="00C96B26"/>
    <w:rsid w:val="00CA05C1"/>
    <w:rsid w:val="00CB70ED"/>
    <w:rsid w:val="00CC4887"/>
    <w:rsid w:val="00CC63DF"/>
    <w:rsid w:val="00CD0605"/>
    <w:rsid w:val="00CE29C3"/>
    <w:rsid w:val="00CE59F5"/>
    <w:rsid w:val="00CF302A"/>
    <w:rsid w:val="00CF53E4"/>
    <w:rsid w:val="00CF7685"/>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4342"/>
    <w:rsid w:val="00E516B6"/>
    <w:rsid w:val="00E6342F"/>
    <w:rsid w:val="00E67507"/>
    <w:rsid w:val="00E73376"/>
    <w:rsid w:val="00E75A88"/>
    <w:rsid w:val="00E835CD"/>
    <w:rsid w:val="00E933E5"/>
    <w:rsid w:val="00E95B03"/>
    <w:rsid w:val="00EB225A"/>
    <w:rsid w:val="00EB3500"/>
    <w:rsid w:val="00EC5061"/>
    <w:rsid w:val="00ED08DE"/>
    <w:rsid w:val="00EE0B81"/>
    <w:rsid w:val="00EE0D7E"/>
    <w:rsid w:val="00EE2495"/>
    <w:rsid w:val="00F32196"/>
    <w:rsid w:val="00F32750"/>
    <w:rsid w:val="00F371C4"/>
    <w:rsid w:val="00F4397B"/>
    <w:rsid w:val="00F45E18"/>
    <w:rsid w:val="00F5321E"/>
    <w:rsid w:val="00F71C76"/>
    <w:rsid w:val="00F75226"/>
    <w:rsid w:val="00F9471E"/>
    <w:rsid w:val="00FA44A4"/>
    <w:rsid w:val="00FA68E6"/>
    <w:rsid w:val="00FB32DE"/>
    <w:rsid w:val="00FC4D29"/>
    <w:rsid w:val="00FC6FED"/>
    <w:rsid w:val="00FF31CA"/>
    <w:rsid w:val="00FF3B77"/>
    <w:rsid w:val="00FF4334"/>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 w:type="paragraph" w:styleId="SemEspaamento">
    <w:name w:val="No Spacing"/>
    <w:uiPriority w:val="1"/>
    <w:qFormat/>
    <w:rsid w:val="0089206B"/>
    <w:pPr>
      <w:autoSpaceDE w:val="0"/>
      <w:autoSpaceDN w:val="0"/>
    </w:pPr>
    <w:rPr>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2803">
      <w:bodyDiv w:val="1"/>
      <w:marLeft w:val="0"/>
      <w:marRight w:val="0"/>
      <w:marTop w:val="0"/>
      <w:marBottom w:val="0"/>
      <w:divBdr>
        <w:top w:val="none" w:sz="0" w:space="0" w:color="auto"/>
        <w:left w:val="none" w:sz="0" w:space="0" w:color="auto"/>
        <w:bottom w:val="none" w:sz="0" w:space="0" w:color="auto"/>
        <w:right w:val="none" w:sz="0" w:space="0" w:color="auto"/>
      </w:divBdr>
    </w:div>
    <w:div w:id="878975883">
      <w:bodyDiv w:val="1"/>
      <w:marLeft w:val="0"/>
      <w:marRight w:val="0"/>
      <w:marTop w:val="0"/>
      <w:marBottom w:val="0"/>
      <w:divBdr>
        <w:top w:val="none" w:sz="0" w:space="0" w:color="auto"/>
        <w:left w:val="none" w:sz="0" w:space="0" w:color="auto"/>
        <w:bottom w:val="none" w:sz="0" w:space="0" w:color="auto"/>
        <w:right w:val="none" w:sz="0" w:space="0" w:color="auto"/>
      </w:divBdr>
    </w:div>
    <w:div w:id="1748382440">
      <w:bodyDiv w:val="1"/>
      <w:marLeft w:val="0"/>
      <w:marRight w:val="0"/>
      <w:marTop w:val="0"/>
      <w:marBottom w:val="0"/>
      <w:divBdr>
        <w:top w:val="none" w:sz="0" w:space="0" w:color="auto"/>
        <w:left w:val="none" w:sz="0" w:space="0" w:color="auto"/>
        <w:bottom w:val="none" w:sz="0" w:space="0" w:color="auto"/>
        <w:right w:val="none" w:sz="0" w:space="0" w:color="auto"/>
      </w:divBdr>
      <w:divsChild>
        <w:div w:id="465975179">
          <w:marLeft w:val="0"/>
          <w:marRight w:val="0"/>
          <w:marTop w:val="0"/>
          <w:marBottom w:val="0"/>
          <w:divBdr>
            <w:top w:val="none" w:sz="0" w:space="0" w:color="auto"/>
            <w:left w:val="none" w:sz="0" w:space="0" w:color="auto"/>
            <w:bottom w:val="none" w:sz="0" w:space="0" w:color="auto"/>
            <w:right w:val="none" w:sz="0" w:space="0" w:color="auto"/>
          </w:divBdr>
          <w:divsChild>
            <w:div w:id="1009722121">
              <w:marLeft w:val="0"/>
              <w:marRight w:val="0"/>
              <w:marTop w:val="0"/>
              <w:marBottom w:val="0"/>
              <w:divBdr>
                <w:top w:val="none" w:sz="0" w:space="0" w:color="auto"/>
                <w:left w:val="none" w:sz="0" w:space="0" w:color="auto"/>
                <w:bottom w:val="none" w:sz="0" w:space="0" w:color="auto"/>
                <w:right w:val="none" w:sz="0" w:space="0" w:color="auto"/>
              </w:divBdr>
              <w:divsChild>
                <w:div w:id="469322128">
                  <w:marLeft w:val="0"/>
                  <w:marRight w:val="0"/>
                  <w:marTop w:val="0"/>
                  <w:marBottom w:val="0"/>
                  <w:divBdr>
                    <w:top w:val="none" w:sz="0" w:space="0" w:color="auto"/>
                    <w:left w:val="none" w:sz="0" w:space="0" w:color="auto"/>
                    <w:bottom w:val="none" w:sz="0" w:space="0" w:color="auto"/>
                    <w:right w:val="none" w:sz="0" w:space="0" w:color="auto"/>
                  </w:divBdr>
                  <w:divsChild>
                    <w:div w:id="668950786">
                      <w:marLeft w:val="0"/>
                      <w:marRight w:val="0"/>
                      <w:marTop w:val="0"/>
                      <w:marBottom w:val="0"/>
                      <w:divBdr>
                        <w:top w:val="none" w:sz="0" w:space="0" w:color="auto"/>
                        <w:left w:val="none" w:sz="0" w:space="0" w:color="auto"/>
                        <w:bottom w:val="none" w:sz="0" w:space="0" w:color="auto"/>
                        <w:right w:val="none" w:sz="0" w:space="0" w:color="auto"/>
                      </w:divBdr>
                      <w:divsChild>
                        <w:div w:id="1576086775">
                          <w:marLeft w:val="0"/>
                          <w:marRight w:val="0"/>
                          <w:marTop w:val="0"/>
                          <w:marBottom w:val="0"/>
                          <w:divBdr>
                            <w:top w:val="none" w:sz="0" w:space="0" w:color="auto"/>
                            <w:left w:val="none" w:sz="0" w:space="0" w:color="auto"/>
                            <w:bottom w:val="none" w:sz="0" w:space="0" w:color="auto"/>
                            <w:right w:val="none" w:sz="0" w:space="0" w:color="auto"/>
                          </w:divBdr>
                          <w:divsChild>
                            <w:div w:id="774249556">
                              <w:marLeft w:val="0"/>
                              <w:marRight w:val="0"/>
                              <w:marTop w:val="0"/>
                              <w:marBottom w:val="0"/>
                              <w:divBdr>
                                <w:top w:val="none" w:sz="0" w:space="0" w:color="auto"/>
                                <w:left w:val="none" w:sz="0" w:space="0" w:color="auto"/>
                                <w:bottom w:val="none" w:sz="0" w:space="0" w:color="auto"/>
                                <w:right w:val="none" w:sz="0" w:space="0" w:color="auto"/>
                              </w:divBdr>
                              <w:divsChild>
                                <w:div w:id="529219353">
                                  <w:marLeft w:val="0"/>
                                  <w:marRight w:val="0"/>
                                  <w:marTop w:val="0"/>
                                  <w:marBottom w:val="0"/>
                                  <w:divBdr>
                                    <w:top w:val="none" w:sz="0" w:space="0" w:color="auto"/>
                                    <w:left w:val="none" w:sz="0" w:space="0" w:color="auto"/>
                                    <w:bottom w:val="none" w:sz="0" w:space="0" w:color="auto"/>
                                    <w:right w:val="none" w:sz="0" w:space="0" w:color="auto"/>
                                  </w:divBdr>
                                  <w:divsChild>
                                    <w:div w:id="13567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735704">
      <w:bodyDiv w:val="1"/>
      <w:marLeft w:val="0"/>
      <w:marRight w:val="0"/>
      <w:marTop w:val="0"/>
      <w:marBottom w:val="0"/>
      <w:divBdr>
        <w:top w:val="none" w:sz="0" w:space="0" w:color="auto"/>
        <w:left w:val="none" w:sz="0" w:space="0" w:color="auto"/>
        <w:bottom w:val="none" w:sz="0" w:space="0" w:color="auto"/>
        <w:right w:val="none" w:sz="0" w:space="0" w:color="auto"/>
      </w:divBdr>
      <w:divsChild>
        <w:div w:id="18089684">
          <w:marLeft w:val="0"/>
          <w:marRight w:val="0"/>
          <w:marTop w:val="0"/>
          <w:marBottom w:val="0"/>
          <w:divBdr>
            <w:top w:val="none" w:sz="0" w:space="0" w:color="auto"/>
            <w:left w:val="none" w:sz="0" w:space="0" w:color="auto"/>
            <w:bottom w:val="none" w:sz="0" w:space="0" w:color="auto"/>
            <w:right w:val="none" w:sz="0" w:space="0" w:color="auto"/>
          </w:divBdr>
          <w:divsChild>
            <w:div w:id="525102224">
              <w:marLeft w:val="0"/>
              <w:marRight w:val="0"/>
              <w:marTop w:val="0"/>
              <w:marBottom w:val="0"/>
              <w:divBdr>
                <w:top w:val="none" w:sz="0" w:space="0" w:color="auto"/>
                <w:left w:val="none" w:sz="0" w:space="0" w:color="auto"/>
                <w:bottom w:val="none" w:sz="0" w:space="0" w:color="auto"/>
                <w:right w:val="none" w:sz="0" w:space="0" w:color="auto"/>
              </w:divBdr>
              <w:divsChild>
                <w:div w:id="225529255">
                  <w:marLeft w:val="0"/>
                  <w:marRight w:val="0"/>
                  <w:marTop w:val="0"/>
                  <w:marBottom w:val="0"/>
                  <w:divBdr>
                    <w:top w:val="none" w:sz="0" w:space="0" w:color="auto"/>
                    <w:left w:val="none" w:sz="0" w:space="0" w:color="auto"/>
                    <w:bottom w:val="none" w:sz="0" w:space="0" w:color="auto"/>
                    <w:right w:val="none" w:sz="0" w:space="0" w:color="auto"/>
                  </w:divBdr>
                  <w:divsChild>
                    <w:div w:id="1795631661">
                      <w:marLeft w:val="0"/>
                      <w:marRight w:val="0"/>
                      <w:marTop w:val="0"/>
                      <w:marBottom w:val="0"/>
                      <w:divBdr>
                        <w:top w:val="none" w:sz="0" w:space="0" w:color="auto"/>
                        <w:left w:val="none" w:sz="0" w:space="0" w:color="auto"/>
                        <w:bottom w:val="none" w:sz="0" w:space="0" w:color="auto"/>
                        <w:right w:val="none" w:sz="0" w:space="0" w:color="auto"/>
                      </w:divBdr>
                      <w:divsChild>
                        <w:div w:id="2074961826">
                          <w:marLeft w:val="0"/>
                          <w:marRight w:val="0"/>
                          <w:marTop w:val="0"/>
                          <w:marBottom w:val="0"/>
                          <w:divBdr>
                            <w:top w:val="none" w:sz="0" w:space="0" w:color="auto"/>
                            <w:left w:val="none" w:sz="0" w:space="0" w:color="auto"/>
                            <w:bottom w:val="none" w:sz="0" w:space="0" w:color="auto"/>
                            <w:right w:val="none" w:sz="0" w:space="0" w:color="auto"/>
                          </w:divBdr>
                          <w:divsChild>
                            <w:div w:id="501942853">
                              <w:marLeft w:val="0"/>
                              <w:marRight w:val="0"/>
                              <w:marTop w:val="0"/>
                              <w:marBottom w:val="0"/>
                              <w:divBdr>
                                <w:top w:val="none" w:sz="0" w:space="0" w:color="auto"/>
                                <w:left w:val="none" w:sz="0" w:space="0" w:color="auto"/>
                                <w:bottom w:val="none" w:sz="0" w:space="0" w:color="auto"/>
                                <w:right w:val="none" w:sz="0" w:space="0" w:color="auto"/>
                              </w:divBdr>
                              <w:divsChild>
                                <w:div w:id="550699379">
                                  <w:marLeft w:val="0"/>
                                  <w:marRight w:val="0"/>
                                  <w:marTop w:val="0"/>
                                  <w:marBottom w:val="0"/>
                                  <w:divBdr>
                                    <w:top w:val="none" w:sz="0" w:space="0" w:color="auto"/>
                                    <w:left w:val="none" w:sz="0" w:space="0" w:color="auto"/>
                                    <w:bottom w:val="none" w:sz="0" w:space="0" w:color="auto"/>
                                    <w:right w:val="none" w:sz="0" w:space="0" w:color="auto"/>
                                  </w:divBdr>
                                  <w:divsChild>
                                    <w:div w:id="53296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97B84A-EA5A-475A-BA4E-88A34C53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28</Pages>
  <Words>12503</Words>
  <Characters>67520</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5</cp:revision>
  <dcterms:created xsi:type="dcterms:W3CDTF">2026-07-16T15:03:00Z</dcterms:created>
  <dcterms:modified xsi:type="dcterms:W3CDTF">2026-07-16T17:32:00Z</dcterms:modified>
</cp:coreProperties>
</file>