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1"/>
        <w:tblW w:w="5000" w:type="pct"/>
        <w:tblInd w:w="-5" w:type="dxa"/>
        <w:tblLook w:val="04A0" w:firstRow="1" w:lastRow="0" w:firstColumn="1" w:lastColumn="0" w:noHBand="0" w:noVBand="1"/>
      </w:tblPr>
      <w:tblGrid>
        <w:gridCol w:w="8498"/>
      </w:tblGrid>
      <w:tr w:rsidR="00FF3B77" w:rsidRPr="00FF3B77" w14:paraId="7C70512F" w14:textId="77777777" w:rsidTr="0018790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5"/>
        <w:gridCol w:w="4373"/>
      </w:tblGrid>
      <w:tr w:rsidR="00FF3B77" w:rsidRPr="00FF3B77" w14:paraId="0ED8EA81" w14:textId="77777777" w:rsidTr="00DF4316">
        <w:trPr>
          <w:trHeight w:val="737"/>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40F62BE1" w:rsidR="00FF3B77" w:rsidRPr="00DF4316" w:rsidRDefault="00FF3B77" w:rsidP="00FF3B77">
            <w:pPr>
              <w:jc w:val="center"/>
              <w:rPr>
                <w:rFonts w:ascii="Times New Roman" w:hAnsi="Times New Roman" w:cs="Times New Roman"/>
                <w:b/>
                <w:bCs/>
                <w:color w:val="000000" w:themeColor="text1"/>
                <w:sz w:val="20"/>
                <w:szCs w:val="20"/>
              </w:rPr>
            </w:pPr>
            <w:r w:rsidRPr="00DF4316">
              <w:rPr>
                <w:rFonts w:ascii="Times New Roman" w:hAnsi="Times New Roman" w:cs="Times New Roman"/>
                <w:b/>
                <w:bCs/>
              </w:rPr>
              <w:t>PREGÃO ELETRÔNICO Nº</w:t>
            </w:r>
            <w:r w:rsidR="00596D38" w:rsidRPr="00DF4316">
              <w:rPr>
                <w:rFonts w:ascii="Times New Roman" w:hAnsi="Times New Roman" w:cs="Times New Roman"/>
                <w:b/>
                <w:bCs/>
              </w:rPr>
              <w:t xml:space="preserve"> </w:t>
            </w:r>
            <w:r w:rsidR="00DF4316" w:rsidRPr="00DF4316">
              <w:rPr>
                <w:rFonts w:ascii="Times New Roman" w:hAnsi="Times New Roman" w:cs="Times New Roman"/>
                <w:b/>
                <w:bCs/>
              </w:rPr>
              <w:t>00</w:t>
            </w:r>
            <w:r w:rsidR="0009782F">
              <w:rPr>
                <w:rFonts w:ascii="Times New Roman" w:hAnsi="Times New Roman" w:cs="Times New Roman"/>
                <w:b/>
                <w:bCs/>
              </w:rPr>
              <w:t>4</w:t>
            </w:r>
            <w:r w:rsidR="00DF4316" w:rsidRPr="00DF4316">
              <w:rPr>
                <w:rFonts w:ascii="Times New Roman" w:hAnsi="Times New Roman" w:cs="Times New Roman"/>
                <w:b/>
                <w:bCs/>
              </w:rPr>
              <w:t>/2026</w:t>
            </w:r>
          </w:p>
        </w:tc>
        <w:tc>
          <w:tcPr>
            <w:tcW w:w="2573" w:type="pct"/>
            <w:shd w:val="clear" w:color="auto" w:fill="95B3D7"/>
            <w:vAlign w:val="center"/>
          </w:tcPr>
          <w:p w14:paraId="067DE18F" w14:textId="41C9CDBF" w:rsidR="00FF3B77" w:rsidRPr="00DF4316" w:rsidRDefault="00FF3B77" w:rsidP="00FF75B2">
            <w:pPr>
              <w:jc w:val="center"/>
              <w:rPr>
                <w:rFonts w:ascii="Times New Roman" w:hAnsi="Times New Roman" w:cs="Times New Roman"/>
                <w:b/>
                <w:bCs/>
                <w:color w:val="000000" w:themeColor="text1"/>
                <w:sz w:val="20"/>
                <w:szCs w:val="20"/>
              </w:rPr>
            </w:pPr>
            <w:r w:rsidRPr="00DF4316">
              <w:rPr>
                <w:rFonts w:ascii="Times New Roman" w:hAnsi="Times New Roman" w:cs="Times New Roman"/>
                <w:b/>
                <w:bCs/>
                <w:color w:val="000000" w:themeColor="text1"/>
                <w:sz w:val="20"/>
                <w:szCs w:val="20"/>
              </w:rPr>
              <w:t xml:space="preserve">PROCESSO ADMINISTRATIVO </w:t>
            </w:r>
            <w:r w:rsidR="00F371C4" w:rsidRPr="00DF4316">
              <w:rPr>
                <w:rFonts w:ascii="Times New Roman" w:hAnsi="Times New Roman" w:cs="Times New Roman"/>
                <w:b/>
                <w:bCs/>
                <w:color w:val="000000" w:themeColor="text1"/>
                <w:sz w:val="20"/>
                <w:szCs w:val="20"/>
              </w:rPr>
              <w:t xml:space="preserve">Nº </w:t>
            </w:r>
            <w:r w:rsidR="0009782F">
              <w:rPr>
                <w:rFonts w:ascii="Times New Roman" w:hAnsi="Times New Roman" w:cs="Times New Roman"/>
                <w:b/>
                <w:bCs/>
                <w:color w:val="000000" w:themeColor="text1"/>
                <w:sz w:val="20"/>
                <w:szCs w:val="20"/>
              </w:rPr>
              <w:t>343676.2026.2152-08</w:t>
            </w:r>
          </w:p>
        </w:tc>
      </w:tr>
      <w:tr w:rsidR="00FF3B77" w:rsidRPr="00FF3B77" w14:paraId="1C093D48" w14:textId="77777777" w:rsidTr="001B533D">
        <w:trPr>
          <w:trHeight w:val="382"/>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27946208" w:rsidR="00FF3B77" w:rsidRPr="00FF3B77" w:rsidRDefault="00C7082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NÃO</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0DAA6738"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09782F">
              <w:rPr>
                <w:rFonts w:ascii="Times New Roman" w:hAnsi="Times New Roman" w:cs="Times New Roman"/>
                <w:bCs/>
                <w:color w:val="000000" w:themeColor="text1"/>
                <w:sz w:val="20"/>
                <w:szCs w:val="20"/>
              </w:rPr>
              <w:t>ITEM</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40A517A5"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1B533D">
              <w:rPr>
                <w:rFonts w:ascii="Times New Roman" w:hAnsi="Times New Roman" w:cs="Times New Roman"/>
                <w:bCs/>
                <w:color w:val="000000" w:themeColor="text1"/>
                <w:sz w:val="20"/>
                <w:szCs w:val="20"/>
              </w:rPr>
              <w:t>ITEM</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58B48150" w:rsidR="00FF3B77" w:rsidRPr="00FF3B77" w:rsidRDefault="009724C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CONTRATAÇÃO POR PREÇO 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141DE5A9" w:rsidR="00FF3B77" w:rsidRPr="00FF3B77" w:rsidRDefault="0041553B"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SIM</w:t>
            </w:r>
          </w:p>
        </w:tc>
      </w:tr>
      <w:tr w:rsidR="00FF3B77" w:rsidRPr="00FF3B77" w14:paraId="0F592CD0" w14:textId="77777777" w:rsidTr="00FF75B2">
        <w:trPr>
          <w:trHeight w:val="387"/>
        </w:trPr>
        <w:tc>
          <w:tcPr>
            <w:tcW w:w="5000" w:type="pct"/>
            <w:gridSpan w:val="2"/>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gridSpan w:val="2"/>
            <w:vAlign w:val="center"/>
          </w:tcPr>
          <w:p w14:paraId="2EFAD014" w14:textId="1867B238" w:rsidR="00FF3B77" w:rsidRPr="00DF4316" w:rsidRDefault="00F32196" w:rsidP="00C81235">
            <w:pPr>
              <w:spacing w:line="276" w:lineRule="auto"/>
              <w:jc w:val="both"/>
              <w:rPr>
                <w:rFonts w:ascii="Times New Roman" w:hAnsi="Times New Roman" w:cs="Times New Roman"/>
                <w:b/>
                <w:color w:val="000000" w:themeColor="text1"/>
                <w:szCs w:val="20"/>
              </w:rPr>
            </w:pPr>
            <w:r>
              <w:rPr>
                <w:rFonts w:ascii="Times New Roman" w:hAnsi="Times New Roman" w:cs="Times New Roman"/>
                <w:b/>
                <w:color w:val="000000" w:themeColor="text1"/>
                <w:szCs w:val="20"/>
              </w:rPr>
              <w:t>Contratação de empresa especializada para a prestação de serviços de capacitação, treinamento e aperfeiçoamento profissional, destinados aos servidores e colaboradores dos diversos da área da saúde do Município de Governador Edison Lobão- MA, abrangendo atividades teóricas e práticas voltadas à atualização de conhecimentos, desenvolvimento de competência técnicas, qualificação do atendimento e aprimoramento dos serviços prestados à população, em consonância com as diretrizes do Sistema Único de Saúde (SUS).</w:t>
            </w:r>
          </w:p>
        </w:tc>
      </w:tr>
      <w:tr w:rsidR="00FF3B77" w:rsidRPr="00FF3B77" w14:paraId="2E1DD4BD" w14:textId="77777777" w:rsidTr="00FF75B2">
        <w:trPr>
          <w:trHeight w:val="417"/>
        </w:trPr>
        <w:tc>
          <w:tcPr>
            <w:tcW w:w="5000" w:type="pct"/>
            <w:gridSpan w:val="2"/>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gridSpan w:val="2"/>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gridSpan w:val="2"/>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gridSpan w:val="2"/>
            <w:vAlign w:val="center"/>
          </w:tcPr>
          <w:p w14:paraId="67695719" w14:textId="794FFB0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SISTEMA ULIZADO:</w:t>
            </w:r>
            <w:r w:rsidR="00C9098E">
              <w:rPr>
                <w:rFonts w:ascii="Times New Roman" w:hAnsi="Times New Roman" w:cs="Times New Roman"/>
                <w:bCs/>
                <w:color w:val="000000" w:themeColor="text1"/>
                <w:sz w:val="20"/>
                <w:szCs w:val="20"/>
              </w:rPr>
              <w:t xml:space="preserve"> </w:t>
            </w:r>
            <w:r w:rsidRPr="00FF3B77">
              <w:rPr>
                <w:rFonts w:ascii="Times New Roman" w:hAnsi="Times New Roman" w:cs="Times New Roman"/>
                <w:bCs/>
                <w:color w:val="000000" w:themeColor="text1"/>
                <w:sz w:val="20"/>
                <w:szCs w:val="20"/>
              </w:rPr>
              <w:t>comprasbr.com.br</w:t>
            </w:r>
          </w:p>
          <w:p w14:paraId="4F3F4860" w14:textId="7E30D46B" w:rsidR="00FF3B77" w:rsidRPr="00FF75B2"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DATA</w:t>
            </w:r>
            <w:r w:rsidRPr="00FF75B2">
              <w:rPr>
                <w:rFonts w:ascii="Times New Roman" w:hAnsi="Times New Roman" w:cs="Times New Roman"/>
              </w:rPr>
              <w:t xml:space="preserve">: </w:t>
            </w:r>
            <w:r w:rsidR="007C14E9">
              <w:rPr>
                <w:rFonts w:ascii="Times New Roman" w:hAnsi="Times New Roman" w:cs="Times New Roman"/>
              </w:rPr>
              <w:t>13</w:t>
            </w:r>
            <w:r w:rsidR="00DF4316" w:rsidRPr="00E040CE">
              <w:rPr>
                <w:rFonts w:ascii="Times New Roman" w:hAnsi="Times New Roman" w:cs="Times New Roman"/>
              </w:rPr>
              <w:t>/0</w:t>
            </w:r>
            <w:r w:rsidR="007C14E9">
              <w:rPr>
                <w:rFonts w:ascii="Times New Roman" w:hAnsi="Times New Roman" w:cs="Times New Roman"/>
              </w:rPr>
              <w:t>5</w:t>
            </w:r>
            <w:r w:rsidR="00DF4316" w:rsidRPr="00E040CE">
              <w:rPr>
                <w:rFonts w:ascii="Times New Roman" w:hAnsi="Times New Roman" w:cs="Times New Roman"/>
              </w:rPr>
              <w:t>/2026</w:t>
            </w:r>
          </w:p>
          <w:p w14:paraId="49C8731A" w14:textId="1E0FD0A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HORÁRIO</w:t>
            </w:r>
            <w:r w:rsidRPr="00FF75B2">
              <w:rPr>
                <w:rFonts w:ascii="Times New Roman" w:hAnsi="Times New Roman" w:cs="Times New Roman"/>
              </w:rPr>
              <w:t xml:space="preserve">: </w:t>
            </w:r>
            <w:r w:rsidR="007C14E9">
              <w:rPr>
                <w:rFonts w:ascii="Times New Roman" w:hAnsi="Times New Roman" w:cs="Times New Roman"/>
              </w:rPr>
              <w:t>10</w:t>
            </w:r>
            <w:r w:rsidRPr="00E040CE">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LOCAL:</w:t>
            </w:r>
            <w:r w:rsidRPr="00FF3B77">
              <w:rPr>
                <w:rFonts w:ascii="Times New Roman" w:hAnsi="Times New Roman" w:cs="Times New Roman"/>
                <w:bCs/>
                <w:color w:val="000000" w:themeColor="text1"/>
                <w:sz w:val="20"/>
                <w:szCs w:val="20"/>
              </w:rPr>
              <w:t xml:space="preserve">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ENDEREÇO ELETRÔNICO</w:t>
            </w:r>
            <w:r w:rsidRPr="00FF3B77">
              <w:rPr>
                <w:rFonts w:ascii="Times New Roman" w:hAnsi="Times New Roman" w:cs="Times New Roman"/>
                <w:bCs/>
                <w:color w:val="000000" w:themeColor="text1"/>
                <w:sz w:val="20"/>
                <w:szCs w:val="20"/>
              </w:rPr>
              <w:t>: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E-MAIL</w:t>
            </w:r>
            <w:r w:rsidRPr="00FF3B77">
              <w:rPr>
                <w:rFonts w:ascii="Times New Roman" w:hAnsi="Times New Roman" w:cs="Times New Roman"/>
                <w:bCs/>
                <w:color w:val="000000" w:themeColor="text1"/>
                <w:sz w:val="20"/>
                <w:szCs w:val="20"/>
              </w:rPr>
              <w:t>: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8"/>
      </w:tblGrid>
      <w:tr w:rsidR="00FF3B77" w:rsidRPr="00FF3B77" w14:paraId="35E8D4AA" w14:textId="77777777" w:rsidTr="00FF75B2">
        <w:trPr>
          <w:trHeight w:val="1914"/>
        </w:trPr>
        <w:tc>
          <w:tcPr>
            <w:tcW w:w="5000" w:type="pct"/>
            <w:vAlign w:val="center"/>
          </w:tcPr>
          <w:p w14:paraId="3FBB2E44" w14:textId="77777777" w:rsidR="00FF4334" w:rsidRPr="00FF4334" w:rsidRDefault="00FF4334" w:rsidP="00FF4334">
            <w:pPr>
              <w:spacing w:line="276" w:lineRule="auto"/>
              <w:jc w:val="center"/>
              <w:rPr>
                <w:rFonts w:ascii="Times New Roman" w:hAnsi="Times New Roman" w:cs="Times New Roman"/>
                <w:b/>
                <w:bCs/>
                <w:sz w:val="24"/>
                <w:szCs w:val="24"/>
              </w:rPr>
            </w:pPr>
            <w:proofErr w:type="spellStart"/>
            <w:r w:rsidRPr="00FF4334">
              <w:rPr>
                <w:rFonts w:ascii="Times New Roman" w:hAnsi="Times New Roman" w:cs="Times New Roman"/>
                <w:b/>
                <w:bCs/>
                <w:sz w:val="24"/>
                <w:szCs w:val="24"/>
              </w:rPr>
              <w:t>Sirleide</w:t>
            </w:r>
            <w:proofErr w:type="spellEnd"/>
            <w:r w:rsidRPr="00FF4334">
              <w:rPr>
                <w:rFonts w:ascii="Times New Roman" w:hAnsi="Times New Roman" w:cs="Times New Roman"/>
                <w:b/>
                <w:bCs/>
                <w:sz w:val="24"/>
                <w:szCs w:val="24"/>
              </w:rPr>
              <w:t xml:space="preserve"> Marinho dos Santos</w:t>
            </w:r>
          </w:p>
          <w:p w14:paraId="0AEAB156" w14:textId="77777777" w:rsidR="00FF4334" w:rsidRPr="00FF4334" w:rsidRDefault="00FF4334" w:rsidP="00FF4334">
            <w:pPr>
              <w:spacing w:line="276" w:lineRule="auto"/>
              <w:jc w:val="center"/>
              <w:rPr>
                <w:rFonts w:ascii="Times New Roman" w:hAnsi="Times New Roman" w:cs="Times New Roman"/>
                <w:sz w:val="24"/>
                <w:szCs w:val="24"/>
              </w:rPr>
            </w:pPr>
            <w:r w:rsidRPr="00FF4334">
              <w:rPr>
                <w:rFonts w:ascii="Times New Roman" w:hAnsi="Times New Roman" w:cs="Times New Roman"/>
                <w:sz w:val="24"/>
                <w:szCs w:val="24"/>
              </w:rPr>
              <w:t>Secretária Municipal de Saúde</w:t>
            </w:r>
          </w:p>
          <w:p w14:paraId="68A1E06B" w14:textId="77777777" w:rsidR="00FF4334" w:rsidRPr="009A0237" w:rsidRDefault="00FF4334" w:rsidP="00FF4334">
            <w:pPr>
              <w:spacing w:line="276" w:lineRule="auto"/>
              <w:jc w:val="center"/>
              <w:rPr>
                <w:sz w:val="24"/>
                <w:szCs w:val="24"/>
              </w:rPr>
            </w:pPr>
            <w:r w:rsidRPr="00FF4334">
              <w:rPr>
                <w:rFonts w:ascii="Times New Roman" w:hAnsi="Times New Roman" w:cs="Times New Roman"/>
                <w:sz w:val="24"/>
                <w:szCs w:val="24"/>
              </w:rPr>
              <w:t xml:space="preserve">Portaria nº </w:t>
            </w:r>
            <w:r w:rsidRPr="00FF4334">
              <w:rPr>
                <w:rFonts w:ascii="Times New Roman" w:hAnsi="Times New Roman" w:cs="Times New Roman"/>
                <w:b/>
                <w:bCs/>
                <w:sz w:val="24"/>
                <w:szCs w:val="24"/>
              </w:rPr>
              <w:t>003/2025</w:t>
            </w:r>
          </w:p>
          <w:p w14:paraId="52738CAE" w14:textId="3B1F6D91" w:rsidR="00FF3B77" w:rsidRPr="00FF3B77" w:rsidRDefault="00FF3B77" w:rsidP="00FF4334">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7ABCBF85" w:rsidR="00D95F14" w:rsidRDefault="00D95F14" w:rsidP="00D95F14">
      <w:pPr>
        <w:rPr>
          <w:rFonts w:ascii="Times New Roman" w:eastAsia="Times New Roman" w:hAnsi="Times New Roman" w:cs="Times New Roman"/>
          <w:b/>
          <w:color w:val="000000"/>
          <w:sz w:val="24"/>
          <w:szCs w:val="24"/>
        </w:rPr>
      </w:pPr>
    </w:p>
    <w:p w14:paraId="360C49F4" w14:textId="3B5872C9" w:rsidR="004C21BD" w:rsidRDefault="004C21BD" w:rsidP="00D95F14">
      <w:pPr>
        <w:rPr>
          <w:rFonts w:ascii="Times New Roman" w:eastAsia="Times New Roman" w:hAnsi="Times New Roman" w:cs="Times New Roman"/>
          <w:b/>
          <w:color w:val="000000"/>
          <w:sz w:val="24"/>
          <w:szCs w:val="24"/>
        </w:rPr>
      </w:pPr>
    </w:p>
    <w:p w14:paraId="53510EA8" w14:textId="3BAAFC56" w:rsidR="00187902" w:rsidRDefault="00187902"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PREFEITURA MUNICIPAL DE GOVERNADOR EDISON LOBÃO-MA</w:t>
      </w:r>
    </w:p>
    <w:p w14:paraId="5303886E" w14:textId="25808F84"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 xml:space="preserve">Nº </w:t>
      </w:r>
      <w:r w:rsidR="00E040CE">
        <w:rPr>
          <w:rFonts w:ascii="Times New Roman" w:eastAsia="Times New Roman" w:hAnsi="Times New Roman" w:cs="Times New Roman"/>
          <w:b/>
          <w:color w:val="000000"/>
          <w:sz w:val="24"/>
          <w:szCs w:val="24"/>
        </w:rPr>
        <w:t>00</w:t>
      </w:r>
      <w:r w:rsidR="007C14E9">
        <w:rPr>
          <w:rFonts w:ascii="Times New Roman" w:eastAsia="Times New Roman" w:hAnsi="Times New Roman" w:cs="Times New Roman"/>
          <w:b/>
          <w:color w:val="000000"/>
          <w:sz w:val="24"/>
          <w:szCs w:val="24"/>
        </w:rPr>
        <w:t>4</w:t>
      </w:r>
      <w:r w:rsidR="00187902">
        <w:rPr>
          <w:rFonts w:ascii="Times New Roman" w:eastAsia="Times New Roman" w:hAnsi="Times New Roman" w:cs="Times New Roman"/>
          <w:b/>
          <w:color w:val="000000"/>
          <w:sz w:val="24"/>
          <w:szCs w:val="24"/>
        </w:rPr>
        <w:t>/</w:t>
      </w:r>
      <w:r w:rsidR="00E040CE">
        <w:rPr>
          <w:rFonts w:ascii="Times New Roman" w:eastAsia="Times New Roman" w:hAnsi="Times New Roman" w:cs="Times New Roman"/>
          <w:b/>
          <w:color w:val="000000"/>
          <w:sz w:val="24"/>
          <w:szCs w:val="24"/>
        </w:rPr>
        <w:t>2026</w:t>
      </w:r>
    </w:p>
    <w:p w14:paraId="4995CF42" w14:textId="67407773"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C81235" w:rsidRPr="00FF75B2">
        <w:rPr>
          <w:rFonts w:ascii="Times New Roman" w:eastAsia="Times New Roman" w:hAnsi="Times New Roman" w:cs="Times New Roman"/>
          <w:color w:val="000000"/>
          <w:sz w:val="24"/>
          <w:szCs w:val="24"/>
        </w:rPr>
        <w:t xml:space="preserve">Administrativo </w:t>
      </w:r>
      <w:r w:rsidR="00C81235" w:rsidRPr="00596D38">
        <w:rPr>
          <w:rFonts w:ascii="Times New Roman" w:eastAsia="Times New Roman" w:hAnsi="Times New Roman" w:cs="Times New Roman"/>
          <w:color w:val="000000"/>
          <w:sz w:val="24"/>
          <w:szCs w:val="24"/>
        </w:rPr>
        <w:t>n</w:t>
      </w:r>
      <w:r w:rsidRPr="00596D38">
        <w:rPr>
          <w:rFonts w:ascii="Times New Roman" w:eastAsia="Times New Roman" w:hAnsi="Times New Roman" w:cs="Times New Roman"/>
          <w:color w:val="000000"/>
          <w:sz w:val="24"/>
          <w:szCs w:val="24"/>
        </w:rPr>
        <w:t>°</w:t>
      </w:r>
      <w:r w:rsidR="007C14E9" w:rsidRPr="007C14E9">
        <w:rPr>
          <w:rFonts w:ascii="Times New Roman" w:hAnsi="Times New Roman" w:cs="Times New Roman"/>
          <w:bCs/>
          <w:color w:val="000000" w:themeColor="text1"/>
          <w:szCs w:val="20"/>
        </w:rPr>
        <w:t>343676.2026.2152-08</w:t>
      </w:r>
      <w:r w:rsidRPr="00FF75B2">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74FF573B"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PREFEITURA MUNICIPAL DE GOVERNADOR EDISON LOBÃO - MA por meio do Secretaria Municipal de </w:t>
      </w:r>
      <w:r w:rsidR="001B533D">
        <w:rPr>
          <w:rFonts w:ascii="Times New Roman" w:eastAsia="Times New Roman" w:hAnsi="Times New Roman" w:cs="Times New Roman"/>
          <w:color w:val="000000"/>
          <w:sz w:val="24"/>
          <w:szCs w:val="24"/>
        </w:rPr>
        <w:t>Saúde</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596D38">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ocalizada na rua Imperatriz II, nº 800,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0AB98F9D"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7C14E9">
        <w:rPr>
          <w:rFonts w:ascii="Times New Roman" w:eastAsia="Times New Roman" w:hAnsi="Times New Roman" w:cs="Times New Roman"/>
          <w:color w:val="000000"/>
          <w:sz w:val="24"/>
          <w:szCs w:val="24"/>
        </w:rPr>
        <w:t>13</w:t>
      </w:r>
      <w:r w:rsidR="00A10672" w:rsidRPr="00FF75B2">
        <w:rPr>
          <w:rFonts w:ascii="Times New Roman" w:eastAsia="Times New Roman" w:hAnsi="Times New Roman" w:cs="Times New Roman"/>
          <w:color w:val="000000"/>
          <w:sz w:val="24"/>
          <w:szCs w:val="24"/>
        </w:rPr>
        <w:t>/</w:t>
      </w:r>
      <w:r w:rsidR="00E040CE">
        <w:rPr>
          <w:rFonts w:ascii="Times New Roman" w:eastAsia="Times New Roman" w:hAnsi="Times New Roman" w:cs="Times New Roman"/>
          <w:color w:val="000000"/>
          <w:sz w:val="24"/>
          <w:szCs w:val="24"/>
        </w:rPr>
        <w:t>0</w:t>
      </w:r>
      <w:r w:rsidR="007C14E9">
        <w:rPr>
          <w:rFonts w:ascii="Times New Roman" w:eastAsia="Times New Roman" w:hAnsi="Times New Roman" w:cs="Times New Roman"/>
          <w:color w:val="000000"/>
          <w:sz w:val="24"/>
          <w:szCs w:val="24"/>
        </w:rPr>
        <w:t>5</w:t>
      </w:r>
      <w:r w:rsidR="00A10672" w:rsidRPr="00FF75B2">
        <w:rPr>
          <w:rFonts w:ascii="Times New Roman" w:eastAsia="Times New Roman" w:hAnsi="Times New Roman" w:cs="Times New Roman"/>
          <w:color w:val="000000"/>
          <w:sz w:val="24"/>
          <w:szCs w:val="24"/>
        </w:rPr>
        <w:t>/202</w:t>
      </w:r>
      <w:r w:rsidR="00C9098E">
        <w:rPr>
          <w:rFonts w:ascii="Times New Roman" w:eastAsia="Times New Roman" w:hAnsi="Times New Roman" w:cs="Times New Roman"/>
          <w:color w:val="000000"/>
          <w:sz w:val="24"/>
          <w:szCs w:val="24"/>
        </w:rPr>
        <w:t>6</w:t>
      </w:r>
      <w:r w:rsidR="00FF75B2">
        <w:rPr>
          <w:rFonts w:ascii="Times New Roman" w:eastAsia="Times New Roman" w:hAnsi="Times New Roman" w:cs="Times New Roman"/>
          <w:color w:val="000000"/>
          <w:sz w:val="24"/>
          <w:szCs w:val="24"/>
        </w:rPr>
        <w:t xml:space="preserve"> às </w:t>
      </w:r>
      <w:r w:rsidR="007C14E9">
        <w:rPr>
          <w:rFonts w:ascii="Times New Roman" w:eastAsia="Times New Roman" w:hAnsi="Times New Roman" w:cs="Times New Roman"/>
          <w:color w:val="000000"/>
          <w:sz w:val="24"/>
          <w:szCs w:val="24"/>
        </w:rPr>
        <w:t>10</w:t>
      </w:r>
      <w:r w:rsidR="00E040CE">
        <w:rPr>
          <w:rFonts w:ascii="Times New Roman" w:eastAsia="Times New Roman" w:hAnsi="Times New Roman" w:cs="Times New Roman"/>
          <w:color w:val="000000"/>
          <w:sz w:val="24"/>
          <w:szCs w:val="24"/>
        </w:rPr>
        <w:t>h</w:t>
      </w:r>
      <w:r w:rsidR="00FF75B2">
        <w:rPr>
          <w:rFonts w:ascii="Times New Roman" w:eastAsia="Times New Roman" w:hAnsi="Times New Roman" w:cs="Times New Roman"/>
          <w:color w:val="000000"/>
          <w:sz w:val="24"/>
          <w:szCs w:val="24"/>
        </w:rPr>
        <w:t>00</w:t>
      </w:r>
      <w:r w:rsidR="00E040CE">
        <w:rPr>
          <w:rFonts w:ascii="Times New Roman" w:eastAsia="Times New Roman" w:hAnsi="Times New Roman" w:cs="Times New Roman"/>
          <w:color w:val="000000"/>
          <w:sz w:val="24"/>
          <w:szCs w:val="24"/>
        </w:rPr>
        <w:t>min</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0344FF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w:t>
      </w:r>
      <w:r w:rsidR="00C9098E">
        <w:rPr>
          <w:rFonts w:ascii="Times New Roman" w:eastAsia="Times New Roman" w:hAnsi="Times New Roman" w:cs="Times New Roman"/>
          <w:color w:val="000000"/>
          <w:sz w:val="24"/>
          <w:szCs w:val="24"/>
        </w:rPr>
        <w:t xml:space="preserve">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715122">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00E60BF4" w:rsidR="005479A7" w:rsidRDefault="00187902"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9782F">
        <w:rPr>
          <w:rFonts w:ascii="Times New Roman" w:hAnsi="Times New Roman" w:cs="Times New Roman"/>
          <w:b/>
          <w:color w:val="000000" w:themeColor="text1"/>
          <w:szCs w:val="20"/>
        </w:rPr>
        <w:t>Contratação de empresa especializada para a prestação de serviços de capacitação, treinamento e aperfeiçoamento profissional, destinados aos servidores e colaboradores dos diversos da área da saúde do Município de Governador Edison Lobão- MA, abrangendo atividades teóricas e práticas voltadas à atualização de conhecimentos, desenvolvimento de competência técnicas, qualificação do atendimento e aprimoramento dos serviços prestados à população, em consonância com as diretrizes do Sistema Único de Saúde (SUS)</w:t>
      </w:r>
      <w:r w:rsidR="00922619">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conforme condições, quantidades e exigências estabelecidas neste Edital e seus anexos</w:t>
      </w:r>
      <w:r w:rsidR="009724C3">
        <w:rPr>
          <w:rFonts w:ascii="Times New Roman" w:eastAsia="Times New Roman" w:hAnsi="Times New Roman" w:cs="Times New Roman"/>
          <w:color w:val="000000"/>
          <w:sz w:val="24"/>
          <w:szCs w:val="24"/>
        </w:rPr>
        <w:t>;</w:t>
      </w:r>
    </w:p>
    <w:p w14:paraId="32B2FB9C" w14:textId="1B665D6C" w:rsidR="00110CC6" w:rsidRPr="00271C29" w:rsidRDefault="00271C29"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271C29">
        <w:rPr>
          <w:rFonts w:ascii="Times New Roman" w:hAnsi="Times New Roman" w:cs="Times New Roman"/>
          <w:sz w:val="24"/>
          <w:szCs w:val="24"/>
        </w:rPr>
        <w:t>A contratação visa promover a qualificação técnica dos profissionais da saúde, garantindo melhoria na qualidade dos serviços prestados à população</w:t>
      </w:r>
      <w:r w:rsidR="009724C3" w:rsidRPr="00271C29">
        <w:rPr>
          <w:rFonts w:ascii="Times New Roman" w:eastAsia="Times New Roman" w:hAnsi="Times New Roman" w:cs="Times New Roman"/>
          <w:color w:val="000000"/>
          <w:sz w:val="24"/>
          <w:szCs w:val="24"/>
        </w:rPr>
        <w:t>;</w:t>
      </w:r>
    </w:p>
    <w:p w14:paraId="51713B5E" w14:textId="75088CF1" w:rsidR="005479A7" w:rsidRDefault="00265D2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licitação será </w:t>
      </w:r>
      <w:r w:rsidR="00FF3B77">
        <w:rPr>
          <w:rFonts w:ascii="Times New Roman" w:eastAsia="Times New Roman" w:hAnsi="Times New Roman" w:cs="Times New Roman"/>
          <w:color w:val="000000"/>
          <w:sz w:val="24"/>
          <w:szCs w:val="24"/>
        </w:rPr>
        <w:t xml:space="preserve">por </w:t>
      </w:r>
      <w:r w:rsidR="00271C29">
        <w:rPr>
          <w:rFonts w:ascii="Times New Roman" w:eastAsia="Times New Roman" w:hAnsi="Times New Roman" w:cs="Times New Roman"/>
          <w:color w:val="000000"/>
          <w:sz w:val="24"/>
          <w:szCs w:val="24"/>
        </w:rPr>
        <w:t>item</w:t>
      </w:r>
      <w:r>
        <w:rPr>
          <w:rFonts w:ascii="Times New Roman" w:eastAsia="Times New Roman" w:hAnsi="Times New Roman" w:cs="Times New Roman"/>
          <w:color w:val="000000"/>
          <w:sz w:val="24"/>
          <w:szCs w:val="24"/>
        </w:rPr>
        <w:t xml:space="preserve">, conforme tabela constante do </w:t>
      </w:r>
      <w:r w:rsidR="00FF3B77">
        <w:rPr>
          <w:rFonts w:ascii="Times New Roman" w:eastAsia="Times New Roman" w:hAnsi="Times New Roman" w:cs="Times New Roman"/>
          <w:color w:val="000000"/>
          <w:sz w:val="24"/>
          <w:szCs w:val="24"/>
        </w:rPr>
        <w:t>Termo de Referência</w:t>
      </w:r>
      <w:r>
        <w:rPr>
          <w:rFonts w:ascii="Times New Roman" w:eastAsia="Times New Roman" w:hAnsi="Times New Roman" w:cs="Times New Roman"/>
          <w:color w:val="000000"/>
          <w:sz w:val="24"/>
          <w:szCs w:val="24"/>
        </w:rPr>
        <w:t>.</w:t>
      </w:r>
    </w:p>
    <w:p w14:paraId="7FFF6893" w14:textId="63B83FE2" w:rsidR="005479A7" w:rsidRDefault="00265D2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critério de julgamento adotado será o Menor </w:t>
      </w:r>
      <w:r w:rsidR="0043145B">
        <w:rPr>
          <w:rFonts w:ascii="Times New Roman" w:eastAsia="Times New Roman" w:hAnsi="Times New Roman" w:cs="Times New Roman"/>
          <w:color w:val="000000"/>
          <w:sz w:val="24"/>
          <w:szCs w:val="24"/>
        </w:rPr>
        <w:t>Preço por</w:t>
      </w:r>
      <w:r w:rsidR="00FF3B77">
        <w:rPr>
          <w:rFonts w:ascii="Times New Roman" w:eastAsia="Times New Roman" w:hAnsi="Times New Roman" w:cs="Times New Roman"/>
          <w:color w:val="000000"/>
          <w:sz w:val="24"/>
          <w:szCs w:val="24"/>
        </w:rPr>
        <w:t xml:space="preserve"> item</w:t>
      </w:r>
      <w:r>
        <w:rPr>
          <w:rFonts w:ascii="Times New Roman" w:eastAsia="Times New Roman" w:hAnsi="Times New Roman" w:cs="Times New Roman"/>
          <w:color w:val="000000"/>
          <w:sz w:val="24"/>
          <w:szCs w:val="24"/>
        </w:rPr>
        <w:t>, observadas as exigências contidas neste Edital e seus Anexos.</w:t>
      </w:r>
    </w:p>
    <w:p w14:paraId="2E77BB16" w14:textId="77777777" w:rsidR="00E040CE" w:rsidRDefault="00E040CE" w:rsidP="00715122">
      <w:pPr>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F8D1778" w14:textId="425109BE" w:rsidR="0043145B" w:rsidRPr="00E040CE"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E040CE">
        <w:rPr>
          <w:rFonts w:ascii="Times New Roman" w:eastAsia="Times New Roman" w:hAnsi="Times New Roman" w:cs="Times New Roman"/>
          <w:b/>
          <w:color w:val="000000"/>
          <w:sz w:val="24"/>
          <w:szCs w:val="24"/>
        </w:rPr>
        <w:t>2. DA PARTICIPAÇÃO NA LICITAÇÃO</w:t>
      </w:r>
    </w:p>
    <w:p w14:paraId="12CA3EB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 A Participação na licitação importa em total, irrestrita e irretratável submissão das licitantes proponentes às condições deste edital;</w:t>
      </w:r>
    </w:p>
    <w:p w14:paraId="73D5EB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B647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F0906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2.4. A não observância do disposto no item anterior poderá ensejar desclassificação no momento da habilitação.</w:t>
      </w:r>
    </w:p>
    <w:p w14:paraId="76E1920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2.5. Será concedido tratamento favorecido para as microempresas e empresas de pequeno porte, para o agricultor familiar, o produtor rural pessoa física e para o </w:t>
      </w:r>
      <w:proofErr w:type="spellStart"/>
      <w:r w:rsidRPr="0043145B">
        <w:rPr>
          <w:rFonts w:ascii="Times New Roman" w:eastAsia="Times New Roman" w:hAnsi="Times New Roman" w:cs="Times New Roman"/>
          <w:color w:val="000000"/>
          <w:sz w:val="24"/>
          <w:szCs w:val="24"/>
        </w:rPr>
        <w:lastRenderedPageBreak/>
        <w:t>microempreendedor</w:t>
      </w:r>
      <w:proofErr w:type="spellEnd"/>
      <w:r w:rsidRPr="0043145B">
        <w:rPr>
          <w:rFonts w:ascii="Times New Roman" w:eastAsia="Times New Roman" w:hAnsi="Times New Roman" w:cs="Times New Roman"/>
          <w:color w:val="000000"/>
          <w:sz w:val="24"/>
          <w:szCs w:val="24"/>
        </w:rPr>
        <w:t xml:space="preserve"> individual - MEI, nos limites previstos da Lei Complementar nº 123, de 2006 e do Decreto n.º 10.273, de 2020.</w:t>
      </w:r>
    </w:p>
    <w:p w14:paraId="46AB9D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 Não poderão disputar esta licitação:</w:t>
      </w:r>
    </w:p>
    <w:p w14:paraId="40BDE0D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2.6.1 aquele que não atenda às condições deste Edital e seu(s) anexo(s);</w:t>
      </w:r>
    </w:p>
    <w:p w14:paraId="4F67AAD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2.6.2 autor do anteprojeto ou do projeto executivo, pessoa física ou jurídica, quando a licitação versar sobre serviços ou fornecimento de bens a ele relacionados;</w:t>
      </w:r>
    </w:p>
    <w:p w14:paraId="5710E06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2.6.3 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7EA0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2.6.4 pessoa física ou jurídica que se encontre, ao tempo da licitação, impossibilitada de participar da licitação em decorrência de sanção que lhe foi imposta;</w:t>
      </w:r>
    </w:p>
    <w:p w14:paraId="3DEF4F3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BF3C5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2.6.6 empresas controladoras, controladas ou coligadas, nos termos da Lei nº 6.404, de 15 de dezembro de 1976, concorrendo entre si;</w:t>
      </w:r>
    </w:p>
    <w:p w14:paraId="637A880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17E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2.6.8 agente público do órgão ou entidade licitante;</w:t>
      </w:r>
    </w:p>
    <w:p w14:paraId="100FE4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2.6.9 pessoas jurídicas reunidas em consórcio;</w:t>
      </w:r>
    </w:p>
    <w:p w14:paraId="4CCCEE3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43145B">
        <w:rPr>
          <w:rFonts w:ascii="Times New Roman" w:eastAsia="Times New Roman" w:hAnsi="Times New Roman" w:cs="Times New Roman"/>
          <w:color w:val="000000"/>
          <w:sz w:val="24"/>
          <w:szCs w:val="24"/>
        </w:rPr>
        <w:t>2.6.10 Organizações</w:t>
      </w:r>
      <w:proofErr w:type="gramEnd"/>
      <w:r w:rsidRPr="0043145B">
        <w:rPr>
          <w:rFonts w:ascii="Times New Roman" w:eastAsia="Times New Roman" w:hAnsi="Times New Roman" w:cs="Times New Roman"/>
          <w:color w:val="000000"/>
          <w:sz w:val="24"/>
          <w:szCs w:val="24"/>
        </w:rPr>
        <w:t xml:space="preserve"> da Sociedade Civil de Interesse Público - OSCIP, atuando nessa condição;</w:t>
      </w:r>
    </w:p>
    <w:p w14:paraId="6CDCC48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9º da Lei nº 14.133, de 2021.</w:t>
      </w:r>
    </w:p>
    <w:p w14:paraId="6C6D0AA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2.8. Não poderá participar 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14:paraId="2E3E496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2.9. A critério da Administração e exclusivamente a seu serviço, o autor dos projetos poderá participar no apoio das atividades de planejamento da contratação, de execução da licitação ou de gestão do contrato, desde que sob supervisão exclusiva de agentes públicos do órgão ou entidade.</w:t>
      </w:r>
    </w:p>
    <w:p w14:paraId="2693298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2.10. Equiparam-se aos autores do projeto as empresas integrantes do mesmo grupo econômico.</w:t>
      </w:r>
    </w:p>
    <w:p w14:paraId="76ACAE2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2.11. O disposto anteriormente não impede a licitação ou a contratação de serviço que inclua como encargo do contratado a elaboração do termo de referência e do projeto executivo, nas contratações integradas, e do projeto executivo, nos demais regimes de execução.</w:t>
      </w:r>
    </w:p>
    <w:p w14:paraId="59A1078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2.12. Em licitações e contratações realizadas no âmbito de projetos e programas parcialmente financiados por agência oficial de cooperação estrangeira ou por organismo financeiro internacional com recursos do financiamento ou da contrapartida </w:t>
      </w:r>
      <w:r w:rsidRPr="0043145B">
        <w:rPr>
          <w:rFonts w:ascii="Times New Roman" w:eastAsia="Times New Roman" w:hAnsi="Times New Roman" w:cs="Times New Roman"/>
          <w:color w:val="000000"/>
          <w:sz w:val="24"/>
          <w:szCs w:val="24"/>
        </w:rPr>
        <w:lastRenderedPageBreak/>
        <w:t>nacional, não poderá participar pessoa física ou jurídica que integre o rol de pessoas sancionadas por essas entidades ou que seja declarada inidônea nos termos da Lei nº 14.133/2021.</w:t>
      </w:r>
    </w:p>
    <w:p w14:paraId="11AA69F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2.13. A vedação de que trata o item anterior estende-se a terceiro que auxilie a condução da contratação na qualidade de integrante de equipe de apoio, profissional especializado ou funcionário ou representante de empresa que preste assessoria técnica.</w:t>
      </w:r>
    </w:p>
    <w:p w14:paraId="3A6A1E0B"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3. DA APRESENTAÇÃO DA PROPOSTA E DOS DOCUMENTOS DE HABILITAÇÃO</w:t>
      </w:r>
    </w:p>
    <w:p w14:paraId="140F59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D70A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 Os licitantes encaminharão, exclusivamente por meio do sistema eletrônico, a proposta com o menor preço, até a data e o horário estabelecidos para abertura da sessão pública.</w:t>
      </w:r>
    </w:p>
    <w:p w14:paraId="73BBC49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 No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inicial, o licitante declarará, em campo próprio do sistema, que:</w:t>
      </w:r>
    </w:p>
    <w:p w14:paraId="0571D6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2FB0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3.2.2 não emprega menor de 18 anos em trabalho noturno, perigoso ou insalubre e não emprega menor de 16 anos, salvo menor, a partir de 14 anos, na condição de aprendiz, nos termos do artigo 7°, XXXIII, da Constituição;</w:t>
      </w:r>
    </w:p>
    <w:p w14:paraId="6F8E92F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3.2.3 não possui empregados executando trabalho degradante ou forçado, observando o disposto nos incisos III e IV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1º e no inciso III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Constituição Federal;</w:t>
      </w:r>
    </w:p>
    <w:p w14:paraId="4BA9E99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3.2.4 cumpre as exigências de reserva de cargos para pessoa com deficiência e para reabilitado da Previdência Social, previstas em lei e em outras normas específicas.</w:t>
      </w:r>
    </w:p>
    <w:p w14:paraId="5074606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3.3. O licitante organizado em cooperativa deverá declarar, ainda, em campo próprio do sistema eletrônico, que cumpre os requisitos estabelecidos no artigo 16 da Lei nº 14.133, de 2021.</w:t>
      </w:r>
    </w:p>
    <w:p w14:paraId="1BA297D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xml:space="preserve">. 42 a 49, observado o disposto nos §§ 1º ao 3º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4º, da Lei n.º 14.133, de 2021.</w:t>
      </w:r>
    </w:p>
    <w:p w14:paraId="47A735A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3.5. No item exclusivo para participação de microempresas e empresas de pequeno porte, a assinalação do campo “não” impedirá o prosseguimento no certame, para aquele item;</w:t>
      </w:r>
    </w:p>
    <w:p w14:paraId="74C2CDE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3.6.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062805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3.7. A falsidade da declaração sujeitará o licitante às sanções previstas na Lei nº 14.133, de 2021, e neste Edital.</w:t>
      </w:r>
    </w:p>
    <w:p w14:paraId="0DE19C7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3.8. Os licitantes poderão retirar ou substituir a proposta até a abertura da sessão pública.</w:t>
      </w:r>
    </w:p>
    <w:p w14:paraId="233B35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3.9. Não haverá ordem de classificação na etapa de apresentação da proposta e dos documentos de habilitação pelo licitante, o que ocorrerá somente após os procedimentos de abertura da sessão pública e da fase de envio de lances.</w:t>
      </w:r>
    </w:p>
    <w:p w14:paraId="31860D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3.10. Serão disponibilizados para acesso público os documentos que compõem a proposta dos licitantes convocados para apresentação de propostas, após a fase de envio de lances.</w:t>
      </w:r>
    </w:p>
    <w:p w14:paraId="7EC68C2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3.11. Desde que disponibilizada a funcionalidade no sistema, o licitante poderá parametrizar o seu menor preço quando do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e obedecerá às seguintes regras:</w:t>
      </w:r>
    </w:p>
    <w:p w14:paraId="21FC38E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3.11.1 a aplicação do intervalo mínimo de diferença de valor entre os lances, que incidirá tanto em relação aos lances intermediários quanto em relação ao lance que cobrir a melhor oferta; e</w:t>
      </w:r>
    </w:p>
    <w:p w14:paraId="64206D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3.11.2 os lances serão de envio automático pelo sistema, respeitado o valor final mínimo, caso estabelecido, e o intervalo de que trata o subitem acima.</w:t>
      </w:r>
    </w:p>
    <w:p w14:paraId="4B1207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 O menor preço parametrizado no sistema poderá ser alterado pelo fornecedor durante a fase de disputa, sendo vedado:</w:t>
      </w:r>
    </w:p>
    <w:p w14:paraId="0DA5302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3.12.1 valor superior a lance já registrado pelo fornecedor no sistema, quando adotado o critério de julgamento por menor preço;</w:t>
      </w:r>
    </w:p>
    <w:p w14:paraId="1535050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0E0A7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3.14. O licitante deverá comunicar imediatamente ao provedor do sistema qualquer acontecimento que possa comprometer o sigilo ou a segurança, para imediato bloqueio de acesso.</w:t>
      </w:r>
    </w:p>
    <w:p w14:paraId="6BB3A6C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D7E4C9B" w14:textId="52A7077E"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4. DO PREENCHIMENTO DA PROPOSTA</w:t>
      </w:r>
    </w:p>
    <w:p w14:paraId="314DA3E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 O licitante deverá enviar sua proposta mediante o preenchimento, no sistema eletrônico, dos seguintes campos:</w:t>
      </w:r>
    </w:p>
    <w:p w14:paraId="0A96E88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4.1.1. Menor preço;</w:t>
      </w:r>
    </w:p>
    <w:p w14:paraId="5A647C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C0A4B4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4.2. Todas as especificações do objeto contidas na proposta vinculam o licitante.</w:t>
      </w:r>
    </w:p>
    <w:p w14:paraId="11F746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4.3. Nos valores propostos estarão inclusos todos os custos operacionais, encargos previdenciários, trabalhistas, tributários, comerciais e quaisquer outros que incidam direta ou indiretamente na execução do objeto.</w:t>
      </w:r>
    </w:p>
    <w:p w14:paraId="565B566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0FC2C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4.5. Se o regime tributário da empresa implicar o recolhimento de tributos em percentuais variáveis, a cotação adequada será a que corresponde à média dos efetivos recolhimentos da empresa nos últimos doze meses.</w:t>
      </w:r>
    </w:p>
    <w:p w14:paraId="3CB0400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4.6. Independentemente do percentual de tributo inserido na planilha, no pagamento serão retidos na fonte os percentuais estabelecidos na legislação vigente.</w:t>
      </w:r>
    </w:p>
    <w:p w14:paraId="50964B4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4.7. 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w:t>
      </w:r>
      <w:r w:rsidRPr="0043145B">
        <w:rPr>
          <w:rFonts w:ascii="Times New Roman" w:eastAsia="Times New Roman" w:hAnsi="Times New Roman" w:cs="Times New Roman"/>
          <w:color w:val="000000"/>
          <w:sz w:val="24"/>
          <w:szCs w:val="24"/>
        </w:rPr>
        <w:lastRenderedPageBreak/>
        <w:t>necessários, em quantidades e qualidades adequadas à perfeita execução contratual, promovendo, quando requerido, sua substituição.</w:t>
      </w:r>
    </w:p>
    <w:p w14:paraId="30D2B5B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4.8. O prazo de validade da proposta não será inferior a 60 (sessenta) dias, a contar da data de sua apresentação.</w:t>
      </w:r>
    </w:p>
    <w:p w14:paraId="1E92F06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4.9. Os licitantes devem respeitar os preços máximos estabelecidos nas normas de regência de contratações públicas federais, quando participarem de licitações públicas;</w:t>
      </w:r>
    </w:p>
    <w:p w14:paraId="061E342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71, inciso IX, da Constituição; ou condenação dos agentes públicos responsáveis e da empresa contratada ao pagamento dos prejuízos ao erário, caso verificada a ocorrência de superfaturamento por </w:t>
      </w:r>
      <w:proofErr w:type="spellStart"/>
      <w:r w:rsidRPr="0043145B">
        <w:rPr>
          <w:rFonts w:ascii="Times New Roman" w:eastAsia="Times New Roman" w:hAnsi="Times New Roman" w:cs="Times New Roman"/>
          <w:color w:val="000000"/>
          <w:sz w:val="24"/>
          <w:szCs w:val="24"/>
        </w:rPr>
        <w:t>sobrepreço</w:t>
      </w:r>
      <w:proofErr w:type="spellEnd"/>
      <w:r w:rsidRPr="0043145B">
        <w:rPr>
          <w:rFonts w:ascii="Times New Roman" w:eastAsia="Times New Roman" w:hAnsi="Times New Roman" w:cs="Times New Roman"/>
          <w:color w:val="000000"/>
          <w:sz w:val="24"/>
          <w:szCs w:val="24"/>
        </w:rPr>
        <w:t xml:space="preserve"> na execução do contrato.</w:t>
      </w:r>
    </w:p>
    <w:p w14:paraId="4FC2A81C"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26578397" w14:textId="06A3BD6F"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5. DA ABERTURA DA SESSÃO, CLASSIFICAÇÃO DAS PROPOSTAS E FORMULAÇÃO DE LANCES</w:t>
      </w:r>
    </w:p>
    <w:p w14:paraId="0660060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 A abertura da presente licitação dar-se-á automaticamente em sessão pública, por meio de sistema eletrônico, na data, horário e local indicados neste Edital.</w:t>
      </w:r>
    </w:p>
    <w:p w14:paraId="2CD33F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 Os licitantes poderão retirar ou substituir a proposta ou os documentos de habilitação, quando for o caso, anteriormente inseridos no sistema, até a abertura da sessão pública.</w:t>
      </w:r>
    </w:p>
    <w:p w14:paraId="3F3854B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 O sistema disponibilizará campo próprio para troca de mensagens entre o agente de contratação e os licitantes.</w:t>
      </w:r>
    </w:p>
    <w:p w14:paraId="6F15C4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5.4. Iniciada a etapa competitiva, os licitantes deverão encaminhar lances exclusivamente por meio de sistema eletrônico, sendo imediatamente informados do seu recebimento e do valor consignado no registro.</w:t>
      </w:r>
    </w:p>
    <w:p w14:paraId="311E2175" w14:textId="3B8956B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5.5. O lance deverá ser ofertado pelo valor</w:t>
      </w:r>
      <w:r w:rsidR="00271C29">
        <w:rPr>
          <w:rFonts w:ascii="Times New Roman" w:eastAsia="Times New Roman" w:hAnsi="Times New Roman" w:cs="Times New Roman"/>
          <w:color w:val="000000"/>
          <w:sz w:val="24"/>
          <w:szCs w:val="24"/>
        </w:rPr>
        <w:t xml:space="preserve"> unitário do item</w:t>
      </w:r>
      <w:r w:rsidRPr="0043145B">
        <w:rPr>
          <w:rFonts w:ascii="Times New Roman" w:eastAsia="Times New Roman" w:hAnsi="Times New Roman" w:cs="Times New Roman"/>
          <w:color w:val="000000"/>
          <w:sz w:val="24"/>
          <w:szCs w:val="24"/>
        </w:rPr>
        <w:t>.</w:t>
      </w:r>
    </w:p>
    <w:p w14:paraId="6BF6497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5.6. Os licitantes poderão oferecer lances sucessivos, observando o horário fixado para abertura da sessão e as regras estabelecidas no Edital.</w:t>
      </w:r>
    </w:p>
    <w:p w14:paraId="626D2A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5.7. O licitante somente poderá oferecer lance inferior ao último por ele ofertado e registrado pelo sistema.</w:t>
      </w:r>
    </w:p>
    <w:p w14:paraId="110099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5.8. O intervalo mínimo de diferença de valores entre os lances, que incidirá tanto em relação aos lances intermediários quanto em relação à proposta que cobrir a melhor oferta deverá ser de R$ 0,10 (zero inteiro e dez centavos).</w:t>
      </w:r>
    </w:p>
    <w:p w14:paraId="5EFC1CD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5.9. O licitante poderá, uma única vez, excluir seu último lance ofertado, no intervalo de quinze segundos após o registro no sistema, na hipótese de lance inconsistente ou inexequível.</w:t>
      </w:r>
    </w:p>
    <w:p w14:paraId="08EBB9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5.10. O procedimento seguirá de acordo com o modo de disputa adotado.</w:t>
      </w:r>
    </w:p>
    <w:p w14:paraId="563B293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5.11. Será adotado o modo de disputa “aberto”, os licitantes apresentarão lances públicos e sucessivos, com prorrogações.</w:t>
      </w:r>
    </w:p>
    <w:p w14:paraId="36A8597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5.12. A etapa de lances da sessão pública terá duração de dez minutos e, após isso, será prorrogada automaticamente pelo sistema quando houver lance ofertado nos últimos dois minutos do período de duração da sessão pública.</w:t>
      </w:r>
    </w:p>
    <w:p w14:paraId="737D6FE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5.13. A prorrogação automática da etapa de lances, de que trata o subitem anterior, será de dois minutos e ocorrerá sucessivamente sempre que houver lances enviados nesse período de prorrogação, inclusive no caso de lances intermediários.</w:t>
      </w:r>
    </w:p>
    <w:p w14:paraId="2E3A5E1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5.14. Não havendo novos lances na forma estabelecida nos itens anteriores, a sessão pública encerrar-se-á automaticamente, e o sistema ordenará e divulgará os lances conforme a ordem final de classificação.</w:t>
      </w:r>
    </w:p>
    <w:p w14:paraId="103941C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5.15.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7F9C139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5.16. Após o reinício previsto no item supra, os licitantes serão convocados para apresentar lances intermediários.</w:t>
      </w:r>
    </w:p>
    <w:p w14:paraId="21A8E54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5.17. Não serão aceitos dois ou mais lances de mesmo valor, prevalecendo aquele que for recebido e registrado em primeiro lugar.</w:t>
      </w:r>
    </w:p>
    <w:p w14:paraId="6770585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5.18. Durante o transcurso da sessão pública, os licitantes serão informados, em tempo real, do valor do menor lance registrado, vedada a identificação do licitante.</w:t>
      </w:r>
    </w:p>
    <w:p w14:paraId="5BF8E38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5.19. No caso de desconexão com o agente de contratação, no decorrer da etapa competitiva da concorrência, o sistema eletrônico poderá permanecer acessível aos licitantes para a </w:t>
      </w:r>
      <w:proofErr w:type="spellStart"/>
      <w:r w:rsidRPr="0043145B">
        <w:rPr>
          <w:rFonts w:ascii="Times New Roman" w:eastAsia="Times New Roman" w:hAnsi="Times New Roman" w:cs="Times New Roman"/>
          <w:color w:val="000000"/>
          <w:sz w:val="24"/>
          <w:szCs w:val="24"/>
        </w:rPr>
        <w:t>recepção</w:t>
      </w:r>
      <w:proofErr w:type="spellEnd"/>
      <w:r w:rsidRPr="0043145B">
        <w:rPr>
          <w:rFonts w:ascii="Times New Roman" w:eastAsia="Times New Roman" w:hAnsi="Times New Roman" w:cs="Times New Roman"/>
          <w:color w:val="000000"/>
          <w:sz w:val="24"/>
          <w:szCs w:val="24"/>
        </w:rPr>
        <w:t xml:space="preserve"> dos lances.</w:t>
      </w:r>
    </w:p>
    <w:p w14:paraId="763CC2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5.20.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13EC4B2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5.21. Caso o licitante não apresente lances, concorrerá com o valor de sua proposta.</w:t>
      </w:r>
    </w:p>
    <w:p w14:paraId="6B0CE5D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5.22. Em relação a itens não exclusivos para participação de microempresas e empresas de pequeno porte, uma vez encerrada a etapa de lances, será efetivada a verificação automática, junto à Receita Federal, do porte da entidade empresarial.</w:t>
      </w:r>
    </w:p>
    <w:p w14:paraId="68DB84C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44 e 45 da Lei Complementar nº 123, de 2006, regulamentada pelo Decreto n° 10.273, de 2020.</w:t>
      </w:r>
    </w:p>
    <w:p w14:paraId="4881044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5.24. Nessas condições, as propostas de microempresas e empresas de pequeno porte que se encontrarem na faixa de até 5% (cinco por cento) acima da melhor proposta ou melhor lance serão consideradas empatadas com a primeira colocada.</w:t>
      </w:r>
    </w:p>
    <w:p w14:paraId="188E17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5.25.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1604F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5.26.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CA468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5.27.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FFD8F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5.28. Só poderá haver empate entre propostas iguais (não seguidas de lances), ou entre lances finais da fase fechada do modo de disputa aberto e fechado.</w:t>
      </w:r>
    </w:p>
    <w:p w14:paraId="69328F1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5.29. Havendo eventual empate entre propostas ou lances, o critério de desempate será aquele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60 da Lei nº 14.133, de 2021, nesta ordem:</w:t>
      </w:r>
    </w:p>
    <w:p w14:paraId="53A80A4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5.29.1. disputa final, hipótese em que os licitantes empatados poderão apresentar nova proposta em ato contínuo à classificação;</w:t>
      </w:r>
    </w:p>
    <w:p w14:paraId="709FCE2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5.29.2. avaliação do desempenho contratual prévio dos licitantes, para a qual deverão preferencialmente ser utilizados registros cadastrais para efeito de atesto de cumprimento de obrigações previstos nesta Lei;</w:t>
      </w:r>
    </w:p>
    <w:p w14:paraId="3DB40E5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5.29.3. desenvolvimento pelo licitante de ações de equidade entre homens e mulheres no ambiente de trabalho, conforme regulamento;</w:t>
      </w:r>
    </w:p>
    <w:p w14:paraId="3F96588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5.29.4. desenvolvimento pelo licitante de programa de integridade, conforme orientações dos órgãos de controle.</w:t>
      </w:r>
    </w:p>
    <w:p w14:paraId="05CDF1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 Persistindo o empate, será assegurada preferência, sucessivamente, aos bens e serviços produzidos ou prestados por:</w:t>
      </w:r>
    </w:p>
    <w:p w14:paraId="48C5143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637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5.30.2. empresas brasileiras;</w:t>
      </w:r>
    </w:p>
    <w:p w14:paraId="42A3BE2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5.30.3. empresas que invistam em pesquisa e no desenvolvimento de tecnologia no País;</w:t>
      </w:r>
    </w:p>
    <w:p w14:paraId="1EC338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5.30.4. empresas que comprovem a prática de mitigação, nos termos da Lei nº 12.187, de 29 de dezembro de 2009.</w:t>
      </w:r>
    </w:p>
    <w:p w14:paraId="425BB89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5.31. Encerrada a etapa de envio de lances da sessão pública, na hipótese da proposta do primeiro colocado permanecer inferior ao desconto definido para a contratação, o agente de contratação poderá negociar condições mais vantajosas, após definido o resultado do julgamento.</w:t>
      </w:r>
    </w:p>
    <w:p w14:paraId="53C5E2E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9FAF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5.33. A negociação será realizada por meio do sistema, podendo ser acompanhada pelos demais licitantes.</w:t>
      </w:r>
    </w:p>
    <w:p w14:paraId="2E18242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5.34. O resultado da negociação será divulgado a todos os licitantes e anexado aos autos do processo licitatório.</w:t>
      </w:r>
    </w:p>
    <w:p w14:paraId="6F2FFF6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5.35. 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F65E95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5.36. É facultado ao agente de contratação prorrogar o prazo estabelecido, a partir de solicitação fundamentada feita no chat pelo licitante, antes de findo o prazo.</w:t>
      </w:r>
    </w:p>
    <w:p w14:paraId="0D5256D6"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5.37. Após a negociação do preço, o agente de contratação iniciará a fase de aceitação e julgamento da proposta.</w:t>
      </w:r>
      <w:bookmarkStart w:id="1" w:name="_heading=h.fy7e7c1avbmy" w:colFirst="0" w:colLast="0"/>
      <w:bookmarkEnd w:id="1"/>
    </w:p>
    <w:p w14:paraId="0B7D6D34"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152D9701"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6. DA FASE DE JULGAMENTO</w:t>
      </w:r>
    </w:p>
    <w:p w14:paraId="4CBB6697"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6CBDFA" w14:textId="1106CB8C" w:rsidR="0043145B" w:rsidRP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color w:val="000000"/>
          <w:sz w:val="24"/>
          <w:szCs w:val="24"/>
        </w:rPr>
        <w:t xml:space="preserve">6.1. Encerrada a etapa de negociação, o agente de contratação verificará se o licitante provisoriamente classificado em primeiro lugar atende às condições de participação no certame, conforme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14 da Lei nº 14.133/2021, legislação correlata, especialmente quanto à existência de sanção que impeça a participação no certame ou a futura contratação, mediante a consulta aos seguintes cadastros:</w:t>
      </w:r>
    </w:p>
    <w:p w14:paraId="57C0F25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 Cadastro Nacional de Empresas Inidôneas e Suspensas - CEIS, mantido pela Controladoria-Geral da União (https://www.portaltransparencia.gov.br/sancoes/ceis</w:t>
      </w:r>
    </w:p>
    <w:p w14:paraId="201CE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e</w:t>
      </w:r>
    </w:p>
    <w:p w14:paraId="0FCCCE4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 Cadastro Nacional de Empresas Punidas – CNEP, mantido pela Controladoria-Geral da União (https://www.portaltransparencia.gov.br/sancoes/cnep</w:t>
      </w:r>
    </w:p>
    <w:p w14:paraId="3F12700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4160AE8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6.4. A consulta aos cadastros será realizada em nome da empresa licitante e também de seu sócio majoritário, por força da vedação de que trata a Lei n° 14.230 de 2021.</w:t>
      </w:r>
    </w:p>
    <w:p w14:paraId="351395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6.5. Caso conste na Consulta de Situação do licitante a existência de Ocorrências Impeditivas Indiretas, o agente de contratação diligenciará para verificar se houve fraude por parte das empresas apontadas no Relatório de Ocorrências Impeditivas Indiretas.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29,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w:t>
      </w:r>
    </w:p>
    <w:p w14:paraId="4B602A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6.6. A tentativa de burla será verificada por meio dos vínculos societários, linhas de fornecimento similares, dentre outros.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§1º).</w:t>
      </w:r>
    </w:p>
    <w:p w14:paraId="434F9CC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6.7. O licitante será convocado para manifestação previamente a uma eventual desclassificação.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§2º).</w:t>
      </w:r>
    </w:p>
    <w:p w14:paraId="603F67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6.8. Constatada a existência de sanção, o licitante será reputado inabilitado, por falta de condição de participação.</w:t>
      </w:r>
    </w:p>
    <w:p w14:paraId="7B734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6.9. Caso o licitante provisoriamente classificado em primeiro lugar tenha se utilizado de algum tratamento favorecido às ME/</w:t>
      </w:r>
      <w:proofErr w:type="spellStart"/>
      <w:r w:rsidRPr="0043145B">
        <w:rPr>
          <w:rFonts w:ascii="Times New Roman" w:eastAsia="Times New Roman" w:hAnsi="Times New Roman" w:cs="Times New Roman"/>
          <w:color w:val="000000"/>
          <w:sz w:val="24"/>
          <w:szCs w:val="24"/>
        </w:rPr>
        <w:t>EPPs</w:t>
      </w:r>
      <w:proofErr w:type="spellEnd"/>
      <w:r w:rsidRPr="0043145B">
        <w:rPr>
          <w:rFonts w:ascii="Times New Roman" w:eastAsia="Times New Roman" w:hAnsi="Times New Roman" w:cs="Times New Roman"/>
          <w:color w:val="000000"/>
          <w:sz w:val="24"/>
          <w:szCs w:val="24"/>
        </w:rPr>
        <w:t>, o agente de contratação verificará se faz jus ao benefício.</w:t>
      </w:r>
    </w:p>
    <w:p w14:paraId="117509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6.10.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1FC42C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6.11. Será desclassificada a proposta vencedora que:</w:t>
      </w:r>
    </w:p>
    <w:p w14:paraId="5599F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6.12. contiver vícios insanáveis;</w:t>
      </w:r>
    </w:p>
    <w:p w14:paraId="0E058D8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6.13. não obedecer às especificações técnicas contidas no Projeto Básico;</w:t>
      </w:r>
    </w:p>
    <w:p w14:paraId="0612433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6.14. apresentar preços inexequíveis ou permanecerem acima do preço máximo definido para a contratação;</w:t>
      </w:r>
    </w:p>
    <w:p w14:paraId="05A955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6.15. não tiverem sua exequibilidade demonstrada, quando exigido pela Administração;</w:t>
      </w:r>
    </w:p>
    <w:p w14:paraId="4C306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6.16. apresentar desconformidade com quaisquer outras exigências deste Edital ou seus anexos, desde que insanável.</w:t>
      </w:r>
    </w:p>
    <w:p w14:paraId="78BD4F5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6.17. No caso de bens e serviços em geral, é indício de inexequibilidade das propostas valores inferiores a 50% (cinquenta por cento) do valor orçado pela Administração.</w:t>
      </w:r>
    </w:p>
    <w:p w14:paraId="119AAF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6.18. A inexequibilidade, na hipótese de que trata o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 só será considerada após diligência do agente de contratação, que comprove:</w:t>
      </w:r>
    </w:p>
    <w:p w14:paraId="765CDF3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6.19. que o custo do licitante ultrapassa o valor da proposta; e</w:t>
      </w:r>
    </w:p>
    <w:p w14:paraId="63EBD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6.20. inexistirem custos de oportunidade capazes de justificar o vulto da oferta.</w:t>
      </w:r>
    </w:p>
    <w:p w14:paraId="6AA145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6.21. Se houver indícios de inexequibilidade da proposta de preço, ou em caso da necessidade de esclarecimentos complementares, poderão ser efetuadas diligências, para que a empresa comprove a exequibilidade da proposta.</w:t>
      </w:r>
    </w:p>
    <w:p w14:paraId="47FE74D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6.22. Caso o custo global estimado do objeto licitado tenha sido decomposto em seus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valores adequados ao valor final da sua proposta, sob pena de não aceitação da proposta.</w:t>
      </w:r>
    </w:p>
    <w:p w14:paraId="07D4AF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6.23.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69FE1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6.24. O ajuste de que trata este dispositivo se limita a sanar erros ou falhas que não alterem a substância das propostas;</w:t>
      </w:r>
    </w:p>
    <w:p w14:paraId="4E45299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6.25. Considera-se erro no preenchimento da planilha passível de correção a indicação de recolhimento de impostos e contribuições na forma do Simples Nacional, quando não cabível esse regime.</w:t>
      </w:r>
    </w:p>
    <w:p w14:paraId="4E598E6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6.26. Caso o Projeto Básico exija a apresentação de amostra, o licitante classificado em primeiro lugar deverá apresentá-la, conforme disciplinado no Projeto Básico, sob pena de não aceitação da proposta.</w:t>
      </w:r>
    </w:p>
    <w:p w14:paraId="5CB7D0C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6.27. Por meio de mensagem no sistema, será divulgado o local e horário de realização do procedimento para a avaliação das amostras, cuja presença será facultada a todos os interessados, incluindo os demais licitantes.</w:t>
      </w:r>
    </w:p>
    <w:p w14:paraId="12D0CB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6.28. Os resultados das avaliações serão divulgados por meio de mensagem no sistema.</w:t>
      </w:r>
    </w:p>
    <w:p w14:paraId="6F1C586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6.29. No caso de não haver entrega da amostra ou ocorrer atraso na entrega, sem justificativa aceita pelo agente de contratação, ou havendo entrega de amostra fora das especificações previstas neste Edital, a proposta do licitante será recusada.</w:t>
      </w:r>
    </w:p>
    <w:p w14:paraId="2D782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6.30. 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edital.</w:t>
      </w:r>
    </w:p>
    <w:p w14:paraId="763917A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95A545" w14:textId="78F21CE2" w:rsidR="00DF4316"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 DA FASE DE HABILITAÇÃO</w:t>
      </w:r>
    </w:p>
    <w:p w14:paraId="4091BF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 Os documentos previstos no Termo de Referência, necessários e suficientes para demonstrar a capacidade do licitante de realizar o objeto da licitação, serão exigidos para fins de habilitação, nos termos dos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6</w:t>
      </w:r>
      <w:bookmarkStart w:id="2" w:name="_GoBack"/>
      <w:bookmarkEnd w:id="2"/>
      <w:r w:rsidRPr="0043145B">
        <w:rPr>
          <w:rFonts w:ascii="Times New Roman" w:eastAsia="Times New Roman" w:hAnsi="Times New Roman" w:cs="Times New Roman"/>
          <w:color w:val="000000"/>
          <w:sz w:val="24"/>
          <w:szCs w:val="24"/>
        </w:rPr>
        <w:t>2 a 70 da Lei nº 14.133, de 2021.</w:t>
      </w:r>
    </w:p>
    <w:p w14:paraId="326EDD4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 A documentação exigida para fins de habilitação jurídica, fiscal, social e trabalhista e </w:t>
      </w:r>
      <w:proofErr w:type="spellStart"/>
      <w:r w:rsidRPr="0043145B">
        <w:rPr>
          <w:rFonts w:ascii="Times New Roman" w:eastAsia="Times New Roman" w:hAnsi="Times New Roman" w:cs="Times New Roman"/>
          <w:color w:val="000000"/>
          <w:sz w:val="24"/>
          <w:szCs w:val="24"/>
        </w:rPr>
        <w:t>econômico-financeira</w:t>
      </w:r>
      <w:proofErr w:type="spellEnd"/>
      <w:r w:rsidRPr="0043145B">
        <w:rPr>
          <w:rFonts w:ascii="Times New Roman" w:eastAsia="Times New Roman" w:hAnsi="Times New Roman" w:cs="Times New Roman"/>
          <w:color w:val="000000"/>
          <w:sz w:val="24"/>
          <w:szCs w:val="24"/>
        </w:rPr>
        <w:t xml:space="preserve"> poderá ser substituída pelo registro cadastral no SICAF.</w:t>
      </w:r>
    </w:p>
    <w:p w14:paraId="622C41E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7.3. Quando permitida a participação de empresas estrangeiras que não funcionem no País, as exigências de habilitação serão atendidas mediante documentos equivalentes, inicialmente apresentados em tradução livre.</w:t>
      </w:r>
    </w:p>
    <w:p w14:paraId="56E891C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7.4.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3145B">
        <w:rPr>
          <w:rFonts w:ascii="Times New Roman" w:eastAsia="Times New Roman" w:hAnsi="Times New Roman" w:cs="Times New Roman"/>
          <w:color w:val="000000"/>
          <w:sz w:val="24"/>
          <w:szCs w:val="24"/>
        </w:rPr>
        <w:t>consularizados</w:t>
      </w:r>
      <w:proofErr w:type="spellEnd"/>
      <w:r w:rsidRPr="0043145B">
        <w:rPr>
          <w:rFonts w:ascii="Times New Roman" w:eastAsia="Times New Roman" w:hAnsi="Times New Roman" w:cs="Times New Roman"/>
          <w:color w:val="000000"/>
          <w:sz w:val="24"/>
          <w:szCs w:val="24"/>
        </w:rPr>
        <w:t xml:space="preserve"> pelos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consulados ou embaixadas.</w:t>
      </w:r>
    </w:p>
    <w:p w14:paraId="332D8A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7.5. Os documentos exigidos para fins de habilitação poderão ser apresentados em original, por cópia autenticada ou por qualquer outro meio admitido por direito.</w:t>
      </w:r>
    </w:p>
    <w:p w14:paraId="751C0A5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7.6. Os documentos exigidos para fins de habilitação poderão ser substituídos por registro cadastral emitido por órgão ou entidade pública, desde que o registro tenha sido feito em obediência ao disposto na Lei nº 14.133/2021.</w:t>
      </w:r>
    </w:p>
    <w:p w14:paraId="4FC490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7.7. Será verificado se o licitante apresentou declaração de que atende aos requisitos de habilitação, e o declarante responderá pela veracidade das informações prestadas, na forma da lei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63, I, da Lei nº 14.133/2021).</w:t>
      </w:r>
    </w:p>
    <w:p w14:paraId="42F9BE1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FDCC2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8DA1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7.10. A verificação pelo agente de contratação, em sítios eletrônicos oficiais de órgãos e entidades emissores de certidões constitui meio legal de prova, para fins de habilitação.</w:t>
      </w:r>
    </w:p>
    <w:p w14:paraId="546E01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7.11. Os documentos exigidos para habilitação serão enviados por meio do sistema, em formato digital, no prazo de duas horas, prorrogável por igual período, contado da solicitação do agente de contratação.</w:t>
      </w:r>
    </w:p>
    <w:p w14:paraId="1B458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7.12. Os documentos relativos à regularidade fiscal somente serão exigidos, em qualquer caso, em momento posterior ao julgamento das propostas, e apenas do licitante mais bem classificado.</w:t>
      </w:r>
    </w:p>
    <w:p w14:paraId="54B8B7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7.13. Após a entrega dos documentos para habilitação, não será permitida a substituição ou a apresentação de novos documentos, salvo em sede de diligência, para (Lei 14.133/21,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64, e IN 73/2022,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39, §4º):</w:t>
      </w:r>
    </w:p>
    <w:p w14:paraId="4D59754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7.14. complementação de informações acerca dos documentos já apresentados pelos licitantes e desde que necessária para apurar fatos existentes à época da abertura do certame; e</w:t>
      </w:r>
    </w:p>
    <w:p w14:paraId="7BF5C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7.15. atualização de documentos cuja validade tenha expirado após a data de recebimento das propostas;</w:t>
      </w:r>
    </w:p>
    <w:p w14:paraId="1EDCE4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B43B9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7.17. Na hipótese de o licitante não atender às exigências para habilitação, o agente de contratação examinará a proposta subsequente e assim sucessivamente, na ordem de classificação, até a apuração de uma proposta que atenda ao presente edital.</w:t>
      </w:r>
    </w:p>
    <w:p w14:paraId="103F12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7.18. Somente serão disponibilizados para acesso público os documentos de habilitação do licitante cuja proposta atenda ao edital de licitação, após concluídos os procedimentos de que trata o subitem anterior.</w:t>
      </w:r>
    </w:p>
    <w:p w14:paraId="5EBA8A2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18BA4C" w14:textId="71125372"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7.19. HABILITAÇÃO JURÍDICA</w:t>
      </w:r>
    </w:p>
    <w:p w14:paraId="69AFE1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7.19.1. Pessoa física: cédula de identidade (RG) ou documento equivalente que, por força de lei, tenha validade para fins de identificação em todo o território nacional;</w:t>
      </w:r>
    </w:p>
    <w:p w14:paraId="1B59C2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7.19.2. Empresário individual: inscrição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w:t>
      </w:r>
    </w:p>
    <w:p w14:paraId="5D7689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7.19.3. </w:t>
      </w:r>
      <w:proofErr w:type="spellStart"/>
      <w:proofErr w:type="gram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w:t>
      </w:r>
      <w:proofErr w:type="gramEnd"/>
      <w:r w:rsidRPr="0043145B">
        <w:rPr>
          <w:rFonts w:ascii="Times New Roman" w:eastAsia="Times New Roman" w:hAnsi="Times New Roman" w:cs="Times New Roman"/>
          <w:color w:val="000000"/>
          <w:sz w:val="24"/>
          <w:szCs w:val="24"/>
        </w:rPr>
        <w:t xml:space="preserve"> - MEI: Certificado da Condição de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CCMEI, cuja aceitação ficará condicionada à verificação da autenticidade no sítio https://www.gov.br/empresas-e-negocios/pt-br/empreendedor</w:t>
      </w:r>
    </w:p>
    <w:p w14:paraId="2784C08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2AD9A44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7.19.4. 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w:t>
      </w:r>
      <w:proofErr w:type="gramStart"/>
      <w:r w:rsidRPr="0043145B">
        <w:rPr>
          <w:rFonts w:ascii="Times New Roman" w:eastAsia="Times New Roman" w:hAnsi="Times New Roman" w:cs="Times New Roman"/>
          <w:color w:val="000000"/>
          <w:sz w:val="24"/>
          <w:szCs w:val="24"/>
        </w:rPr>
        <w:t>sede, acompanhada</w:t>
      </w:r>
      <w:proofErr w:type="gramEnd"/>
      <w:r w:rsidRPr="0043145B">
        <w:rPr>
          <w:rFonts w:ascii="Times New Roman" w:eastAsia="Times New Roman" w:hAnsi="Times New Roman" w:cs="Times New Roman"/>
          <w:color w:val="000000"/>
          <w:sz w:val="24"/>
          <w:szCs w:val="24"/>
        </w:rPr>
        <w:t xml:space="preserve"> de documento comprobatório de seus administradores;</w:t>
      </w:r>
    </w:p>
    <w:p w14:paraId="7A80E1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71EC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7.19.6. Sociedade simples: inscrição do ato constitutivo no Registro Civil de Pessoas Jurídicas do local de sua sede, acompanhada de documento comprobatório de seus administradores;</w:t>
      </w:r>
    </w:p>
    <w:p w14:paraId="52446B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7.19.7. Filial, sucursal ou agência de sociedade simples ou empresária: inscrição do ato constitutivo da filial, sucursal ou agência da sociedade simples ou empresária, </w:t>
      </w:r>
      <w:proofErr w:type="spellStart"/>
      <w:r w:rsidRPr="0043145B">
        <w:rPr>
          <w:rFonts w:ascii="Times New Roman" w:eastAsia="Times New Roman" w:hAnsi="Times New Roman" w:cs="Times New Roman"/>
          <w:color w:val="000000"/>
          <w:sz w:val="24"/>
          <w:szCs w:val="24"/>
        </w:rPr>
        <w:t>respectivamente</w:t>
      </w:r>
      <w:proofErr w:type="spellEnd"/>
      <w:r w:rsidRPr="0043145B">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p>
    <w:p w14:paraId="25E736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7.19.8. Sociedade cooperativa: ata de fundação e estatuto social, com a ata da assembleia que o aprovou, devidamente arquivado na Junta Comercial ou inscrito no Registro Civil das Pessoas Jurídicas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 além do registro de que trata 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107 da Lei nº 5.764, de 16 de dezembro 1971.</w:t>
      </w:r>
    </w:p>
    <w:p w14:paraId="32189B8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7.19.9. Os documentos apresentados deverão estar acompanhados de todas as alterações.</w:t>
      </w:r>
    </w:p>
    <w:p w14:paraId="75143E7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BE6676" w14:textId="3D18877B"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7.20. HABILITAÇÃO FISCAL, SOCIAL E TRABALHISTA</w:t>
      </w:r>
    </w:p>
    <w:p w14:paraId="456D7E5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7.20.1. Prova de inscrição no Cadastro Nacional de Pessoas Jurídicas ou no Cadastro de Pessoas Físicas, conforme o caso;</w:t>
      </w:r>
    </w:p>
    <w:p w14:paraId="149539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CA13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7.20.3. Prova de regularidade com o Fundo de Garantia do Tempo de Serviço (FGTS);</w:t>
      </w:r>
    </w:p>
    <w:p w14:paraId="525BC33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5DC08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7.20.5. Prova de inscrição no cadastro de contribuintes Estadual e Municipal relativo ao domicílio ou sede do fornecedor, pertinente ao seu ramo de atividade e compatível com o objeto contratual;</w:t>
      </w:r>
    </w:p>
    <w:p w14:paraId="18B075F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7.20.6. Prova de regularidade com a Fazenda Estadual e Municipal do domicílio ou sede do fornecedor, relativa à atividade em cujo exercício contrata ou concorre;</w:t>
      </w:r>
    </w:p>
    <w:p w14:paraId="44AADDB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7.20.7. Caso o fornecedor seja considerado isento dos tributos Estadual e Municipal relacionados ao objeto contratual, deverá comprovar tal condição mediante a apresentação de declaração da Fazenda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do seu domicílio ou sede, ou outra equivalente, na forma da lei.</w:t>
      </w:r>
    </w:p>
    <w:p w14:paraId="6A08DD3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7.20.8. O fornecedor enquadrado como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711C87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6EBEB27" w14:textId="48E966C6"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7.21. QUALIFICAÇÃO ECONÔMICO-FINANCEIRA</w:t>
      </w:r>
    </w:p>
    <w:p w14:paraId="53A91E5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7.21.1. 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 ou recuperação judicial homologada por juiz competente.</w:t>
      </w:r>
    </w:p>
    <w:p w14:paraId="19FDF47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7.21.2. 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69, inciso I da Lei 14.133/2021, comprovando;</w:t>
      </w:r>
    </w:p>
    <w:p w14:paraId="3E97E1D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7.21.3. índices de Liquidez Geral (LG), Liquidez Corrente (LC), e Solvência Geral (SG) superiores a 1 (um);</w:t>
      </w:r>
    </w:p>
    <w:p w14:paraId="63C04E9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7.21.4. As empresas criadas no exercício financeiro da licitação deverão atender a todas as exigências da habilitação e poderão substituir os demonstrativos contábeis pelo balanço de abertura.</w:t>
      </w:r>
    </w:p>
    <w:p w14:paraId="63950F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7.21.5. Os documentos referidos acima limitar-se-ão ao último exercício no caso de a pessoa jurídica ter sido constituída há menos de 2 (dois) anos;</w:t>
      </w:r>
    </w:p>
    <w:p w14:paraId="6875889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7.21.6. Os documentos referidos acima deverão ser exigidos com base no limite definido pela Receita Federal do Brasil para transmissão da Escrituração Contábil Digital - ECD ao </w:t>
      </w:r>
      <w:proofErr w:type="spellStart"/>
      <w:r w:rsidRPr="0043145B">
        <w:rPr>
          <w:rFonts w:ascii="Times New Roman" w:eastAsia="Times New Roman" w:hAnsi="Times New Roman" w:cs="Times New Roman"/>
          <w:color w:val="000000"/>
          <w:sz w:val="24"/>
          <w:szCs w:val="24"/>
        </w:rPr>
        <w:t>Sped</w:t>
      </w:r>
      <w:proofErr w:type="spellEnd"/>
      <w:r w:rsidRPr="0043145B">
        <w:rPr>
          <w:rFonts w:ascii="Times New Roman" w:eastAsia="Times New Roman" w:hAnsi="Times New Roman" w:cs="Times New Roman"/>
          <w:color w:val="000000"/>
          <w:sz w:val="24"/>
          <w:szCs w:val="24"/>
        </w:rPr>
        <w:t>.</w:t>
      </w:r>
    </w:p>
    <w:p w14:paraId="00052FD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7.21.7.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092D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7.21.8. As empresas criadas no exercício financeiro da licitação deverão atender a todas as exigências da habilitação e poderão substituir os demonstrativos contábeis pelo balanço de abertura. (Lei nº 14.133, de 2021,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65, §1º).</w:t>
      </w:r>
    </w:p>
    <w:p w14:paraId="15119B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6F3A24E" w14:textId="739F7F73"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7.22. QUALIFICAÇÃO TÉCNICA</w:t>
      </w:r>
    </w:p>
    <w:p w14:paraId="4C3CF2EE" w14:textId="77777777" w:rsidR="00715122" w:rsidRPr="00715122" w:rsidRDefault="0043145B" w:rsidP="00715122">
      <w:pPr>
        <w:spacing w:line="276" w:lineRule="auto"/>
        <w:ind w:left="284" w:right="-5"/>
        <w:jc w:val="both"/>
        <w:rPr>
          <w:rFonts w:ascii="Times New Roman" w:hAnsi="Times New Roman" w:cs="Times New Roman"/>
          <w:sz w:val="24"/>
          <w:szCs w:val="24"/>
        </w:rPr>
      </w:pPr>
      <w:r w:rsidRPr="00715122">
        <w:rPr>
          <w:rFonts w:ascii="Times New Roman" w:eastAsia="Times New Roman" w:hAnsi="Times New Roman" w:cs="Times New Roman"/>
          <w:color w:val="000000"/>
          <w:sz w:val="24"/>
          <w:szCs w:val="24"/>
        </w:rPr>
        <w:t xml:space="preserve">7.22.1. </w:t>
      </w:r>
      <w:r w:rsidR="00715122" w:rsidRPr="00715122">
        <w:rPr>
          <w:rFonts w:ascii="Times New Roman" w:hAnsi="Times New Roman" w:cs="Times New Roman"/>
          <w:sz w:val="24"/>
          <w:szCs w:val="24"/>
        </w:rPr>
        <w:t>Para fins de habilitação, a empresa interessada deverá comprovar qualificação técnica compatível com o objeto da contratação, mediante a apresentação dos seguintes documentos:</w:t>
      </w:r>
    </w:p>
    <w:p w14:paraId="0EDD4249" w14:textId="78BB807B" w:rsidR="00715122" w:rsidRPr="00715122" w:rsidRDefault="00715122" w:rsidP="00715122">
      <w:pPr>
        <w:spacing w:line="276" w:lineRule="auto"/>
        <w:ind w:left="284" w:right="-5"/>
        <w:jc w:val="both"/>
        <w:rPr>
          <w:rFonts w:ascii="Times New Roman" w:hAnsi="Times New Roman" w:cs="Times New Roman"/>
          <w:sz w:val="24"/>
          <w:szCs w:val="24"/>
          <w:lang w:val="pt-BR" w:eastAsia="pt-BR" w:bidi="ar-SA"/>
        </w:rPr>
      </w:pPr>
      <w:r w:rsidRPr="00715122">
        <w:rPr>
          <w:rFonts w:ascii="Times New Roman" w:hAnsi="Times New Roman" w:cs="Times New Roman"/>
          <w:sz w:val="24"/>
          <w:szCs w:val="24"/>
        </w:rPr>
        <w:t>Comprovação de aptidão técnica:</w:t>
      </w:r>
    </w:p>
    <w:p w14:paraId="59449321"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Atestado(s) de capacidade técnica, emitido(s) por pessoa jurídica de direito público ou privado, que comprove(m) a execução satisfatória de serviços compatíveis em características, quantidades e prazos com o objeto da presente contratação, relacionados à capacitação, treinamento e aperfeiçoamento profissional na área da saúde.</w:t>
      </w:r>
    </w:p>
    <w:p w14:paraId="36CD4410" w14:textId="65A59643" w:rsidR="00715122" w:rsidRPr="00715122" w:rsidRDefault="00715122" w:rsidP="00715122">
      <w:pPr>
        <w:spacing w:line="276" w:lineRule="auto"/>
        <w:ind w:left="284" w:right="-5"/>
        <w:jc w:val="both"/>
        <w:rPr>
          <w:rFonts w:ascii="Times New Roman" w:hAnsi="Times New Roman" w:cs="Times New Roman"/>
          <w:sz w:val="24"/>
          <w:szCs w:val="24"/>
        </w:rPr>
      </w:pPr>
      <w:r>
        <w:rPr>
          <w:rFonts w:ascii="Times New Roman" w:hAnsi="Times New Roman" w:cs="Times New Roman"/>
          <w:b/>
          <w:sz w:val="24"/>
          <w:szCs w:val="24"/>
        </w:rPr>
        <w:t>7.22.2-</w:t>
      </w:r>
      <w:r w:rsidRPr="00715122">
        <w:rPr>
          <w:rFonts w:ascii="Times New Roman" w:hAnsi="Times New Roman" w:cs="Times New Roman"/>
          <w:sz w:val="24"/>
          <w:szCs w:val="24"/>
        </w:rPr>
        <w:t>Equipe técnica qualificada:</w:t>
      </w:r>
    </w:p>
    <w:p w14:paraId="7BB8E2F0"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Comprovação de que dispõe de equipe técnica multidisciplinar, composta por profissionais qualificados e com experiência comprovada na área de saúde e/ou educação em saúde;</w:t>
      </w:r>
    </w:p>
    <w:p w14:paraId="7EE71C2D"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 xml:space="preserve">Apresentação de currículos dos instrutores, contendo formação acadêmica, registro </w:t>
      </w:r>
      <w:r w:rsidRPr="00715122">
        <w:rPr>
          <w:rFonts w:ascii="Times New Roman" w:hAnsi="Times New Roman" w:cs="Times New Roman"/>
          <w:sz w:val="24"/>
          <w:szCs w:val="24"/>
        </w:rPr>
        <w:lastRenderedPageBreak/>
        <w:t>profissional quando aplicável e experiência na realização de treinamentos e capacitações similares.</w:t>
      </w:r>
    </w:p>
    <w:p w14:paraId="0330E875" w14:textId="4C8C87D0" w:rsidR="00715122" w:rsidRPr="00715122" w:rsidRDefault="00715122" w:rsidP="00715122">
      <w:pPr>
        <w:spacing w:line="276" w:lineRule="auto"/>
        <w:ind w:left="284" w:right="-5"/>
        <w:jc w:val="both"/>
        <w:rPr>
          <w:rFonts w:ascii="Times New Roman" w:hAnsi="Times New Roman" w:cs="Times New Roman"/>
          <w:sz w:val="24"/>
          <w:szCs w:val="24"/>
        </w:rPr>
      </w:pPr>
      <w:r>
        <w:rPr>
          <w:rFonts w:ascii="Times New Roman" w:hAnsi="Times New Roman" w:cs="Times New Roman"/>
          <w:b/>
          <w:sz w:val="24"/>
          <w:szCs w:val="24"/>
        </w:rPr>
        <w:t>7.22.3-</w:t>
      </w:r>
      <w:r w:rsidRPr="00715122">
        <w:rPr>
          <w:rFonts w:ascii="Times New Roman" w:hAnsi="Times New Roman" w:cs="Times New Roman"/>
          <w:sz w:val="24"/>
          <w:szCs w:val="24"/>
        </w:rPr>
        <w:t xml:space="preserve"> Qualificação acadêmica e profissional:</w:t>
      </w:r>
    </w:p>
    <w:p w14:paraId="06527898"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Os instrutores deverão possuir, no mínimo, formação superior compatível com a área de atuação, sendo desejável especialização, residência ou experiência comprovada nas áreas específicas de ensino e prática em saúde.</w:t>
      </w:r>
    </w:p>
    <w:p w14:paraId="24E91984" w14:textId="74B12657" w:rsidR="00715122" w:rsidRPr="00715122" w:rsidRDefault="00715122" w:rsidP="00715122">
      <w:pPr>
        <w:spacing w:line="276" w:lineRule="auto"/>
        <w:ind w:left="284" w:right="-5"/>
        <w:jc w:val="both"/>
        <w:rPr>
          <w:rFonts w:ascii="Times New Roman" w:hAnsi="Times New Roman" w:cs="Times New Roman"/>
          <w:sz w:val="24"/>
          <w:szCs w:val="24"/>
        </w:rPr>
      </w:pPr>
      <w:r>
        <w:rPr>
          <w:rFonts w:ascii="Times New Roman" w:hAnsi="Times New Roman" w:cs="Times New Roman"/>
          <w:b/>
          <w:sz w:val="24"/>
          <w:szCs w:val="24"/>
        </w:rPr>
        <w:t>7.22.4-</w:t>
      </w:r>
      <w:r w:rsidRPr="00715122">
        <w:rPr>
          <w:rFonts w:ascii="Times New Roman" w:hAnsi="Times New Roman" w:cs="Times New Roman"/>
          <w:sz w:val="24"/>
          <w:szCs w:val="24"/>
        </w:rPr>
        <w:t xml:space="preserve"> Metodologia e conteúdo programático:</w:t>
      </w:r>
    </w:p>
    <w:p w14:paraId="1D84B390"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Apresentação de proposta metodológica contendo plano de trabalho, carga horária, conteúdo programático, estratégias de ensino (teóricas e práticas) e critérios de avaliação dos participantes.</w:t>
      </w:r>
    </w:p>
    <w:p w14:paraId="06E96502" w14:textId="37C93261"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Estrutura operacional:</w:t>
      </w:r>
    </w:p>
    <w:p w14:paraId="42D4B6B6"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Comprovação de capacidade para execução dos serviços, incluindo disponibilidade de recursos didáticos, materiais de apoio, equipamentos e, quando necessário, ambientes adequados para a realização das atividades práticas.</w:t>
      </w:r>
    </w:p>
    <w:p w14:paraId="7572300E" w14:textId="62D19E4D" w:rsidR="00715122" w:rsidRPr="00715122" w:rsidRDefault="00715122" w:rsidP="00715122">
      <w:pPr>
        <w:spacing w:line="276" w:lineRule="auto"/>
        <w:ind w:left="284" w:right="-5"/>
        <w:jc w:val="both"/>
        <w:rPr>
          <w:rFonts w:ascii="Times New Roman" w:hAnsi="Times New Roman" w:cs="Times New Roman"/>
          <w:sz w:val="24"/>
          <w:szCs w:val="24"/>
        </w:rPr>
      </w:pPr>
      <w:r>
        <w:rPr>
          <w:rFonts w:ascii="Times New Roman" w:hAnsi="Times New Roman" w:cs="Times New Roman"/>
          <w:b/>
          <w:sz w:val="24"/>
          <w:szCs w:val="24"/>
        </w:rPr>
        <w:t>7.22.5-</w:t>
      </w:r>
      <w:r w:rsidRPr="00715122">
        <w:rPr>
          <w:rFonts w:ascii="Times New Roman" w:hAnsi="Times New Roman" w:cs="Times New Roman"/>
          <w:sz w:val="24"/>
          <w:szCs w:val="24"/>
        </w:rPr>
        <w:t xml:space="preserve"> Regularidade junto aos órgãos competentes:</w:t>
      </w:r>
    </w:p>
    <w:p w14:paraId="614A6926" w14:textId="77777777" w:rsidR="00715122" w:rsidRPr="00715122" w:rsidRDefault="00715122" w:rsidP="00715122">
      <w:pPr>
        <w:spacing w:line="276" w:lineRule="auto"/>
        <w:ind w:left="284" w:right="-5"/>
        <w:jc w:val="both"/>
        <w:rPr>
          <w:rFonts w:ascii="Times New Roman" w:hAnsi="Times New Roman" w:cs="Times New Roman"/>
          <w:sz w:val="24"/>
          <w:szCs w:val="24"/>
        </w:rPr>
      </w:pPr>
      <w:r w:rsidRPr="00715122">
        <w:rPr>
          <w:rFonts w:ascii="Times New Roman" w:hAnsi="Times New Roman" w:cs="Times New Roman"/>
          <w:sz w:val="24"/>
          <w:szCs w:val="24"/>
        </w:rPr>
        <w:t xml:space="preserve">Quando aplicável, comprovação de registro ou credenciamento da empresa e/ou dos profissionais junto aos </w:t>
      </w:r>
      <w:proofErr w:type="spellStart"/>
      <w:r w:rsidRPr="00715122">
        <w:rPr>
          <w:rFonts w:ascii="Times New Roman" w:hAnsi="Times New Roman" w:cs="Times New Roman"/>
          <w:sz w:val="24"/>
          <w:szCs w:val="24"/>
        </w:rPr>
        <w:t>respectivos</w:t>
      </w:r>
      <w:proofErr w:type="spellEnd"/>
      <w:r w:rsidRPr="00715122">
        <w:rPr>
          <w:rFonts w:ascii="Times New Roman" w:hAnsi="Times New Roman" w:cs="Times New Roman"/>
          <w:sz w:val="24"/>
          <w:szCs w:val="24"/>
        </w:rPr>
        <w:t xml:space="preserve"> conselhos de classe ou órgãos reguladores.</w:t>
      </w:r>
    </w:p>
    <w:p w14:paraId="5E9497A9" w14:textId="77777777" w:rsidR="00715122" w:rsidRDefault="00715122" w:rsidP="00715122">
      <w:pPr>
        <w:spacing w:line="276" w:lineRule="auto"/>
        <w:ind w:left="284" w:right="-5"/>
        <w:jc w:val="both"/>
        <w:rPr>
          <w:rFonts w:ascii="Times New Roman" w:eastAsia="Times New Roman" w:hAnsi="Times New Roman" w:cs="Times New Roman"/>
          <w:b/>
          <w:color w:val="000000"/>
          <w:sz w:val="24"/>
          <w:szCs w:val="24"/>
        </w:rPr>
      </w:pPr>
    </w:p>
    <w:p w14:paraId="3770C8FD"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b/>
          <w:color w:val="000000"/>
          <w:sz w:val="24"/>
          <w:szCs w:val="24"/>
        </w:rPr>
        <w:t>7.23. DISPOSIÇÕES GERAIS DA HABILITAÇÃO</w:t>
      </w:r>
    </w:p>
    <w:p w14:paraId="07775EA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7.23.1. 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14:paraId="74CF556B"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7.23.2. Todos os documentos expedidos pela empresa deverão estar subscritos por seu representante legal ou procurador, com identificação clara do subscritor;</w:t>
      </w:r>
    </w:p>
    <w:p w14:paraId="41DFAC5A"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7.23.3. Os documentos emitidos via Internet serão conferidos pelo Pregoeiro ou sua equipe de apoio;</w:t>
      </w:r>
    </w:p>
    <w:p w14:paraId="05A27585"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218214C"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7.23.5. Caso a licitante pretenda que um de seus estabelecimentos, que não o participante desta licitação, execute o futuro contrato, deverá apresentar toda documentação de habilitação de ambos os estabelecimentos.</w:t>
      </w:r>
    </w:p>
    <w:p w14:paraId="2E80233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 xml:space="preserve">7.23.6. Todo e qualquer documento apresentado em língua estrangeira deverá estar acompanhado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tradução para o idioma pátrio, feita por tradutor público juramentado;</w:t>
      </w:r>
    </w:p>
    <w:p w14:paraId="3F6C7D53" w14:textId="757F44D2" w:rsidR="0043145B" w:rsidRP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7.23.7. Não serão aceitos documentos cujas datas e caracteres estejam ilegíveis ou rasurados de tal forma que não possam ser entendidos;</w:t>
      </w:r>
    </w:p>
    <w:p w14:paraId="4010BA5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7.23.8. Os documentos exigidos para habilitação não poderão, em hipótese alguma, ser substituídos por protocolos, que apenas configurem o seu requerimento, não podendo, ainda, ser remetidos posteriormente ao prazo fixado.</w:t>
      </w:r>
    </w:p>
    <w:p w14:paraId="5CC93F4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7F7BD32" w14:textId="487C9EEC"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9. DOS RECURSOS</w:t>
      </w:r>
    </w:p>
    <w:p w14:paraId="26221B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9.1. A interposição de recurso referente ao julgamento das propostas, à habilitação ou inabilitação de licitantes, à anulação ou revogação da licitação, observará o disposto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165 da Lei nº 14.133, de 2021.</w:t>
      </w:r>
    </w:p>
    <w:p w14:paraId="05926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9.2. O prazo </w:t>
      </w:r>
      <w:proofErr w:type="spellStart"/>
      <w:r w:rsidRPr="0043145B">
        <w:rPr>
          <w:rFonts w:ascii="Times New Roman" w:eastAsia="Times New Roman" w:hAnsi="Times New Roman" w:cs="Times New Roman"/>
          <w:color w:val="000000"/>
          <w:sz w:val="24"/>
          <w:szCs w:val="24"/>
        </w:rPr>
        <w:t>recursal</w:t>
      </w:r>
      <w:proofErr w:type="spellEnd"/>
      <w:r w:rsidRPr="0043145B">
        <w:rPr>
          <w:rFonts w:ascii="Times New Roman" w:eastAsia="Times New Roman" w:hAnsi="Times New Roman" w:cs="Times New Roman"/>
          <w:color w:val="000000"/>
          <w:sz w:val="24"/>
          <w:szCs w:val="24"/>
        </w:rPr>
        <w:t xml:space="preserve"> é de 3 (três) dias úteis, contados da data de intimação ou de lavratura da ata.</w:t>
      </w:r>
    </w:p>
    <w:p w14:paraId="5C7C288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 Quando o recurso apresentado impugnar o julgamento das propostas ou o ato de habilitação ou inabilitação do licitante:</w:t>
      </w:r>
    </w:p>
    <w:p w14:paraId="222B31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9.3.1. a intenção de recorrer deverá ser manifestada imediatamente, sob pena de preclusão;</w:t>
      </w:r>
    </w:p>
    <w:p w14:paraId="6E0BB5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9.3.2. o prazo para a manifestação da intenção de recorrer não será inferior a 10 (dez) minutos.</w:t>
      </w:r>
    </w:p>
    <w:p w14:paraId="52432F6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9.4. O prazo para apresentação das razões recursais será iniciado na data de intimação ou de lavratura da ata de habilitação ou inabilitação;</w:t>
      </w:r>
    </w:p>
    <w:p w14:paraId="767FA8A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9.5. Na hipótese de adoção da inversão de fases prevista no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17 da Lei nº 14.133, de 2021, o prazo para apresentação das razões recursais será iniciado na data de intimação da ata de julgamento.</w:t>
      </w:r>
    </w:p>
    <w:p w14:paraId="1A7563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9.6. Os recursos deverão ser encaminhados em campo próprio do sistema.</w:t>
      </w:r>
    </w:p>
    <w:p w14:paraId="248899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821C1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9.8. Os recursos interpostos fora do prazo não serão conhecidos.</w:t>
      </w:r>
    </w:p>
    <w:p w14:paraId="457CF33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8BD3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9.10. O recurso e o pedido de reconsideração terão efeito suspensivo do ato ou da decisão recorrida até que sobrevenha decisão final da autoridade competente.</w:t>
      </w:r>
    </w:p>
    <w:p w14:paraId="403D06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9.11. O acolhimento do recurso invalida tão somente os atos insuscetíveis de aproveitamento.</w:t>
      </w:r>
    </w:p>
    <w:p w14:paraId="003311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9.12. Os autos do processo permanecerão com vista franqueada aos interessados no sítio eletrônico https://transparencia.governadoredisonlobao.ma.gov.br/licitacoes</w:t>
      </w:r>
    </w:p>
    <w:p w14:paraId="4233F169" w14:textId="2E9E2423" w:rsid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3DD0F1C" w14:textId="52996815" w:rsidR="00A21B28"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3ACF55" w14:textId="77777777" w:rsidR="00A21B28" w:rsidRPr="0043145B"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C117A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10. DAS INFRAÇÕES ADMINISTRATIVAS E SANÇÕES</w:t>
      </w:r>
    </w:p>
    <w:p w14:paraId="53B5F12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5F0826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 Comete infração administrativa, nos termos da lei, o licitante que, com dolo ou culpa:</w:t>
      </w:r>
    </w:p>
    <w:p w14:paraId="76C7E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10.2. deixar de entregar a documentação exigida para o certame ou não entregar qualquer documento que tenha sido solicitado pelo agente de contratação durante o certame;</w:t>
      </w:r>
    </w:p>
    <w:p w14:paraId="6DF260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 salvo em decorrência de fato superveniente devidamente justificado, não mantiver a proposta, em especial quando:</w:t>
      </w:r>
    </w:p>
    <w:p w14:paraId="0672784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10.3.1. não enviar a proposta adequada ao último lance ofertado ou após a negociação;</w:t>
      </w:r>
    </w:p>
    <w:p w14:paraId="707D09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10.3.2. recusar-se a enviar o detalhamento da proposta quando exigível;</w:t>
      </w:r>
    </w:p>
    <w:p w14:paraId="07E7CE3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10.3.3. pedir para ser desclassificado quando encerrada a etapa competitiva; ou</w:t>
      </w:r>
    </w:p>
    <w:p w14:paraId="62DEF4B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10.3.4. deixar de apresentar amostra;</w:t>
      </w:r>
    </w:p>
    <w:p w14:paraId="1E5ED71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10.4. apresentar proposta ou amostra em desacordo com as especificações do edital;</w:t>
      </w:r>
    </w:p>
    <w:p w14:paraId="376D5EB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10.5. não celebrar o contrato ou não entregar a documentação exigida para a contratação, quando convocado dentro do prazo de validade de sua proposta;</w:t>
      </w:r>
    </w:p>
    <w:p w14:paraId="79D6C35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10.6. recusar-se, sem justificativa, a assinar o contrato, ou a aceitar ou retirar o instrumento equivalente no prazo estabelecido pela Administração;</w:t>
      </w:r>
    </w:p>
    <w:p w14:paraId="3F115B1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 apresentar declaração ou documentação falsa exigida para o certame ou prestar declaração falsa durante a licitação, fraudar a licitação, comportar-se de modo inidôneo ou cometer fraude de qualquer natureza, em especial quando:</w:t>
      </w:r>
    </w:p>
    <w:p w14:paraId="17E063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10.7.1. agir em conluio ou em desconformidade com a lei;</w:t>
      </w:r>
    </w:p>
    <w:p w14:paraId="1664CF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10.7.2. induzir deliberadamente a erro no julgamento;</w:t>
      </w:r>
    </w:p>
    <w:p w14:paraId="34860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10.7.3. apresentar amostra falsificada ou deteriorada;</w:t>
      </w:r>
    </w:p>
    <w:p w14:paraId="15986B1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10.8. praticar atos ilícitos com vistas a frustrar os objetivos da licitação;</w:t>
      </w:r>
    </w:p>
    <w:p w14:paraId="1351775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10.9. praticar ato lesivo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Lei n.º 12.846, de 2013.</w:t>
      </w:r>
    </w:p>
    <w:p w14:paraId="375B6B7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 Com fulcro na Lei nº 14.133, de 2021, a Administração poderá, garantida a prévia defesa, aplicar aos licitantes e/ou adjudicatários as seguintes sanções, sem prejuízo das responsabilidades civil e criminal:</w:t>
      </w:r>
    </w:p>
    <w:p w14:paraId="4935A2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10.10.1. advertência;</w:t>
      </w:r>
    </w:p>
    <w:p w14:paraId="2996719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10.10.2. multa;</w:t>
      </w:r>
    </w:p>
    <w:p w14:paraId="0B906F6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10.10.3. impedimento de licitar e contratar; e</w:t>
      </w:r>
    </w:p>
    <w:p w14:paraId="3F0F33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10.10.4.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452D7D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 Na aplicação das sanções serão considerados:</w:t>
      </w:r>
    </w:p>
    <w:p w14:paraId="7D23706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10.11.1. a natureza e a gravidade da infração cometida;</w:t>
      </w:r>
    </w:p>
    <w:p w14:paraId="539B21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10.11.2. as peculiaridades do caso concreto;</w:t>
      </w:r>
    </w:p>
    <w:p w14:paraId="015F9F3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10.11.3. as circunstâncias agravantes ou atenuantes;</w:t>
      </w:r>
    </w:p>
    <w:p w14:paraId="4C6A967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10.11.4. os danos que dela provierem para a Administração Pública;</w:t>
      </w:r>
    </w:p>
    <w:p w14:paraId="301ACBD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10.11.5. a implantação ou o aperfeiçoamento de programa de integridade, conforme normas e orientações dos órgãos de controle.</w:t>
      </w:r>
    </w:p>
    <w:p w14:paraId="0F09D08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10.12. A multa será recolhida em percentual de 0,5% a 30% incidente sobre o valor do contrato licitado, recolhida no prazo máximo de 30 (trinta) dias úteis, a contar da comunicação oficial.</w:t>
      </w:r>
    </w:p>
    <w:p w14:paraId="0692202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10.13. As sanções de advertência, impedimento de licitar e contratar 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2EE7CF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10.14. Na aplicação da sanção de multa será facultada a defesa do interessado no prazo de 15 (quinze) dias úteis, contado da data de sua intimação.</w:t>
      </w:r>
    </w:p>
    <w:p w14:paraId="0DFE4A7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10.15. A apuração de responsabilidade relacionadas às sanções de impedimento de licitar e contratar e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7B61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5AC3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10.17. Caberá a apresentação de pedido de reconsideração da aplicação da sanção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13FF7F5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10.18. O recurso e o pedido de reconsideração terão efeito suspensivo do ato ou da decisão recorrida até que sobrevenha decisão final da autoridade competente.</w:t>
      </w:r>
    </w:p>
    <w:p w14:paraId="4BC480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10.19. A aplicação das sanções previstas neste edital não exclui, em hipótese alguma, a obrigação de reparação integral dos danos causados.</w:t>
      </w:r>
    </w:p>
    <w:p w14:paraId="4C817C5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54147" w14:textId="7C7C52AD"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11. DA IMPUGNAÇÃO AO EDITAL E DO PEDIDO DE ESCLARECIMENTO</w:t>
      </w:r>
    </w:p>
    <w:p w14:paraId="2DA6380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11.1. Qualquer pessoa é parte legítima para impugnar este Edital por irregularidade na aplicação da Lei nº 14.133, de 2021, conforme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164 da referida lei, devendo protocolar o pedido até 3 (três) dias úteis antes da data da abertura do certame.</w:t>
      </w:r>
    </w:p>
    <w:p w14:paraId="5CBF57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11.2. A resposta à impugnação ou ao pedido de esclarecimento será divulgada em sítio eletrônico oficial no prazo de até 3 (três) dias úteis, limitado ao último dia útil anterior à data da abertura do certame.</w:t>
      </w:r>
    </w:p>
    <w:p w14:paraId="339935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11.3. A impugnação e o pedido de esclarecimento poderão ser realizados por forma eletrônica, pelo seguinte e-mail: cplribeiraozinho2025.2028@gmail.com</w:t>
      </w:r>
    </w:p>
    <w:p w14:paraId="179B204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53103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11.4. As impugnações e pedidos de esclarecimentos não suspendem os prazos previstos no certame.</w:t>
      </w:r>
    </w:p>
    <w:p w14:paraId="3464084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11.5. A concessão de efeito suspensivo à impugnação é medida </w:t>
      </w:r>
      <w:proofErr w:type="spellStart"/>
      <w:r w:rsidRPr="0043145B">
        <w:rPr>
          <w:rFonts w:ascii="Times New Roman" w:eastAsia="Times New Roman" w:hAnsi="Times New Roman" w:cs="Times New Roman"/>
          <w:color w:val="000000"/>
          <w:sz w:val="24"/>
          <w:szCs w:val="24"/>
        </w:rPr>
        <w:t>excepcional</w:t>
      </w:r>
      <w:proofErr w:type="spellEnd"/>
      <w:r w:rsidRPr="0043145B">
        <w:rPr>
          <w:rFonts w:ascii="Times New Roman" w:eastAsia="Times New Roman" w:hAnsi="Times New Roman" w:cs="Times New Roman"/>
          <w:color w:val="000000"/>
          <w:sz w:val="24"/>
          <w:szCs w:val="24"/>
        </w:rPr>
        <w:t xml:space="preserve"> e deverá ser motivada pelo agente de contratação, nos autos do processo de licitação.</w:t>
      </w:r>
    </w:p>
    <w:p w14:paraId="74541B71" w14:textId="0530EAB1"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11.6. Acolhida a impugnação, será definida e publicada nova data para a realização do certame.</w:t>
      </w:r>
    </w:p>
    <w:p w14:paraId="0DC924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88C15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12. DAS DISPOSIÇÕES GERAIS</w:t>
      </w:r>
    </w:p>
    <w:p w14:paraId="3110A02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DC47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 Será divulgada ata da sessão pública no sistema eletrônico.</w:t>
      </w:r>
    </w:p>
    <w:p w14:paraId="4EBCD6E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D8C2C1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12.3. Todas as referências de tempo no Edital, no aviso e durante a sessão pública observarão o horário de Brasília - DF.</w:t>
      </w:r>
    </w:p>
    <w:p w14:paraId="45832F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12.4. A homologação do resultado desta licitação não implicará direito à contratação.</w:t>
      </w:r>
    </w:p>
    <w:p w14:paraId="54CB3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12.5. As normas disciplinadoras da licitação serão sempre interpretadas em favor da ampliação da disputa entre os interessados, desde que não comprometam o interesse da Administração, o princípio da isonomia, a finalidade e a segurança da contratação.</w:t>
      </w:r>
    </w:p>
    <w:p w14:paraId="13C5E96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2A970D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12.7. Na contagem dos prazos estabelecidos neste Edital e seus Anexos, excluir-se-á o dia do início e incluir-se-á o do vencimento. Só se iniciam e vencem os prazos em dias de expediente na Administração.</w:t>
      </w:r>
    </w:p>
    <w:p w14:paraId="7FF26F5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12.8. O desatendimento de exigências formais não essenciais não importará o afastamento do licitante, desde que seja possível o aproveitamento do ato, observados os princípios da isonomia e do interesse público.</w:t>
      </w:r>
    </w:p>
    <w:p w14:paraId="12A7447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12.9. Em caso de divergência entre disposições deste Edital e de seus anexos ou demais peças que compõem o processo, prevalecerão as deste Edital.</w:t>
      </w:r>
    </w:p>
    <w:p w14:paraId="35FB331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12.10. O Edital e seus anexos estão disponíveis, na íntegra, no Portal Nacional de Contratações Públicas (PNCP) no endereço eletrônico https://pncp.gov.br/app/editais</w:t>
      </w:r>
    </w:p>
    <w:p w14:paraId="228AE07D" w14:textId="5A730A3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 e no endereço eletrônico www.comprasbr.com.br</w:t>
      </w:r>
    </w:p>
    <w:p w14:paraId="44D2EDD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 Integram este Edital, para todos os fins e efeitos, os seguintes anexos:</w:t>
      </w:r>
    </w:p>
    <w:p w14:paraId="6AFAE23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12.11.1. ANEXO I – Termo de Referência</w:t>
      </w:r>
    </w:p>
    <w:p w14:paraId="3B0B7FE3" w14:textId="35C5A523" w:rsidR="005479A7"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12.11.2. ANEXO II – Minuta de Termo de Contrato</w:t>
      </w:r>
    </w:p>
    <w:p w14:paraId="5B80850E" w14:textId="77777777" w:rsidR="00C70823" w:rsidRDefault="00C70823" w:rsidP="00DA2092">
      <w:pPr>
        <w:jc w:val="center"/>
        <w:rPr>
          <w:rFonts w:ascii="Times New Roman" w:eastAsia="Times New Roman" w:hAnsi="Times New Roman" w:cs="Times New Roman"/>
          <w:bCs/>
          <w:color w:val="000000"/>
          <w:sz w:val="24"/>
          <w:szCs w:val="24"/>
        </w:rPr>
      </w:pPr>
      <w:bookmarkStart w:id="3" w:name="_Hlk214960627"/>
    </w:p>
    <w:p w14:paraId="4335F76A" w14:textId="40AF402F" w:rsidR="005479A7" w:rsidRDefault="00DA2092" w:rsidP="00DA2092">
      <w:pPr>
        <w:jc w:val="center"/>
        <w:rPr>
          <w:rFonts w:ascii="Times New Roman" w:eastAsia="Times New Roman" w:hAnsi="Times New Roman" w:cs="Times New Roman"/>
          <w:color w:val="000000"/>
          <w:sz w:val="24"/>
          <w:szCs w:val="24"/>
        </w:rPr>
      </w:pPr>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7C14E9">
        <w:rPr>
          <w:rFonts w:ascii="Times New Roman" w:eastAsia="Times New Roman" w:hAnsi="Times New Roman" w:cs="Times New Roman"/>
          <w:b/>
          <w:color w:val="000000"/>
          <w:sz w:val="24"/>
          <w:szCs w:val="24"/>
        </w:rPr>
        <w:t>29</w:t>
      </w:r>
      <w:r w:rsidR="00A10672">
        <w:rPr>
          <w:rFonts w:ascii="Times New Roman" w:eastAsia="Times New Roman" w:hAnsi="Times New Roman" w:cs="Times New Roman"/>
          <w:color w:val="000000"/>
          <w:sz w:val="24"/>
          <w:szCs w:val="24"/>
        </w:rPr>
        <w:t xml:space="preserve"> de</w:t>
      </w:r>
      <w:r w:rsidR="0043145B">
        <w:rPr>
          <w:rFonts w:ascii="Times New Roman" w:eastAsia="Times New Roman" w:hAnsi="Times New Roman" w:cs="Times New Roman"/>
          <w:color w:val="000000"/>
          <w:sz w:val="24"/>
          <w:szCs w:val="24"/>
        </w:rPr>
        <w:t xml:space="preserve"> </w:t>
      </w:r>
      <w:r w:rsidR="001B533D">
        <w:rPr>
          <w:rFonts w:ascii="Times New Roman" w:eastAsia="Times New Roman" w:hAnsi="Times New Roman" w:cs="Times New Roman"/>
          <w:color w:val="000000"/>
          <w:sz w:val="24"/>
          <w:szCs w:val="24"/>
        </w:rPr>
        <w:t>abril de</w:t>
      </w:r>
      <w:r w:rsidR="00A10672">
        <w:rPr>
          <w:rFonts w:ascii="Times New Roman" w:eastAsia="Times New Roman" w:hAnsi="Times New Roman" w:cs="Times New Roman"/>
          <w:color w:val="000000"/>
          <w:sz w:val="24"/>
          <w:szCs w:val="24"/>
        </w:rPr>
        <w:t xml:space="preserve"> 202</w:t>
      </w:r>
      <w:bookmarkEnd w:id="3"/>
      <w:r w:rsidR="00284B60">
        <w:rPr>
          <w:rFonts w:ascii="Times New Roman" w:eastAsia="Times New Roman" w:hAnsi="Times New Roman" w:cs="Times New Roman"/>
          <w:color w:val="000000"/>
          <w:sz w:val="24"/>
          <w:szCs w:val="24"/>
        </w:rPr>
        <w:t>6</w:t>
      </w:r>
    </w:p>
    <w:p w14:paraId="1D158F8D" w14:textId="77777777" w:rsidR="005479A7" w:rsidRDefault="005479A7">
      <w:pPr>
        <w:rPr>
          <w:rFonts w:ascii="Times New Roman" w:eastAsia="Times New Roman" w:hAnsi="Times New Roman" w:cs="Times New Roman"/>
          <w:color w:val="000000"/>
          <w:sz w:val="24"/>
          <w:szCs w:val="24"/>
        </w:rPr>
      </w:pPr>
    </w:p>
    <w:p w14:paraId="711AEF27" w14:textId="77777777" w:rsidR="00FF4334" w:rsidRPr="00FF4334" w:rsidRDefault="00FF4334" w:rsidP="00FF4334">
      <w:pPr>
        <w:spacing w:line="276" w:lineRule="auto"/>
        <w:jc w:val="center"/>
        <w:rPr>
          <w:rFonts w:ascii="Times New Roman" w:hAnsi="Times New Roman" w:cs="Times New Roman"/>
          <w:b/>
          <w:bCs/>
          <w:sz w:val="24"/>
          <w:szCs w:val="24"/>
        </w:rPr>
      </w:pPr>
      <w:bookmarkStart w:id="4" w:name="_heading=h.6yail619483v" w:colFirst="0" w:colLast="0"/>
      <w:bookmarkEnd w:id="4"/>
      <w:proofErr w:type="spellStart"/>
      <w:r w:rsidRPr="00FF4334">
        <w:rPr>
          <w:rFonts w:ascii="Times New Roman" w:hAnsi="Times New Roman" w:cs="Times New Roman"/>
          <w:b/>
          <w:bCs/>
          <w:sz w:val="24"/>
          <w:szCs w:val="24"/>
        </w:rPr>
        <w:t>Sirleide</w:t>
      </w:r>
      <w:proofErr w:type="spellEnd"/>
      <w:r w:rsidRPr="00FF4334">
        <w:rPr>
          <w:rFonts w:ascii="Times New Roman" w:hAnsi="Times New Roman" w:cs="Times New Roman"/>
          <w:b/>
          <w:bCs/>
          <w:sz w:val="24"/>
          <w:szCs w:val="24"/>
        </w:rPr>
        <w:t xml:space="preserve"> Marinho dos Santos</w:t>
      </w:r>
    </w:p>
    <w:p w14:paraId="31558E13" w14:textId="77777777" w:rsidR="00FF4334" w:rsidRPr="00FF4334" w:rsidRDefault="00FF4334" w:rsidP="00FF4334">
      <w:pPr>
        <w:spacing w:line="276" w:lineRule="auto"/>
        <w:jc w:val="center"/>
        <w:rPr>
          <w:rFonts w:ascii="Times New Roman" w:hAnsi="Times New Roman" w:cs="Times New Roman"/>
          <w:sz w:val="24"/>
          <w:szCs w:val="24"/>
        </w:rPr>
      </w:pPr>
      <w:r w:rsidRPr="00FF4334">
        <w:rPr>
          <w:rFonts w:ascii="Times New Roman" w:hAnsi="Times New Roman" w:cs="Times New Roman"/>
          <w:sz w:val="24"/>
          <w:szCs w:val="24"/>
        </w:rPr>
        <w:t>Secretária Municipal de Saúde</w:t>
      </w:r>
    </w:p>
    <w:p w14:paraId="5F1F20BC" w14:textId="1768706B" w:rsidR="00596D38" w:rsidRPr="00FF4334" w:rsidRDefault="00FF4334" w:rsidP="00FF4334">
      <w:pPr>
        <w:spacing w:line="276" w:lineRule="auto"/>
        <w:jc w:val="center"/>
        <w:rPr>
          <w:sz w:val="24"/>
          <w:szCs w:val="24"/>
        </w:rPr>
      </w:pPr>
      <w:r w:rsidRPr="00FF4334">
        <w:rPr>
          <w:rFonts w:ascii="Times New Roman" w:hAnsi="Times New Roman" w:cs="Times New Roman"/>
          <w:sz w:val="24"/>
          <w:szCs w:val="24"/>
        </w:rPr>
        <w:t xml:space="preserve">Portaria nº </w:t>
      </w:r>
      <w:r w:rsidRPr="00FF4334">
        <w:rPr>
          <w:rFonts w:ascii="Times New Roman" w:hAnsi="Times New Roman" w:cs="Times New Roman"/>
          <w:b/>
          <w:bCs/>
          <w:sz w:val="24"/>
          <w:szCs w:val="24"/>
        </w:rPr>
        <w:t>003</w:t>
      </w:r>
    </w:p>
    <w:p w14:paraId="1EC166C7"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C39BB9" w14:textId="0B85FCFA" w:rsidR="006F6973" w:rsidRDefault="006F6973"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E46AD88" w14:textId="687C0269"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AEB5B3F" w14:textId="22184725"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6E2651" w14:textId="54C0BD0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12099F3" w14:textId="7777777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BFB749F" w14:textId="2F7DA8DB"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7913D25" w:rsidR="005479A7" w:rsidRDefault="00831C6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TERMO DE REFERÊNCIA </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E0BDB1E" w14:textId="77777777"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B1D6D8A" w14:textId="2539CA98"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51E0083" w14:textId="5B06838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3F06EAB" w14:textId="59D2586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5976AA5" w14:textId="4CE3315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2E93BD0" w14:textId="08A8668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F729D04" w14:textId="2AFE76F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270419" w14:textId="16D5248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9E702D2" w14:textId="7E63F97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C665FDC" w14:textId="5E78711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D971DA0" w14:textId="39586BA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1026A80F" w14:textId="3609F86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78A6C2B" w14:textId="546479AC"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D9CA356" w14:textId="6D32EA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5606B98" w14:textId="6F0C942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09BEE76" w14:textId="0918068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9BE29F9" w14:textId="0F5D2E9F"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4D2324D" w14:textId="0EE071B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37746BB" w14:textId="21E1583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D0104A0" w14:textId="0B1B4A2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0F7FCA7" w14:textId="34A467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228B14F" w14:textId="0E26D60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2EE8CF7" w14:textId="14A283D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9A8E471" w14:textId="1F508DE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060C25D" w14:textId="4B0D55C2"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99FC393" w14:textId="611EBEE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38EC8AF" w14:textId="47B5CBD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4592702" w14:textId="0B3A4AE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5824DB" w14:textId="0E8AD47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053962" w14:textId="06775D3D"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C40B1B9" w14:textId="48EEC166"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A7E52EE" w14:textId="2B40250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D8D8E7" w14:textId="5805F69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1822C2D" w14:textId="77777777" w:rsidR="005479A7" w:rsidRDefault="005479A7" w:rsidP="006F6973">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0C1D2DB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0E6F1C9"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6517CE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C6F6B0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CD0BFCF"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256CAB9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DA3A10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79B8BC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1B5EF77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47198B48"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4D57213"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6486075D"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25A8CEC9" w14:textId="77777777" w:rsidR="00C70823" w:rsidRDefault="00C708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4639662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724C3">
        <w:rPr>
          <w:rFonts w:ascii="Times New Roman" w:eastAsia="Times New Roman" w:hAnsi="Times New Roman" w:cs="Times New Roman"/>
          <w:b/>
          <w:color w:val="000000"/>
          <w:sz w:val="24"/>
          <w:szCs w:val="24"/>
        </w:rPr>
        <w:t>6</w:t>
      </w:r>
    </w:p>
    <w:p w14:paraId="4219D05E" w14:textId="366BD1D0" w:rsidR="005479A7" w:rsidRDefault="009724C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PREGÃO</w:t>
      </w:r>
      <w:r w:rsidR="00265D23">
        <w:rPr>
          <w:rFonts w:ascii="Times New Roman" w:eastAsia="Times New Roman" w:hAnsi="Times New Roman" w:cs="Times New Roman"/>
          <w:b/>
          <w:color w:val="000000"/>
          <w:sz w:val="24"/>
          <w:szCs w:val="24"/>
        </w:rPr>
        <w:t xml:space="preserve"> ELETRÔNIC</w:t>
      </w:r>
      <w:r w:rsidR="005858FD">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w:t>
      </w:r>
      <w:r>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4BD90900"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5" w:name="_heading=h.av9lzjl4oycv" w:colFirst="0" w:colLast="0"/>
      <w:bookmarkEnd w:id="5"/>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w:t>
      </w:r>
      <w:r>
        <w:rPr>
          <w:rFonts w:ascii="Times New Roman" w:eastAsia="Times New Roman" w:hAnsi="Times New Roman" w:cs="Times New Roman"/>
          <w:color w:val="000000"/>
          <w:sz w:val="24"/>
          <w:szCs w:val="24"/>
        </w:rPr>
        <w:lastRenderedPageBreak/>
        <w:t xml:space="preserve">disposições da </w:t>
      </w:r>
      <w:hyperlink r:id="rId10">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w:t>
      </w:r>
      <w:r w:rsidR="009724C3">
        <w:rPr>
          <w:rFonts w:ascii="Times New Roman" w:eastAsia="Times New Roman" w:hAnsi="Times New Roman" w:cs="Times New Roman"/>
          <w:color w:val="000000"/>
          <w:sz w:val="24"/>
          <w:szCs w:val="24"/>
        </w:rPr>
        <w:t xml:space="preserve"> Pregão</w:t>
      </w:r>
      <w:r>
        <w:rPr>
          <w:rFonts w:ascii="Times New Roman" w:eastAsia="Times New Roman" w:hAnsi="Times New Roman" w:cs="Times New Roman"/>
          <w:color w:val="000000"/>
          <w:sz w:val="24"/>
          <w:szCs w:val="24"/>
        </w:rPr>
        <w:t xml:space="preserve"> Eletrônic</w:t>
      </w:r>
      <w:r w:rsidR="009724C3">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11"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TERCEIRA – MODELOS DE EXECUÇÃO E GESTÃO CONTRATUAIS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371C4">
        <w:rPr>
          <w:rFonts w:ascii="Times New Roman" w:eastAsia="Times New Roman" w:hAnsi="Times New Roman" w:cs="Times New Roman"/>
          <w:b/>
          <w:color w:val="000000"/>
          <w:sz w:val="24"/>
          <w:szCs w:val="24"/>
          <w:u w:val="single"/>
        </w:rP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371C4">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371C4">
        <w:fldChar w:fldCharType="begin"/>
      </w:r>
      <w:r w:rsidR="00F371C4">
        <w:instrText xml:space="preserve"> HYPERLINK "http://www.planalto.gov.br/ccivil_03/_ato2019-2022/2021/lei/L14133.htm" \l "art137"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GARANTIA DE EXECUÇÃO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1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14"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6" w:name="_heading=h.cbm3a0azs4rg" w:colFirst="0" w:colLast="0"/>
      <w:bookmarkEnd w:id="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"art156%C2%A72"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"art156%C2%A74"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371C4">
        <w:fldChar w:fldCharType="begin"/>
      </w:r>
      <w:r w:rsidR="00F371C4">
        <w:instrText xml:space="preserve"> HYPERLINK "http://www.planalto.gov.br/ccivil_03/_ato2019-2022/2021/lei/L14133.htm" \l "art156%C2%A75"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371C4">
        <w:fldChar w:fldCharType="begin"/>
      </w:r>
      <w:r w:rsidR="00F371C4">
        <w:instrText xml:space="preserve"> HYPERLINK "http://www.planalto.gov.br/ccivil_03/_ato2019-2022/2021/lei/L14133.htm" \l "art156%C2%A79"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371C4">
        <w:fldChar w:fldCharType="begin"/>
      </w:r>
      <w:r w:rsidR="00F371C4">
        <w:instrText xml:space="preserve"> HYPERLINK "http://www.planalto.gov.br/ccivil_03/_ato2019-2022/2021/lei/L14133.htm" \l "art156%C2%A77"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371C4">
        <w:fldChar w:fldCharType="begin"/>
      </w:r>
      <w:r w:rsidR="00F371C4">
        <w:instrText xml:space="preserve"> HYPERLINK "http://www.planalto.gov.br/ccivil_03/_ato2019-2022/2021/lei/L14133.htm" \l "art157"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371C4">
        <w:fldChar w:fldCharType="begin"/>
      </w:r>
      <w:r w:rsidR="00F371C4">
        <w:instrText xml:space="preserve"> HYPERLINK "http://www.planalto.gov.br/ccivil_03/_ato2019-2022/2021/lei/L14133.htm" \l "art156%C2%A78"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 w:name="_heading=h.7eo92e5ype60" w:colFirst="0" w:colLast="0"/>
      <w:bookmarkEnd w:id="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15"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w:t>
      </w:r>
      <w:r>
        <w:rPr>
          <w:rFonts w:ascii="Times New Roman" w:eastAsia="Times New Roman" w:hAnsi="Times New Roman" w:cs="Times New Roman"/>
          <w:color w:val="000000"/>
          <w:sz w:val="24"/>
          <w:szCs w:val="24"/>
        </w:rPr>
        <w:lastRenderedPageBreak/>
        <w:t xml:space="preserve">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371C4">
        <w:fldChar w:fldCharType="begin"/>
      </w:r>
      <w:r w:rsidR="00F371C4">
        <w:instrText xml:space="preserve"> HYPERLINK "http://www.planalto.gov.br/ccivil_03/_ato2019-2022/2021/lei/L14133.htm" \l "art156%C2%A71"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16">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17">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371C4">
        <w:fldChar w:fldCharType="begin"/>
      </w:r>
      <w:r w:rsidR="00F371C4">
        <w:instrText xml:space="preserve"> HYPERLINK "http://www.planalto.gov.br/ccivil_03/_ato2019-2022/2021/lei/L14133.htm%25art159"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371C4">
        <w:fldChar w:fldCharType="begin"/>
      </w:r>
      <w:r w:rsidR="00F371C4">
        <w:instrText xml:space="preserve"> HYPERLINK "http://www.planalto.gov.br/ccivil_03/_ato2019-2022/2021/lei/L14133.htm" \l "art160"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371C4">
        <w:fldChar w:fldCharType="begin"/>
      </w:r>
      <w:r w:rsidR="00F371C4">
        <w:instrText xml:space="preserve"> HYPERLINK "http://www.planalto.gov.br/ccivil_03/_ato2019-2022/2021/lei/L14133.htm" \l "art161"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18"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9">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12.4. O contrato poderá ser extinto antes de cumpridas as obrigações nele estipuladas, ou antes do prazo nele fixado, por algum dos motivos previstos no </w:t>
      </w:r>
      <w:hyperlink r:id="rId20"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21"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371C4">
        <w:fldChar w:fldCharType="begin"/>
      </w:r>
      <w:r w:rsidR="00F371C4">
        <w:instrText xml:space="preserve"> HYPERLINK "http://www.planalto.gov.br/ccivil_03/_ato2019-2022/2021/lei/L14133.htm" \l "art131"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22">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23">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24"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25"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26"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27"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28"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371C4">
        <w:fldChar w:fldCharType="begin"/>
      </w:r>
      <w:r w:rsidR="00F371C4">
        <w:instrText xml:space="preserve"> HYPERLINK "http://www.planalto.gov.br/ccivil_03/_ato2019-2022/2021/lei/L14133.htm" \l "art92%C2%A71"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29"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rsidSect="0043145B">
      <w:headerReference w:type="even" r:id="rId30"/>
      <w:headerReference w:type="default" r:id="rId31"/>
      <w:footerReference w:type="default" r:id="rId32"/>
      <w:headerReference w:type="first" r:id="rId33"/>
      <w:pgSz w:w="11910" w:h="16840"/>
      <w:pgMar w:top="1985"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63C84" w14:textId="77777777" w:rsidR="00E75A88" w:rsidRDefault="00E75A88">
      <w:r>
        <w:separator/>
      </w:r>
    </w:p>
  </w:endnote>
  <w:endnote w:type="continuationSeparator" w:id="0">
    <w:p w14:paraId="581CED1F" w14:textId="77777777" w:rsidR="00E75A88" w:rsidRDefault="00E75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715122" w:rsidRDefault="00715122">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81B43" w14:textId="77777777" w:rsidR="00E75A88" w:rsidRDefault="00E75A88">
      <w:r>
        <w:separator/>
      </w:r>
    </w:p>
  </w:footnote>
  <w:footnote w:type="continuationSeparator" w:id="0">
    <w:p w14:paraId="29971CBD" w14:textId="77777777" w:rsidR="00E75A88" w:rsidRDefault="00E75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715122" w:rsidRDefault="0071512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F7E0A76" w:rsidR="00715122" w:rsidRDefault="00715122">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6192" behindDoc="0" locked="0" layoutInCell="1" hidden="0" allowOverlap="1" wp14:anchorId="4DA05D9A" wp14:editId="433D81CC">
          <wp:simplePos x="0" y="0"/>
          <wp:positionH relativeFrom="margin">
            <wp:align>left</wp:align>
          </wp:positionH>
          <wp:positionV relativeFrom="paragraph">
            <wp:posOffset>-449580</wp:posOffset>
          </wp:positionV>
          <wp:extent cx="2399030" cy="120396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203960"/>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69DBCF2D">
              <wp:simplePos x="0" y="0"/>
              <wp:positionH relativeFrom="page">
                <wp:posOffset>197485</wp:posOffset>
              </wp:positionH>
              <wp:positionV relativeFrom="page">
                <wp:posOffset>30480</wp:posOffset>
              </wp:positionV>
              <wp:extent cx="7932420" cy="1243965"/>
              <wp:effectExtent l="0" t="0" r="11430" b="0"/>
              <wp:wrapNone/>
              <wp:docPr id="2003064507" name="Agrupar 2003064507"/>
              <wp:cNvGraphicFramePr/>
              <a:graphic xmlns:a="http://schemas.openxmlformats.org/drawingml/2006/main">
                <a:graphicData uri="http://schemas.microsoft.com/office/word/2010/wordprocessingGroup">
                  <wpg:wgp>
                    <wpg:cNvGrpSpPr/>
                    <wpg:grpSpPr>
                      <a:xfrm>
                        <a:off x="0" y="0"/>
                        <a:ext cx="7932420" cy="1243965"/>
                        <a:chOff x="1196603" y="3167525"/>
                        <a:chExt cx="7932727" cy="1244079"/>
                      </a:xfrm>
                    </wpg:grpSpPr>
                    <wpg:grpSp>
                      <wpg:cNvPr id="23" name="Agrupar 23"/>
                      <wpg:cNvGrpSpPr/>
                      <wpg:grpSpPr>
                        <a:xfrm>
                          <a:off x="1196603" y="3167525"/>
                          <a:ext cx="7932727" cy="1244079"/>
                          <a:chOff x="-576" y="0"/>
                          <a:chExt cx="12482" cy="1691"/>
                        </a:xfrm>
                      </wpg:grpSpPr>
                      <wps:wsp>
                        <wps:cNvPr id="24" name="Retângulo 24"/>
                        <wps:cNvSpPr/>
                        <wps:spPr>
                          <a:xfrm>
                            <a:off x="-576" y="41"/>
                            <a:ext cx="11900" cy="1650"/>
                          </a:xfrm>
                          <a:prstGeom prst="rect">
                            <a:avLst/>
                          </a:prstGeom>
                          <a:noFill/>
                          <a:ln>
                            <a:noFill/>
                          </a:ln>
                        </wps:spPr>
                        <wps:txbx>
                          <w:txbxContent>
                            <w:p w14:paraId="6868B682" w14:textId="77777777" w:rsidR="00715122" w:rsidRDefault="00715122">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715122" w:rsidRDefault="00715122">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715122" w:rsidRDefault="00715122">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715122" w:rsidRDefault="00715122">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715122" w:rsidRDefault="00715122">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715122" w:rsidRDefault="00715122">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715122" w:rsidRDefault="00715122">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D5B1C66" id="Agrupar 2003064507" o:spid="_x0000_s1026" style="position:absolute;margin-left:15.55pt;margin-top:2.4pt;width:624.6pt;height:97.95pt;z-index:-251661312;mso-wrap-distance-left:0;mso-wrap-distance-right:0;mso-position-horizontal-relative:page;mso-position-vertical-relative:page;mso-width-relative:margin;mso-height-relative:margin" coordorigin="11966,31675" coordsize="79327,1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">
              <v:group id="Agrupar 23" o:spid="_x0000_s1027" style="position:absolute;left:11966;top:31675;width:79327;height:12441" coordorigin="-576" coordsize="12482,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28" style="position:absolute;left:-576;top:41;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715122" w:rsidRDefault="00715122">
                        <w:pPr>
                          <w:textDirection w:val="btLr"/>
                        </w:pPr>
                      </w:p>
                    </w:txbxContent>
                  </v:textbox>
                </v:rect>
                <v:rect id="Retângulo 25"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715122" w:rsidRDefault="00715122">
                        <w:pPr>
                          <w:textDirection w:val="btLr"/>
                        </w:pPr>
                      </w:p>
                    </w:txbxContent>
                  </v:textbox>
                </v:rect>
                <v:rect id="Retângulo 26"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715122" w:rsidRDefault="00715122">
                        <w:pPr>
                          <w:textDirection w:val="btLr"/>
                        </w:pPr>
                      </w:p>
                    </w:txbxContent>
                  </v:textbox>
                </v:rect>
                <v:rect id="Retângulo 27"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715122" w:rsidRDefault="00715122">
                        <w:pPr>
                          <w:textDirection w:val="btLr"/>
                        </w:pPr>
                      </w:p>
                    </w:txbxContent>
                  </v:textbox>
                </v:rect>
                <v:rect id="Retângulo 28"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715122" w:rsidRDefault="00715122">
                        <w:pPr>
                          <w:textDirection w:val="btLr"/>
                        </w:pPr>
                      </w:p>
                    </w:txbxContent>
                  </v:textbox>
                </v:rect>
                <v:shapetype id="_x0000_t32" coordsize="21600,21600" o:spt="32" o:oned="t" path="m,l21600,21600e" filled="f">
                  <v:path arrowok="t" fillok="f" o:connecttype="none"/>
                  <o:lock v:ext="edit" shapetype="t"/>
                </v:shapetype>
                <v:shape id="Conector de Seta Reta 29"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715122" w:rsidRDefault="00715122">
                        <w:pPr>
                          <w:textDirection w:val="btLr"/>
                        </w:pPr>
                      </w:p>
                    </w:txbxContent>
                  </v:textbox>
                </v:rect>
                <v:rect id="Retângulo 31"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715122" w:rsidRDefault="00715122">
                        <w:pPr>
                          <w:textDirection w:val="btLr"/>
                        </w:pPr>
                      </w:p>
                    </w:txbxContent>
                  </v:textbox>
                </v:rect>
                <v:shape id="Forma Livre: Forma 32"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715122" w:rsidRDefault="00715122">
    <w:pPr>
      <w:pBdr>
        <w:top w:val="nil"/>
        <w:left w:val="nil"/>
        <w:bottom w:val="nil"/>
        <w:right w:val="nil"/>
        <w:between w:val="nil"/>
      </w:pBdr>
      <w:tabs>
        <w:tab w:val="center" w:pos="4252"/>
        <w:tab w:val="right" w:pos="8504"/>
      </w:tabs>
      <w:rPr>
        <w:color w:val="000000"/>
      </w:rPr>
    </w:pPr>
  </w:p>
  <w:p w14:paraId="326091EC" w14:textId="77777777" w:rsidR="00715122" w:rsidRDefault="00715122">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715122" w:rsidRDefault="0071512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076D4B"/>
    <w:multiLevelType w:val="multilevel"/>
    <w:tmpl w:val="606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4"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10"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F5D168F"/>
    <w:multiLevelType w:val="multilevel"/>
    <w:tmpl w:val="3B3A7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7227E"/>
    <w:multiLevelType w:val="multilevel"/>
    <w:tmpl w:val="EF02BCA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2"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1961472"/>
    <w:multiLevelType w:val="multilevel"/>
    <w:tmpl w:val="01DCA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1"/>
  </w:num>
  <w:num w:numId="2">
    <w:abstractNumId w:val="7"/>
  </w:num>
  <w:num w:numId="3">
    <w:abstractNumId w:val="20"/>
  </w:num>
  <w:num w:numId="4">
    <w:abstractNumId w:val="27"/>
  </w:num>
  <w:num w:numId="5">
    <w:abstractNumId w:val="29"/>
  </w:num>
  <w:num w:numId="6">
    <w:abstractNumId w:val="5"/>
  </w:num>
  <w:num w:numId="7">
    <w:abstractNumId w:val="15"/>
  </w:num>
  <w:num w:numId="8">
    <w:abstractNumId w:val="17"/>
  </w:num>
  <w:num w:numId="9">
    <w:abstractNumId w:val="18"/>
  </w:num>
  <w:num w:numId="10">
    <w:abstractNumId w:val="13"/>
  </w:num>
  <w:num w:numId="11">
    <w:abstractNumId w:val="10"/>
  </w:num>
  <w:num w:numId="12">
    <w:abstractNumId w:val="12"/>
  </w:num>
  <w:num w:numId="13">
    <w:abstractNumId w:val="14"/>
  </w:num>
  <w:num w:numId="14">
    <w:abstractNumId w:val="8"/>
  </w:num>
  <w:num w:numId="15">
    <w:abstractNumId w:val="26"/>
  </w:num>
  <w:num w:numId="16">
    <w:abstractNumId w:val="1"/>
  </w:num>
  <w:num w:numId="17">
    <w:abstractNumId w:val="11"/>
  </w:num>
  <w:num w:numId="18">
    <w:abstractNumId w:val="4"/>
  </w:num>
  <w:num w:numId="19">
    <w:abstractNumId w:val="6"/>
  </w:num>
  <w:num w:numId="20">
    <w:abstractNumId w:val="22"/>
  </w:num>
  <w:num w:numId="21">
    <w:abstractNumId w:val="24"/>
  </w:num>
  <w:num w:numId="22">
    <w:abstractNumId w:val="19"/>
  </w:num>
  <w:num w:numId="23">
    <w:abstractNumId w:val="0"/>
  </w:num>
  <w:num w:numId="24">
    <w:abstractNumId w:val="28"/>
  </w:num>
  <w:num w:numId="25">
    <w:abstractNumId w:val="25"/>
  </w:num>
  <w:num w:numId="26">
    <w:abstractNumId w:val="9"/>
  </w:num>
  <w:num w:numId="27">
    <w:abstractNumId w:val="3"/>
  </w:num>
  <w:num w:numId="28">
    <w:abstractNumId w:val="2"/>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251"/>
    <w:rsid w:val="00091C71"/>
    <w:rsid w:val="0009782F"/>
    <w:rsid w:val="000B208C"/>
    <w:rsid w:val="000D36C6"/>
    <w:rsid w:val="000E02C9"/>
    <w:rsid w:val="000F67EC"/>
    <w:rsid w:val="00100990"/>
    <w:rsid w:val="0010656E"/>
    <w:rsid w:val="001075D1"/>
    <w:rsid w:val="00110CC6"/>
    <w:rsid w:val="00111CD9"/>
    <w:rsid w:val="00162A13"/>
    <w:rsid w:val="00187902"/>
    <w:rsid w:val="00191276"/>
    <w:rsid w:val="001A2ACB"/>
    <w:rsid w:val="001B533D"/>
    <w:rsid w:val="001B6B3C"/>
    <w:rsid w:val="001D16DD"/>
    <w:rsid w:val="001D1BDA"/>
    <w:rsid w:val="001E2165"/>
    <w:rsid w:val="001E7E43"/>
    <w:rsid w:val="001F0A5F"/>
    <w:rsid w:val="001F6BBC"/>
    <w:rsid w:val="00212D71"/>
    <w:rsid w:val="00213B5E"/>
    <w:rsid w:val="00260F6D"/>
    <w:rsid w:val="00262973"/>
    <w:rsid w:val="00265D23"/>
    <w:rsid w:val="00271C29"/>
    <w:rsid w:val="002845CA"/>
    <w:rsid w:val="00284B60"/>
    <w:rsid w:val="002A76B0"/>
    <w:rsid w:val="002A7851"/>
    <w:rsid w:val="002F6AA1"/>
    <w:rsid w:val="00300D61"/>
    <w:rsid w:val="00303C83"/>
    <w:rsid w:val="003127BA"/>
    <w:rsid w:val="00350F09"/>
    <w:rsid w:val="00357AD8"/>
    <w:rsid w:val="00371340"/>
    <w:rsid w:val="00372EC0"/>
    <w:rsid w:val="00374E9D"/>
    <w:rsid w:val="003A626E"/>
    <w:rsid w:val="004128DD"/>
    <w:rsid w:val="004149F2"/>
    <w:rsid w:val="0041553B"/>
    <w:rsid w:val="00424577"/>
    <w:rsid w:val="0043145B"/>
    <w:rsid w:val="004361F7"/>
    <w:rsid w:val="004A1566"/>
    <w:rsid w:val="004C21BD"/>
    <w:rsid w:val="004C54C4"/>
    <w:rsid w:val="004D269A"/>
    <w:rsid w:val="004E2504"/>
    <w:rsid w:val="004F2A5A"/>
    <w:rsid w:val="0051261F"/>
    <w:rsid w:val="0052150A"/>
    <w:rsid w:val="005443FA"/>
    <w:rsid w:val="00545200"/>
    <w:rsid w:val="005479A7"/>
    <w:rsid w:val="00562632"/>
    <w:rsid w:val="005626E9"/>
    <w:rsid w:val="00562E25"/>
    <w:rsid w:val="00566C08"/>
    <w:rsid w:val="00572063"/>
    <w:rsid w:val="005858FD"/>
    <w:rsid w:val="0059666A"/>
    <w:rsid w:val="00596955"/>
    <w:rsid w:val="00596D38"/>
    <w:rsid w:val="005A0C17"/>
    <w:rsid w:val="005C3453"/>
    <w:rsid w:val="005D379F"/>
    <w:rsid w:val="00652568"/>
    <w:rsid w:val="00670475"/>
    <w:rsid w:val="0067082F"/>
    <w:rsid w:val="0067428F"/>
    <w:rsid w:val="00677FAD"/>
    <w:rsid w:val="006877E3"/>
    <w:rsid w:val="00692604"/>
    <w:rsid w:val="006A712A"/>
    <w:rsid w:val="006B4017"/>
    <w:rsid w:val="006B6096"/>
    <w:rsid w:val="006F0161"/>
    <w:rsid w:val="006F6973"/>
    <w:rsid w:val="00703D93"/>
    <w:rsid w:val="00715122"/>
    <w:rsid w:val="00721855"/>
    <w:rsid w:val="00722777"/>
    <w:rsid w:val="007446E8"/>
    <w:rsid w:val="0079789E"/>
    <w:rsid w:val="007B71A0"/>
    <w:rsid w:val="007C14E9"/>
    <w:rsid w:val="007C3886"/>
    <w:rsid w:val="007C49BD"/>
    <w:rsid w:val="007C52F5"/>
    <w:rsid w:val="007D122F"/>
    <w:rsid w:val="007D58F3"/>
    <w:rsid w:val="007E1838"/>
    <w:rsid w:val="007E7F3E"/>
    <w:rsid w:val="0080015A"/>
    <w:rsid w:val="00831C62"/>
    <w:rsid w:val="00836B58"/>
    <w:rsid w:val="008426F6"/>
    <w:rsid w:val="008B345F"/>
    <w:rsid w:val="008C57AE"/>
    <w:rsid w:val="008C6641"/>
    <w:rsid w:val="008D1BDD"/>
    <w:rsid w:val="008D7433"/>
    <w:rsid w:val="00922619"/>
    <w:rsid w:val="0092779A"/>
    <w:rsid w:val="0093522A"/>
    <w:rsid w:val="00935ACC"/>
    <w:rsid w:val="009368C5"/>
    <w:rsid w:val="0095132F"/>
    <w:rsid w:val="009603EE"/>
    <w:rsid w:val="009662B4"/>
    <w:rsid w:val="009724C3"/>
    <w:rsid w:val="009814CC"/>
    <w:rsid w:val="0099749F"/>
    <w:rsid w:val="009A1F45"/>
    <w:rsid w:val="009A5BC9"/>
    <w:rsid w:val="009D2AA6"/>
    <w:rsid w:val="009D5B88"/>
    <w:rsid w:val="009E41CC"/>
    <w:rsid w:val="00A10672"/>
    <w:rsid w:val="00A21B28"/>
    <w:rsid w:val="00A3107A"/>
    <w:rsid w:val="00A35F8D"/>
    <w:rsid w:val="00A40984"/>
    <w:rsid w:val="00A42C7D"/>
    <w:rsid w:val="00A53AAA"/>
    <w:rsid w:val="00A80EEE"/>
    <w:rsid w:val="00AB10EE"/>
    <w:rsid w:val="00AE335E"/>
    <w:rsid w:val="00B0432A"/>
    <w:rsid w:val="00B200B6"/>
    <w:rsid w:val="00B30C04"/>
    <w:rsid w:val="00B33FA9"/>
    <w:rsid w:val="00B347A5"/>
    <w:rsid w:val="00B37518"/>
    <w:rsid w:val="00B65694"/>
    <w:rsid w:val="00B73E9D"/>
    <w:rsid w:val="00B91011"/>
    <w:rsid w:val="00B9346C"/>
    <w:rsid w:val="00BB5F5E"/>
    <w:rsid w:val="00C11D52"/>
    <w:rsid w:val="00C120D8"/>
    <w:rsid w:val="00C23DAE"/>
    <w:rsid w:val="00C3494E"/>
    <w:rsid w:val="00C404D2"/>
    <w:rsid w:val="00C53D6C"/>
    <w:rsid w:val="00C572F1"/>
    <w:rsid w:val="00C65A5A"/>
    <w:rsid w:val="00C70823"/>
    <w:rsid w:val="00C76CBD"/>
    <w:rsid w:val="00C81235"/>
    <w:rsid w:val="00C9098E"/>
    <w:rsid w:val="00C96B26"/>
    <w:rsid w:val="00CB70ED"/>
    <w:rsid w:val="00CC4887"/>
    <w:rsid w:val="00CC63DF"/>
    <w:rsid w:val="00CE29C3"/>
    <w:rsid w:val="00CE59F5"/>
    <w:rsid w:val="00CF302A"/>
    <w:rsid w:val="00CF53E4"/>
    <w:rsid w:val="00CF7685"/>
    <w:rsid w:val="00D36456"/>
    <w:rsid w:val="00D554E1"/>
    <w:rsid w:val="00D60BAF"/>
    <w:rsid w:val="00D633EA"/>
    <w:rsid w:val="00D86264"/>
    <w:rsid w:val="00D94220"/>
    <w:rsid w:val="00D95F14"/>
    <w:rsid w:val="00D960DB"/>
    <w:rsid w:val="00DA1399"/>
    <w:rsid w:val="00DA15DE"/>
    <w:rsid w:val="00DA2092"/>
    <w:rsid w:val="00DA5F64"/>
    <w:rsid w:val="00DB4A88"/>
    <w:rsid w:val="00DF4316"/>
    <w:rsid w:val="00DF6961"/>
    <w:rsid w:val="00E01A23"/>
    <w:rsid w:val="00E040CE"/>
    <w:rsid w:val="00E0733D"/>
    <w:rsid w:val="00E14212"/>
    <w:rsid w:val="00E40A74"/>
    <w:rsid w:val="00E44342"/>
    <w:rsid w:val="00E516B6"/>
    <w:rsid w:val="00E6342F"/>
    <w:rsid w:val="00E67507"/>
    <w:rsid w:val="00E73376"/>
    <w:rsid w:val="00E75A88"/>
    <w:rsid w:val="00E835CD"/>
    <w:rsid w:val="00E933E5"/>
    <w:rsid w:val="00EB225A"/>
    <w:rsid w:val="00EB3500"/>
    <w:rsid w:val="00EC5061"/>
    <w:rsid w:val="00ED08DE"/>
    <w:rsid w:val="00EE0B81"/>
    <w:rsid w:val="00EE0D7E"/>
    <w:rsid w:val="00EE2495"/>
    <w:rsid w:val="00F32196"/>
    <w:rsid w:val="00F32750"/>
    <w:rsid w:val="00F371C4"/>
    <w:rsid w:val="00F4397B"/>
    <w:rsid w:val="00F5321E"/>
    <w:rsid w:val="00F71C76"/>
    <w:rsid w:val="00F75226"/>
    <w:rsid w:val="00F9471E"/>
    <w:rsid w:val="00FA44A4"/>
    <w:rsid w:val="00FA68E6"/>
    <w:rsid w:val="00FB32DE"/>
    <w:rsid w:val="00FC4D29"/>
    <w:rsid w:val="00FC6FED"/>
    <w:rsid w:val="00FF31CA"/>
    <w:rsid w:val="00FF3B77"/>
    <w:rsid w:val="00FF4334"/>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paragraph" w:styleId="NormalWeb">
    <w:name w:val="Normal (Web)"/>
    <w:basedOn w:val="Normal"/>
    <w:uiPriority w:val="99"/>
    <w:semiHidden/>
    <w:unhideWhenUsed/>
    <w:rsid w:val="001E7E43"/>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Tipodeletrapredefinidodopargrafo"/>
    <w:uiPriority w:val="22"/>
    <w:qFormat/>
    <w:rsid w:val="00C909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92803">
      <w:bodyDiv w:val="1"/>
      <w:marLeft w:val="0"/>
      <w:marRight w:val="0"/>
      <w:marTop w:val="0"/>
      <w:marBottom w:val="0"/>
      <w:divBdr>
        <w:top w:val="none" w:sz="0" w:space="0" w:color="auto"/>
        <w:left w:val="none" w:sz="0" w:space="0" w:color="auto"/>
        <w:bottom w:val="none" w:sz="0" w:space="0" w:color="auto"/>
        <w:right w:val="none" w:sz="0" w:space="0" w:color="auto"/>
      </w:divBdr>
    </w:div>
    <w:div w:id="878975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26-de-13-de-abril-de-2022"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25FE8F-5688-4B03-8DE5-49B7E979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26</Pages>
  <Words>12529</Words>
  <Characters>67660</Characters>
  <Application>Microsoft Office Word</Application>
  <DocSecurity>0</DocSecurity>
  <Lines>563</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6</cp:revision>
  <dcterms:created xsi:type="dcterms:W3CDTF">2026-04-29T13:57:00Z</dcterms:created>
  <dcterms:modified xsi:type="dcterms:W3CDTF">2026-04-29T15:08:00Z</dcterms:modified>
</cp:coreProperties>
</file>