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2.xml.rels"/>
  <Override ContentType="application/vnd.openxmlformats-package.relationships+xml" PartName="/word/_rels/header3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Normal"/>
        <w:spacing w:before="0" w:after="0" w:line="360" w:lineRule="auto"/>
        <w:jc w:val="center"/>
        <w:rPr>
          <w:rFonts w:ascii="Arial" w:hAnsi="Arial" w:cs="Arial"/>
          <w:b/>
          <w:sz w:val="22"/>
          <w:szCs w:val="22"/>
          <w:u w:val="single"/>
          <w:shd w:val="clear" w:fill="FFFFFF"/>
        </w:rPr>
      </w:pPr>
      <w:r>
        <w:rPr>
          <w:rFonts w:ascii="Arial" w:hAnsi="Arial" w:cs="Arial"/>
          <w:b/>
          <w:sz w:val="22"/>
          <w:szCs w:val="22"/>
          <w:u w:val="single"/>
          <w:shd w:val="clear" w:fill="FFFFFF"/>
        </w:rPr>
      </w:r>
    </w:p>
    <w:p>
      <w:pPr>
        <w:pStyle w:val="Normal"/>
        <w:spacing w:before="0" w:after="0" w:line="360" w:lineRule="auto"/>
        <w:jc w:val="center"/>
        <w:rPr>
          <w:highlight w:val="none"/>
          <w:shd w:val="clear" w:fill="FFFFFF"/>
        </w:rPr>
      </w:pPr>
      <w:r>
        <w:rPr>
          <w:rFonts w:ascii="Arial" w:hAnsi="Arial" w:cs="Arial"/>
          <w:b/>
          <w:sz w:val="22"/>
          <w:szCs w:val="22"/>
          <w:u w:val="single"/>
          <w:shd w:val="clear" w:fill="FFFFFF"/>
        </w:rPr>
        <w:t>PARECER JURÍDICO</w:t>
      </w:r>
    </w:p>
    <w:p>
      <w:pPr>
        <w:pStyle w:val="Normal"/>
        <w:spacing w:before="0" w:after="0" w:line="360" w:lineRule="auto"/>
        <w:jc w:val="center"/>
        <w:rPr>
          <w:rFonts w:ascii="Arial" w:hAnsi="Arial" w:cs="Arial"/>
          <w:b/>
          <w:bCs/>
          <w:sz w:val="22"/>
          <w:szCs w:val="22"/>
          <w:highlight w:val="none"/>
          <w:shd w:val="clear" w:fill="FFFFFF"/>
        </w:rPr>
      </w:pPr>
      <w:r>
        <w:rPr>
          <w:rFonts w:ascii="Arial" w:hAnsi="Arial" w:cs="Arial"/>
          <w:b/>
          <w:bCs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center"/>
        <w:rPr>
          <w:rFonts w:ascii="Arial" w:hAnsi="Arial" w:cs="Arial"/>
          <w:b/>
          <w:bCs/>
          <w:sz w:val="22"/>
          <w:szCs w:val="22"/>
          <w:highlight w:val="none"/>
          <w:shd w:val="clear" w:fill="FFFFFF"/>
        </w:rPr>
      </w:pPr>
      <w:r>
        <w:rPr>
          <w:rFonts w:ascii="Arial" w:hAnsi="Arial" w:cs="Arial"/>
          <w:b/>
          <w:bCs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/>
          <w:bCs/>
          <w:sz w:val="22"/>
          <w:szCs w:val="22"/>
          <w:shd w:val="clear" w:fill="FFFFFF"/>
        </w:rPr>
        <w:t xml:space="preserve">Processo Administr</w:t>
      </w:r>
      <w:r>
        <w:rPr>
          <w:rFonts w:ascii="Arial" w:hAnsi="Arial" w:cs="Arial"/>
          <w:b/>
          <w:bCs/>
          <w:sz w:val="22"/>
          <w:szCs w:val="22"/>
          <w:shd w:val="clear" w:fill="FFFFFF"/>
        </w:rPr>
        <w:t xml:space="preserve">ativo nº </w:t>
      </w:r>
      <w:r>
        <w:rPr>
          <w:rFonts w:ascii="Arial" w:hAnsi="Arial" w:cs="Arial"/>
          <w:b/>
          <w:bCs/>
          <w:sz w:val="22"/>
          <w:szCs w:val="22"/>
          <w:shd w:val="clear" w:fill="FFFFFF"/>
        </w:rPr>
        <w:t xml:space="preserve">908/2025</w:t>
      </w:r>
    </w:p>
    <w:p>
      <w:pPr>
        <w:pStyle w:val="Normal"/>
        <w:spacing w:before="0" w:after="0" w:line="360" w:lineRule="auto"/>
        <w:jc w:val="both"/>
        <w:rPr>
          <w:sz w:val="22"/>
          <w:szCs w:val="22"/>
          <w:highlight w:val="none"/>
          <w:shd w:val="clear" w:fill="FFFFFF"/>
        </w:rPr>
      </w:pPr>
      <w:r>
        <w:rPr>
          <w:rFonts w:ascii="Arial" w:hAnsi="Arial" w:cs="Arial"/>
          <w:b/>
          <w:bCs/>
          <w:sz w:val="22"/>
          <w:szCs w:val="22"/>
          <w:shd w:val="clear" w:fill="FFFFFF"/>
        </w:rPr>
        <w:t xml:space="preserve">Pregão Eletrônico nº </w:t>
      </w:r>
      <w:r>
        <w:rPr>
          <w:rFonts w:ascii="Arial" w:hAnsi="Arial" w:cs="Arial"/>
          <w:b/>
          <w:bCs/>
          <w:sz w:val="22"/>
          <w:szCs w:val="22"/>
          <w:shd w:val="clear" w:fill="FFFFFF"/>
        </w:rPr>
        <w:t xml:space="preserve">PMCA023/25</w:t>
      </w:r>
    </w:p>
    <w:p>
      <w:pPr>
        <w:pStyle w:val="Normal"/>
        <w:spacing w:before="0" w:after="0" w:line="360" w:lineRule="auto"/>
        <w:jc w:val="both"/>
        <w:rPr>
          <w:rFonts w:ascii="Arial" w:hAnsi="Arial"/>
          <w:b w:val="false"/>
          <w:bCs w:val="false"/>
          <w:sz w:val="22"/>
          <w:szCs w:val="22"/>
          <w:highlight w:val="none"/>
          <w:shd w:val="clear" w:fill="FFFFFF"/>
        </w:rPr>
      </w:pPr>
      <w:r>
        <w:rPr>
          <w:rFonts w:ascii="Arial" w:hAnsi="Arial"/>
          <w:b w:val="false"/>
          <w:bCs w:val="false"/>
          <w:sz w:val="22"/>
          <w:szCs w:val="22"/>
          <w:shd w:val="clear" w:fill="FFFFFF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3402" w:right="0" w:hanging="0"/>
        <w:jc w:val="both"/>
        <w:rPr>
          <w:sz w:val="18"/>
          <w:szCs w:val="18"/>
          <w:highlight w:val="none"/>
          <w:shd w:val="clear" w:fill="FFFFFF"/>
        </w:rPr>
      </w:pPr>
      <w:r>
        <w:rPr>
          <w:rFonts w:ascii="Arial" w:hAnsi="Arial" w:cs="Arial"/>
          <w:b/>
          <w:bCs/>
          <w:color w:val="000000"/>
          <w:sz w:val="18"/>
          <w:szCs w:val="18"/>
          <w:shd w:val="clear" w:fill="FFFFFF"/>
        </w:rPr>
        <w:t>EMEN</w:t>
      </w:r>
      <w:r>
        <w:rPr>
          <w:rFonts w:ascii="Arial" w:hAnsi="Arial" w:cs="Arial"/>
          <w:b/>
          <w:bCs/>
          <w:color w:val="000000"/>
          <w:sz w:val="18"/>
          <w:szCs w:val="18"/>
          <w:shd w:val="clear" w:fill="FFFFFF"/>
        </w:rPr>
        <w:t>T</w:t>
      </w:r>
      <w:r>
        <w:rPr>
          <w:rFonts w:ascii="Arial" w:hAnsi="Arial" w:cs="Arial"/>
          <w:b/>
          <w:bCs/>
          <w:color w:val="000000"/>
          <w:sz w:val="18"/>
          <w:szCs w:val="18"/>
          <w:shd w:val="clear" w:fill="FFFFFF"/>
        </w:rPr>
        <w:t xml:space="preserve">A: </w:t>
      </w:r>
      <w:r>
        <w:rPr>
          <w:rFonts w:ascii="Arial" w:hAnsi="Arial" w:eastAsia="Times New Roman" w:cs="Times New Roman"/>
          <w:b/>
          <w:bCs/>
          <w:color w:val="000000"/>
          <w:sz w:val="18"/>
          <w:szCs w:val="18"/>
          <w:shd w:val="clear" w:fill="FFFFFF"/>
          <w:lang w:eastAsia="pt-BR"/>
        </w:rPr>
        <w:t xml:space="preserve">DIREITO ADMINISTRATIVO. LICITAÇÃO. PREGÃO ELETRÔNICO. SISTEMA DE REGISTRO DE PREÇOS. COMPRAS. </w:t>
      </w:r>
      <w:r>
        <w:rPr>
          <w:rFonts w:ascii="Arial" w:hAnsi="Arial" w:eastAsia="Calibri" w:cs="Times New Roman"/>
          <w:b/>
          <w:bCs/>
          <w:color w:val="000000"/>
          <w:sz w:val="18"/>
          <w:szCs w:val="18"/>
          <w:shd w:val="clear" w:fill="FFFFFF"/>
        </w:rPr>
        <w:t xml:space="preserve">LEGISLAÇÃO APLICÁVEL: LEI Nº 14.133, DE 2021. DECRETO MUNICIPAL N. 58/2023. </w:t>
      </w:r>
      <w:r>
        <w:rPr>
          <w:rFonts w:ascii="Arial" w:hAnsi="Arial" w:eastAsia="Times New Roman" w:cs="Times New Roman"/>
          <w:b/>
          <w:bCs/>
          <w:color w:val="000000"/>
          <w:sz w:val="18"/>
          <w:szCs w:val="18"/>
          <w:shd w:val="clear" w:fill="FFFFFF"/>
          <w:lang w:eastAsia="pt-BR"/>
        </w:rPr>
        <w:t>REGULARIDADE JURÍDICA,</w:t>
      </w:r>
      <w:r>
        <w:rPr>
          <w:rFonts w:ascii="Arial" w:hAnsi="Arial" w:eastAsia="Times New Roman" w:cs="Times New Roman"/>
          <w:b/>
          <w:bCs/>
          <w:color w:val="000000"/>
          <w:sz w:val="18"/>
          <w:szCs w:val="18"/>
          <w:shd w:val="clear" w:fill="FF0000"/>
          <w:lang w:eastAsia="pt-BR"/>
        </w:rPr>
        <w:t xml:space="preserve"> COM RESSALVAS.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3402" w:right="0" w:hanging="0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sz w:val="22"/>
          <w:szCs w:val="22"/>
          <w:highlight w:val="none"/>
          <w:shd w:val="clear" w:fill="FFFFFF"/>
        </w:rPr>
      </w:pPr>
      <w:r>
        <w:rPr>
          <w:rFonts w:ascii="Arial" w:hAnsi="Arial" w:cs="Arial"/>
          <w:b/>
          <w:sz w:val="22"/>
          <w:szCs w:val="22"/>
          <w:shd w:val="clear" w:fill="FFFFFF"/>
        </w:rPr>
        <w:tab/>
        <w:t>I – RELATÓRIO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 xml:space="preserve">Trata-se de processo administrativo encaminhado pelo Setor de Licitações a este órgão consu</w:t>
      </w: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 xml:space="preserve">ltivo, para a análise de legalidade, formalidade e adequação do processo licitatório de Pregão Eletrônico, sob o sistema de Registro de Preços, que tem por objeto a</w:t>
      </w:r>
      <w:r>
        <w:rPr>
          <w:rFonts w:ascii="Arial" w:hAnsi="Arial" w:cs="Arial"/>
          <w:b w:val="false"/>
          <w:bCs w:val="false"/>
          <w:i/>
          <w:iCs/>
          <w:sz w:val="22"/>
          <w:szCs w:val="22"/>
          <w:shd w:val="clear" w:fill="FFFFFF"/>
        </w:rPr>
        <w:t xml:space="preserve"> “</w:t>
      </w:r>
      <w:r>
        <w:rPr>
          <w:rFonts w:ascii="Arial" w:hAnsi="Arial" w:cs="Arial"/>
          <w:b w:val="false"/>
          <w:bCs w:val="false"/>
          <w:i/>
          <w:iCs/>
          <w:sz w:val="22"/>
          <w:szCs w:val="22"/>
          <w:shd w:val="clear" w:fill="FFFFFF"/>
        </w:rPr>
        <w:t xml:space="preserve">Aquisição de uma câmara fria, visando garantir a adequada conservação e armazenamento de produtos perecíveis, assegurando qualidade, durabilidade e redução de perdas.</w:t>
      </w:r>
      <w:r>
        <w:rPr>
          <w:rFonts w:ascii="Arial" w:hAnsi="Arial" w:cs="Arial"/>
          <w:b w:val="false"/>
          <w:bCs w:val="false"/>
          <w:i/>
          <w:iCs/>
          <w:sz w:val="22"/>
          <w:szCs w:val="22"/>
          <w:shd w:val="clear" w:fill="FFFFFF"/>
        </w:rPr>
        <w:t xml:space="preserve">”.,</w:t>
      </w: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 xml:space="preserve"> no valor estimado de R$ </w:t>
      </w: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 xml:space="preserve">________________________</w:t>
      </w: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 xml:space="preserve"> (</w:t>
      </w: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 xml:space="preserve">__________________________</w:t>
      </w: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 xml:space="preserve">)</w:t>
      </w: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 xml:space="preserve">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ab/>
        <w:t>A fase preparatória do processo licitatório foi instruída com os seguintes documentos: a) Documento de Formalização da Demanda; b) Estudo Técnico Preliminar; c) Termo de Referência; d) Pesquisa de Preço; e) Solicitação de compra; f) Determinação de Abertura de Processo Administrativo; g) Autorização de Abertura de Processo Administrativo; h) Minuta de Edital do Pregão Eletrônico; i) Relação de itens da licitação (conforme Termo de Referência); j) Modelo de Declaração Unificada; k) Minuta de Ata de Registro de Preços.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ab/>
        <w:t xml:space="preserve">É o relatório. Passa-se à análise e conclusão. 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 w:val="false"/>
          <w:bCs w:val="false"/>
          <w:i w:val="false"/>
          <w:iCs w:val="false"/>
          <w:sz w:val="22"/>
          <w:szCs w:val="22"/>
          <w:shd w:val="clear" w:fill="FFFFFF"/>
        </w:rPr>
        <w:tab/>
      </w:r>
      <w:r>
        <w:rPr>
          <w:rFonts w:ascii="Arial" w:hAnsi="Arial" w:cs="Arial"/>
          <w:b/>
          <w:bCs/>
          <w:sz w:val="22"/>
          <w:szCs w:val="22"/>
          <w:shd w:val="clear" w:fill="FFFFFF"/>
        </w:rPr>
        <w:t>II – DOS LIMITES DA ANÁLISE JURÍDICA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/>
          <w:bCs/>
          <w:sz w:val="22"/>
          <w:szCs w:val="22"/>
          <w:shd w:val="clear" w:fill="FFFFFF"/>
        </w:rPr>
        <w:tab/>
      </w:r>
      <w:r>
        <w:rPr>
          <w:rFonts w:ascii="Arial" w:hAnsi="Arial" w:cs="Arial"/>
          <w:sz w:val="22"/>
          <w:szCs w:val="22"/>
          <w:shd w:val="clear" w:fill="FFFFFF"/>
        </w:rPr>
        <w:t xml:space="preserve">A Lei Federal 14.133/2021 institui novos procedimentos para Licitações e Contratos Administrativos. Estabelece em seu art. 53, caput, que </w:t>
      </w:r>
      <w:r>
        <w:rPr>
          <w:rFonts w:ascii="Arial" w:hAnsi="Arial" w:cs="Arial"/>
          <w:i/>
          <w:iCs/>
          <w:sz w:val="22"/>
          <w:szCs w:val="22"/>
          <w:shd w:val="clear" w:fill="FFFFFF"/>
        </w:rPr>
        <w:t>“Ao final da fase preparatória, o processo licitatório seguirá para o órgão de assessoramento jurídico da Administração, que realizará controle prévio de legalidade mediante análise jurídica da contratação”,</w:t>
      </w:r>
      <w:r>
        <w:rPr>
          <w:rFonts w:ascii="Arial" w:hAnsi="Arial" w:cs="Arial"/>
          <w:sz w:val="22"/>
          <w:szCs w:val="22"/>
          <w:shd w:val="clear" w:fill="FFFFFF"/>
        </w:rPr>
        <w:t xml:space="preserve"> apresentando parecer jurídico em linguagem simples e compreensível de forma clara e objetiva (art. 53, § 1º, I e II). 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sz w:val="22"/>
          <w:szCs w:val="22"/>
          <w:shd w:val="clear" w:fill="FFFFFF"/>
        </w:rPr>
        <w:tab/>
        <w:t>Logo, a presente manifestação jurídica tem o escopo de assistir a autoridade assessorada no controle prévio de legalidade, conforme art. 53 da Lei nº 14.133, de 1º de abril de 2021. Dessa maneira, não há determinação legal a impor a fiscalização posterior de cumprimento de recomendações feitas pela unidade jurídico-consultiva. Além do mais, na eventualidade de o administrador não atender as orientações do Órgão Consultivo, passa a assumir, inteiramente, a responsabilidade por sua conduta.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sz w:val="22"/>
          <w:szCs w:val="22"/>
          <w:shd w:val="clear" w:fill="FFFFFF"/>
        </w:rPr>
        <w:tab/>
        <w:t>Ressalte-se que o exame aqui empreendido se restringe aos aspectos jurídicos do procedimento, excluídos, portanto, aqueles de natureza eminentemente técnica, o que inclui o detalhamento do objeto da contratação, suas características, requisitos e especificações. Com relação a esses dados, parte-se da premissa de que a autoridade competente se municiará dos conhecimentos técnicos imprescindíveis para a sua adequação às necessidades da Administração, conforme orientação constante da Boa Prática Consultiva – BPC n° 7, que assim dispõe: </w:t>
      </w:r>
    </w:p>
    <w:p>
      <w:pPr>
        <w:pStyle w:val="Normal"/>
        <w:spacing w:before="0" w:after="0" w:line="360" w:lineRule="auto"/>
        <w:jc w:val="both"/>
        <w:rPr>
          <w:rFonts w:ascii="Arial" w:hAnsi="Arial" w:cs="Arial"/>
          <w:sz w:val="22"/>
          <w:szCs w:val="22"/>
          <w:highlight w:val="none"/>
          <w:shd w:val="clear" w:fill="FFFFFF"/>
        </w:rPr>
      </w:pPr>
      <w:r>
        <w:rPr>
          <w:rFonts w:ascii="Arial" w:hAnsi="Arial" w:cs="Arial"/>
          <w:sz w:val="22"/>
          <w:szCs w:val="22"/>
          <w:shd w:val="clear" w:fill="FFFFFF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 w:cs="Arial"/>
          <w:sz w:val="18"/>
          <w:szCs w:val="18"/>
          <w:shd w:val="clear" w:fill="FFFFFF"/>
        </w:rPr>
        <w:t>A manifestação consultiva que adentrar questão jurídica com potencial de significativo reflexo em aspecto técnico deve conter justificativa da necessidade de fazê-lo, evitando-se posicionamentos conclusivos sobre temas não jurídicos, tais como os técnicos, administrativos ou de conveniência ou oportunidade, podendo-se, porém, sobre estes emitir opinião ou formular recomendações, desde que enfatizando o caráter discricionário de seu acatamento. (Manual de Boas Práticas Consultivas aprovado pela Portaria Conjunta nº 01, de 2 de dezembro de 2016)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sz w:val="22"/>
          <w:szCs w:val="22"/>
          <w:shd w:val="clear" w:fill="FFFFFF"/>
        </w:rPr>
        <w:t> 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sz w:val="22"/>
          <w:szCs w:val="22"/>
          <w:shd w:val="clear" w:fill="FFFFFF"/>
        </w:rPr>
        <w:tab/>
        <w:t>Feita a ressalva, passo à análise estritamente jurídica do presente processo.</w:t>
        <w:tab/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/>
          <w:bCs/>
          <w:sz w:val="22"/>
          <w:szCs w:val="22"/>
          <w:shd w:val="clear" w:fill="FFFFFF"/>
        </w:rPr>
        <w:tab/>
        <w:t>III – DA ADEQUAÇÃO DA MODALIDADE LICITATÓRIA ESCOLHIDA</w:t>
      </w:r>
    </w:p>
    <w:p>
      <w:pPr>
        <w:pStyle w:val="Normal"/>
        <w:spacing w:before="0" w:after="0" w:line="360" w:lineRule="auto"/>
        <w:jc w:val="both"/>
        <w:rPr>
          <w:rFonts w:ascii="Arial" w:hAnsi="Arial" w:eastAsia="Arial" w:cs="Arial"/>
          <w:b/>
          <w:bCs/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b/>
          <w:bCs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bCs/>
          <w:sz w:val="22"/>
          <w:szCs w:val="22"/>
          <w:shd w:val="clear" w:fill="FFFFFF"/>
        </w:rPr>
        <w:tab/>
      </w:r>
      <w:r>
        <w:rPr>
          <w:rFonts w:ascii="Arial" w:hAnsi="Arial" w:eastAsia="Arial" w:cs="Arial"/>
          <w:sz w:val="22"/>
          <w:szCs w:val="22"/>
          <w:shd w:val="clear" w:fill="FFFFFF"/>
        </w:rPr>
        <w:t xml:space="preserve">O presente processo licitatório se realiza na modalidade de Pregão Eletrônico, pelo sistema de registro de preços, que é conceituado pela Lei 14.133/2021 em seu art. 6º, XLI e XLV: </w:t>
      </w:r>
    </w:p>
    <w:p>
      <w:pPr>
        <w:pStyle w:val="Normal"/>
        <w:spacing w:before="0" w:after="0" w:line="360" w:lineRule="auto"/>
        <w:jc w:val="both"/>
        <w:rPr>
          <w:rFonts w:ascii="Arial" w:hAnsi="Arial" w:eastAsia="Arial" w:cs="Arial"/>
          <w:b/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b/>
          <w:sz w:val="22"/>
          <w:szCs w:val="22"/>
          <w:shd w:val="clear" w:fill="FFFFFF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sz w:val="18"/>
          <w:szCs w:val="18"/>
          <w:shd w:val="clear" w:fill="FFFFFF"/>
        </w:rPr>
        <w:t xml:space="preserve">Art. 6º Para os fins desta Lei, consideram-se: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sz w:val="18"/>
          <w:szCs w:val="18"/>
          <w:shd w:val="clear" w:fill="FFFFFF"/>
        </w:rPr>
        <w:t xml:space="preserve">[...] XLI - pregão: modalidade de licitação obrigatória para aquisição de bens e serviços comuns, cujo critério de julgamento poderá ser o de menor preço ou o de maior desconto;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sz w:val="18"/>
          <w:szCs w:val="18"/>
          <w:shd w:val="clear" w:fill="FFFFFF"/>
        </w:rPr>
        <w:t xml:space="preserve">[...] XLV - sistema de registro de preços: conjunto de procedimentos para realização, mediante contratação direta ou licitação nas modalidades pregão ou concorrência, de registro formal de preços relativos a prestação de serviços, a obras e a aquisição e locação de bens para contratações futuras; [...] </w:t>
      </w:r>
    </w:p>
    <w:p>
      <w:pPr>
        <w:pStyle w:val="Normal"/>
        <w:spacing w:before="0" w:after="0" w:line="360" w:lineRule="auto"/>
        <w:jc w:val="both"/>
        <w:rPr>
          <w:rFonts w:ascii="Arial" w:hAnsi="Arial" w:eastAsia="Arial" w:cs="Arial"/>
          <w:b/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b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sz w:val="22"/>
          <w:szCs w:val="22"/>
          <w:shd w:val="clear" w:fill="FFFFFF"/>
        </w:rPr>
        <w:tab/>
      </w:r>
      <w:r>
        <w:rPr>
          <w:rFonts w:ascii="Arial" w:hAnsi="Arial" w:eastAsia="Arial" w:cs="Arial"/>
          <w:sz w:val="22"/>
          <w:szCs w:val="22"/>
          <w:shd w:val="clear" w:fill="FFFFFF"/>
        </w:rPr>
        <w:t xml:space="preserve">O art. 29 da lei supramencionada prevê que a modalidade de Pregão Eletrônico seguirá o rito procedimental do art. 17. Nesse sentido, Marçal Justen Filho, em seu livro “Comentários à Nova Lei de Licitações e Contratações Administrativas: Lei 14.133/2021 (2021, p. 440)”, ensina que </w:t>
      </w:r>
      <w:r>
        <w:rPr>
          <w:rFonts w:ascii="Arial" w:hAnsi="Arial" w:eastAsia="Arial" w:cs="Arial"/>
          <w:i/>
          <w:iCs/>
          <w:sz w:val="22"/>
          <w:szCs w:val="22"/>
          <w:shd w:val="clear" w:fill="FFFFFF"/>
        </w:rPr>
        <w:t xml:space="preserve">“o pregão é adequado para contratação de compras e serviços (inclusive de engenharia, quando o objeto for comum)”. 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i/>
          <w:iCs/>
          <w:sz w:val="22"/>
          <w:szCs w:val="22"/>
          <w:shd w:val="clear" w:fill="FFFFFF"/>
        </w:rPr>
        <w:tab/>
      </w:r>
      <w:r>
        <w:rPr>
          <w:rFonts w:ascii="Arial" w:hAnsi="Arial" w:eastAsia="Arial" w:cs="Arial"/>
          <w:sz w:val="22"/>
          <w:szCs w:val="22"/>
          <w:shd w:val="clear" w:fill="FFFFFF"/>
        </w:rPr>
        <w:t>A possibilidade da utilização do Sistema de Registro de Preços está prevista na nova Lei das Licitações, em seus arts. 78, IV, 82 e seguintes, bem como no art. 1º do Decreto Municipal n. 58/2023.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  <w:tab/>
        <w:t xml:space="preserve">Vale também destacar que o parágrafo único do art. 29 da Nova Lei de Licitações traz a exceção da utilização da modalidade de pregão: </w:t>
      </w:r>
      <w:r>
        <w:rPr>
          <w:rFonts w:ascii="Arial" w:hAnsi="Arial" w:eastAsia="Arial" w:cs="Arial"/>
          <w:i/>
          <w:sz w:val="22"/>
          <w:szCs w:val="22"/>
          <w:shd w:val="clear" w:fill="FFFFFF"/>
        </w:rPr>
        <w:t>“O pregão não se aplica às contratações de serviços técnicos especializados de natureza predominantemente intelectual e de obras e serviços de engenharia, exceto os serviços de engenharia de que trata a alínea “a” do inciso XXI do caput do art. 6º desta Lei”</w:t>
      </w:r>
      <w:r>
        <w:rPr>
          <w:rFonts w:ascii="Arial" w:hAnsi="Arial" w:eastAsia="Arial" w:cs="Arial"/>
          <w:sz w:val="22"/>
          <w:szCs w:val="22"/>
          <w:shd w:val="clear" w:fill="FFFFFF"/>
        </w:rPr>
        <w:t xml:space="preserve">, não sendo compatível com o objeto do processo em análise, visto este se tratar de compra de produtos. 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  <w:t xml:space="preserve">No presente processo licitatório, a modalidade de pregão é aplicável, uma vez que se trata de Registro de Preços para </w:t>
      </w:r>
      <w:r>
        <w:rPr>
          <w:rFonts w:ascii="Arial" w:hAnsi="Arial" w:eastAsia="Arial" w:cs="Arial"/>
          <w:b w:val="false"/>
          <w:bCs w:val="false"/>
          <w:i/>
          <w:iCs/>
          <w:sz w:val="22"/>
          <w:szCs w:val="22"/>
          <w:shd w:val="clear" w:fill="FFFFFF"/>
        </w:rPr>
        <w:t xml:space="preserve">“</w:t>
      </w:r>
      <w:r>
        <w:rPr>
          <w:rFonts w:ascii="Arial" w:hAnsi="Arial" w:eastAsia="Arial" w:cs="Arial"/>
          <w:b w:val="false"/>
          <w:bCs w:val="false"/>
          <w:i/>
          <w:iCs/>
          <w:sz w:val="22"/>
          <w:szCs w:val="22"/>
          <w:shd w:val="clear" w:fill="FFFFFF"/>
        </w:rPr>
        <w:t xml:space="preserve">Aquisição de uma câmara fria, visando garantir a adequada conservação e armazenamento de produtos perecíveis, assegurando qualidade, durabilidade e redução de perdas.</w:t>
      </w:r>
      <w:r>
        <w:rPr>
          <w:rFonts w:ascii="Arial" w:hAnsi="Arial" w:eastAsia="Arial" w:cs="Arial"/>
          <w:b w:val="false"/>
          <w:bCs w:val="false"/>
          <w:i/>
          <w:iCs/>
          <w:sz w:val="22"/>
          <w:szCs w:val="22"/>
          <w:shd w:val="clear" w:fill="FFFFFF"/>
        </w:rPr>
        <w:t xml:space="preserve">”, </w:t>
      </w:r>
      <w:r>
        <w:rPr>
          <w:rFonts w:ascii="Arial" w:hAnsi="Arial" w:eastAsia="Arial" w:cs="Arial"/>
          <w:sz w:val="22"/>
          <w:szCs w:val="22"/>
          <w:shd w:val="clear" w:fill="FFFFFF"/>
        </w:rPr>
        <w:t xml:space="preserve"> conforme as condições e especificações estabelecidas no Termo de Referência. </w:t>
      </w:r>
    </w:p>
    <w:p>
      <w:pPr>
        <w:pStyle w:val="Normal"/>
        <w:spacing w:before="0" w:after="0" w:line="360" w:lineRule="auto"/>
        <w:jc w:val="both"/>
        <w:rPr>
          <w:rFonts w:ascii="Arial" w:hAnsi="Arial" w:eastAsia="Arial" w:cs="Arial"/>
          <w:b/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b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sz w:val="22"/>
          <w:szCs w:val="22"/>
          <w:shd w:val="clear" w:fill="FFFFFF"/>
        </w:rPr>
        <w:tab/>
        <w:t>IV – DA ANÁLISE DOS CRITÉRIOS DE JULGAMENTO</w:t>
      </w:r>
    </w:p>
    <w:p>
      <w:pPr>
        <w:pStyle w:val="Normal"/>
        <w:spacing w:before="0" w:after="0" w:line="360" w:lineRule="auto"/>
        <w:jc w:val="both"/>
        <w:rPr>
          <w:rFonts w:ascii="Arial" w:hAnsi="Arial" w:eastAsia="Arial" w:cs="Arial"/>
          <w:b/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b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sz w:val="22"/>
          <w:szCs w:val="22"/>
          <w:shd w:val="clear" w:fill="FFFFFF"/>
        </w:rPr>
        <w:tab/>
      </w:r>
      <w:r>
        <w:rPr>
          <w:rFonts w:ascii="Arial" w:hAnsi="Arial" w:eastAsia="Arial" w:cs="Arial"/>
          <w:sz w:val="22"/>
          <w:szCs w:val="22"/>
          <w:shd w:val="clear" w:fill="FFFFFF"/>
        </w:rPr>
        <w:t>A minuta do edital previu o critério de julgamento de menor preço, porquanto a empresa contratada deve prestar os serviços previstos no Termo de Referência, obedecendo ao artigo 33, I da Nova Lei.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  <w:tab/>
        <w:t>Nesse critério deve-se considerar o menor dispêndio para a Administração, atendidos os parâmetros mínimos de qualidade definidos no edital de licitação, na estrita observância do art. 34 da Lei n. 14.133/2021.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  <w:tab/>
        <w:t xml:space="preserve">Nesse sentido, Marçal Justen Filho ensina: </w:t>
      </w:r>
    </w:p>
    <w:p>
      <w:pPr>
        <w:pStyle w:val="Normal"/>
        <w:spacing w:before="0" w:after="0" w:line="360" w:lineRule="auto"/>
        <w:jc w:val="both"/>
        <w:rPr>
          <w:rFonts w:ascii="Arial" w:hAnsi="Arial" w:eastAsia="Arial" w:cs="Arial"/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sz w:val="18"/>
          <w:szCs w:val="18"/>
          <w:shd w:val="clear" w:fill="FFFFFF"/>
        </w:rPr>
        <w:t xml:space="preserve">A licitação sempre visa obter a melhor proposta pelo menor custo possível. Esse fator (menos custo possível) é ponto comum nas licitações de menor preço, de maior desconto e de técnica e preço. As exigências quanto à qualidade, prazo e outras, podem variar caso a caso. Porém, isso não ocorrerá no tocante ao preço. A Administração Pública tem o dever de buscar o menor desembolso de recursos, a fazer-se nas melhores condições possíveis. Qualquer outra solução ofenderia aos princípios mais basilares da gestão da coisa pública. (Comentários à Lei de Licitações e Contratações Administrativas: Lei 14.133/2021. – São Paulo: Thomson Reuters Brasil, 2021, p. 473).  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sz w:val="20"/>
          <w:szCs w:val="20"/>
          <w:shd w:val="clear" w:fill="FFFFFF"/>
        </w:rPr>
        <w:tab/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sz w:val="20"/>
          <w:szCs w:val="20"/>
          <w:shd w:val="clear" w:fill="FFFFFF"/>
        </w:rPr>
        <w:tab/>
      </w:r>
      <w:r>
        <w:rPr>
          <w:rFonts w:ascii="Arial" w:hAnsi="Arial" w:eastAsia="Arial" w:cs="Arial"/>
          <w:sz w:val="22"/>
          <w:szCs w:val="22"/>
          <w:shd w:val="clear" w:fill="FFFFFF"/>
        </w:rPr>
        <w:t xml:space="preserve">Como a modalidade da licitação é a de Pregão Eletrônico, o critério selecionado está de acordo com a norma regente. </w:t>
      </w:r>
    </w:p>
    <w:p>
      <w:pPr>
        <w:pStyle w:val="Normal"/>
        <w:spacing w:before="0" w:after="48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Times New Roman"/>
          <w:color w:val="000000" w:themeColor="text1"/>
          <w:sz w:val="22"/>
          <w:szCs w:val="22"/>
          <w:shd w:val="clear" w:fill="FFFFFF"/>
        </w:rPr>
        <w:tab/>
      </w:r>
    </w:p>
    <w:p>
      <w:pPr>
        <w:pStyle w:val="Normal"/>
        <w:spacing w:before="280" w:after="280" w:line="240" w:lineRule="auto"/>
        <w:jc w:val="both"/>
        <w:rPr>
          <w:highlight w:val="none"/>
          <w:shd w:val="clear" w:fill="FFFFFF"/>
        </w:rPr>
      </w:pPr>
      <w:r>
        <w:rPr>
          <w:rFonts w:ascii="Arial" w:hAnsi="Arial" w:cs="Times New Roman"/>
          <w:b/>
          <w:bCs/>
          <w:color w:val="000000" w:themeColor="text1"/>
          <w:shd w:val="clear" w:fill="FFFFFF"/>
          <w:lang w:eastAsia="pt-BR"/>
        </w:rPr>
        <w:tab/>
        <w:t>V – PLANEJAMENTO DA CONTRATAÇÃO</w:t>
      </w:r>
    </w:p>
    <w:p>
      <w:pPr>
        <w:pStyle w:val="Normal"/>
        <w:spacing w:before="280" w:after="28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Times New Roman"/>
          <w:color w:val="000000" w:themeColor="text1"/>
          <w:shd w:val="clear" w:fill="FFFFFF"/>
          <w:lang w:eastAsia="pt-BR"/>
        </w:rPr>
        <w:tab/>
      </w:r>
      <w:r>
        <w:rPr>
          <w:rFonts w:ascii="Arial" w:hAnsi="Arial" w:cs="Times New Roman"/>
          <w:color w:val="000000" w:themeColor="text1"/>
          <w:sz w:val="22"/>
          <w:szCs w:val="22"/>
          <w:shd w:val="clear" w:fill="FFFFFF"/>
          <w:lang w:eastAsia="pt-BR"/>
        </w:rPr>
        <w:t>De acordo com a Lei nº 14.133, de 2021, a Administração Pública deverá produzir os documentos abaixo durante a fase de planejamento da contratação: a) documento para formalização da demanda;</w:t>
      </w:r>
      <w:r>
        <w:rPr>
          <w:rFonts w:ascii="Arial" w:hAnsi="Arial" w:cs="Times New Roman"/>
          <w:sz w:val="22"/>
          <w:szCs w:val="22"/>
          <w:shd w:val="clear" w:fill="FFFFFF"/>
          <w:lang w:eastAsia="pt-BR"/>
        </w:rPr>
        <w:t xml:space="preserve">  </w:t>
      </w:r>
      <w:r>
        <w:rPr>
          <w:rFonts w:ascii="Arial" w:hAnsi="Arial" w:cs="Times New Roman"/>
          <w:color w:val="000000" w:themeColor="text1"/>
          <w:sz w:val="22"/>
          <w:szCs w:val="22"/>
          <w:shd w:val="clear" w:fill="FFFFFF"/>
          <w:lang w:eastAsia="pt-BR"/>
        </w:rPr>
        <w:t>b) estudo técnico preliminar;</w:t>
      </w:r>
      <w:r>
        <w:rPr>
          <w:rFonts w:ascii="Arial" w:hAnsi="Arial" w:cs="Times New Roman"/>
          <w:sz w:val="22"/>
          <w:szCs w:val="22"/>
          <w:shd w:val="clear" w:fill="FFFFFF"/>
          <w:lang w:eastAsia="pt-BR"/>
        </w:rPr>
        <w:t xml:space="preserve">  </w:t>
      </w:r>
      <w:r>
        <w:rPr>
          <w:rFonts w:ascii="Arial" w:hAnsi="Arial" w:cs="Times New Roman"/>
          <w:color w:val="000000" w:themeColor="text1"/>
          <w:sz w:val="22"/>
          <w:szCs w:val="22"/>
          <w:shd w:val="clear" w:fill="FFFFFF"/>
          <w:lang w:eastAsia="pt-BR"/>
        </w:rPr>
        <w:t>c) mapa de risco;</w:t>
      </w:r>
      <w:r>
        <w:rPr>
          <w:rFonts w:ascii="Arial" w:hAnsi="Arial" w:cs="Times New Roman"/>
          <w:sz w:val="22"/>
          <w:szCs w:val="22"/>
          <w:shd w:val="clear" w:fill="FFFFFF"/>
          <w:lang w:eastAsia="pt-BR"/>
        </w:rPr>
        <w:t xml:space="preserve">  e </w:t>
      </w:r>
      <w:r>
        <w:rPr>
          <w:rFonts w:ascii="Arial" w:hAnsi="Arial" w:cs="Times New Roman"/>
          <w:color w:val="000000" w:themeColor="text1"/>
          <w:sz w:val="22"/>
          <w:szCs w:val="22"/>
          <w:shd w:val="clear" w:fill="FFFFFF"/>
          <w:lang w:eastAsia="pt-BR"/>
        </w:rPr>
        <w:t>d) termo de referência.</w:t>
      </w:r>
      <w:r>
        <w:rPr>
          <w:rFonts w:ascii="Arial" w:hAnsi="Arial" w:cs="Times New Roman"/>
          <w:sz w:val="22"/>
          <w:szCs w:val="22"/>
          <w:shd w:val="clear" w:fill="FFFFFF"/>
          <w:lang w:eastAsia="pt-BR"/>
        </w:rPr>
        <w:t>  </w:t>
      </w:r>
    </w:p>
    <w:p>
      <w:pPr>
        <w:pStyle w:val="Normal"/>
        <w:spacing w:before="280" w:after="28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Times New Roman"/>
          <w:sz w:val="22"/>
          <w:szCs w:val="22"/>
          <w:shd w:val="clear" w:fill="FFFFFF"/>
          <w:lang w:eastAsia="pt-BR"/>
        </w:rPr>
        <w:tab/>
      </w:r>
      <w:r>
        <w:rPr>
          <w:rFonts w:ascii="Arial" w:hAnsi="Arial" w:cs="Times New Roman"/>
          <w:b/>
          <w:bCs/>
          <w:sz w:val="22"/>
          <w:szCs w:val="22"/>
          <w:shd w:val="clear" w:fill="FFFFFF"/>
          <w:lang w:eastAsia="pt-BR"/>
        </w:rPr>
        <w:t>a) Documento de Formalizaçã</w:t>
      </w:r>
      <w:r>
        <w:rPr>
          <w:rFonts w:ascii="Arial" w:hAnsi="Arial" w:cs="Times New Roman"/>
          <w:b/>
          <w:bCs/>
          <w:color w:val="000000"/>
          <w:sz w:val="22"/>
          <w:szCs w:val="22"/>
          <w:shd w:val="clear" w:fill="FFFFFF"/>
          <w:lang w:eastAsia="pt-BR"/>
        </w:rPr>
        <w:t>o da Demanda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 w:val="false"/>
          <w:bCs w:val="false"/>
          <w:color w:val="000000"/>
          <w:sz w:val="22"/>
          <w:szCs w:val="22"/>
          <w:shd w:val="clear" w:fill="FFFFFF"/>
        </w:rPr>
        <w:tab/>
      </w:r>
      <w:r>
        <w:rPr>
          <w:rFonts w:ascii="Arial" w:hAnsi="Arial" w:cs="Times New Roman"/>
          <w:b w:val="false"/>
          <w:bCs w:val="false"/>
          <w:color w:val="000000"/>
          <w:sz w:val="22"/>
          <w:szCs w:val="22"/>
          <w:shd w:val="clear" w:fill="FFFFFF"/>
          <w:lang w:eastAsia="pt-BR"/>
        </w:rPr>
        <w:t>Da análise do documento de formalização da demanda, verifica-se a descrição do objeto, existência de justificativa da necessidade da contratação, itens e quantidades, e o nome da área requisitante ou técnica com a identificação do responsável.</w:t>
      </w:r>
    </w:p>
    <w:p>
      <w:pPr>
        <w:pStyle w:val="Normal"/>
        <w:spacing w:before="0" w:after="0" w:line="360" w:lineRule="auto"/>
        <w:jc w:val="both"/>
        <w:rPr>
          <w:rFonts w:ascii="Arial" w:hAnsi="Arial" w:cs="Times New Roman"/>
          <w:b/>
          <w:bCs/>
          <w:color w:val="000000"/>
          <w:sz w:val="22"/>
          <w:szCs w:val="22"/>
          <w:highlight w:val="none"/>
          <w:shd w:val="clear" w:fill="FFFFFF"/>
          <w:lang w:eastAsia="pt-BR"/>
        </w:rPr>
      </w:pPr>
      <w:r>
        <w:rPr>
          <w:rFonts w:ascii="Arial" w:hAnsi="Arial" w:cs="Times New Roman"/>
          <w:b/>
          <w:bCs/>
          <w:color w:val="000000"/>
          <w:sz w:val="22"/>
          <w:szCs w:val="22"/>
          <w:shd w:val="clear" w:fill="FFFFFF"/>
          <w:lang w:eastAsia="pt-BR"/>
        </w:rPr>
      </w:r>
    </w:p>
    <w:p>
      <w:pPr>
        <w:pStyle w:val="Normal"/>
        <w:spacing w:before="0" w:after="0" w:line="360" w:lineRule="auto"/>
        <w:jc w:val="both"/>
        <w:rPr>
          <w:sz w:val="22"/>
          <w:szCs w:val="22"/>
          <w:highlight w:val="none"/>
          <w:shd w:val="clear" w:fill="FFFFFF"/>
        </w:rPr>
      </w:pPr>
      <w:r>
        <w:rPr>
          <w:rFonts w:ascii="Arial" w:hAnsi="Arial" w:cs="Times New Roman"/>
          <w:b/>
          <w:bCs/>
          <w:color w:val="000000"/>
          <w:sz w:val="22"/>
          <w:szCs w:val="22"/>
          <w:shd w:val="clear" w:fill="FFFFFF"/>
          <w:lang w:eastAsia="pt-BR"/>
        </w:rPr>
        <w:tab/>
        <w:t>b) Do Termo de Referência e Estudo Técnico Preliminar</w:t>
      </w:r>
    </w:p>
    <w:p>
      <w:pPr>
        <w:pStyle w:val="Normal"/>
        <w:spacing w:before="0" w:after="0" w:line="360" w:lineRule="auto"/>
        <w:jc w:val="both"/>
        <w:rPr>
          <w:sz w:val="22"/>
          <w:szCs w:val="22"/>
          <w:highlight w:val="none"/>
          <w:shd w:val="clear" w:fill="FFFFFF"/>
        </w:rPr>
      </w:pPr>
      <w:r>
        <w:rPr>
          <w:rFonts w:ascii="Arial" w:hAnsi="Arial" w:cs="Times New Roman"/>
          <w:b w:val="false"/>
          <w:bCs w:val="false"/>
          <w:sz w:val="22"/>
          <w:szCs w:val="22"/>
          <w:shd w:val="clear" w:fill="FFFFFF"/>
          <w:lang w:eastAsia="pt-BR"/>
        </w:rPr>
        <w:tab/>
      </w:r>
    </w:p>
    <w:p>
      <w:pPr>
        <w:pStyle w:val="Normal"/>
        <w:spacing w:before="0" w:after="0" w:line="360" w:lineRule="auto"/>
        <w:jc w:val="both"/>
        <w:rPr>
          <w:sz w:val="22"/>
          <w:szCs w:val="22"/>
          <w:highlight w:val="none"/>
          <w:shd w:val="clear" w:fill="FFFFFF"/>
        </w:rPr>
      </w:pPr>
      <w:r>
        <w:rPr>
          <w:rFonts w:ascii="Arial" w:hAnsi="Arial" w:cs="Times New Roman"/>
          <w:b w:val="false"/>
          <w:bCs w:val="false"/>
          <w:sz w:val="22"/>
          <w:szCs w:val="22"/>
          <w:shd w:val="clear" w:fill="FFFFFF"/>
          <w:lang w:eastAsia="pt-BR"/>
        </w:rPr>
        <w:tab/>
        <w:t>D</w:t>
      </w:r>
      <w:r>
        <w:rPr>
          <w:rFonts w:ascii="Arial" w:hAnsi="Arial" w:cs="Arial"/>
          <w:b w:val="false"/>
          <w:bCs w:val="false"/>
          <w:sz w:val="22"/>
          <w:szCs w:val="22"/>
          <w:shd w:val="clear" w:fill="FFFFFF"/>
        </w:rPr>
        <w:t>efine</w:t>
      </w:r>
      <w:r>
        <w:rPr>
          <w:rFonts w:ascii="Arial" w:hAnsi="Arial" w:cs="Arial"/>
          <w:sz w:val="22"/>
          <w:szCs w:val="22"/>
          <w:shd w:val="clear" w:fill="FFFFFF"/>
        </w:rPr>
        <w:t xml:space="preserve"> o art. 6º, inciso XXIII da Lei nº 14.133/21, que o Termo de Referência é o documento necessário para a contratação de bens e serviços, e deverá conter os seguintes parâmetros e elementos descritivos, sendo eles: 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4"/>
          <w:szCs w:val="24"/>
          <w:highlight w:val="none"/>
          <w:shd w:val="clear" w:fill="FFFFFF"/>
        </w:rPr>
      </w:pPr>
      <w:r>
        <w:rPr>
          <w:rFonts w:ascii="Arial" w:hAnsi="Arial"/>
          <w:sz w:val="24"/>
          <w:szCs w:val="24"/>
          <w:shd w:val="clear" w:fill="FFFFFF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z w:val="18"/>
          <w:szCs w:val="18"/>
          <w:shd w:val="clear" w:fill="FFFFFF"/>
        </w:rPr>
        <w:t xml:space="preserve">XXIII - termo de referência: documento necessário para a contratação de bens e serviços, que deve conter os seguintes parâmetros e elementos descritivos: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trike w:val="false"/>
          <w:dstrike w:val="false"/>
          <w:sz w:val="18"/>
          <w:szCs w:val="18"/>
          <w:u w:val="none"/>
          <w:shd w:val="clear" w:fill="FFFFFF"/>
        </w:rPr>
        <w:t xml:space="preserve">a) definição do objeto, incluídos sua natureza, os quantitativos, o prazo do contrato e, se for o caso, a possibilidade de sua prorrogação;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trike w:val="false"/>
          <w:dstrike w:val="false"/>
          <w:sz w:val="18"/>
          <w:szCs w:val="18"/>
          <w:u w:val="none"/>
          <w:shd w:val="clear" w:fill="FFFFFF"/>
        </w:rPr>
        <w:t xml:space="preserve">b) fundamentação da contratação, que consiste na referência aos estudos técnicos preliminares correspondentes ou, quando não for possível divulgar esses estudos, no extrato das partes que não contiverem informações sigilosas;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trike w:val="false"/>
          <w:dstrike w:val="false"/>
          <w:sz w:val="18"/>
          <w:szCs w:val="18"/>
          <w:u w:val="none"/>
          <w:shd w:val="clear" w:fill="FFFFFF"/>
        </w:rPr>
        <w:t>c) descrição da solução como um todo, considerado todo o ciclo de vida do objeto;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trike w:val="false"/>
          <w:dstrike w:val="false"/>
          <w:sz w:val="18"/>
          <w:szCs w:val="18"/>
          <w:u w:val="none"/>
          <w:shd w:val="clear" w:fill="FFFFFF"/>
        </w:rPr>
        <w:t>d) requisitos da contratação;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trike w:val="false"/>
          <w:dstrike w:val="false"/>
          <w:sz w:val="18"/>
          <w:szCs w:val="18"/>
          <w:u w:val="none"/>
          <w:shd w:val="clear" w:fill="FFFFFF"/>
        </w:rPr>
        <w:t xml:space="preserve">e) modelo de execução do objeto, que consiste na definição de como o contrato deverá produzir os resultados pretendidos desde o seu início até o seu encerramento;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trike w:val="false"/>
          <w:dstrike w:val="false"/>
          <w:sz w:val="18"/>
          <w:szCs w:val="18"/>
          <w:u w:val="none"/>
          <w:shd w:val="clear" w:fill="FFFFFF"/>
        </w:rPr>
        <w:t xml:space="preserve">f) modelo de gestão do contrato, que descreve como a execução do objeto será acompanhada e fiscalizada pelo órgão ou entidade;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trike w:val="false"/>
          <w:dstrike w:val="false"/>
          <w:sz w:val="18"/>
          <w:szCs w:val="18"/>
          <w:u w:val="none"/>
          <w:shd w:val="clear" w:fill="FFFFFF"/>
        </w:rPr>
        <w:t xml:space="preserve">g) critérios de medição e de pagamento;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trike w:val="false"/>
          <w:dstrike w:val="false"/>
          <w:sz w:val="18"/>
          <w:szCs w:val="18"/>
          <w:u w:val="none"/>
          <w:shd w:val="clear" w:fill="FFFFFF"/>
        </w:rPr>
        <w:t xml:space="preserve">h) forma e critérios de seleção do fornecedor;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 w:cs="Arial"/>
          <w:strike w:val="false"/>
          <w:dstrike w:val="false"/>
          <w:sz w:val="18"/>
          <w:szCs w:val="18"/>
          <w:u w:val="none"/>
          <w:shd w:val="clear" w:fill="FFFFFF"/>
        </w:rPr>
        <w:t xml:space="preserve">i) estimativas do valor da contratação, acompanhadas dos preços unitários referenciais, das memórias de cálculo e dos documentos que lhe dão suporte, com os parâmetros utilizados para a obtenção dos </w:t>
      </w:r>
      <w:r>
        <w:rPr>
          <w:rFonts w:ascii="Arial" w:hAnsi="Arial"/>
          <w:sz w:val="18"/>
          <w:szCs w:val="18"/>
          <w:shd w:val="clear" w:fill="FFFFFF"/>
        </w:rPr>
        <w:t>preços e para os respectivos cálculos, que devem constar de documento separado e classificado;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trike w:val="false"/>
          <w:dstrike w:val="false"/>
          <w:sz w:val="18"/>
          <w:szCs w:val="18"/>
          <w:u w:val="none"/>
          <w:shd w:val="clear" w:fill="FFFFFF"/>
        </w:rPr>
        <w:t xml:space="preserve">j) adequação orçamentária; 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4"/>
          <w:szCs w:val="24"/>
          <w:highlight w:val="none"/>
          <w:shd w:val="clear" w:fill="FFFFFF"/>
        </w:rPr>
      </w:pPr>
      <w:r>
        <w:rPr>
          <w:rFonts w:ascii="Arial" w:hAnsi="Arial"/>
          <w:sz w:val="24"/>
          <w:szCs w:val="24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strike w:val="false"/>
          <w:dstrike w:val="false"/>
          <w:sz w:val="22"/>
          <w:szCs w:val="22"/>
          <w:u w:val="none"/>
          <w:shd w:val="clear" w:fill="FFFFFF"/>
        </w:rPr>
        <w:tab/>
        <w:t xml:space="preserve">O inciso XX do mesmo artigo define, por sua vez, que o Estudo Técnico Preliminar é </w:t>
      </w:r>
      <w:r>
        <w:rPr>
          <w:rFonts w:ascii="Arial" w:hAnsi="Arial" w:cs="Arial"/>
          <w:i/>
          <w:strike w:val="false"/>
          <w:dstrike w:val="false"/>
          <w:sz w:val="22"/>
          <w:szCs w:val="22"/>
          <w:u w:val="none"/>
          <w:shd w:val="clear" w:fill="FFFFFF"/>
        </w:rPr>
        <w:t xml:space="preserve">“documento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contratação”, </w:t>
      </w:r>
      <w:r>
        <w:rPr>
          <w:rFonts w:ascii="Arial" w:hAnsi="Arial" w:cs="Arial"/>
          <w:i w:val="false"/>
          <w:strike w:val="false"/>
          <w:dstrike w:val="false"/>
          <w:sz w:val="22"/>
          <w:szCs w:val="22"/>
          <w:u w:val="none"/>
          <w:shd w:val="clear" w:fill="FFFFFF"/>
        </w:rPr>
        <w:t xml:space="preserve">devendo conter os seguintes elementos (Vide art. 18, inciso XI, §1º): 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4"/>
          <w:szCs w:val="24"/>
          <w:highlight w:val="none"/>
          <w:shd w:val="clear" w:fill="FFFFFF"/>
        </w:rPr>
      </w:pPr>
      <w:r>
        <w:rPr>
          <w:rFonts w:ascii="Arial" w:hAnsi="Arial"/>
          <w:sz w:val="24"/>
          <w:szCs w:val="24"/>
          <w:shd w:val="clear" w:fill="FFFFFF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sz w:val="18"/>
          <w:szCs w:val="18"/>
          <w:shd w:val="clear" w:fill="FFFFFF"/>
        </w:rPr>
        <w:t xml:space="preserve">§ 1º O estudo técnico preliminar a que se refere o inciso I do </w:t>
      </w:r>
      <w:r>
        <w:rPr>
          <w:rFonts w:ascii="Arial" w:hAnsi="Arial"/>
          <w:b/>
          <w:sz w:val="18"/>
          <w:szCs w:val="18"/>
          <w:shd w:val="clear" w:fill="FFFFFF"/>
        </w:rPr>
        <w:t xml:space="preserve">caput </w:t>
      </w:r>
      <w:r>
        <w:rPr>
          <w:rFonts w:ascii="Arial" w:hAnsi="Arial"/>
          <w:b w:val="false"/>
          <w:sz w:val="18"/>
          <w:szCs w:val="18"/>
          <w:shd w:val="clear" w:fill="FFFFFF"/>
        </w:rPr>
        <w:t xml:space="preserve">deste artigo deverá evidenciar o problema a ser resolvido e a sua melhor solução, de modo a permitir a avaliação da viabilidade técnica e econômica da contratação, e conterá os seguintes elementos: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I - descrição da necessidade da contratação, considerado o problema a ser resolvido sob a perspectiva do interesse público;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II - demonstração da previsão da contratação no plano de contratações anual, sempre que elaborado, de modo a indicar o seu alinhamento com o planejamento da Administração;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III - requisitos da contratação;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IV - estimativas das quantidades para a contratação, acompanhadas das memórias de cálculo e dos documentos que lhes dão suporte, que considerem interdependências com outras contratações, de modo a possibilitar economia de escala;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V - levantamento de mercado, que consiste na análise das alternativas possíveis, e justificativa técnica e econômica da escolha do tipo de solução a contratar;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VI - estimativa do valor da contratação, acompanhada dos preços unitários referenciais, das memórias de cálculo e dos documentos que lhe dão suporte, que poderão constar de anexo classificado, se a Administração optar por preservar o seu sigilo até a conclusão da licitação;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VII - descrição da solução como um todo, inclusive das exigências relacionadas à manutenção e à assistência técnica, quando for o caso;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VIII - justificativas para o parcelamento ou não da contratação;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IX - demonstrativo dos resultados pretendidos em termos de economicidade e de melhor aproveitamento dos recursos humanos, materiais e financeiros disponíveis;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X - providências a serem adotadas pela Administração previamente à celebração do contrato, inclusive quanto à capacitação de servidores ou de empregados para fiscalização e gestão contratual;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XI - contratações correlatas e/ou interdependentes;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XII - descrição de possíveis impactos ambientais e respectivas medidas mitigadoras, incluídos requisitos de baixo consumo de energia e de outros recursos, bem como logística reversa para desfazimento e reciclagem de bens e refugos, quando aplicável;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 w:cs="Arial"/>
          <w:b w:val="false"/>
          <w:strike w:val="false"/>
          <w:dstrike w:val="false"/>
          <w:sz w:val="18"/>
          <w:szCs w:val="18"/>
          <w:u w:val="none"/>
          <w:shd w:val="clear" w:fill="FFFFFF"/>
        </w:rPr>
        <w:t xml:space="preserve">XIII - posicionamento conclusivo sobre a adequação da contratação para o </w:t>
      </w:r>
      <w:r>
        <w:rPr>
          <w:rFonts w:ascii="Arial" w:hAnsi="Arial" w:cs="Arial"/>
          <w:b w:val="false"/>
          <w:strike w:val="false"/>
          <w:dstrike w:val="false"/>
          <w:color w:val="000000"/>
          <w:sz w:val="18"/>
          <w:szCs w:val="18"/>
          <w:u w:val="none"/>
          <w:shd w:val="clear" w:fill="FFFFFF"/>
        </w:rPr>
        <w:t xml:space="preserve">atendimento da necessidade a que se destina. </w:t>
      </w:r>
    </w:p>
    <w:p>
      <w:pPr>
        <w:pStyle w:val="Normal"/>
        <w:spacing w:before="0" w:after="0" w:line="360" w:lineRule="auto"/>
        <w:jc w:val="both"/>
        <w:rPr>
          <w:rFonts w:ascii="Arial" w:hAnsi="Arial"/>
          <w:color w:val="000000"/>
          <w:sz w:val="24"/>
          <w:szCs w:val="24"/>
          <w:highlight w:val="none"/>
          <w:shd w:val="clear" w:fill="FFFFFF"/>
        </w:rPr>
      </w:pPr>
      <w:r>
        <w:rPr>
          <w:rFonts w:ascii="Arial" w:hAnsi="Arial"/>
          <w:color w:val="000000"/>
          <w:sz w:val="24"/>
          <w:szCs w:val="24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 w:val="false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ab/>
      </w:r>
      <w:r>
        <w:rPr>
          <w:rFonts w:ascii="Arial" w:hAnsi="Arial"/>
          <w:color w:val="000000"/>
          <w:sz w:val="22"/>
          <w:szCs w:val="22"/>
          <w:shd w:val="clear" w:fill="FFFFFF"/>
        </w:rPr>
        <w:t xml:space="preserve">Analisando o </w:t>
      </w:r>
      <w:r>
        <w:rPr>
          <w:rFonts w:ascii="Arial" w:hAnsi="Arial"/>
          <w:b/>
          <w:color w:val="000000"/>
          <w:sz w:val="22"/>
          <w:szCs w:val="22"/>
          <w:shd w:val="clear" w:fill="FFFFFF"/>
        </w:rPr>
        <w:t xml:space="preserve">Estudo Técnico Preliminar (ETP) e o Termo de Referência (TR), </w:t>
      </w:r>
      <w:r>
        <w:rPr>
          <w:rFonts w:ascii="Arial" w:hAnsi="Arial"/>
          <w:b w:val="false"/>
          <w:bCs w:val="false"/>
          <w:color w:val="000000"/>
          <w:sz w:val="22"/>
          <w:szCs w:val="22"/>
          <w:shd w:val="clear" w:fill="FFFFFF"/>
        </w:rPr>
        <w:t>denota-se</w:t>
      </w:r>
      <w:r>
        <w:rPr>
          <w:rFonts w:ascii="Arial" w:hAnsi="Arial"/>
          <w:b w:val="false"/>
          <w:color w:val="000000"/>
          <w:sz w:val="22"/>
          <w:szCs w:val="22"/>
          <w:shd w:val="clear" w:fill="FFFFFF"/>
        </w:rPr>
        <w:t xml:space="preserve"> que os requisitos/elementos exigidos nos citados artigos foram </w:t>
      </w:r>
      <w:r>
        <w:rPr>
          <w:rFonts w:ascii="Arial" w:hAnsi="Arial"/>
          <w:b w:val="false"/>
          <w:color w:val="FFFFFF"/>
          <w:sz w:val="22"/>
          <w:szCs w:val="22"/>
          <w:shd w:val="clear" w:fill="FF0000"/>
        </w:rPr>
        <w:t>parcialmente</w:t>
      </w:r>
      <w:r>
        <w:rPr>
          <w:rFonts w:ascii="Arial" w:hAnsi="Arial"/>
          <w:b w:val="false"/>
          <w:color w:val="000000"/>
          <w:sz w:val="22"/>
          <w:szCs w:val="22"/>
          <w:shd w:val="clear" w:fill="FFFFFF"/>
        </w:rPr>
        <w:t xml:space="preserve"> observados.</w:t>
      </w:r>
    </w:p>
    <w:p>
      <w:pPr>
        <w:pStyle w:val="Normal"/>
        <w:spacing w:before="0" w:after="0" w:line="360" w:lineRule="auto"/>
        <w:jc w:val="both"/>
        <w:rPr>
          <w:rFonts w:ascii="Arial" w:hAnsi="Arial"/>
          <w:b w:val="false"/>
          <w:color w:val="000000"/>
          <w:sz w:val="22"/>
          <w:szCs w:val="22"/>
          <w:highlight w:val="none"/>
          <w:shd w:val="clear" w:fill="FFFFFF"/>
        </w:rPr>
      </w:pPr>
      <w:r>
        <w:rPr>
          <w:rFonts w:ascii="Arial" w:hAnsi="Arial"/>
          <w:b w:val="false"/>
          <w:color w:val="000000"/>
          <w:sz w:val="22"/>
          <w:szCs w:val="22"/>
          <w:shd w:val="clear" w:fill="FFFFFF"/>
        </w:rPr>
        <w:tab/>
      </w:r>
      <w:r>
        <w:rPr>
          <w:rFonts w:ascii="Arial" w:hAnsi="Arial"/>
          <w:b/>
          <w:bCs/>
          <w:color w:val="FFFFFF"/>
          <w:sz w:val="22"/>
          <w:szCs w:val="22"/>
          <w:u w:val="none"/>
          <w:shd w:val="clear" w:fill="FF0000"/>
        </w:rPr>
        <w:t>Ressalto, entretanto, que a Secretaria indicou a modalidade concorrência no item 1.9 (critérios de seleção de fornecedores) do Termo de Referência, quando, no caso em análise, mostra-se plenamente cabível e recomendável a adoção do pregão eletrônico.</w:t>
      </w:r>
    </w:p>
    <w:p>
      <w:pPr>
        <w:pStyle w:val="Normal"/>
        <w:spacing w:before="0" w:after="0" w:line="360" w:lineRule="auto"/>
        <w:jc w:val="both"/>
        <w:rPr>
          <w:color w:val="FFFFFF"/>
          <w:highlight w:val="none"/>
          <w:shd w:val="clear" w:fill="FF0000"/>
        </w:rPr>
      </w:pPr>
      <w:r>
        <w:rPr>
          <w:rFonts w:ascii="Arial" w:hAnsi="Arial"/>
          <w:b/>
          <w:bCs/>
          <w:color w:val="FFFFFF"/>
          <w:sz w:val="22"/>
          <w:szCs w:val="22"/>
          <w:u w:val="none"/>
          <w:shd w:val="clear" w:fill="FF0000"/>
        </w:rPr>
        <w:tab/>
        <w:t>No que se refere às exigências técnicas, entendo ser pertinente reavaliar se todos os requisitos previstos são, de fato, indispensáveis para a execução do objeto, a fim de evitar eventual afronta ao princípio da competitividade.</w:t>
      </w:r>
    </w:p>
    <w:p>
      <w:pPr>
        <w:pStyle w:val="Normal"/>
        <w:spacing w:before="0" w:after="0" w:line="360" w:lineRule="auto"/>
        <w:jc w:val="both"/>
        <w:rPr>
          <w:color w:val="FFFFFF"/>
          <w:highlight w:val="none"/>
          <w:shd w:val="clear" w:fill="FF0000"/>
        </w:rPr>
      </w:pPr>
      <w:r>
        <w:rPr>
          <w:rFonts w:ascii="Arial" w:hAnsi="Arial"/>
          <w:b/>
          <w:bCs/>
          <w:color w:val="FFFFFF"/>
          <w:sz w:val="22"/>
          <w:szCs w:val="22"/>
          <w:u w:val="none"/>
          <w:shd w:val="clear" w:fill="FF0000"/>
        </w:rPr>
        <w:tab/>
        <w:t>Quanto à pesquisa de preços, o devido apontamento será apresentado no item VI deste parecer jurídico.</w:t>
      </w:r>
    </w:p>
    <w:p>
      <w:pPr>
        <w:pStyle w:val="Normal"/>
        <w:spacing w:before="0" w:after="0" w:line="360" w:lineRule="auto"/>
        <w:jc w:val="both"/>
        <w:rPr>
          <w:color w:val="FFFFFF"/>
        </w:rPr>
      </w:pPr>
      <w:r>
        <w:rPr>
          <w:rFonts w:ascii="Arial" w:hAnsi="Arial"/>
          <w:b w:val="false"/>
          <w:color w:val="FFFFFF"/>
          <w:sz w:val="22"/>
          <w:szCs w:val="22"/>
          <w:shd w:val="clear" w:fill="FFFFFF"/>
        </w:rPr>
        <w:tab/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Times New Roman" w:cs="Times New Roman"/>
          <w:b/>
          <w:bCs/>
          <w:color w:val="000000"/>
          <w:sz w:val="22"/>
          <w:szCs w:val="22"/>
          <w:shd w:val="clear" w:fill="FFFFFF"/>
          <w:lang w:eastAsia="pt-BR"/>
        </w:rPr>
        <w:tab/>
        <w:t>c) Mapa de Riscos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4"/>
          <w:szCs w:val="24"/>
          <w:highlight w:val="none"/>
          <w:shd w:val="clear" w:fill="FFFFFF"/>
        </w:rPr>
      </w:pPr>
      <w:r>
        <w:rPr>
          <w:rFonts w:ascii="Arial" w:hAnsi="Arial"/>
          <w:sz w:val="24"/>
          <w:szCs w:val="24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Times New Roman" w:cs="Times New Roman"/>
          <w:sz w:val="22"/>
          <w:szCs w:val="22"/>
          <w:shd w:val="clear" w:fill="FFFFFF"/>
          <w:lang w:eastAsia="pt-BR"/>
        </w:rPr>
        <w:tab/>
        <w:t xml:space="preserve">Cabe pontuar que </w:t>
      </w:r>
      <w:r>
        <w:rPr>
          <w:rFonts w:ascii="Arial" w:hAnsi="Arial" w:eastAsia="Times New Roman" w:cs="Times New Roman"/>
          <w:b/>
          <w:bCs/>
          <w:sz w:val="22"/>
          <w:szCs w:val="22"/>
          <w:shd w:val="clear" w:fill="FFFFFF"/>
          <w:lang w:eastAsia="pt-BR"/>
        </w:rPr>
        <w:t>“Mapa de Riscos” não se confunde com</w:t>
      </w:r>
      <w:r>
        <w:rPr>
          <w:rFonts w:ascii="Arial" w:hAnsi="Arial" w:eastAsia="Times New Roman" w:cs="Times New Roman"/>
          <w:sz w:val="22"/>
          <w:szCs w:val="22"/>
          <w:shd w:val="clear" w:fill="FFFFFF"/>
          <w:lang w:eastAsia="pt-BR"/>
        </w:rPr>
        <w:t xml:space="preserve"> </w:t>
      </w:r>
      <w:r>
        <w:rPr>
          <w:rFonts w:ascii="Arial" w:hAnsi="Arial" w:eastAsia="Times New Roman" w:cs="Times New Roman"/>
          <w:b/>
          <w:bCs/>
          <w:sz w:val="22"/>
          <w:szCs w:val="22"/>
          <w:shd w:val="clear" w:fill="FFFFFF"/>
          <w:lang w:eastAsia="pt-BR"/>
        </w:rPr>
        <w:t>cláusula de matriz de risco</w:t>
      </w:r>
      <w:r>
        <w:rPr>
          <w:rFonts w:ascii="Arial" w:hAnsi="Arial" w:eastAsia="Times New Roman" w:cs="Times New Roman"/>
          <w:sz w:val="22"/>
          <w:szCs w:val="22"/>
          <w:shd w:val="clear" w:fill="FFFFFF"/>
          <w:lang w:eastAsia="pt-BR"/>
        </w:rPr>
        <w:t xml:space="preserve">, a qual será tratada quando da minuta de contrato e é considerada como a caracterizadora do equilíbrio econômico-financeiro inicial do contrato, em que se aloca, de forma prévia e acertada, a responsabilidade das partes por possível ônus financeiro decorrente de eventos supervenientes à contratação. Assim, a idealização e elaboração do “Mapa de Riscos” não supre a necessidade da Administração Pública, em momento oportuno, discutir </w:t>
      </w:r>
      <w:r>
        <w:rPr>
          <w:rFonts w:ascii="Arial" w:hAnsi="Arial" w:eastAsia="Times New Roman" w:cs="Times New Roman"/>
          <w:b/>
          <w:bCs/>
          <w:sz w:val="22"/>
          <w:szCs w:val="22"/>
          <w:shd w:val="clear" w:fill="FFFFFF"/>
          <w:lang w:eastAsia="pt-BR"/>
        </w:rPr>
        <w:t>a matriz de riscos a ser estabelecida no instrumento contratual.</w:t>
      </w:r>
    </w:p>
    <w:p>
      <w:pPr>
        <w:pStyle w:val="Normal"/>
        <w:spacing w:before="0" w:after="0" w:line="360" w:lineRule="auto"/>
        <w:jc w:val="both"/>
        <w:rPr>
          <w:rFonts w:ascii="Arial" w:hAnsi="Arial"/>
          <w:highlight w:val="none"/>
          <w:shd w:val="clear" w:fill="FFFFFF"/>
        </w:rPr>
      </w:pPr>
      <w:r>
        <w:rPr>
          <w:rFonts w:ascii="Arial" w:hAnsi="Arial" w:eastAsia="Times New Roman" w:cs="Times New Roman"/>
          <w:b/>
          <w:bCs/>
          <w:sz w:val="22"/>
          <w:szCs w:val="22"/>
          <w:shd w:val="clear" w:fill="FFFFFF"/>
          <w:lang w:eastAsia="pt-BR"/>
        </w:rPr>
        <w:tab/>
      </w:r>
      <w:r>
        <w:rPr>
          <w:rFonts w:ascii="Arial" w:hAnsi="Arial"/>
          <w:shd w:val="clear" w:fill="FFFFFF"/>
        </w:rPr>
        <w:t xml:space="preserve">O mapa de riscos é documento que será elaborado com a identificação dos riscos inerentes à aquisição ou contratação pretendida, os quais deverão ser analisados, tratados, monitorados, comunicados e ali contidos. Esses dados permitirão ações contínuas de planejamento, organização e controle das ações relacionadas aos riscos que podem comprometer o sucesso da contratação, da execução do objeto e da gestão contratual. </w:t>
      </w:r>
    </w:p>
    <w:p>
      <w:pPr>
        <w:pStyle w:val="Normal"/>
        <w:spacing w:before="0" w:after="0" w:line="360" w:lineRule="auto"/>
        <w:jc w:val="both"/>
        <w:rPr/>
      </w:pPr>
      <w:r>
        <w:rPr>
          <w:rFonts w:ascii="Arial" w:hAnsi="Arial" w:eastAsia="Times New Roman" w:cs="Times New Roman"/>
          <w:color w:val="FFFFFF"/>
          <w:sz w:val="22"/>
          <w:szCs w:val="22"/>
          <w:shd w:val="clear" w:fill="FF0000"/>
          <w:lang w:eastAsia="pt-BR"/>
        </w:rPr>
        <w:tab/>
      </w:r>
      <w:r>
        <w:rPr>
          <w:rFonts w:ascii="Arial" w:hAnsi="Arial" w:eastAsia="Times New Roman" w:cs="Times New Roman"/>
          <w:b/>
          <w:bCs/>
          <w:color w:val="FFFFFF"/>
          <w:sz w:val="22"/>
          <w:szCs w:val="22"/>
          <w:shd w:val="clear" w:fill="FF0000"/>
          <w:lang w:eastAsia="pt-BR"/>
        </w:rPr>
        <w:t>Verifica-se, entretanto, a ausência do Mapa de Riscos no presente processo, motivo pelo qual recomendo</w:t>
      </w:r>
      <w:r>
        <w:rPr>
          <w:rStyle w:val="Strong"/>
          <w:rFonts w:ascii="Arial" w:hAnsi="Arial" w:eastAsia="Times New Roman" w:cs="Times New Roman"/>
          <w:b/>
          <w:bCs/>
          <w:color w:val="FFFFFF"/>
          <w:sz w:val="22"/>
          <w:szCs w:val="22"/>
          <w:shd w:val="clear" w:fill="FF0000"/>
          <w:lang w:eastAsia="pt-BR"/>
        </w:rPr>
        <w:t xml:space="preserve"> a devolução dos autos à secretaria requisitante para sua elaboração</w:t>
      </w:r>
      <w:r>
        <w:rPr>
          <w:rFonts w:ascii="Arial" w:hAnsi="Arial" w:eastAsia="Times New Roman" w:cs="Times New Roman"/>
          <w:b/>
          <w:bCs/>
          <w:color w:val="FFFFFF"/>
          <w:sz w:val="22"/>
          <w:szCs w:val="22"/>
          <w:shd w:val="clear" w:fill="FF0000"/>
          <w:lang w:eastAsia="pt-BR"/>
        </w:rPr>
        <w:t xml:space="preserve">. </w:t>
      </w:r>
    </w:p>
    <w:p>
      <w:pPr>
        <w:pStyle w:val="Normal"/>
        <w:spacing w:before="0" w:after="0" w:line="360" w:lineRule="auto"/>
        <w:jc w:val="both"/>
        <w:rPr>
          <w:rFonts w:ascii="Arial" w:hAnsi="Arial"/>
          <w:highlight w:val="none"/>
          <w:shd w:val="clear" w:fill="FFFFFF"/>
        </w:rPr>
      </w:pPr>
      <w:r>
        <w:rPr>
          <w:rFonts w:ascii="Arial" w:hAnsi="Arial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/>
          <w:color w:val="000000" w:themeColor="text1"/>
          <w:sz w:val="22"/>
          <w:szCs w:val="22"/>
          <w:shd w:val="clear" w:fill="FFFFFF"/>
        </w:rPr>
        <w:tab/>
      </w:r>
      <w:r>
        <w:rPr>
          <w:rFonts w:ascii="Arial" w:hAnsi="Arial"/>
          <w:b/>
          <w:bCs/>
          <w:color w:val="000000" w:themeColor="text1"/>
          <w:sz w:val="22"/>
          <w:szCs w:val="22"/>
          <w:shd w:val="clear" w:fill="FFFFFF"/>
        </w:rPr>
        <w:t>VI – DO ORÇAMENTO DA CONTRATAÇÃO E DA OBRIGATORIEDADE DE ELABORAÇÃO DE PLANILHAS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4"/>
          <w:szCs w:val="24"/>
          <w:highlight w:val="none"/>
          <w:shd w:val="clear" w:fill="FFFFFF"/>
        </w:rPr>
      </w:pPr>
      <w:r>
        <w:rPr>
          <w:rFonts w:ascii="Arial" w:hAnsi="Arial"/>
          <w:sz w:val="24"/>
          <w:szCs w:val="24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/>
          <w:color w:val="000000" w:themeColor="text1"/>
          <w:sz w:val="22"/>
          <w:szCs w:val="22"/>
          <w:shd w:val="clear" w:fill="FFFFFF"/>
        </w:rPr>
        <w:tab/>
      </w:r>
      <w:r>
        <w:rPr>
          <w:rFonts w:ascii="Arial" w:hAnsi="Arial"/>
          <w:color w:val="000000"/>
          <w:sz w:val="22"/>
          <w:szCs w:val="22"/>
          <w:shd w:val="clear" w:fill="FFFFFF"/>
        </w:rPr>
        <w:t>Quanto ao orçamento, é dever da Administração, elaborar planilha detalhada com a consolidação dos quantitativos e preços unitários e total da contratação (art. 6º, XXIII, alínea "i", art. 18, IV, e § 1º, VI, da Lei nº 14.133/2021).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/>
          <w:color w:val="000000"/>
          <w:sz w:val="22"/>
          <w:szCs w:val="22"/>
          <w:shd w:val="clear" w:fill="FFFFFF"/>
        </w:rPr>
        <w:tab/>
        <w:t>Tendo em conta a natureza estritamente técnica do orçamento, a adequação da metodologia empregada para estimar o valor de mercado do objeto contratual deixará de ser examinada por esse órgão jurídico, posto ser atribuição não afeta à formação jurídica e ao prisma do exame da estrita legalidade.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/>
          <w:color w:val="000000"/>
          <w:sz w:val="22"/>
          <w:szCs w:val="22"/>
          <w:shd w:val="clear" w:fill="FFFFFF"/>
        </w:rPr>
        <w:tab/>
        <w:t>Ressalta-se, contudo, que a pesquisa de preços deverá observar o art. 23 da Lei n. 14.133/21:</w:t>
      </w:r>
    </w:p>
    <w:p>
      <w:pPr>
        <w:pStyle w:val="Normal"/>
        <w:spacing w:before="0" w:after="0" w:line="360" w:lineRule="auto"/>
        <w:jc w:val="both"/>
        <w:rPr>
          <w:rFonts w:ascii="Arial" w:hAnsi="Arial"/>
          <w:highlight w:val="none"/>
          <w:shd w:val="clear" w:fill="FFFFFF"/>
        </w:rPr>
      </w:pPr>
      <w:r>
        <w:rPr>
          <w:rFonts w:ascii="Arial" w:hAnsi="Arial"/>
          <w:shd w:val="clear" w:fill="FFFFFF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Art. 23. O valor previamente estimado da contratação deverá ser compatível com os valores praticados pelo mercado, considerados os preços constantes de bancos de dados públicos e as quantidades a serem contratadas, observadas a potencial economia de escala e as peculiaridades do local de execução do objeto.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bookmarkStart w:name="art23§1" w:id="0"/>
      <w:bookmarkEnd w:id="0"/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§ 1º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/>
      </w:pPr>
      <w:bookmarkStart w:name="art23§1i" w:id="1"/>
      <w:bookmarkEnd w:id="1"/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I - composição de custos unitários menores ou iguais à mediana do item correspondente no painel para consulta de preços ou no banco de preços em saúde disponíveis no Portal Nacional de Contratações Públicas (PNCP);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/>
      </w:pPr>
      <w:bookmarkStart w:name="art23§1ii" w:id="2"/>
      <w:bookmarkEnd w:id="2"/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II - contratações similares feitas pela Administração Pública, em execução ou concluídas no período de 1 (um) ano anterior à data da pesquisa de preços, inclusive mediante sistema de registro de preços, observado o índice de atualização de preços correspondente;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/>
      </w:pPr>
      <w:bookmarkStart w:name="art23§1iii" w:id="3"/>
      <w:bookmarkEnd w:id="3"/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III - utilização de dados de pesquisa publicada em mídia especializada, de tabela de referência formalmente aprovada pelo Poder Executivo federal e de sítios eletrônicos especializados ou de domínio amplo, desde que contenham a data e hora de acesso;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/>
      </w:pPr>
      <w:bookmarkStart w:name="art23§1iv" w:id="4"/>
      <w:bookmarkEnd w:id="4"/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bookmarkStart w:name="art23§1v" w:id="5"/>
      <w:bookmarkEnd w:id="5"/>
      <w:r>
        <w:rPr>
          <w:rFonts w:ascii="Arial;sans-serif" w:hAnsi="Arial;sans-serif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V - pesquisa na base nacional de notas fiscais eletrônicas, na forma de regulamento.</w:t>
      </w:r>
    </w:p>
    <w:p>
      <w:pPr>
        <w:pStyle w:val="numerado"/>
        <w:spacing w:before="0" w:beforeAutospacing="false" w:after="48" w:afterAutospacing="false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  <w:tab/>
      </w:r>
    </w:p>
    <w:p>
      <w:pPr>
        <w:pStyle w:val="numerado"/>
        <w:spacing w:before="0" w:beforeAutospacing="false" w:after="48" w:afterAutospacing="false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  <w:tab/>
        <w:t xml:space="preserve">Recentemente, o Tribunal de Contas da União, no Acórdão 1712/2025 - Plenário, decidiu que, no certame em análise, </w:t>
      </w:r>
      <w:r>
        <w:rPr>
          <w:rFonts w:ascii="Arial" w:hAnsi="Arial"/>
          <w:i/>
          <w:iCs/>
          <w:sz w:val="22"/>
          <w:szCs w:val="22"/>
          <w:shd w:val="clear" w:fill="FFFFFF"/>
        </w:rPr>
        <w:t>"A elaboração de orçamento estimativo foi deficiente, pois a pesquisa de preços foi realizada apenas com potenciais fornecedores, sem considerar preços de contratações similares por outros órgãos, o que desrespeita o art. 23, §1º, IV, da Lei 14.133/2021 e o entendimento desta Corte”.</w:t>
      </w:r>
    </w:p>
    <w:p>
      <w:pPr>
        <w:pStyle w:val="numerado"/>
        <w:spacing w:before="0" w:beforeAutospacing="false" w:after="48" w:afterAutospacing="false" w:line="360" w:lineRule="auto"/>
        <w:jc w:val="both"/>
        <w:rPr/>
      </w:pPr>
      <w:r>
        <w:rPr>
          <w:rFonts w:ascii="Arial" w:hAnsi="Arial"/>
          <w:sz w:val="22"/>
          <w:szCs w:val="22"/>
          <w:shd w:val="clear" w:fill="FFFFFF"/>
        </w:rPr>
        <w:tab/>
      </w:r>
      <w:r>
        <w:rPr>
          <w:rFonts w:ascii="Arial" w:hAnsi="Arial"/>
          <w:b/>
          <w:bCs/>
          <w:color w:val="FFFFFF"/>
          <w:sz w:val="22"/>
          <w:szCs w:val="22"/>
          <w:shd w:val="clear" w:fill="FF0000"/>
        </w:rPr>
        <w:t xml:space="preserve">No caso concreto, vislumbra-se que os custos unitário e total da contratação foram estimados com base em pesquisa direta junto a apenas três fornecedores, o que não atende às diretrizes fixadas pelo TCU e pelo TCE/SC, sendo, portanto, necessária a adoção de uma </w:t>
      </w:r>
      <w:r>
        <w:rPr>
          <w:rStyle w:val="Strong"/>
          <w:rFonts w:ascii="Arial" w:hAnsi="Arial"/>
          <w:b/>
          <w:bCs/>
          <w:color w:val="FFFFFF"/>
          <w:sz w:val="22"/>
          <w:szCs w:val="22"/>
          <w:shd w:val="clear" w:fill="FF0000"/>
        </w:rPr>
        <w:t>cesta de preços</w:t>
      </w:r>
      <w:r>
        <w:rPr>
          <w:rFonts w:ascii="Arial" w:hAnsi="Arial"/>
          <w:b/>
          <w:bCs/>
          <w:color w:val="FFFFFF"/>
          <w:sz w:val="22"/>
          <w:szCs w:val="22"/>
          <w:shd w:val="clear" w:fill="FF0000"/>
        </w:rPr>
        <w:t xml:space="preserve"> que contemple outras fontes de referência. </w:t>
      </w:r>
    </w:p>
    <w:p>
      <w:pPr>
        <w:pStyle w:val="numerado"/>
        <w:spacing w:before="0" w:beforeAutospacing="false" w:after="48" w:afterAutospacing="false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Times New Roman"/>
          <w:b/>
          <w:bCs/>
          <w:color w:val="000000"/>
          <w:sz w:val="24"/>
          <w:szCs w:val="24"/>
          <w:shd w:val="clear" w:fill="FFFFFF"/>
          <w:lang w:eastAsia="pt-BR"/>
        </w:rPr>
        <w:tab/>
      </w:r>
      <w:r>
        <w:rPr>
          <w:rFonts w:ascii="Arial" w:hAnsi="Arial" w:cs="Times New Roman"/>
          <w:b/>
          <w:bCs/>
          <w:color w:val="000000"/>
          <w:sz w:val="22"/>
          <w:szCs w:val="22"/>
          <w:shd w:val="clear" w:fill="FFFFFF"/>
          <w:lang w:eastAsia="pt-BR"/>
        </w:rPr>
        <w:t xml:space="preserve">VII </w:t>
      </w:r>
      <w:r>
        <w:rPr>
          <w:rFonts w:ascii="Arial" w:hAnsi="Arial" w:cs="Arial"/>
          <w:b/>
          <w:bCs/>
          <w:sz w:val="22"/>
          <w:szCs w:val="22"/>
          <w:shd w:val="clear" w:fill="FFFFFF"/>
        </w:rPr>
        <w:t>– DA ANÁLISE DA MINUTA DE EDITAL DE LICITAÇÃO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strike w:val="false"/>
          <w:dstrike w:val="false"/>
          <w:sz w:val="22"/>
          <w:szCs w:val="22"/>
          <w:u w:val="none"/>
          <w:shd w:val="clear" w:fill="FFFFFF"/>
        </w:rPr>
        <w:tab/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strike w:val="false"/>
          <w:dstrike w:val="false"/>
          <w:sz w:val="22"/>
          <w:szCs w:val="22"/>
          <w:u w:val="none"/>
          <w:shd w:val="clear" w:fill="FFFFFF"/>
        </w:rPr>
        <w:tab/>
        <w:t>O art. 25 da Lei 14.133/21 estabelece quais são os critérios mínimos, que deverão ser contemplados na minuta do edital, quais sejam:</w:t>
      </w:r>
    </w:p>
    <w:p>
      <w:pPr>
        <w:pStyle w:val="Normal"/>
        <w:spacing w:before="0" w:after="0" w:line="360" w:lineRule="auto"/>
        <w:jc w:val="both"/>
        <w:rPr>
          <w:rFonts w:ascii="Arial" w:hAnsi="Arial" w:cs="Arial"/>
          <w:strike w:val="false"/>
          <w:dstrike w:val="false"/>
          <w:sz w:val="22"/>
          <w:szCs w:val="22"/>
          <w:highlight w:val="none"/>
          <w:u w:val="none"/>
          <w:shd w:val="clear" w:fill="FFFFFF"/>
        </w:rPr>
      </w:pPr>
      <w:r>
        <w:rPr>
          <w:rFonts w:ascii="Arial" w:hAnsi="Arial" w:cs="Arial"/>
          <w:strike w:val="false"/>
          <w:dstrike w:val="false"/>
          <w:sz w:val="22"/>
          <w:szCs w:val="22"/>
          <w:u w:val="none"/>
          <w:shd w:val="clear" w:fill="FFFFFF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highlight w:val="none"/>
          <w:shd w:val="clear" w:fill="FFFFFF"/>
        </w:rPr>
      </w:pPr>
      <w:r>
        <w:rPr>
          <w:rFonts w:ascii="Arial" w:hAnsi="Arial" w:cs="Arial"/>
          <w:strike w:val="false"/>
          <w:dstrike w:val="false"/>
          <w:sz w:val="18"/>
          <w:szCs w:val="18"/>
          <w:u w:val="none"/>
          <w:shd w:val="clear" w:fill="FFFFFF"/>
        </w:rPr>
        <w:t>Art. 25. O edital deverá conter o objeto da licitação e as regras relativas à convocação, ao julgamento, à habilitação, aos recursos e às penalidades da licitação, à fiscalização e à gestão do contrato, à entrega do objeto e às condições de pagamento.</w:t>
      </w:r>
    </w:p>
    <w:p>
      <w:pPr>
        <w:pStyle w:val="Normal"/>
        <w:spacing w:before="0" w:after="0" w:line="360" w:lineRule="auto"/>
        <w:jc w:val="both"/>
        <w:rPr>
          <w:rFonts w:ascii="Arial" w:hAnsi="Arial" w:cs="Arial"/>
          <w:strike w:val="false"/>
          <w:dstrike w:val="false"/>
          <w:sz w:val="22"/>
          <w:szCs w:val="22"/>
          <w:highlight w:val="none"/>
          <w:u w:val="none"/>
          <w:shd w:val="clear" w:fill="FFFFFF"/>
        </w:rPr>
      </w:pPr>
      <w:r>
        <w:rPr>
          <w:rFonts w:ascii="Arial" w:hAnsi="Arial" w:cs="Arial"/>
          <w:strike w:val="false"/>
          <w:dstrike w:val="false"/>
          <w:sz w:val="22"/>
          <w:szCs w:val="22"/>
          <w:u w:val="none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A presente minuta de Edital identificou a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modalidade licitatória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 (Pregão Eletrônico); o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objeto da licitação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 (</w:t>
      </w:r>
      <w:r>
        <w:rPr>
          <w:rFonts w:ascii="Arial" w:hAnsi="Arial" w:cs="Arial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“</w:t>
      </w:r>
      <w:r>
        <w:rPr>
          <w:rFonts w:ascii="Arial" w:hAnsi="Arial" w:cs="Arial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Aquisição de uma câmara fria, visando garantir a adequada conservação e armazenamento de produtos perecíveis, assegurando qualidade, durabilidade e redução de perdas.</w:t>
      </w:r>
      <w:r>
        <w:rPr>
          <w:rFonts w:ascii="Arial" w:hAnsi="Arial" w:cs="Arial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”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);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o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critério de julgamento das propostas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 (menor preço por item),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os prazos legais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; as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exigências de habilitação dos proponentes 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(habilitação jurídica, regularidade fiscal, qualificação técnica, apresentação de declarações); as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 condições de participação ao certame;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 as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orientações acerca da interposição de impugnações e recursos administrativos;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 as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sanções administrativas de descumprimento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; às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obrigações do contratante/contratado(a); a forma de entrega do objeto; 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as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condições de pagamento;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 </w:t>
      </w:r>
      <w:r>
        <w:rPr>
          <w:rFonts w:ascii="Arial" w:hAnsi="Arial" w:cs="Arial"/>
          <w:b/>
          <w:bCs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fiscalização e gestão do contrato; </w:t>
      </w: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 xml:space="preserve">entre outras disposições específicas e os anexos necessários para perfectibilizar a contratação.</w:t>
      </w:r>
    </w:p>
    <w:p>
      <w:pPr>
        <w:pStyle w:val="Normal"/>
        <w:spacing w:before="0" w:after="0" w:line="360" w:lineRule="auto"/>
        <w:jc w:val="both"/>
        <w:rPr>
          <w:rFonts w:ascii="Arial" w:hAnsi="Arial" w:cs="Arial"/>
          <w:strike w:val="false"/>
          <w:dstrike w:val="false"/>
          <w:color w:val="000000"/>
          <w:sz w:val="22"/>
          <w:szCs w:val="22"/>
          <w:highlight w:val="none"/>
          <w:u w:val="none"/>
          <w:shd w:val="clear" w:fill="FFFFFF"/>
        </w:rPr>
      </w:pP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ab/>
        <w:t>Constata-se, ainda, o atendimento aos requisitos previstos no art. 82 da Lei nº 14.133/2021, que trata do edital de licitação para registro de preços, o qual deve dispor sobre, entre outros pontos:</w:t>
      </w:r>
    </w:p>
    <w:p>
      <w:pPr>
        <w:pStyle w:val="BodyText"/>
        <w:spacing w:before="0" w:after="0" w:line="240" w:lineRule="auto"/>
        <w:jc w:val="both"/>
        <w:rPr>
          <w:rFonts w:ascii="Arial" w:hAnsi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18"/>
          <w:szCs w:val="18"/>
          <w:highlight w:val="none"/>
          <w:u w:val="none"/>
          <w:shd w:val="clear" w:fill="FFFFFF"/>
        </w:rPr>
      </w:pPr>
      <w:r>
        <w:rPr>
          <w:rFonts w:ascii="Arial" w:hAnsi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18"/>
          <w:szCs w:val="18"/>
          <w:u w:val="none"/>
          <w:shd w:val="clear" w:fill="FFFFFF"/>
        </w:rPr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18"/>
          <w:szCs w:val="18"/>
          <w:highlight w:val="none"/>
          <w:u w:val="none"/>
          <w:shd w:val="clear" w:fill="FFFFFF"/>
        </w:rPr>
      </w:pPr>
      <w:r>
        <w:rPr>
          <w:rFonts w:ascii="Arial" w:hAnsi="Arial" w:cs="Arial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18"/>
          <w:szCs w:val="18"/>
          <w:u w:val="none"/>
          <w:shd w:val="clear" w:fill="FFFFFF"/>
        </w:rPr>
        <w:t>Art. 82. O edital de licitação para registro de preços observará as regras gerais desta Lei e deverá dispor sobre: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i" w:id="6"/>
      <w:bookmarkEnd w:id="6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I - as especificidades da licitação e de seu objeto, inclusive a quantidade máxima de cada item que poderá ser adquirida;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ii" w:id="7"/>
      <w:bookmarkEnd w:id="7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II - a quantidade mínima a ser cotada de unidades de bens ou, no caso de serviços, de unidades de medida;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iii" w:id="8"/>
      <w:bookmarkEnd w:id="8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III - a possibilidade de prever preços diferentes: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iiia" w:id="9"/>
      <w:bookmarkEnd w:id="9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a) quando o objeto for realizado ou entregue em locais diferentes;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iiib" w:id="10"/>
      <w:bookmarkEnd w:id="10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b) em razão da forma e do local de acondicionamento;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iiic" w:id="11"/>
      <w:bookmarkEnd w:id="11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c) quando admitida cotação variável em razão do tamanho do lote;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iiid" w:id="12"/>
      <w:bookmarkEnd w:id="12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d) por outros motivos justificados no processo;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iv" w:id="13"/>
      <w:bookmarkEnd w:id="13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IV - a possibilidade de o licitante oferecer ou não proposta em quantitativo inferior ao máximo previsto no edital, obrigando-se nos limites dela;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v" w:id="14"/>
      <w:bookmarkEnd w:id="14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V - o critério de julgamento da licitação, que será o de menor preço ou o de maior desconto sobre tabela de preços praticada no mercado;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vi" w:id="15"/>
      <w:bookmarkEnd w:id="15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VI - as condições para alteração de preços registrados;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vii" w:id="16"/>
      <w:bookmarkEnd w:id="16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VII - o registro de mais de um fornecedor ou prestador de serviço, desde que aceitem cotar o objeto em preço igual ao do licitante vencedor, assegurada a preferência de contratação de acordo com a ordem de classificação;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viii" w:id="17"/>
      <w:bookmarkEnd w:id="17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VIII - a vedação à participação do órgão ou entidade em mais de uma ata de registro de preços com o mesmo objeto no prazo de validade daquela de que já tiver participado, salvo na ocorrência de ata que tenha registrado quantitativo inferior ao máximo previsto no edital;</w:t>
      </w:r>
    </w:p>
    <w:p>
      <w:pPr>
        <w:pStyle w:val="BodyText"/>
        <w:widowControl/>
        <w:suppressAutoHyphens w:val="true"/>
        <w:overflowPunct w:val="true"/>
        <w:bidi w:val="false"/>
        <w:spacing w:before="0" w:after="0" w:line="240" w:lineRule="auto"/>
        <w:ind w:left="2268" w:right="0" w:hanging="0"/>
        <w:jc w:val="both"/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highlight w:val="none"/>
          <w:shd w:val="clear" w:fill="FFFFFF"/>
        </w:rPr>
      </w:pPr>
      <w:bookmarkStart w:name="art82ix" w:id="18"/>
      <w:bookmarkEnd w:id="18"/>
      <w:r>
        <w:rPr>
          <w:rFonts w:ascii="Arial" w:hAnsi="Arial" w:cs="Arial"/>
          <w:b w:val="false"/>
          <w:i w:val="false"/>
          <w:caps w:val="false"/>
          <w:smallCaps w:val="false"/>
          <w:color w:val="000000"/>
          <w:spacing w:val="0"/>
          <w:sz w:val="18"/>
          <w:szCs w:val="18"/>
          <w:shd w:val="clear" w:fill="FFFFFF"/>
        </w:rPr>
        <w:t>IX - as hipóteses de cancelamento da ata de registro de preços e suas consequências.</w:t>
      </w:r>
    </w:p>
    <w:p>
      <w:pPr>
        <w:pStyle w:val="Normal"/>
        <w:spacing w:before="0" w:after="0" w:line="360" w:lineRule="auto"/>
        <w:jc w:val="both"/>
        <w:rPr>
          <w:rFonts w:ascii="Arial" w:hAnsi="Arial" w:cs="Arial"/>
          <w:strike w:val="false"/>
          <w:dstrike w:val="false"/>
          <w:color w:val="000000"/>
          <w:sz w:val="22"/>
          <w:szCs w:val="22"/>
          <w:highlight w:val="none"/>
          <w:u w:val="none"/>
          <w:shd w:val="clear" w:fill="FFFFFF"/>
        </w:rPr>
      </w:pP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/>
          <w:sz w:val="22"/>
          <w:szCs w:val="22"/>
          <w:shd w:val="clear" w:fill="FFFFFF"/>
        </w:rPr>
        <w:tab/>
      </w:r>
      <w:r>
        <w:rPr>
          <w:rFonts w:ascii="Arial" w:hAnsi="Arial"/>
          <w:sz w:val="22"/>
          <w:szCs w:val="22"/>
          <w:shd w:val="clear" w:fill="FFFFFF"/>
        </w:rPr>
        <w:t>No mais, deverão os interessados observar os prazos para a apresentação de propostas e os lances previstos no Edital e no art. 55</w:t>
      </w:r>
      <w:r>
        <w:rPr>
          <w:rFonts w:ascii="Arial" w:hAnsi="Arial"/>
          <w:color w:val="000000"/>
          <w:sz w:val="22"/>
          <w:szCs w:val="22"/>
          <w:shd w:val="clear" w:fill="FFFFFF"/>
        </w:rPr>
        <w:t xml:space="preserve"> da Lei 14.133/2021.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strike w:val="false"/>
          <w:dstrike w:val="false"/>
          <w:color w:val="000000"/>
          <w:sz w:val="22"/>
          <w:szCs w:val="22"/>
          <w:u w:val="none"/>
          <w:shd w:val="clear" w:fill="FFFFFF"/>
        </w:rPr>
        <w:tab/>
        <w:t>Do exposto, encontra-se regular as cláusulas inseridas na minuta do edital, vez que em consonância com o que definido nos arts. 25 e 82 da Lei nº 14.133/21.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cs="Arial"/>
          <w:b/>
          <w:bCs/>
          <w:strike w:val="false"/>
          <w:dstrike w:val="false"/>
          <w:sz w:val="22"/>
          <w:szCs w:val="22"/>
          <w:u w:val="none"/>
          <w:shd w:val="clear" w:fill="FFFFFF"/>
        </w:rPr>
        <w:tab/>
        <w:t xml:space="preserve">VIII </w:t>
      </w:r>
      <w:r>
        <w:rPr>
          <w:rFonts w:ascii="Arial" w:hAnsi="Arial" w:cs="Arial"/>
          <w:b/>
          <w:bCs/>
          <w:sz w:val="22"/>
          <w:szCs w:val="22"/>
          <w:u w:val="none"/>
          <w:shd w:val="clear" w:fill="FFFFFF"/>
        </w:rPr>
        <w:t xml:space="preserve">– </w:t>
      </w:r>
      <w:r>
        <w:rPr>
          <w:rFonts w:ascii="Arial" w:hAnsi="Arial" w:eastAsia="Arial" w:cs="Arial"/>
          <w:b/>
          <w:bCs/>
          <w:sz w:val="22"/>
          <w:szCs w:val="22"/>
          <w:u w:val="none"/>
          <w:shd w:val="clear" w:fill="FFFFFF"/>
        </w:rPr>
        <w:t>DA ANÁLISE DA MINUTA DA ATA DE REGISTRO DE PREÇOS</w:t>
      </w:r>
    </w:p>
    <w:p>
      <w:pPr>
        <w:pStyle w:val="Normal"/>
        <w:spacing w:before="0" w:after="0" w:line="360" w:lineRule="auto"/>
        <w:jc w:val="both"/>
        <w:rPr>
          <w:rFonts w:ascii="Arial" w:hAnsi="Arial"/>
          <w:sz w:val="22"/>
          <w:szCs w:val="22"/>
          <w:highlight w:val="none"/>
          <w:shd w:val="clear" w:fill="FFFFFF"/>
        </w:rPr>
      </w:pPr>
      <w:r>
        <w:rPr>
          <w:rFonts w:ascii="Arial" w:hAnsi="Arial"/>
          <w:sz w:val="22"/>
          <w:szCs w:val="22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bCs/>
          <w:sz w:val="22"/>
          <w:szCs w:val="22"/>
          <w:u w:val="none"/>
          <w:shd w:val="clear" w:fill="FFFFFF"/>
        </w:rPr>
        <w:tab/>
      </w:r>
      <w:r>
        <w:rPr>
          <w:rFonts w:ascii="Arial" w:hAnsi="Arial" w:eastAsia="Arial" w:cs="Arial"/>
          <w:sz w:val="22"/>
          <w:szCs w:val="22"/>
          <w:shd w:val="clear" w:fill="FFFFFF"/>
        </w:rPr>
        <w:t xml:space="preserve">Em análise da minuta encartada ao edital, entendo que guarda regularidade com o disposto na Lei Federal nº 14.133/21, visto que presentes as cláusulas essenciais, sem quaisquer condições que possam tipificar preferências ou discriminações. 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bCs/>
          <w:sz w:val="22"/>
          <w:szCs w:val="22"/>
          <w:u w:val="none"/>
          <w:shd w:val="clear" w:fill="FFFFFF"/>
        </w:rPr>
        <w:tab/>
      </w:r>
      <w:r>
        <w:rPr>
          <w:rFonts w:ascii="Arial" w:hAnsi="Arial" w:eastAsia="Arial" w:cs="Arial"/>
          <w:b w:val="false"/>
          <w:bCs w:val="false"/>
          <w:sz w:val="22"/>
          <w:szCs w:val="22"/>
          <w:u w:val="none"/>
          <w:shd w:val="clear" w:fill="FFFFFF"/>
        </w:rPr>
        <w:t>Portanto, não detectando nenhuma irregularidade ou contrariedade à legislação pertinente, este ponto está superado.</w:t>
      </w:r>
    </w:p>
    <w:p>
      <w:pPr>
        <w:pStyle w:val="Normal"/>
        <w:spacing w:before="0" w:after="0" w:line="360" w:lineRule="auto"/>
        <w:jc w:val="both"/>
        <w:rPr>
          <w:rFonts w:ascii="Arial" w:hAnsi="Arial"/>
          <w:highlight w:val="none"/>
          <w:shd w:val="clear" w:fill="FFFFFF"/>
        </w:rPr>
      </w:pPr>
      <w:r>
        <w:rPr>
          <w:rFonts w:ascii="Arial" w:hAnsi="Arial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 w:val="false"/>
          <w:bCs w:val="false"/>
          <w:sz w:val="22"/>
          <w:szCs w:val="22"/>
          <w:u w:val="none"/>
          <w:shd w:val="clear" w:fill="FFFFFF"/>
        </w:rPr>
        <w:tab/>
      </w:r>
      <w:r>
        <w:rPr>
          <w:rFonts w:ascii="Arial" w:hAnsi="Arial" w:eastAsia="Arial" w:cs="Arial"/>
          <w:b/>
          <w:bCs/>
          <w:sz w:val="22"/>
          <w:szCs w:val="22"/>
          <w:u w:val="none"/>
          <w:shd w:val="clear" w:fill="FFFFFF"/>
        </w:rPr>
        <w:t>IX</w:t>
      </w:r>
      <w:r>
        <w:rPr>
          <w:rFonts w:ascii="Arial" w:hAnsi="Arial" w:eastAsia="Arial" w:cs="Arial"/>
          <w:b/>
          <w:bCs/>
          <w:sz w:val="22"/>
          <w:szCs w:val="22"/>
          <w:u w:val="none"/>
          <w:shd w:val="clear" w:fill="FFFFFF"/>
        </w:rPr>
        <w:t xml:space="preserve"> – DA DISPONIBILIDADE ORÇAMENTÁRIA</w:t>
      </w:r>
    </w:p>
    <w:p>
      <w:pPr>
        <w:pStyle w:val="Normal"/>
        <w:spacing w:before="0" w:after="0" w:line="360" w:lineRule="auto"/>
        <w:jc w:val="both"/>
        <w:rPr>
          <w:rFonts w:ascii="Arial" w:hAnsi="Arial"/>
          <w:highlight w:val="none"/>
          <w:shd w:val="clear" w:fill="FFFFFF"/>
        </w:rPr>
      </w:pPr>
      <w:r>
        <w:rPr>
          <w:rFonts w:ascii="Arial" w:hAnsi="Arial"/>
          <w:shd w:val="clear" w:fill="FFFFFF"/>
        </w:rPr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bCs/>
          <w:sz w:val="22"/>
          <w:szCs w:val="22"/>
          <w:u w:val="none"/>
          <w:shd w:val="clear" w:fill="FFFFFF"/>
        </w:rPr>
        <w:tab/>
      </w:r>
      <w:r>
        <w:rPr>
          <w:rFonts w:ascii="Arial" w:hAnsi="Arial" w:eastAsia="DejaVu Sans" w:cs="Arial" w:eastAsiaTheme="minorEastAsia"/>
          <w:b w:val="false"/>
          <w:bCs w:val="false"/>
          <w:color w:val="000000"/>
          <w:sz w:val="22"/>
          <w:szCs w:val="22"/>
          <w:u w:val="none"/>
          <w:shd w:val="clear" w:fill="FFFFFF"/>
        </w:rPr>
        <w:t>No presente caso, trata-se de licitação destinada ao registro de preços pela Administração, incidindo, pois, o art. 17 do Decreto nº 11.462, de 2023, de forma que a indicação da disponibilidade de créditos orçamentários somente será exigida para a formalização do contrato ou de outro instrumento hábil.</w:t>
      </w:r>
    </w:p>
    <w:p>
      <w:pPr>
        <w:pStyle w:val="Normal"/>
        <w:spacing w:before="0" w:after="0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DejaVu Sans" w:cs="Arial" w:eastAsiaTheme="minorEastAsia"/>
          <w:b w:val="false"/>
          <w:bCs w:val="false"/>
          <w:color w:val="000000"/>
          <w:sz w:val="22"/>
          <w:szCs w:val="22"/>
          <w:u w:val="none"/>
          <w:shd w:val="clear" w:fill="FFFFFF"/>
        </w:rPr>
        <w:tab/>
      </w:r>
      <w:r>
        <w:rPr>
          <w:rFonts w:ascii="Arial" w:hAnsi="Arial" w:eastAsia="Arial" w:cs="Arial"/>
          <w:b w:val="false"/>
          <w:bCs w:val="false"/>
          <w:color w:val="000000"/>
          <w:sz w:val="22"/>
          <w:szCs w:val="22"/>
          <w:u w:val="single"/>
          <w:shd w:val="clear" w:fill="FFFFFF"/>
        </w:rPr>
        <w:t xml:space="preserve">Alerta-se, </w:t>
      </w:r>
      <w:r>
        <w:rPr>
          <w:rFonts w:ascii="Arial" w:hAnsi="Arial" w:eastAsia="Arial" w:cs="Arial"/>
          <w:b w:val="false"/>
          <w:bCs w:val="false"/>
          <w:color w:val="000000"/>
          <w:sz w:val="22"/>
          <w:szCs w:val="22"/>
          <w:u w:val="none"/>
          <w:shd w:val="clear" w:fill="FFFFFF"/>
        </w:rPr>
        <w:t>ainda, para a necessidade de juntar ao feito, antes da celebração do contrato administrativo ou do instrumento equivalente, a nota de empenho suficiente para o suporte financeiro da respectiva despesa, em atenção ao disposto no art. 60 da Lei n</w:t>
      </w:r>
      <w:r>
        <w:rPr>
          <w:rFonts w:ascii="Arial" w:hAnsi="Arial" w:eastAsia="Arial" w:cs="Arial"/>
          <w:b w:val="false"/>
          <w:bCs w:val="false"/>
          <w:color w:val="000000"/>
          <w:sz w:val="22"/>
          <w:szCs w:val="22"/>
          <w:u w:val="none"/>
          <w:shd w:val="clear" w:fill="FFFFFF"/>
          <w:vertAlign w:val="superscript"/>
        </w:rPr>
        <w:t>o</w:t>
      </w:r>
      <w:r>
        <w:rPr>
          <w:rFonts w:ascii="Arial" w:hAnsi="Arial" w:eastAsia="Arial" w:cs="Arial"/>
          <w:b w:val="false"/>
          <w:bCs w:val="false"/>
          <w:color w:val="000000"/>
          <w:sz w:val="22"/>
          <w:szCs w:val="22"/>
          <w:u w:val="none"/>
          <w:shd w:val="clear" w:fill="FFFFFF"/>
        </w:rPr>
        <w:t> 4.320, de 17 de março de 1964.</w:t>
      </w:r>
    </w:p>
    <w:p>
      <w:pPr>
        <w:pStyle w:val="Normal"/>
        <w:spacing w:before="0" w:after="0" w:line="360" w:lineRule="auto"/>
        <w:jc w:val="both"/>
        <w:rPr>
          <w:rFonts w:ascii="Arial" w:hAnsi="Arial" w:eastAsia="Arial" w:cs="Arial"/>
          <w:b w:val="false"/>
          <w:bCs w:val="false"/>
          <w:color w:val="000000"/>
          <w:sz w:val="22"/>
          <w:szCs w:val="22"/>
          <w:highlight w:val="none"/>
          <w:u w:val="none"/>
          <w:shd w:val="clear" w:fill="FFFFFF"/>
        </w:rPr>
      </w:pPr>
      <w:r>
        <w:rPr>
          <w:rFonts w:ascii="Arial" w:hAnsi="Arial" w:eastAsia="Arial" w:cs="Arial"/>
          <w:b w:val="false"/>
          <w:bCs w:val="false"/>
          <w:color w:val="000000"/>
          <w:sz w:val="22"/>
          <w:szCs w:val="22"/>
          <w:u w:val="none"/>
          <w:shd w:val="clear" w:fill="FFFFFF"/>
        </w:rPr>
      </w:r>
    </w:p>
    <w:p>
      <w:pPr>
        <w:pStyle w:val="Normal"/>
        <w:spacing w:before="0" w:after="0" w:line="360" w:lineRule="auto"/>
        <w:jc w:val="both"/>
        <w:rPr/>
      </w:pPr>
      <w:r>
        <w:rPr>
          <w:rFonts w:ascii="Arial" w:hAnsi="Arial" w:eastAsia="Arial" w:cs="Arial"/>
          <w:b w:val="false"/>
          <w:bCs w:val="false"/>
          <w:color w:val="000000"/>
          <w:sz w:val="22"/>
          <w:szCs w:val="22"/>
          <w:u w:val="none"/>
          <w:shd w:val="clear" w:fill="FFFFFF"/>
        </w:rPr>
        <w:tab/>
      </w:r>
      <w:r>
        <w:rPr>
          <w:rFonts w:ascii="Arial" w:hAnsi="Arial" w:eastAsia="Arial" w:cs="Arial"/>
          <w:b/>
          <w:bCs/>
          <w:color w:val="000000"/>
          <w:sz w:val="22"/>
          <w:szCs w:val="22"/>
          <w:u w:val="none"/>
          <w:shd w:val="clear" w:fill="FFFFFF"/>
        </w:rPr>
        <w:t xml:space="preserve">X – </w:t>
      </w:r>
      <w:r>
        <w:rPr>
          <w:rStyle w:val="Strong"/>
          <w:rFonts w:ascii="Arial" w:hAnsi="Arial" w:eastAsia="Times New Roman" w:cs="Times New Roman"/>
          <w:b/>
          <w:bCs/>
          <w:sz w:val="22"/>
          <w:szCs w:val="22"/>
          <w:shd w:val="clear" w:fill="FFFFFF"/>
          <w:lang w:eastAsia="pt-BR"/>
        </w:rPr>
        <w:t>D</w:t>
      </w:r>
      <w:r>
        <w:rPr>
          <w:rStyle w:val="Strong"/>
          <w:rFonts w:ascii="Arial" w:hAnsi="Arial" w:eastAsia="Times New Roman" w:cs="Times New Roman"/>
          <w:sz w:val="22"/>
          <w:szCs w:val="22"/>
          <w:shd w:val="clear" w:fill="FFFFFF"/>
          <w:lang w:eastAsia="pt-BR"/>
        </w:rPr>
        <w:t>A PUBLICAÇÃO DO EDITAL E DA LEI DE ACESSO À INFORMAÇÃO</w:t>
      </w:r>
    </w:p>
    <w:p>
      <w:pPr>
        <w:pStyle w:val="NormalWeb"/>
        <w:spacing w:before="0" w:beforeAutospacing="false" w:after="0" w:afterAutospacing="false" w:line="360" w:lineRule="auto"/>
        <w:ind w:firstLine="1418"/>
        <w:jc w:val="both"/>
        <w:rPr>
          <w:highlight w:val="none"/>
          <w:shd w:val="clear" w:fill="FFFFFF"/>
        </w:rPr>
      </w:pPr>
      <w:r>
        <w:rPr>
          <w:rFonts w:ascii="Arial" w:hAnsi="Arial"/>
          <w:color w:val="000000"/>
          <w:sz w:val="22"/>
          <w:szCs w:val="22"/>
          <w:shd w:val="clear" w:fill="FFFFFF"/>
        </w:rPr>
        <w:t> </w:t>
      </w:r>
    </w:p>
    <w:p>
      <w:pPr>
        <w:pStyle w:val="numerado"/>
        <w:spacing w:before="0" w:beforeAutospacing="false" w:after="0" w:afterAutospacing="false" w:line="360" w:lineRule="auto"/>
        <w:jc w:val="both"/>
        <w:rPr/>
      </w:pPr>
      <w:r>
        <w:rPr>
          <w:rFonts w:ascii="Arial" w:hAnsi="Arial"/>
          <w:color w:val="000000"/>
          <w:sz w:val="22"/>
          <w:szCs w:val="22"/>
          <w:shd w:val="clear" w:fill="FFFFFF"/>
        </w:rPr>
        <w:tab/>
        <w:t>Conforme art. 54, </w:t>
      </w:r>
      <w:r>
        <w:rPr>
          <w:rStyle w:val="Emphasis"/>
          <w:rFonts w:ascii="Arial" w:hAnsi="Arial"/>
          <w:color w:val="000000"/>
          <w:sz w:val="22"/>
          <w:szCs w:val="22"/>
          <w:shd w:val="clear" w:fill="FFFFFF"/>
        </w:rPr>
        <w:t>caput </w:t>
      </w:r>
      <w:r>
        <w:rPr>
          <w:rFonts w:ascii="Arial" w:hAnsi="Arial"/>
          <w:color w:val="000000"/>
          <w:sz w:val="22"/>
          <w:szCs w:val="22"/>
          <w:shd w:val="clear" w:fill="FFFFFF"/>
        </w:rPr>
        <w:t>e §1º, c/c art. 94 da Lei nº 14.133/2021, é obrigatória a divulgação e a manutenção do inteiro teor do edital de licitação e dos seus anexos e do termo de contrato no Portal Nacional de Contratações Públicas e a publicação de extrato do edital no Diário Oficial dos Municípios.</w:t>
      </w:r>
    </w:p>
    <w:p>
      <w:pPr>
        <w:pStyle w:val="numerado"/>
        <w:spacing w:before="0" w:beforeAutospacing="false" w:after="0" w:afterAutospacing="false" w:line="360" w:lineRule="auto"/>
        <w:jc w:val="both"/>
        <w:rPr/>
      </w:pPr>
      <w:r>
        <w:rPr>
          <w:rFonts w:ascii="Arial" w:hAnsi="Arial"/>
          <w:color w:val="000000"/>
          <w:sz w:val="22"/>
          <w:szCs w:val="22"/>
          <w:shd w:val="clear" w:fill="FFFFFF"/>
        </w:rPr>
        <w:tab/>
        <w:t>No caso, deve ser observado o</w:t>
      </w:r>
      <w:r>
        <w:rPr>
          <w:rFonts w:ascii="Arial" w:hAnsi="Arial"/>
          <w:color w:val="000000"/>
          <w:sz w:val="22"/>
          <w:szCs w:val="22"/>
          <w:shd w:val="clear" w:fill="FF0000"/>
        </w:rPr>
        <w:t xml:space="preserve"> </w:t>
      </w:r>
      <w:r>
        <w:rPr>
          <w:rFonts w:ascii="Arial" w:hAnsi="Arial"/>
          <w:color w:val="FFFFFF"/>
          <w:sz w:val="22"/>
          <w:szCs w:val="22"/>
          <w:shd w:val="clear" w:fill="FF0000"/>
        </w:rPr>
        <w:t>prazo mínimo de 10 (dez) dias úteis</w:t>
      </w:r>
      <w:r>
        <w:rPr>
          <w:rFonts w:ascii="Arial" w:hAnsi="Arial"/>
          <w:color w:val="000000"/>
          <w:sz w:val="22"/>
          <w:szCs w:val="22"/>
          <w:shd w:val="clear" w:fill="FF0000"/>
        </w:rPr>
        <w:t>,</w:t>
      </w:r>
      <w:r>
        <w:rPr>
          <w:rFonts w:ascii="Arial" w:hAnsi="Arial"/>
          <w:color w:val="000000"/>
          <w:sz w:val="22"/>
          <w:szCs w:val="22"/>
          <w:shd w:val="clear" w:fill="FFFFFF"/>
        </w:rPr>
        <w:t> contados a partir da data de divulgação do edital de licitação, para a apresentação das propostas e lances, quando adotados os critérios de julgamento de menor preço ou de maior desconto </w:t>
      </w:r>
      <w:r>
        <w:rPr>
          <w:rFonts w:ascii="Arial" w:hAnsi="Arial"/>
          <w:color w:val="FFFFFF"/>
          <w:sz w:val="22"/>
          <w:szCs w:val="22"/>
          <w:shd w:val="clear" w:fill="FF0000"/>
        </w:rPr>
        <w:t>(</w:t>
      </w:r>
      <w:r>
        <w:rPr>
          <w:rStyle w:val="Strong"/>
          <w:rFonts w:ascii="Arial" w:hAnsi="Arial"/>
          <w:color w:val="FFFFFF"/>
          <w:sz w:val="22"/>
          <w:szCs w:val="22"/>
          <w:shd w:val="clear" w:fill="FF0000"/>
        </w:rPr>
        <w:t>art. 55, II, “a”, Lei nº 14.133/2021</w:t>
      </w:r>
      <w:r>
        <w:rPr>
          <w:rFonts w:ascii="Arial" w:hAnsi="Arial"/>
          <w:color w:val="FFFFFF"/>
          <w:sz w:val="22"/>
          <w:szCs w:val="22"/>
          <w:shd w:val="clear" w:fill="FF0000"/>
        </w:rPr>
        <w:t>). </w:t>
      </w:r>
    </w:p>
    <w:p>
      <w:pPr>
        <w:pStyle w:val="numerado"/>
        <w:spacing w:before="0" w:beforeAutospacing="false" w:after="0" w:afterAutospacing="false" w:line="360" w:lineRule="auto"/>
        <w:jc w:val="both"/>
        <w:rPr>
          <w:highlight w:val="none"/>
          <w:shd w:val="clear" w:fill="FFFFFF"/>
        </w:rPr>
      </w:pPr>
      <w:r>
        <w:rPr>
          <w:rFonts w:ascii="Arial" w:hAnsi="Arial"/>
          <w:color w:val="000000"/>
          <w:sz w:val="22"/>
          <w:szCs w:val="22"/>
          <w:shd w:val="clear" w:fill="FFFFFF"/>
        </w:rPr>
        <w:tab/>
        <w:t>Destaca-se também que, após a homologação do processo licitatório, é obrigatória a disponibilização no Portal Nacional de Contratações Públicas (PNCP) dos documentos elaborados na fase preparatória que porventura não tenham integrado o edital e seus anexos, conforme determina o art. 54, § 3º, da Lei nº 14.133/2021.</w:t>
      </w:r>
    </w:p>
    <w:p>
      <w:pPr>
        <w:pStyle w:val="numerado"/>
        <w:spacing w:before="0" w:beforeAutospacing="false" w:after="0" w:afterAutospacing="false" w:line="360" w:lineRule="auto"/>
        <w:jc w:val="both"/>
        <w:rPr>
          <w:rFonts w:ascii="Arial" w:hAnsi="Arial" w:eastAsia="Arial" w:cs="Arial"/>
          <w:b/>
          <w:color w:val="000000"/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b/>
          <w:color w:val="000000"/>
          <w:sz w:val="22"/>
          <w:szCs w:val="22"/>
          <w:shd w:val="clear" w:fill="FFFFFF"/>
        </w:rPr>
      </w:r>
    </w:p>
    <w:p>
      <w:pPr>
        <w:pStyle w:val="numerado"/>
        <w:spacing w:before="0" w:beforeAutospacing="false" w:after="0" w:afterAutospacing="false" w:line="360" w:lineRule="auto"/>
        <w:jc w:val="both"/>
        <w:rPr>
          <w:rFonts w:ascii="Arial" w:hAnsi="Arial" w:eastAsia="Arial" w:cs="Arial"/>
          <w:b/>
          <w:color w:val="000000"/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b/>
          <w:color w:val="000000"/>
          <w:sz w:val="22"/>
          <w:szCs w:val="22"/>
          <w:shd w:val="clear" w:fill="FFFFFF"/>
        </w:rPr>
      </w:r>
    </w:p>
    <w:p>
      <w:pPr>
        <w:pStyle w:val="numerado"/>
        <w:spacing w:before="0" w:beforeAutospacing="false" w:after="0" w:afterAutospacing="false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color w:val="000000"/>
          <w:sz w:val="22"/>
          <w:szCs w:val="22"/>
          <w:shd w:val="clear" w:fill="FFFFFF"/>
        </w:rPr>
        <w:tab/>
      </w:r>
      <w:r>
        <w:rPr>
          <w:rFonts w:ascii="Arial" w:hAnsi="Arial" w:eastAsia="Arial" w:cs="Arial"/>
          <w:b/>
          <w:sz w:val="22"/>
          <w:szCs w:val="22"/>
          <w:shd w:val="clear" w:fill="FFFFFF"/>
        </w:rPr>
        <w:t>X</w:t>
      </w:r>
      <w:r>
        <w:rPr>
          <w:rFonts w:ascii="Arial" w:hAnsi="Arial" w:eastAsia="Arial" w:cs="Arial"/>
          <w:b/>
          <w:sz w:val="22"/>
          <w:szCs w:val="22"/>
          <w:shd w:val="clear" w:fill="FFFFFF"/>
        </w:rPr>
        <w:t>I</w:t>
      </w:r>
      <w:r>
        <w:rPr>
          <w:rFonts w:ascii="Arial" w:hAnsi="Arial" w:eastAsia="Arial" w:cs="Arial"/>
          <w:b/>
          <w:sz w:val="22"/>
          <w:szCs w:val="22"/>
          <w:shd w:val="clear" w:fill="FFFFFF"/>
        </w:rPr>
        <w:t xml:space="preserve"> – CONCLUSÃO</w:t>
      </w:r>
    </w:p>
    <w:p>
      <w:pPr>
        <w:pStyle w:val="numerado"/>
        <w:spacing w:before="0" w:beforeAutospacing="false" w:after="0" w:afterAutospacing="false" w:line="360" w:lineRule="auto"/>
        <w:jc w:val="both"/>
        <w:rPr>
          <w:rFonts w:ascii="Arial" w:hAnsi="Arial" w:eastAsia="Arial" w:cs="Arial"/>
          <w:b/>
          <w:sz w:val="22"/>
          <w:szCs w:val="22"/>
          <w:highlight w:val="none"/>
          <w:shd w:val="clear" w:fill="FFFFFF"/>
        </w:rPr>
      </w:pPr>
      <w:r>
        <w:rPr>
          <w:rFonts w:ascii="Arial" w:hAnsi="Arial" w:eastAsia="Arial" w:cs="Arial"/>
          <w:b/>
          <w:sz w:val="22"/>
          <w:szCs w:val="22"/>
          <w:shd w:val="clear" w:fill="FFFFFF"/>
        </w:rPr>
      </w:r>
    </w:p>
    <w:p>
      <w:pPr>
        <w:pStyle w:val="numerado"/>
        <w:spacing w:before="0" w:beforeAutospacing="false" w:after="0" w:afterAutospacing="false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b/>
          <w:sz w:val="22"/>
          <w:szCs w:val="22"/>
          <w:shd w:val="clear" w:fill="FFFFFF"/>
        </w:rPr>
        <w:tab/>
        <w:t>Ante todo o exposto</w:t>
      </w:r>
      <w:r>
        <w:rPr>
          <w:rFonts w:ascii="Arial" w:hAnsi="Arial" w:eastAsia="Arial" w:cs="Arial"/>
          <w:sz w:val="22"/>
          <w:szCs w:val="22"/>
          <w:shd w:val="clear" w:fill="FFFFFF"/>
        </w:rPr>
        <w:t xml:space="preserve">, nos limites da análise jurídica e excluídos os aspectos técnicos e o juízo de oportunidade e conveniência, considerando que os presentes autos se encontram dentro dos permissivos legais, notadamente com relação à Lei nº 14.133/21, exaro </w:t>
      </w:r>
      <w:r>
        <w:rPr>
          <w:rFonts w:ascii="Arial" w:hAnsi="Arial" w:eastAsia="Arial" w:cs="Arial"/>
          <w:b/>
          <w:sz w:val="22"/>
          <w:szCs w:val="22"/>
          <w:shd w:val="clear" w:fill="FFFFFF"/>
        </w:rPr>
        <w:t xml:space="preserve">PARECER JURÍDICO FAVORÁVEL, </w:t>
      </w:r>
      <w:r>
        <w:rPr>
          <w:rFonts w:ascii="Arial" w:hAnsi="Arial" w:eastAsia="Arial" w:cs="Arial"/>
          <w:b/>
          <w:sz w:val="22"/>
          <w:szCs w:val="22"/>
          <w:shd w:val="clear" w:fill="FF0000"/>
        </w:rPr>
        <w:t>COM RESSALVAS,</w:t>
      </w:r>
      <w:r>
        <w:rPr>
          <w:rFonts w:ascii="Arial" w:hAnsi="Arial" w:eastAsia="Arial" w:cs="Arial"/>
          <w:sz w:val="22"/>
          <w:szCs w:val="22"/>
          <w:shd w:val="clear" w:fill="FFFFFF"/>
        </w:rPr>
        <w:t xml:space="preserve"> à realização do presente Pregão Eletrônico pretendido pela Administração Pública.</w:t>
      </w:r>
    </w:p>
    <w:p>
      <w:pPr>
        <w:pStyle w:val="numerado"/>
        <w:spacing w:before="0" w:beforeAutospacing="false" w:after="0" w:afterAutospacing="false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  <w:tab/>
      </w:r>
      <w:r>
        <w:rPr>
          <w:rFonts w:ascii="Arial" w:hAnsi="Arial" w:eastAsia="Arial" w:cs="Arial"/>
          <w:sz w:val="22"/>
          <w:szCs w:val="22"/>
          <w:shd w:val="clear" w:fill="FF0000"/>
          <w:lang w:eastAsia="pt-BR"/>
        </w:rPr>
        <w:t>As ressalvas referem-se, especificamente, aos seguintes pontos:</w:t>
      </w:r>
      <w:r>
        <w:rPr>
          <w:rFonts w:ascii="Arial" w:hAnsi="Arial" w:eastAsia="Arial" w:cs="Arial"/>
          <w:sz w:val="22"/>
          <w:szCs w:val="22"/>
          <w:shd w:val="clear" w:fill="FFFFFF"/>
        </w:rPr>
        <w:t xml:space="preserve"> </w:t>
      </w:r>
    </w:p>
    <w:p>
      <w:pPr>
        <w:pStyle w:val="numerado"/>
        <w:spacing w:before="0" w:beforeAutospacing="false" w:after="0" w:afterAutospacing="false" w:line="360" w:lineRule="auto"/>
        <w:jc w:val="both"/>
        <w:rPr>
          <w:highlight w:val="none"/>
          <w:shd w:val="clear" w:fill="FFFFFF"/>
        </w:rPr>
      </w:pPr>
      <w:r>
        <w:rPr>
          <w:rFonts w:ascii="Arial" w:hAnsi="Arial" w:eastAsia="Arial" w:cs="Arial"/>
          <w:sz w:val="22"/>
          <w:szCs w:val="22"/>
          <w:shd w:val="clear" w:fill="FFFFFF"/>
        </w:rPr>
        <w:tab/>
        <w:t>Constatada a regularidade quanto à formalidade, adequação e legalidade exigidas para a sua realização, e após o encerramento da fase preparatória, a autoridade competente deverá proceder com a divulgação do edital de licitação, conforme estabelecido nos artigos 53, § 3º e 54 da Lei Federal nº 14.133/2021, observando-se o prazo estipulado no artigo 55 da mesma Lei.</w:t>
        <w:tab/>
      </w:r>
    </w:p>
    <w:p>
      <w:pPr>
        <w:pStyle w:val="numerado"/>
        <w:spacing w:before="0" w:beforeAutospacing="false" w:after="0" w:afterAutospacing="false" w:line="360" w:lineRule="auto"/>
        <w:jc w:val="both"/>
        <w:rPr>
          <w:rFonts w:ascii="Arial" w:hAnsi="Arial" w:eastAsia="Arial" w:cs="Arial"/>
        </w:rPr>
      </w:pPr>
      <w:r>
        <w:rPr>
          <w:rStyle w:val="Strong"/>
          <w:rFonts w:ascii="Arial" w:hAnsi="Arial" w:eastAsia="Arial" w:cs="Arial"/>
          <w:sz w:val="22"/>
          <w:szCs w:val="22"/>
          <w:shd w:val="clear" w:fill="FFFFFF"/>
          <w:lang w:eastAsia="pt-BR"/>
        </w:rPr>
        <w:tab/>
      </w:r>
    </w:p>
    <w:p>
      <w:pPr>
        <w:pStyle w:val="Normal"/>
        <w:spacing w:before="0" w:after="0" w:line="360" w:lineRule="auto"/>
        <w:jc w:val="both"/>
        <w:rPr>
          <w:rFonts w:ascii="Arial" w:hAnsi="Arial"/>
        </w:rPr>
      </w:pPr>
      <w:r>
        <w:rPr>
          <w:rFonts w:ascii="Arial" w:hAnsi="Arial" w:cs="Arial"/>
          <w:sz w:val="22"/>
          <w:szCs w:val="22"/>
          <w:shd w:val="clear" w:fill="FFFFFF"/>
        </w:rPr>
        <w:t xml:space="preserve">Capão Alto/SC, </w:t>
      </w:r>
      <w:r>
        <w:rPr>
          <w:rFonts w:ascii="Arial" w:hAnsi="Arial" w:cs="Arial"/>
          <w:sz w:val="22"/>
          <w:szCs w:val="22"/>
          <w:shd w:val="clear" w:fill="FFFFFF"/>
        </w:rPr>
        <w:t xml:space="preserve">5 de dezembro de 2025</w:t>
      </w:r>
      <w:r>
        <w:rPr>
          <w:rFonts w:ascii="Arial" w:hAnsi="Arial" w:cs="Arial"/>
          <w:sz w:val="22"/>
          <w:szCs w:val="22"/>
          <w:shd w:val="clear" w:fill="FFFFFF"/>
        </w:rPr>
        <w:t xml:space="preserve">. 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360" w:lineRule="auto"/>
        <w:ind w:left="-1134" w:right="-964" w:firstLine="1361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360" w:lineRule="auto"/>
        <w:ind w:left="-1134" w:right="-964" w:firstLine="1361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360" w:lineRule="auto"/>
        <w:ind w:left="-1134" w:right="-964" w:firstLine="1361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360" w:lineRule="auto"/>
        <w:ind w:left="-1134" w:right="-964" w:hanging="0"/>
        <w:jc w:val="center"/>
        <w:rPr>
          <w:rFonts w:ascii="Arial" w:hAnsi="Arial"/>
        </w:rPr>
      </w:pPr>
      <w:r>
        <w:rPr>
          <w:rFonts w:ascii="Arial" w:hAnsi="Arial" w:cs="Arial"/>
          <w:b/>
          <w:sz w:val="22"/>
          <w:szCs w:val="22"/>
        </w:rPr>
        <w:t>Natalia Pereira Desdewalle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360" w:lineRule="auto"/>
        <w:ind w:left="-1134" w:right="-964" w:hanging="0"/>
        <w:jc w:val="center"/>
        <w:rPr>
          <w:rFonts w:ascii="Arial" w:hAnsi="Arial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fill="auto"/>
        </w:rPr>
        <w:t>Assessora Jurídica – OAB/SC 74.126</w:t>
      </w:r>
    </w:p>
    <w:p>
      <w:pPr>
        <w:pStyle w:val="Normal"/>
        <w:widowControl/>
        <w:suppressAutoHyphens w:val="true"/>
        <w:overflowPunct w:val="true"/>
        <w:bidi w:val="false"/>
        <w:spacing w:before="0" w:after="0" w:line="360" w:lineRule="auto"/>
        <w:ind w:left="-1134" w:right="-964" w:hanging="0"/>
        <w:jc w:val="center"/>
        <w:rPr>
          <w:rFonts w:ascii="Arial" w:hAnsi="Arial"/>
        </w:rPr>
      </w:pPr>
      <w:r>
        <w:rPr>
          <w:rFonts w:ascii="Arial" w:hAnsi="Arial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top="1627" w:right="1701" w:bottom="638" w:left="1560" w:header="480" w:footer="242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0">
    <w:charset w:val="00"/>
    <w:family w:val="roman"/>
    <w:pitch w:val="variable"/>
  </w:font>
  <w:font w:name="Aptos">
    <w:charset w:val="00"/>
    <w:family w:val="roman"/>
    <w:pitch w:val="variable"/>
  </w:font>
  <w:font w:name="Arial">
    <w:altName w:val="sans-serif"/>
    <w:charset w:val="00"/>
    <w:family w:val="roman"/>
    <w:pitch w:val="variable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Footer"/>
      <w:rPr/>
    </w:pPr>
    <w:r>
      <w:rPr/>
    </w:r>
  </w:p>
</w:ftr>
</file>

<file path=word/footer2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Footer"/>
      <w:widowControl/>
      <w:suppressAutoHyphens w:val="true"/>
      <w:overflowPunct w:val="true"/>
      <w:bidi w:val="false"/>
      <w:spacing w:before="0" w:after="0" w:line="240" w:lineRule="auto"/>
      <w:ind w:left="0" w:right="-1077" w:firstLine="57"/>
      <w:jc w:val="right"/>
      <w:rPr>
        <w:sz w:val="14"/>
        <w:szCs w:val="14"/>
      </w:rPr>
    </w:pPr>
    <w:r>
      <w:rPr>
        <w:rFonts w:ascii="Arial" w:hAnsi="Arial"/>
        <w:sz w:val="14"/>
        <w:szCs w:val="14"/>
      </w:rPr>
      <w:t xml:space="preserve">Página </w:t>
    </w:r>
    <w:r>
      <w:rPr>
        <w:rFonts w:ascii="Arial" w:hAnsi="Arial"/>
        <w:b/>
        <w:bCs/>
        <w:sz w:val="14"/>
        <w:szCs w:val="14"/>
      </w:rPr>
      <w:fldChar w:fldCharType="begin"/>
    </w:r>
    <w:r>
      <w:rPr>
        <w:rFonts w:ascii="Arial" w:hAnsi="Arial"/>
        <w:b/>
        <w:bCs/>
        <w:sz w:val="14"/>
        <w:szCs w:val="14"/>
      </w:rPr>
      <w:instrText xml:space="preserve"> PAGE </w:instrText>
    </w:r>
    <w:r>
      <w:rPr>
        <w:rFonts w:ascii="Arial" w:hAnsi="Arial"/>
        <w:b/>
        <w:bCs/>
        <w:sz w:val="14"/>
        <w:szCs w:val="14"/>
      </w:rPr>
      <w:fldChar w:fldCharType="separate"/>
    </w:r>
    <w:r>
      <w:rPr>
        <w:rFonts w:ascii="Arial" w:hAnsi="Arial"/>
        <w:b/>
        <w:bCs/>
        <w:sz w:val="14"/>
        <w:szCs w:val="14"/>
      </w:rPr>
      <w:t>8</w:t>
    </w:r>
    <w:r>
      <w:rPr>
        <w:rFonts w:ascii="Arial" w:hAnsi="Arial"/>
        <w:b/>
        <w:bCs/>
        <w:sz w:val="14"/>
        <w:szCs w:val="14"/>
      </w:rPr>
      <w:fldChar w:fldCharType="end"/>
    </w:r>
    <w:r>
      <w:rPr>
        <w:rFonts w:ascii="Arial" w:hAnsi="Arial"/>
        <w:sz w:val="14"/>
        <w:szCs w:val="14"/>
      </w:rPr>
      <w:t xml:space="preserve"> de </w:t>
    </w:r>
    <w:r>
      <w:rPr>
        <w:rFonts w:ascii="Arial" w:hAnsi="Arial"/>
        <w:b/>
        <w:bCs/>
        <w:sz w:val="14"/>
        <w:szCs w:val="14"/>
      </w:rPr>
      <w:fldChar w:fldCharType="begin"/>
    </w:r>
    <w:r>
      <w:rPr>
        <w:rFonts w:ascii="Arial" w:hAnsi="Arial"/>
        <w:b/>
        <w:bCs/>
        <w:sz w:val="14"/>
        <w:szCs w:val="14"/>
      </w:rPr>
      <w:instrText xml:space="preserve"> NUMPAGES </w:instrText>
    </w:r>
    <w:r>
      <w:rPr>
        <w:rFonts w:ascii="Arial" w:hAnsi="Arial"/>
        <w:b/>
        <w:bCs/>
        <w:sz w:val="14"/>
        <w:szCs w:val="14"/>
      </w:rPr>
      <w:fldChar w:fldCharType="separate"/>
    </w:r>
    <w:r>
      <w:rPr>
        <w:rFonts w:ascii="Arial" w:hAnsi="Arial"/>
        <w:b/>
        <w:bCs/>
        <w:sz w:val="14"/>
        <w:szCs w:val="14"/>
      </w:rPr>
      <w:t>9</w:t>
    </w:r>
    <w:r>
      <w:rPr>
        <w:rFonts w:ascii="Arial" w:hAnsi="Arial"/>
        <w:b/>
        <w:bCs/>
        <w:sz w:val="14"/>
        <w:szCs w:val="14"/>
      </w:rPr>
      <w:fldChar w:fldCharType="end"/>
    </w:r>
  </w:p>
</w:ftr>
</file>

<file path=word/footer3.xml><?xml version="1.0" encoding="utf-8"?>
<w:ft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Footer"/>
      <w:widowControl/>
      <w:suppressAutoHyphens w:val="true"/>
      <w:overflowPunct w:val="true"/>
      <w:bidi w:val="false"/>
      <w:spacing w:before="0" w:after="0" w:line="240" w:lineRule="auto"/>
      <w:ind w:left="0" w:right="-1077" w:firstLine="57"/>
      <w:jc w:val="right"/>
      <w:rPr>
        <w:sz w:val="14"/>
        <w:szCs w:val="14"/>
      </w:rPr>
    </w:pPr>
    <w:r>
      <w:rPr>
        <w:rFonts w:ascii="Arial" w:hAnsi="Arial"/>
        <w:sz w:val="14"/>
        <w:szCs w:val="14"/>
      </w:rPr>
      <w:t xml:space="preserve">Página </w:t>
    </w:r>
    <w:r>
      <w:rPr>
        <w:rFonts w:ascii="Arial" w:hAnsi="Arial"/>
        <w:b/>
        <w:bCs/>
        <w:sz w:val="14"/>
        <w:szCs w:val="14"/>
      </w:rPr>
      <w:fldChar w:fldCharType="begin"/>
    </w:r>
    <w:r>
      <w:rPr>
        <w:rFonts w:ascii="Arial" w:hAnsi="Arial"/>
        <w:b/>
        <w:bCs/>
        <w:sz w:val="14"/>
        <w:szCs w:val="14"/>
      </w:rPr>
      <w:instrText xml:space="preserve"> PAGE </w:instrText>
    </w:r>
    <w:r>
      <w:rPr>
        <w:rFonts w:ascii="Arial" w:hAnsi="Arial"/>
        <w:b/>
        <w:bCs/>
        <w:sz w:val="14"/>
        <w:szCs w:val="14"/>
      </w:rPr>
      <w:fldChar w:fldCharType="separate"/>
    </w:r>
    <w:r>
      <w:rPr>
        <w:rFonts w:ascii="Arial" w:hAnsi="Arial"/>
        <w:b/>
        <w:bCs/>
        <w:sz w:val="14"/>
        <w:szCs w:val="14"/>
      </w:rPr>
      <w:t>8</w:t>
    </w:r>
    <w:r>
      <w:rPr>
        <w:rFonts w:ascii="Arial" w:hAnsi="Arial"/>
        <w:b/>
        <w:bCs/>
        <w:sz w:val="14"/>
        <w:szCs w:val="14"/>
      </w:rPr>
      <w:fldChar w:fldCharType="end"/>
    </w:r>
    <w:r>
      <w:rPr>
        <w:rFonts w:ascii="Arial" w:hAnsi="Arial"/>
        <w:sz w:val="14"/>
        <w:szCs w:val="14"/>
      </w:rPr>
      <w:t xml:space="preserve"> de </w:t>
    </w:r>
    <w:r>
      <w:rPr>
        <w:rFonts w:ascii="Arial" w:hAnsi="Arial"/>
        <w:b/>
        <w:bCs/>
        <w:sz w:val="14"/>
        <w:szCs w:val="14"/>
      </w:rPr>
      <w:fldChar w:fldCharType="begin"/>
    </w:r>
    <w:r>
      <w:rPr>
        <w:rFonts w:ascii="Arial" w:hAnsi="Arial"/>
        <w:b/>
        <w:bCs/>
        <w:sz w:val="14"/>
        <w:szCs w:val="14"/>
      </w:rPr>
      <w:instrText xml:space="preserve"> NUMPAGES </w:instrText>
    </w:r>
    <w:r>
      <w:rPr>
        <w:rFonts w:ascii="Arial" w:hAnsi="Arial"/>
        <w:b/>
        <w:bCs/>
        <w:sz w:val="14"/>
        <w:szCs w:val="14"/>
      </w:rPr>
      <w:fldChar w:fldCharType="separate"/>
    </w:r>
    <w:r>
      <w:rPr>
        <w:rFonts w:ascii="Arial" w:hAnsi="Arial"/>
        <w:b/>
        <w:bCs/>
        <w:sz w:val="14"/>
        <w:szCs w:val="14"/>
      </w:rPr>
      <w:t>9</w:t>
    </w:r>
    <w:r>
      <w:rPr>
        <w:rFonts w:ascii="Arial" w:hAnsi="Arial"/>
        <w:b/>
        <w:bCs/>
        <w:sz w:val="14"/>
        <w:szCs w:val="14"/>
      </w:rPr>
      <w:fldChar w:fldCharType="end"/>
    </w:r>
  </w:p>
</w:ftr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Header"/>
      <w:rPr/>
    </w:pPr>
    <w:r>
      <w:rPr/>
    </w:r>
  </w:p>
</w:hdr>
</file>

<file path=word/header2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NoSpacing"/>
      <w:widowControl/>
      <w:suppressAutoHyphens w:val="true"/>
      <w:bidi w:val="false"/>
      <w:spacing w:before="0" w:after="0" w:line="240" w:lineRule="auto"/>
      <w:ind w:left="1134" w:right="0" w:hanging="0"/>
      <w:jc w:val="left"/>
      <w:rPr/>
    </w:pPr>
    <w:r>
      <w:drawing>
        <wp:anchor distT="0" distB="0" distL="0" distR="0" simplePos="false" relativeHeight="10" behindDoc="true" locked="false" layoutInCell="true" allowOverlap="true">
          <wp:simplePos x="0" y="0"/>
          <wp:positionH relativeFrom="column">
            <wp:posOffset>5715</wp:posOffset>
          </wp:positionH>
          <wp:positionV relativeFrom="paragraph">
            <wp:posOffset>-61595</wp:posOffset>
          </wp:positionV>
          <wp:extent cx="651510" cy="716915"/>
          <wp:effectExtent l="0" t="0" r="0" b="0"/>
          <wp:wrapNone/>
          <wp:docPr id="1" name="Imagem 9" descr="https://cdn.fecam.net.br/images/municipios/brasao/90x90/capaoalt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9" descr="https://cdn.fecam.net.br/images/municipios/brasao/90x90/capaoalto.png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716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bCs/>
        <w:sz w:val="28"/>
        <w:szCs w:val="28"/>
      </w:rPr>
      <w:t>ESTADO DE SANTA CATARINA</w:t>
      <w:tab/>
      <w:t xml:space="preserve"> </w:t>
      <w:tab/>
    </w:r>
  </w:p>
  <w:p>
    <w:pPr>
      <w:pStyle w:val="NoSpacing"/>
      <w:widowControl/>
      <w:suppressAutoHyphens w:val="true"/>
      <w:bidi w:val="false"/>
      <w:spacing w:before="0" w:after="0" w:line="240" w:lineRule="auto"/>
      <w:ind w:left="1134" w:right="0" w:hanging="0"/>
      <w:jc w:val="left"/>
      <w:rPr>
        <w:rFonts w:ascii="Times New Roman" w:hAnsi="Times New Roman" w:cs="Times New Roman"/>
        <w:b/>
        <w:bCs/>
        <w:sz w:val="28"/>
        <w:szCs w:val="28"/>
      </w:rPr>
    </w:pPr>
    <w:r>
      <w:rPr>
        <w:rFonts w:ascii="Times New Roman" w:hAnsi="Times New Roman" w:cs="Times New Roman"/>
        <w:b/>
        <w:bCs/>
        <w:sz w:val="28"/>
        <w:szCs w:val="28"/>
      </w:rPr>
      <w:t>MUNICÍPIO DE CAPÃO ALTO</w:t>
    </w:r>
  </w:p>
  <w:p>
    <w:pPr>
      <w:pStyle w:val="NoSpacing"/>
      <w:widowControl/>
      <w:suppressAutoHyphens w:val="true"/>
      <w:bidi w:val="false"/>
      <w:spacing w:before="0" w:after="0" w:line="240" w:lineRule="auto"/>
      <w:ind w:left="1134" w:right="0" w:hanging="0"/>
      <w:jc w:val="left"/>
      <w:rPr>
        <w:rFonts w:ascii="Times New Roman" w:hAnsi="Times New Roman" w:cs="Times New Roman"/>
        <w:b/>
        <w:bCs/>
        <w:color w:val="000000"/>
        <w:sz w:val="28"/>
        <w:szCs w:val="28"/>
      </w:rPr>
    </w:pPr>
    <w:r>
      <w:rPr>
        <w:rFonts w:ascii="Times New Roman" w:hAnsi="Times New Roman" w:cs="Times New Roman"/>
        <w:b/>
        <w:bCs/>
        <w:color w:val="000000"/>
        <w:sz w:val="28"/>
        <w:szCs w:val="28"/>
      </w:rPr>
      <w:t>ASSESSORIA JURÍDICA</w:t>
    </w:r>
  </w:p>
  <w:p>
    <w:pPr>
      <w:pStyle w:val="NoSpacing"/>
      <w:widowControl/>
      <w:suppressAutoHyphens w:val="true"/>
      <w:bidi w:val="false"/>
      <w:spacing w:before="0" w:after="0" w:line="240" w:lineRule="auto"/>
      <w:ind w:left="1134" w:right="0" w:hanging="0"/>
      <w:jc w:val="left"/>
      <w:rPr>
        <w:rFonts w:ascii="Times New Roman" w:hAnsi="Times New Roman" w:cs="Times New Roman"/>
        <w:b/>
        <w:bCs/>
        <w:color w:val="000000"/>
        <w:sz w:val="28"/>
        <w:szCs w:val="28"/>
      </w:rPr>
    </w:pPr>
    <w:r>
      <w:rPr>
        <w:rFonts w:ascii="Times New Roman" w:hAnsi="Times New Roman" w:cs="Times New Roman"/>
        <w:b/>
        <w:bCs/>
        <w:color w:val="000000"/>
        <w:sz w:val="28"/>
        <w:szCs w:val="28"/>
      </w:rPr>
    </w:r>
  </w:p>
</w:hdr>
</file>

<file path=word/header3.xml><?xml version="1.0" encoding="utf-8"?>
<w:hdr xmlns:w="http://schemas.openxmlformats.org/wordprocessingml/2006/main" xmlns:w14="http://schemas.microsoft.com/office/word/2010/wordml" xmlns:m="http://schemas.openxmlformats.org/officeDocument/2006/math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NoSpacing"/>
      <w:widowControl/>
      <w:suppressAutoHyphens w:val="true"/>
      <w:bidi w:val="false"/>
      <w:spacing w:before="0" w:after="0" w:line="240" w:lineRule="auto"/>
      <w:ind w:left="1134" w:right="0" w:hanging="0"/>
      <w:jc w:val="left"/>
      <w:rPr/>
    </w:pPr>
    <w:r>
      <w:drawing>
        <wp:anchor distT="0" distB="0" distL="0" distR="0" simplePos="false" relativeHeight="10" behindDoc="true" locked="false" layoutInCell="true" allowOverlap="true">
          <wp:simplePos x="0" y="0"/>
          <wp:positionH relativeFrom="column">
            <wp:posOffset>5715</wp:posOffset>
          </wp:positionH>
          <wp:positionV relativeFrom="paragraph">
            <wp:posOffset>-61595</wp:posOffset>
          </wp:positionV>
          <wp:extent cx="651510" cy="716915"/>
          <wp:effectExtent l="0" t="0" r="0" b="0"/>
          <wp:wrapNone/>
          <wp:docPr id="2" name="Imagem 9" descr="https://cdn.fecam.net.br/images/municipios/brasao/90x90/capaoalt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2" name="Imagem 9" descr="https://cdn.fecam.net.br/images/municipios/brasao/90x90/capaoalto.png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716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bCs/>
        <w:sz w:val="28"/>
        <w:szCs w:val="28"/>
      </w:rPr>
      <w:t>ESTADO DE SANTA CATARINA</w:t>
      <w:tab/>
      <w:t xml:space="preserve"> </w:t>
      <w:tab/>
    </w:r>
  </w:p>
  <w:p>
    <w:pPr>
      <w:pStyle w:val="NoSpacing"/>
      <w:widowControl/>
      <w:suppressAutoHyphens w:val="true"/>
      <w:bidi w:val="false"/>
      <w:spacing w:before="0" w:after="0" w:line="240" w:lineRule="auto"/>
      <w:ind w:left="1134" w:right="0" w:hanging="0"/>
      <w:jc w:val="left"/>
      <w:rPr>
        <w:rFonts w:ascii="Times New Roman" w:hAnsi="Times New Roman" w:cs="Times New Roman"/>
        <w:b/>
        <w:bCs/>
        <w:sz w:val="28"/>
        <w:szCs w:val="28"/>
      </w:rPr>
    </w:pPr>
    <w:r>
      <w:rPr>
        <w:rFonts w:ascii="Times New Roman" w:hAnsi="Times New Roman" w:cs="Times New Roman"/>
        <w:b/>
        <w:bCs/>
        <w:sz w:val="28"/>
        <w:szCs w:val="28"/>
      </w:rPr>
      <w:t>MUNICÍPIO DE CAPÃO ALTO</w:t>
    </w:r>
  </w:p>
  <w:p>
    <w:pPr>
      <w:pStyle w:val="NoSpacing"/>
      <w:widowControl/>
      <w:suppressAutoHyphens w:val="true"/>
      <w:bidi w:val="false"/>
      <w:spacing w:before="0" w:after="0" w:line="240" w:lineRule="auto"/>
      <w:ind w:left="1134" w:right="0" w:hanging="0"/>
      <w:jc w:val="left"/>
      <w:rPr>
        <w:rFonts w:ascii="Times New Roman" w:hAnsi="Times New Roman" w:cs="Times New Roman"/>
        <w:b/>
        <w:bCs/>
        <w:color w:val="000000"/>
        <w:sz w:val="28"/>
        <w:szCs w:val="28"/>
      </w:rPr>
    </w:pPr>
    <w:r>
      <w:rPr>
        <w:rFonts w:ascii="Times New Roman" w:hAnsi="Times New Roman" w:cs="Times New Roman"/>
        <w:b/>
        <w:bCs/>
        <w:color w:val="000000"/>
        <w:sz w:val="28"/>
        <w:szCs w:val="28"/>
      </w:rPr>
      <w:t>ASSESSORIA JURÍDICA</w:t>
    </w:r>
  </w:p>
  <w:p>
    <w:pPr>
      <w:pStyle w:val="NoSpacing"/>
      <w:widowControl/>
      <w:suppressAutoHyphens w:val="true"/>
      <w:bidi w:val="false"/>
      <w:spacing w:before="0" w:after="0" w:line="240" w:lineRule="auto"/>
      <w:ind w:left="1134" w:right="0" w:hanging="0"/>
      <w:jc w:val="left"/>
      <w:rPr>
        <w:rFonts w:ascii="Times New Roman" w:hAnsi="Times New Roman" w:cs="Times New Roman"/>
        <w:b/>
        <w:bCs/>
        <w:color w:val="000000"/>
        <w:sz w:val="28"/>
        <w:szCs w:val="28"/>
      </w:rPr>
    </w:pPr>
    <w:r>
      <w:rPr>
        <w:rFonts w:ascii="Times New Roman" w:hAnsi="Times New Roman" w:cs="Times New Roman"/>
        <w:b/>
        <w:bCs/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8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  <w:docVars>
    <w:docVar w:name="CONTRATO.NUMERO" w:val="&lt;MACRO: CONTRATO.NUMERO&gt;"/>
  </w:docVars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character" w:styleId="DefaultParagraphFont">
    <w:name w:val="Default Paragraph Font"/>
    <w:qFormat/>
    <w:rPr/>
  </w:style>
  <w:style w:type="character" w:styleId="CabealhoChar">
    <w:name w:val="Cabeçalho Char"/>
    <w:basedOn w:val="DefaultParagraphFont"/>
    <w:qFormat/>
    <w:rPr/>
  </w:style>
  <w:style w:type="character" w:styleId="RodapChar">
    <w:name w:val="Rodapé Char"/>
    <w:basedOn w:val="DefaultParagraphFont"/>
    <w:qFormat/>
    <w:rPr/>
  </w:style>
  <w:style w:type="character" w:styleId="Hyperlink">
    <w:name w:val="Hyperlink"/>
    <w:rPr>
      <w:color w:val="000080"/>
      <w:u w:val="single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">
    <w:name w:val="Caracteres de nota de fim"/>
    <w:qFormat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normaltextrun">
    <w:name w:val="normaltextrun"/>
    <w:basedOn w:val="DefaultParagraphFont"/>
    <w:qFormat/>
    <w:rPr/>
  </w:style>
  <w:style w:type="character" w:styleId="Smbolosdenumeraouser">
    <w:name w:val="Símbolos de numeração (user)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qFormat/>
    <w:pPr>
      <w:spacing w:before="0" w:after="200"/>
      <w:ind w:hanging="0" w:left="720"/>
      <w:contextualSpacing/>
    </w:pPr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Default">
    <w:name w:val="Defaul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0" w:hAnsi="0" w:eastAsia="Calibri" w:cs="Tahoma"/>
      <w:color w:val="000000"/>
      <w:kern w:val="0"/>
      <w:sz w:val="24"/>
      <w:szCs w:val="22"/>
      <w:lang w:val="pt-BR" w:eastAsia="en-US" w:bidi="ar-SA"/>
    </w:rPr>
  </w:style>
  <w:style w:type="paragraph" w:styleId="NoSpacing">
    <w:name w:val="No Spacing"/>
    <w:qFormat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Aptos" w:hAnsi="Aptos" w:eastAsia="Aptos" w:cs="Tahoma"/>
      <w:color w:val="auto"/>
      <w:kern w:val="0"/>
      <w:sz w:val="22"/>
      <w:szCs w:val="22"/>
      <w:lang w:val="pt-BR" w:eastAsia="en-US" w:bidi="ar-SA"/>
    </w:rPr>
  </w:style>
  <w:style w:type="paragraph" w:styleId="FootnoteText">
    <w:name w:val="footnote text"/>
    <w:basedOn w:val="Normal"/>
    <w:pPr>
      <w:suppressLineNumbers/>
      <w:ind w:hanging="340" w:left="340"/>
    </w:pPr>
    <w:rPr>
      <w:sz w:val="20"/>
      <w:szCs w:val="20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numerado">
    <w:name w:val="numerado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Semlistauser">
    <w:name w:val="Sem lista (user)"/>
    <w:qFormat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header2.xml" Type="http://schemas.openxmlformats.org/officeDocument/2006/relationships/header" Id="rId3"/>
    <Relationship Target="header3.xml" Type="http://schemas.openxmlformats.org/officeDocument/2006/relationships/header" Id="rId4"/>
    <Relationship Target="footer1.xml" Type="http://schemas.openxmlformats.org/officeDocument/2006/relationships/footer" Id="rId5"/>
    <Relationship Target="footer2.xml" Type="http://schemas.openxmlformats.org/officeDocument/2006/relationships/footer" Id="rId6"/>
    <Relationship Target="footer3.xml" Type="http://schemas.openxmlformats.org/officeDocument/2006/relationships/footer" Id="rId7"/>
    <Relationship Target="fontTable.xml" Type="http://schemas.openxmlformats.org/officeDocument/2006/relationships/fontTable" Id="rId8"/>
    <Relationship Target="settings.xml" Type="http://schemas.openxmlformats.org/officeDocument/2006/relationships/settings" Id="rId9"/>
    <Relationship Target="theme/theme1.xml" Type="http://schemas.openxmlformats.org/officeDocument/2006/relationships/theme" Id="rId10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_rels/header3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Application>LibreOffice/25.2.5.2$Windows_X86_64 LibreOffice_project/03d19516eb2e1dd5d4ccd751a0d6f35f35e08022</Application>
  <AppVersion>15.0000</AppVersion>
  <Pages>9</Pages>
  <Words>3544</Words>
  <Characters>19494</Characters>
  <CharactersWithSpaces>23054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2025-07-15T10:41:00Z</dcterms:created>
  <dc:creator>Cliente</dc:creator>
  <dc:description/>
  <cp:keywords>DAGfE8ftBPE BAELkVpfcSA 0</cp:keywords>
  <dc:language>pt-BR</dc:language>
  <cp:lastModifiedBy/>
  <cp:lastPrinted>2025-07-15T12:03:31Z</cp:lastPrinted>
  <dcterms:modified xsi:type="dcterms:W3CDTF">2025-09-27T19:52:01Z</dcterms:modified>
  <cp:revision>57</cp:revision>
  <dc:subject/>
  <dc:title>Blue and Gold Modern Law Firm Print Letterhead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