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BD578" w14:textId="77777777" w:rsidR="002D501F" w:rsidRPr="00415C94" w:rsidRDefault="002D501F"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PREGÃO ELETRÔNICO Nº 27/2026</w:t>
      </w:r>
    </w:p>
    <w:p w14:paraId="0469371C" w14:textId="77777777" w:rsidR="002D501F" w:rsidRPr="00415C94" w:rsidRDefault="00F05343"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PROCESSO 67/2026</w:t>
      </w:r>
    </w:p>
    <w:p w14:paraId="5373F0D5" w14:textId="77777777" w:rsidR="000D64AA" w:rsidRPr="00415C94" w:rsidRDefault="000D64AA" w:rsidP="003D1C73">
      <w:pPr>
        <w:spacing w:after="0" w:line="240" w:lineRule="auto"/>
        <w:jc w:val="both"/>
        <w:rPr>
          <w:rFonts w:ascii="Times New Roman" w:hAnsi="Times New Roman" w:cs="Times New Roman"/>
          <w:sz w:val="20"/>
          <w:szCs w:val="20"/>
        </w:rPr>
      </w:pPr>
    </w:p>
    <w:p w14:paraId="21EAF60B" w14:textId="77777777" w:rsidR="002D501F" w:rsidRPr="00415C94" w:rsidRDefault="002D501F" w:rsidP="003D1C73">
      <w:pPr>
        <w:spacing w:after="0" w:line="240" w:lineRule="auto"/>
        <w:jc w:val="both"/>
        <w:rPr>
          <w:rFonts w:ascii="Times New Roman" w:hAnsi="Times New Roman" w:cs="Times New Roman"/>
          <w:sz w:val="20"/>
          <w:szCs w:val="20"/>
        </w:rPr>
      </w:pPr>
    </w:p>
    <w:p w14:paraId="4DEDD598" w14:textId="77777777" w:rsidR="002D501F" w:rsidRPr="00415C94" w:rsidRDefault="002D501F"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OBJETO</w:t>
      </w:r>
    </w:p>
    <w:p w14:paraId="3827FAA4" w14:textId="77777777" w:rsidR="003D1C73" w:rsidRPr="00415C94" w:rsidRDefault="009D70DE" w:rsidP="00375158">
      <w:pPr>
        <w:spacing w:after="0" w:line="240" w:lineRule="auto"/>
        <w:jc w:val="both"/>
        <w:rPr>
          <w:rFonts w:ascii="Times New Roman" w:hAnsi="Times New Roman" w:cs="Times New Roman"/>
          <w:bCs/>
          <w:i/>
          <w:iCs/>
          <w:sz w:val="20"/>
          <w:szCs w:val="20"/>
        </w:rPr>
      </w:pPr>
      <w:r w:rsidRPr="00415C94">
        <w:rPr>
          <w:rFonts w:ascii="Times New Roman" w:hAnsi="Times New Roman" w:cs="Times New Roman"/>
          <w:bCs/>
          <w:i/>
          <w:iCs/>
          <w:sz w:val="20"/>
          <w:szCs w:val="20"/>
        </w:rPr>
        <w:t>AQUISIÇÃO DE EQUIPAMENTOS, MÓVEIS, ELETRODOMÉSTICOS, MATERIAIS PERMANENTES E ITENS DE TECNOLOGIA DESTINADOS À SECRETARIA MUNICIPAL DA MULHER, PESSOA IDOSA E IGUALDADE RACIAL E À SECRETARIA MUNICIPAL DE SAÚDE - FARMÁCIA MUNICIPAL DE GOIOXIM.</w:t>
      </w:r>
    </w:p>
    <w:p w14:paraId="70C737EC" w14:textId="77777777" w:rsidR="003C4A54" w:rsidRPr="00415C94" w:rsidRDefault="003C4A54" w:rsidP="003D1C73">
      <w:pPr>
        <w:spacing w:after="0" w:line="240" w:lineRule="auto"/>
        <w:jc w:val="both"/>
        <w:rPr>
          <w:rFonts w:ascii="Times New Roman" w:hAnsi="Times New Roman" w:cs="Times New Roman"/>
          <w:sz w:val="20"/>
          <w:szCs w:val="20"/>
        </w:rPr>
      </w:pPr>
    </w:p>
    <w:p w14:paraId="25B94A7A" w14:textId="77777777" w:rsidR="002D501F" w:rsidRPr="00415C94" w:rsidRDefault="002D501F"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VALOR TOTAL DA CONTRATAÇÃO</w:t>
      </w:r>
    </w:p>
    <w:p w14:paraId="506AF9F8" w14:textId="77777777" w:rsidR="005303A5" w:rsidRPr="00415C94" w:rsidRDefault="008628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R$ 83.773,64.</w:t>
      </w:r>
    </w:p>
    <w:p w14:paraId="33047C28" w14:textId="77777777" w:rsidR="0086285F" w:rsidRPr="00415C94" w:rsidRDefault="0086285F" w:rsidP="003D1C73">
      <w:pPr>
        <w:spacing w:after="0" w:line="240" w:lineRule="auto"/>
        <w:jc w:val="both"/>
        <w:rPr>
          <w:rFonts w:ascii="Times New Roman" w:hAnsi="Times New Roman" w:cs="Times New Roman"/>
          <w:sz w:val="20"/>
          <w:szCs w:val="20"/>
        </w:rPr>
      </w:pPr>
    </w:p>
    <w:p w14:paraId="4E1BD4EF" w14:textId="77777777" w:rsidR="002D501F" w:rsidRPr="00415C94" w:rsidRDefault="002D501F"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DATA DA SESSÃO PÚBLICA</w:t>
      </w:r>
    </w:p>
    <w:p w14:paraId="1CC4BCD4" w14:textId="77777777" w:rsidR="002D501F" w:rsidRPr="00415C94" w:rsidRDefault="00C25643"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18/08/2026, às 09h00</w:t>
      </w:r>
    </w:p>
    <w:p w14:paraId="428CC8FD" w14:textId="77777777" w:rsidR="002D501F" w:rsidRPr="00415C94" w:rsidRDefault="002D501F" w:rsidP="003D1C73">
      <w:pPr>
        <w:spacing w:after="0" w:line="240" w:lineRule="auto"/>
        <w:jc w:val="both"/>
        <w:rPr>
          <w:rFonts w:ascii="Times New Roman" w:hAnsi="Times New Roman" w:cs="Times New Roman"/>
          <w:sz w:val="20"/>
          <w:szCs w:val="20"/>
        </w:rPr>
      </w:pPr>
    </w:p>
    <w:p w14:paraId="2E075FB0" w14:textId="77777777" w:rsidR="002D501F" w:rsidRPr="00415C94" w:rsidRDefault="002D501F" w:rsidP="003D1C73">
      <w:pPr>
        <w:spacing w:after="0" w:line="240" w:lineRule="auto"/>
        <w:jc w:val="both"/>
        <w:rPr>
          <w:rFonts w:ascii="Times New Roman" w:hAnsi="Times New Roman" w:cs="Times New Roman"/>
          <w:b/>
          <w:caps/>
          <w:sz w:val="20"/>
          <w:szCs w:val="20"/>
        </w:rPr>
      </w:pPr>
    </w:p>
    <w:p w14:paraId="6BEEAB3E" w14:textId="77777777" w:rsidR="002D501F" w:rsidRPr="00415C94" w:rsidRDefault="002D501F" w:rsidP="003D1C73">
      <w:pPr>
        <w:spacing w:after="0" w:line="240" w:lineRule="auto"/>
        <w:jc w:val="both"/>
        <w:rPr>
          <w:rFonts w:ascii="Times New Roman" w:hAnsi="Times New Roman" w:cs="Times New Roman"/>
          <w:b/>
          <w:caps/>
          <w:sz w:val="20"/>
          <w:szCs w:val="20"/>
        </w:rPr>
      </w:pPr>
      <w:r w:rsidRPr="00415C94">
        <w:rPr>
          <w:rFonts w:ascii="Times New Roman" w:hAnsi="Times New Roman" w:cs="Times New Roman"/>
          <w:b/>
          <w:sz w:val="20"/>
          <w:szCs w:val="20"/>
        </w:rPr>
        <w:t>CRITÉRIO DE JULGAMENTO:</w:t>
      </w:r>
    </w:p>
    <w:p w14:paraId="3E2C4E3A" w14:textId="77777777" w:rsidR="002D501F" w:rsidRPr="00415C94" w:rsidRDefault="0086285F" w:rsidP="003D1C73">
      <w:pPr>
        <w:spacing w:after="0" w:line="240" w:lineRule="auto"/>
        <w:jc w:val="both"/>
        <w:rPr>
          <w:rFonts w:ascii="Times New Roman" w:eastAsia="Batang" w:hAnsi="Times New Roman" w:cs="Times New Roman"/>
          <w:spacing w:val="20"/>
          <w:sz w:val="20"/>
          <w:szCs w:val="20"/>
        </w:rPr>
      </w:pPr>
      <w:r w:rsidRPr="00415C94">
        <w:rPr>
          <w:rFonts w:ascii="Times New Roman" w:eastAsia="Batang" w:hAnsi="Times New Roman" w:cs="Times New Roman"/>
          <w:spacing w:val="20"/>
          <w:sz w:val="20"/>
          <w:szCs w:val="20"/>
        </w:rPr>
        <w:t>Menor preço por item</w:t>
      </w:r>
    </w:p>
    <w:p w14:paraId="44C1E5B4" w14:textId="77777777" w:rsidR="002D501F" w:rsidRPr="00415C94" w:rsidRDefault="002D501F" w:rsidP="003D1C73">
      <w:pPr>
        <w:spacing w:after="0" w:line="240" w:lineRule="auto"/>
        <w:jc w:val="both"/>
        <w:rPr>
          <w:rFonts w:ascii="Times New Roman" w:hAnsi="Times New Roman" w:cs="Times New Roman"/>
          <w:b/>
          <w:sz w:val="20"/>
          <w:szCs w:val="20"/>
        </w:rPr>
      </w:pPr>
    </w:p>
    <w:p w14:paraId="5D96140A" w14:textId="77777777" w:rsidR="002D501F" w:rsidRPr="00415C94" w:rsidRDefault="002D501F" w:rsidP="003D1C73">
      <w:pPr>
        <w:spacing w:after="0" w:line="240" w:lineRule="auto"/>
        <w:jc w:val="both"/>
        <w:rPr>
          <w:rFonts w:ascii="Times New Roman" w:hAnsi="Times New Roman" w:cs="Times New Roman"/>
          <w:b/>
          <w:caps/>
          <w:sz w:val="20"/>
          <w:szCs w:val="20"/>
        </w:rPr>
      </w:pPr>
      <w:r w:rsidRPr="00415C94">
        <w:rPr>
          <w:rFonts w:ascii="Times New Roman" w:hAnsi="Times New Roman" w:cs="Times New Roman"/>
          <w:b/>
          <w:sz w:val="20"/>
          <w:szCs w:val="20"/>
        </w:rPr>
        <w:t>MODO DE DISPUTA:</w:t>
      </w:r>
    </w:p>
    <w:p w14:paraId="618BA1D1" w14:textId="77777777" w:rsidR="002D501F" w:rsidRPr="00415C94" w:rsidRDefault="0086285F" w:rsidP="003D1C73">
      <w:pPr>
        <w:spacing w:after="0" w:line="240" w:lineRule="auto"/>
        <w:jc w:val="both"/>
        <w:rPr>
          <w:rFonts w:ascii="Times New Roman" w:eastAsia="Batang" w:hAnsi="Times New Roman" w:cs="Times New Roman"/>
          <w:spacing w:val="20"/>
          <w:sz w:val="20"/>
          <w:szCs w:val="20"/>
        </w:rPr>
      </w:pPr>
      <w:r w:rsidRPr="00415C94">
        <w:rPr>
          <w:rFonts w:ascii="Times New Roman" w:eastAsia="Batang" w:hAnsi="Times New Roman" w:cs="Times New Roman"/>
          <w:spacing w:val="20"/>
          <w:sz w:val="20"/>
          <w:szCs w:val="20"/>
        </w:rPr>
        <w:t>Aberto</w:t>
      </w:r>
    </w:p>
    <w:p w14:paraId="44CBB521" w14:textId="77777777" w:rsidR="002D501F" w:rsidRPr="00415C94" w:rsidRDefault="002D501F" w:rsidP="003D1C73">
      <w:pPr>
        <w:spacing w:after="0" w:line="240" w:lineRule="auto"/>
        <w:jc w:val="both"/>
        <w:rPr>
          <w:rFonts w:ascii="Times New Roman" w:eastAsia="Batang" w:hAnsi="Times New Roman" w:cs="Times New Roman"/>
          <w:spacing w:val="20"/>
          <w:sz w:val="20"/>
          <w:szCs w:val="20"/>
        </w:rPr>
      </w:pPr>
    </w:p>
    <w:p w14:paraId="55F08389" w14:textId="77777777" w:rsidR="002D501F" w:rsidRPr="00415C94" w:rsidRDefault="002D501F" w:rsidP="003D1C73">
      <w:pPr>
        <w:spacing w:after="0" w:line="240" w:lineRule="auto"/>
        <w:jc w:val="both"/>
        <w:rPr>
          <w:rFonts w:ascii="Times New Roman" w:hAnsi="Times New Roman" w:cs="Times New Roman"/>
          <w:sz w:val="20"/>
          <w:szCs w:val="20"/>
        </w:rPr>
      </w:pPr>
    </w:p>
    <w:p w14:paraId="06F302BA" w14:textId="77777777" w:rsidR="002D501F" w:rsidRPr="00415C94" w:rsidRDefault="002D501F" w:rsidP="003D1C73">
      <w:pPr>
        <w:tabs>
          <w:tab w:val="center" w:pos="4819"/>
        </w:tabs>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PREFERÊNCIA ME/EPP/EQUIPARADAS</w:t>
      </w:r>
      <w:r w:rsidRPr="00415C94">
        <w:rPr>
          <w:rFonts w:ascii="Times New Roman" w:hAnsi="Times New Roman" w:cs="Times New Roman"/>
          <w:b/>
          <w:sz w:val="20"/>
          <w:szCs w:val="20"/>
        </w:rPr>
        <w:tab/>
      </w:r>
    </w:p>
    <w:p w14:paraId="33BC58E3" w14:textId="77777777" w:rsidR="002D501F" w:rsidRPr="00415C94" w:rsidRDefault="00C25643" w:rsidP="003D1C73">
      <w:pPr>
        <w:spacing w:after="0" w:line="240" w:lineRule="auto"/>
        <w:jc w:val="both"/>
        <w:rPr>
          <w:rFonts w:ascii="Times New Roman" w:hAnsi="Times New Roman" w:cs="Times New Roman"/>
          <w:sz w:val="20"/>
          <w:szCs w:val="20"/>
        </w:rPr>
      </w:pPr>
      <w:r w:rsidRPr="00415C94">
        <w:rPr>
          <w:rFonts w:ascii="Times New Roman" w:eastAsia="Batang" w:hAnsi="Times New Roman" w:cs="Times New Roman"/>
          <w:spacing w:val="20"/>
          <w:sz w:val="20"/>
          <w:szCs w:val="20"/>
        </w:rPr>
        <w:t>Sim - todos os itens exclusivos para ME/EPP/equiparadas</w:t>
      </w:r>
    </w:p>
    <w:p w14:paraId="5BAAC299" w14:textId="77777777" w:rsidR="002D501F" w:rsidRPr="00415C94" w:rsidRDefault="002D501F"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br w:type="page"/>
      </w:r>
    </w:p>
    <w:p w14:paraId="40F84205" w14:textId="77777777" w:rsidR="002D501F" w:rsidRPr="00415C94" w:rsidRDefault="002D501F" w:rsidP="003D1C73">
      <w:pPr>
        <w:spacing w:after="0" w:line="240" w:lineRule="auto"/>
        <w:jc w:val="center"/>
        <w:rPr>
          <w:rFonts w:ascii="Times New Roman" w:hAnsi="Times New Roman" w:cs="Times New Roman"/>
          <w:b/>
          <w:bCs/>
          <w:sz w:val="20"/>
          <w:szCs w:val="20"/>
        </w:rPr>
      </w:pPr>
      <w:r w:rsidRPr="00415C94">
        <w:rPr>
          <w:rFonts w:ascii="Times New Roman" w:hAnsi="Times New Roman" w:cs="Times New Roman"/>
          <w:b/>
          <w:bCs/>
          <w:sz w:val="20"/>
          <w:szCs w:val="20"/>
        </w:rPr>
        <w:lastRenderedPageBreak/>
        <w:t>EDITAL DE LICITAÇÃO DE PREGÃO ELETRÔNICO Nº 27/2026</w:t>
      </w:r>
    </w:p>
    <w:p w14:paraId="0F099CE0" w14:textId="77777777" w:rsidR="002D501F" w:rsidRPr="00415C94" w:rsidRDefault="002D501F" w:rsidP="003D1C73">
      <w:pPr>
        <w:spacing w:after="0" w:line="240" w:lineRule="auto"/>
        <w:jc w:val="center"/>
        <w:rPr>
          <w:rFonts w:ascii="Times New Roman" w:hAnsi="Times New Roman" w:cs="Times New Roman"/>
          <w:b/>
          <w:bCs/>
          <w:sz w:val="20"/>
          <w:szCs w:val="20"/>
        </w:rPr>
      </w:pPr>
      <w:r w:rsidRPr="00415C94">
        <w:rPr>
          <w:rFonts w:ascii="Times New Roman" w:hAnsi="Times New Roman" w:cs="Times New Roman"/>
          <w:b/>
          <w:bCs/>
          <w:sz w:val="20"/>
          <w:szCs w:val="20"/>
        </w:rPr>
        <w:t>PROCESSO Nº 67/2026</w:t>
      </w:r>
    </w:p>
    <w:p w14:paraId="7ED3F5CB" w14:textId="77777777" w:rsidR="002D501F" w:rsidRPr="00415C94" w:rsidRDefault="002D501F" w:rsidP="003D1C73">
      <w:pPr>
        <w:spacing w:after="0" w:line="240" w:lineRule="auto"/>
        <w:jc w:val="center"/>
        <w:rPr>
          <w:rFonts w:ascii="Times New Roman" w:hAnsi="Times New Roman" w:cs="Times New Roman"/>
          <w:b/>
          <w:bCs/>
          <w:sz w:val="20"/>
          <w:szCs w:val="20"/>
        </w:rPr>
      </w:pPr>
    </w:p>
    <w:p w14:paraId="24896455" w14:textId="77777777" w:rsidR="002D501F" w:rsidRPr="00415C94" w:rsidRDefault="002D501F" w:rsidP="003D1C73">
      <w:pPr>
        <w:pStyle w:val="Nivel2"/>
        <w:numPr>
          <w:ilvl w:val="0"/>
          <w:numId w:val="0"/>
        </w:numPr>
        <w:spacing w:before="0" w:after="0" w:line="240" w:lineRule="auto"/>
        <w:rPr>
          <w:rFonts w:ascii="Times New Roman" w:hAnsi="Times New Roman" w:cs="Times New Roman"/>
        </w:rPr>
      </w:pPr>
      <w:r w:rsidRPr="00415C94">
        <w:rPr>
          <w:rFonts w:ascii="Times New Roman" w:hAnsi="Times New Roman" w:cs="Times New Roman"/>
          <w:color w:val="auto"/>
        </w:rPr>
        <w:t>Torna-se público que o MUNICÍPIO DE GOIOXIM, ESTADO DO PARANÁ, por meio do Departamento de Licitações, sediado no Paço Municipal, Rua Laurindo Cordeiro de Souza, 184, Centro, realizará licitação, na modalidade PREGÃO, na forma ELETRÔNICA,</w:t>
      </w:r>
      <w:r w:rsidRPr="00415C94">
        <w:rPr>
          <w:rFonts w:ascii="Times New Roman" w:eastAsia="Times New Roman" w:hAnsi="Times New Roman" w:cs="Times New Roman"/>
          <w:color w:val="auto"/>
        </w:rPr>
        <w:t xml:space="preserve"> </w:t>
      </w:r>
      <w:r w:rsidRPr="00415C94">
        <w:rPr>
          <w:rFonts w:ascii="Times New Roman" w:hAnsi="Times New Roman" w:cs="Times New Roman"/>
          <w:color w:val="auto"/>
        </w:rPr>
        <w:t xml:space="preserve">nos termos da </w:t>
      </w:r>
      <w:hyperlink r:id="rId8" w:history="1">
        <w:r w:rsidRPr="00415C94">
          <w:rPr>
            <w:rStyle w:val="Hyperlink"/>
            <w:rFonts w:ascii="Times New Roman" w:hAnsi="Times New Roman" w:cs="Times New Roman"/>
            <w:color w:val="auto"/>
          </w:rPr>
          <w:t>Lei nº 14.133, de 1º de abril de 2021</w:t>
        </w:r>
      </w:hyperlink>
      <w:r w:rsidRPr="00415C94">
        <w:rPr>
          <w:rFonts w:ascii="Times New Roman" w:hAnsi="Times New Roman" w:cs="Times New Roman"/>
          <w:color w:val="auto"/>
        </w:rPr>
        <w:t>, do Decreto Municipal nº 002/2024</w:t>
      </w:r>
      <w:r w:rsidRPr="00415C94">
        <w:rPr>
          <w:rFonts w:ascii="Times New Roman" w:hAnsi="Times New Roman" w:cs="Times New Roman"/>
        </w:rPr>
        <w:t>, da Lei Complementar nº 123, de 14 de dezembro de 2006, e demais legislação aplicável e, ainda de acordo com as condições estabelecidas neste edital.</w:t>
      </w:r>
    </w:p>
    <w:p w14:paraId="45DAE6D2" w14:textId="77777777" w:rsidR="002D501F" w:rsidRPr="00415C94" w:rsidRDefault="002D501F"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Os pregoeiros e equipe de apoio são os designados pelo Decreto n.º 024/2026.</w:t>
      </w:r>
    </w:p>
    <w:p w14:paraId="79D5ED3D" w14:textId="77777777"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p>
    <w:p w14:paraId="1EFB2D08" w14:textId="77777777" w:rsidR="006A6693" w:rsidRPr="00415C94" w:rsidRDefault="006A6693" w:rsidP="003D1C73">
      <w:pPr>
        <w:pStyle w:val="Nivel2"/>
        <w:numPr>
          <w:ilvl w:val="0"/>
          <w:numId w:val="0"/>
        </w:numPr>
        <w:spacing w:before="0" w:after="0" w:line="240" w:lineRule="auto"/>
        <w:rPr>
          <w:rFonts w:ascii="Times New Roman" w:hAnsi="Times New Roman" w:cs="Times New Roman"/>
          <w:b/>
          <w:color w:val="auto"/>
        </w:rPr>
      </w:pPr>
      <w:r w:rsidRPr="00415C94">
        <w:rPr>
          <w:rFonts w:ascii="Times New Roman" w:hAnsi="Times New Roman" w:cs="Times New Roman"/>
          <w:b/>
          <w:color w:val="auto"/>
        </w:rPr>
        <w:t xml:space="preserve">1. DATA, HORA E LOCAL DE ABERTURA DA SESSÃO PÚBLICA </w:t>
      </w:r>
    </w:p>
    <w:p w14:paraId="24FB46BA" w14:textId="77777777"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1.1. A sessão de abertura da licitação para a fase de lances, julgamento das propostas e dos documentos de habilitação, será conforme segue: </w:t>
      </w:r>
    </w:p>
    <w:p w14:paraId="56D51799" w14:textId="26F2947F" w:rsidR="006A6693" w:rsidRPr="00415C94" w:rsidRDefault="00415C94"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sym w:font="Symbol" w:char="F0DC"/>
      </w:r>
      <w:r w:rsidR="006A6693" w:rsidRPr="00415C94">
        <w:rPr>
          <w:rFonts w:ascii="Times New Roman" w:hAnsi="Times New Roman" w:cs="Times New Roman"/>
          <w:color w:val="auto"/>
        </w:rPr>
        <w:t xml:space="preserve"> Dia: 18 de agosto de 2026. </w:t>
      </w:r>
    </w:p>
    <w:p w14:paraId="47F7341B" w14:textId="77777777"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sym w:font="Symbol" w:char="F0DC"/>
      </w:r>
      <w:r w:rsidRPr="00415C94">
        <w:rPr>
          <w:rFonts w:ascii="Times New Roman" w:hAnsi="Times New Roman" w:cs="Times New Roman"/>
          <w:color w:val="auto"/>
        </w:rPr>
        <w:t xml:space="preserve"> Hora: </w:t>
      </w:r>
      <w:r w:rsidR="009167FE" w:rsidRPr="00415C94">
        <w:rPr>
          <w:rFonts w:ascii="Times New Roman" w:hAnsi="Times New Roman" w:cs="Times New Roman"/>
          <w:color w:val="auto"/>
        </w:rPr>
        <w:t>09</w:t>
      </w:r>
      <w:r w:rsidRPr="00415C94">
        <w:rPr>
          <w:rFonts w:ascii="Times New Roman" w:hAnsi="Times New Roman" w:cs="Times New Roman"/>
          <w:color w:val="auto"/>
        </w:rPr>
        <w:t>h</w:t>
      </w:r>
      <w:r w:rsidR="009167FE" w:rsidRPr="00415C94">
        <w:rPr>
          <w:rFonts w:ascii="Times New Roman" w:hAnsi="Times New Roman" w:cs="Times New Roman"/>
          <w:color w:val="auto"/>
        </w:rPr>
        <w:t>00</w:t>
      </w:r>
      <w:r w:rsidRPr="00415C94">
        <w:rPr>
          <w:rFonts w:ascii="Times New Roman" w:hAnsi="Times New Roman" w:cs="Times New Roman"/>
          <w:color w:val="auto"/>
        </w:rPr>
        <w:t xml:space="preserve">min. </w:t>
      </w:r>
    </w:p>
    <w:p w14:paraId="7196BC62" w14:textId="43378D2D"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 </w:t>
      </w:r>
      <w:r w:rsidR="00415C94" w:rsidRPr="00415C94">
        <w:rPr>
          <w:rFonts w:ascii="Times New Roman" w:hAnsi="Times New Roman" w:cs="Times New Roman"/>
          <w:color w:val="auto"/>
        </w:rPr>
        <w:sym w:font="Symbol" w:char="F0DC"/>
      </w:r>
      <w:r w:rsidRPr="00415C94">
        <w:rPr>
          <w:rFonts w:ascii="Times New Roman" w:hAnsi="Times New Roman" w:cs="Times New Roman"/>
          <w:color w:val="auto"/>
        </w:rPr>
        <w:t xml:space="preserve">Local: Sistema LICITANET (https://www.licitanet.com.br/). </w:t>
      </w:r>
    </w:p>
    <w:p w14:paraId="3EC5EDDE" w14:textId="77777777" w:rsidR="002D501F" w:rsidRPr="00415C94" w:rsidRDefault="002D501F" w:rsidP="003D1C73">
      <w:pPr>
        <w:pStyle w:val="Nivel2"/>
        <w:numPr>
          <w:ilvl w:val="0"/>
          <w:numId w:val="0"/>
        </w:numPr>
        <w:spacing w:before="0" w:after="0" w:line="240" w:lineRule="auto"/>
        <w:rPr>
          <w:rFonts w:ascii="Times New Roman" w:hAnsi="Times New Roman" w:cs="Times New Roman"/>
          <w:color w:val="auto"/>
        </w:rPr>
      </w:pPr>
    </w:p>
    <w:p w14:paraId="4A4337A3" w14:textId="77777777"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1.2. Até a data e horário fixado para abertura da sessão, qualquer interessado credenciado, poderá incluir, alterar e excluir sua proposta</w:t>
      </w:r>
    </w:p>
    <w:p w14:paraId="0FBA47D4" w14:textId="77777777" w:rsidR="006A6693" w:rsidRPr="00415C94" w:rsidRDefault="006A6693" w:rsidP="003D1C73">
      <w:pPr>
        <w:pStyle w:val="Nivel2"/>
        <w:numPr>
          <w:ilvl w:val="0"/>
          <w:numId w:val="0"/>
        </w:numPr>
        <w:spacing w:before="0" w:after="0" w:line="240" w:lineRule="auto"/>
        <w:rPr>
          <w:rFonts w:ascii="Times New Roman" w:hAnsi="Times New Roman" w:cs="Times New Roman"/>
          <w:color w:val="auto"/>
        </w:rPr>
      </w:pPr>
    </w:p>
    <w:p w14:paraId="78623ACC" w14:textId="77777777" w:rsidR="002D501F" w:rsidRPr="00415C94" w:rsidRDefault="002D501F" w:rsidP="003D1C73">
      <w:pPr>
        <w:pStyle w:val="Nivel2"/>
        <w:numPr>
          <w:ilvl w:val="0"/>
          <w:numId w:val="10"/>
        </w:numPr>
        <w:spacing w:before="0" w:after="0" w:line="240" w:lineRule="auto"/>
        <w:ind w:left="0" w:firstLine="0"/>
        <w:rPr>
          <w:rFonts w:ascii="Times New Roman" w:hAnsi="Times New Roman" w:cs="Times New Roman"/>
          <w:b/>
          <w:bCs/>
        </w:rPr>
      </w:pPr>
      <w:bookmarkStart w:id="0" w:name="_Toc135469223"/>
      <w:r w:rsidRPr="00415C94">
        <w:rPr>
          <w:rFonts w:ascii="Times New Roman" w:hAnsi="Times New Roman" w:cs="Times New Roman"/>
          <w:b/>
          <w:bCs/>
        </w:rPr>
        <w:t>DO OBJETO</w:t>
      </w:r>
      <w:bookmarkEnd w:id="0"/>
    </w:p>
    <w:p w14:paraId="6B769972" w14:textId="77777777" w:rsidR="006A6693" w:rsidRPr="00415C94" w:rsidRDefault="002D501F" w:rsidP="00375158">
      <w:pPr>
        <w:pStyle w:val="PargrafodaLista"/>
        <w:numPr>
          <w:ilvl w:val="1"/>
          <w:numId w:val="10"/>
        </w:numPr>
        <w:spacing w:after="0" w:line="240" w:lineRule="auto"/>
        <w:ind w:left="0" w:firstLine="0"/>
        <w:jc w:val="both"/>
        <w:rPr>
          <w:rFonts w:ascii="Times New Roman" w:hAnsi="Times New Roman" w:cs="Times New Roman"/>
          <w:b/>
          <w:bCs/>
          <w:sz w:val="20"/>
          <w:szCs w:val="20"/>
        </w:rPr>
      </w:pPr>
      <w:r w:rsidRPr="00415C94">
        <w:rPr>
          <w:rFonts w:ascii="Times New Roman" w:hAnsi="Times New Roman" w:cs="Times New Roman"/>
          <w:sz w:val="20"/>
          <w:szCs w:val="20"/>
        </w:rPr>
        <w:t>O objeto da presente licitação é a aquisição de equipamentos, móveis, eletrodomésticos, materiais permanentes e itens de tecnologia destinados à estruturação e ao aprimoramento das atividades da Secretaria Municipal da Mulher, Pessoa Idosa e Igualdade Racial e da Secretaria Municipal de Saúde - Farmácia Municipal de Goioxim, conforme quantidades e exigências estabelecidas neste Edital e em seus anexos.</w:t>
      </w:r>
    </w:p>
    <w:p w14:paraId="3FE995A3" w14:textId="77777777" w:rsidR="002D501F" w:rsidRPr="00415C94" w:rsidRDefault="006A6693" w:rsidP="00375158">
      <w:pPr>
        <w:pStyle w:val="Nivel2"/>
        <w:numPr>
          <w:ilvl w:val="1"/>
          <w:numId w:val="10"/>
        </w:numPr>
        <w:spacing w:before="0" w:after="0" w:line="240" w:lineRule="auto"/>
        <w:ind w:left="0" w:firstLine="0"/>
        <w:rPr>
          <w:rFonts w:ascii="Times New Roman" w:hAnsi="Times New Roman" w:cs="Times New Roman"/>
          <w:bCs/>
        </w:rPr>
      </w:pPr>
      <w:r w:rsidRPr="00415C94">
        <w:rPr>
          <w:rFonts w:ascii="Times New Roman" w:hAnsi="Times New Roman" w:cs="Times New Roman"/>
          <w:color w:val="auto"/>
        </w:rPr>
        <w:t>A lista contendo os itens, suas características, quantitativos e valores unitários consta no Termo de Referência, Anexo I deste Edital.</w:t>
      </w:r>
    </w:p>
    <w:p w14:paraId="7F1E655A" w14:textId="77777777" w:rsidR="00C25643" w:rsidRPr="00415C94" w:rsidRDefault="00C25643" w:rsidP="003D1C73">
      <w:pPr>
        <w:pStyle w:val="Nvel2-Red"/>
        <w:numPr>
          <w:ilvl w:val="0"/>
          <w:numId w:val="0"/>
        </w:numPr>
        <w:spacing w:before="0" w:after="0" w:line="240" w:lineRule="auto"/>
        <w:rPr>
          <w:rFonts w:ascii="Times New Roman" w:hAnsi="Times New Roman" w:cs="Times New Roman"/>
          <w:i w:val="0"/>
          <w:iCs w:val="0"/>
          <w:color w:val="auto"/>
        </w:rPr>
      </w:pPr>
    </w:p>
    <w:p w14:paraId="4C23376A" w14:textId="77777777" w:rsidR="002D501F" w:rsidRPr="00415C94" w:rsidRDefault="002D501F" w:rsidP="003D1C73">
      <w:pPr>
        <w:pStyle w:val="Nivel2"/>
        <w:numPr>
          <w:ilvl w:val="0"/>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b/>
          <w:bCs/>
        </w:rPr>
        <w:t>ESCLARECIMENTOS INICIAIS</w:t>
      </w:r>
    </w:p>
    <w:p w14:paraId="7E11B1F3" w14:textId="77777777" w:rsidR="006A6693" w:rsidRPr="00415C94" w:rsidRDefault="006A6693"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A sessão pública será realizada pela internet através do sistema LICITANET, disponível no sítio eletrônico https://www.licitanet.com.br/. </w:t>
      </w:r>
    </w:p>
    <w:p w14:paraId="07E4AC52" w14:textId="77777777" w:rsidR="001D2438" w:rsidRPr="00415C94" w:rsidRDefault="006A6693"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Sem prejuízo das publicações legais, qualquer alteração, modificação ou informação referente ao edital em questão, serão divulgadas no sistema eletrônico do pregão e no sítio oficial da Prefeitura www.</w:t>
      </w:r>
      <w:r w:rsidR="00F742C3" w:rsidRPr="00415C94">
        <w:rPr>
          <w:rFonts w:ascii="Times New Roman" w:hAnsi="Times New Roman" w:cs="Times New Roman"/>
        </w:rPr>
        <w:t>goioxim</w:t>
      </w:r>
      <w:r w:rsidRPr="00415C94">
        <w:rPr>
          <w:rFonts w:ascii="Times New Roman" w:hAnsi="Times New Roman" w:cs="Times New Roman"/>
        </w:rPr>
        <w:t>.pr.gov.br, cabendo aos interessados inteira responsabilidade de acompanhamento, não cabendo alegação de desconhecimento sobre quaisquer informações.</w:t>
      </w:r>
    </w:p>
    <w:p w14:paraId="6AB36EC6"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0AD897C"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O Diário Oficial do Município é o Diário Oficial dos Municípios do Paraná acessível no sitio eletrônico </w:t>
      </w:r>
      <w:hyperlink r:id="rId9" w:history="1">
        <w:r w:rsidR="00C25643" w:rsidRPr="00415C94">
          <w:rPr>
            <w:rStyle w:val="Hyperlink"/>
            <w:rFonts w:ascii="Times New Roman" w:hAnsi="Times New Roman" w:cs="Times New Roman"/>
          </w:rPr>
          <w:t>www.diariomunicipal.com.br/amp</w:t>
        </w:r>
      </w:hyperlink>
      <w:r w:rsidRPr="00415C94">
        <w:rPr>
          <w:rFonts w:ascii="Times New Roman" w:hAnsi="Times New Roman" w:cs="Times New Roman"/>
        </w:rPr>
        <w:t>.</w:t>
      </w:r>
    </w:p>
    <w:p w14:paraId="1C800E93" w14:textId="77777777" w:rsidR="001D2438" w:rsidRPr="00415C94" w:rsidRDefault="001D2438" w:rsidP="003D1C73">
      <w:pPr>
        <w:pStyle w:val="Nivel2"/>
        <w:numPr>
          <w:ilvl w:val="0"/>
          <w:numId w:val="0"/>
        </w:numPr>
        <w:spacing w:before="0" w:after="0" w:line="240" w:lineRule="auto"/>
        <w:rPr>
          <w:rFonts w:ascii="Times New Roman" w:hAnsi="Times New Roman" w:cs="Times New Roman"/>
        </w:rPr>
      </w:pPr>
    </w:p>
    <w:p w14:paraId="77BBDD8A" w14:textId="77777777" w:rsidR="001D2438" w:rsidRPr="00415C94" w:rsidRDefault="001D2438" w:rsidP="003D1C73">
      <w:pPr>
        <w:pStyle w:val="Nivel2"/>
        <w:numPr>
          <w:ilvl w:val="0"/>
          <w:numId w:val="10"/>
        </w:numPr>
        <w:spacing w:before="0" w:after="0" w:line="240" w:lineRule="auto"/>
        <w:ind w:left="0" w:firstLine="0"/>
        <w:rPr>
          <w:rFonts w:ascii="Times New Roman" w:hAnsi="Times New Roman" w:cs="Times New Roman"/>
          <w:b/>
        </w:rPr>
      </w:pPr>
      <w:r w:rsidRPr="00415C94">
        <w:rPr>
          <w:rFonts w:ascii="Times New Roman" w:hAnsi="Times New Roman" w:cs="Times New Roman"/>
          <w:b/>
        </w:rPr>
        <w:t xml:space="preserve">DA IMPUGNAÇÃO AO EDITAL E DO PEDIDO DE ESCLARECIMENTO </w:t>
      </w:r>
    </w:p>
    <w:p w14:paraId="7D2EEF0D"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Qualquer pessoa é parte legítima para impugnar este edital por irregularidade na aplicação da Lei nº 14.133, de 2021, devendo protocolar o pedido até 3 (três) dias úteis antes da data da abertura do certame. </w:t>
      </w:r>
    </w:p>
    <w:p w14:paraId="0C95CE52"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A18D85C"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A impugnação e o pedido de esclarecimento poderão ser realizados por forma eletrônica, pelos seguintes meios: protocolo digital acessível no sitio eletrônico oficial ou pelo e-mail licitagoioxim@yahoo.com.br. </w:t>
      </w:r>
    </w:p>
    <w:p w14:paraId="56312094"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As impugnações e pedidos de esclarecimentos não suspendem os prazos previstos no certame.</w:t>
      </w:r>
    </w:p>
    <w:p w14:paraId="35BBC1D5"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A concessão de efeito suspensivo à impugnação é medida excepcional e deverá ser motivada pelo Pregoeiro, nos autos do processo de licitação. </w:t>
      </w:r>
    </w:p>
    <w:p w14:paraId="7F07C9B6"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Acolhida a impugnação, será definida e publicada nova data para a realização do certame</w:t>
      </w:r>
    </w:p>
    <w:p w14:paraId="68D25A4E" w14:textId="77777777" w:rsidR="00C25643" w:rsidRPr="00415C94" w:rsidRDefault="00C25643" w:rsidP="003D1C73">
      <w:pPr>
        <w:pStyle w:val="Nivel2"/>
        <w:numPr>
          <w:ilvl w:val="0"/>
          <w:numId w:val="0"/>
        </w:numPr>
        <w:spacing w:before="0" w:after="0" w:line="240" w:lineRule="auto"/>
        <w:rPr>
          <w:rFonts w:ascii="Times New Roman" w:hAnsi="Times New Roman" w:cs="Times New Roman"/>
          <w:color w:val="auto"/>
        </w:rPr>
      </w:pPr>
    </w:p>
    <w:p w14:paraId="68DF40AB" w14:textId="77777777" w:rsidR="002D501F" w:rsidRPr="00415C94" w:rsidRDefault="001D2438" w:rsidP="003D1C73">
      <w:pPr>
        <w:pStyle w:val="Nivel01"/>
        <w:numPr>
          <w:ilvl w:val="0"/>
          <w:numId w:val="10"/>
        </w:numPr>
        <w:spacing w:before="0" w:after="0" w:line="240" w:lineRule="auto"/>
        <w:ind w:left="0" w:firstLine="0"/>
        <w:rPr>
          <w:sz w:val="20"/>
          <w:szCs w:val="20"/>
        </w:rPr>
      </w:pPr>
      <w:r w:rsidRPr="00415C94">
        <w:rPr>
          <w:sz w:val="20"/>
          <w:szCs w:val="20"/>
        </w:rPr>
        <w:t>CONDIÇÃO DE PARTICIPAÇÃO</w:t>
      </w:r>
    </w:p>
    <w:p w14:paraId="57C0D442"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Poderão participar desta licitação exclusivamente microempresas, empresas de pequeno porte e equiparadas, inclusive microempreendedor individual quando compatível com o objeto, legalmente estabelecidas no País, que atendam às exigências </w:t>
      </w:r>
      <w:r w:rsidRPr="00415C94">
        <w:rPr>
          <w:rFonts w:ascii="Times New Roman" w:hAnsi="Times New Roman" w:cs="Times New Roman"/>
        </w:rPr>
        <w:lastRenderedPageBreak/>
        <w:t>deste Edital e de seus anexos, estejam devidamente credenciadas no sistema LICITANET e possuam objeto social compatível com o objeto do certame.</w:t>
      </w:r>
    </w:p>
    <w:p w14:paraId="1B9BD6A6" w14:textId="77777777" w:rsidR="00C25643" w:rsidRPr="00415C94" w:rsidRDefault="00C25643" w:rsidP="003D1C73">
      <w:pPr>
        <w:pStyle w:val="Nivel2"/>
        <w:numPr>
          <w:ilvl w:val="0"/>
          <w:numId w:val="0"/>
        </w:numPr>
        <w:spacing w:before="0" w:after="0" w:line="240" w:lineRule="auto"/>
        <w:rPr>
          <w:rFonts w:ascii="Times New Roman" w:hAnsi="Times New Roman" w:cs="Times New Roman"/>
        </w:rPr>
      </w:pPr>
    </w:p>
    <w:p w14:paraId="44865CA5" w14:textId="77777777" w:rsidR="00C25643" w:rsidRPr="00415C94" w:rsidRDefault="00C25643"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719D0493"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O licitante deverá declarar ciência de que, caso seja adjudicatário, deverá comprovar, antes da contratação, a disponibilidade da estrutura operacional territorial prevista no Termo de Referência, sob pena de perda do direito à contratação e aplicação das medidas cabíveis.</w:t>
      </w:r>
    </w:p>
    <w:p w14:paraId="2FC5650D" w14:textId="77777777" w:rsidR="00C25643" w:rsidRPr="00415C94" w:rsidRDefault="00C25643" w:rsidP="003D1C73">
      <w:pPr>
        <w:pStyle w:val="Nivel2"/>
        <w:numPr>
          <w:ilvl w:val="0"/>
          <w:numId w:val="0"/>
        </w:numPr>
        <w:spacing w:before="0" w:after="0" w:line="240" w:lineRule="auto"/>
        <w:rPr>
          <w:rFonts w:ascii="Times New Roman" w:hAnsi="Times New Roman" w:cs="Times New Roman"/>
        </w:rPr>
      </w:pPr>
    </w:p>
    <w:p w14:paraId="42C2820F" w14:textId="77777777" w:rsidR="00C25643" w:rsidRPr="00415C94" w:rsidRDefault="00C25643"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Não poderão disputar esta licitação: </w:t>
      </w:r>
    </w:p>
    <w:p w14:paraId="3B04473A"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Aquele que não atenda às condições deste edital e seus anexos. </w:t>
      </w:r>
    </w:p>
    <w:p w14:paraId="2E2D4461"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Autor do anteprojeto, do projeto básico ou do projeto executivo, pessoa física ou jurídica, quando a licitação versar sobre serviços ou fornecimento de bens a ele relacionados. </w:t>
      </w:r>
    </w:p>
    <w:p w14:paraId="19A4FB95"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9543B66"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Pessoa física ou jurídica que se encontre, ao tempo da licitação, impossibilitada de participar da licitação em decorrência de sanção que lhe foi imposta. </w:t>
      </w:r>
    </w:p>
    <w:p w14:paraId="5F77A1B4"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 </w:t>
      </w:r>
    </w:p>
    <w:p w14:paraId="0B835494"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Empresas controladoras, controladas ou coligadas, nos termos da Lei nº 6.404, de 15 de dezembro de 1976, concorrendo entre si. </w:t>
      </w:r>
    </w:p>
    <w:p w14:paraId="4850719B"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2317DB"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Agente público da Prefeitura de Goioxim. </w:t>
      </w:r>
    </w:p>
    <w:p w14:paraId="4A571083"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Pessoas jurídicas reunidas em consórcio. </w:t>
      </w:r>
    </w:p>
    <w:p w14:paraId="09215745"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Organizações da Sociedade Civil de Interesse Público - OSCIP, atuando nessa condição.</w:t>
      </w:r>
    </w:p>
    <w:p w14:paraId="5F1DB833"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Não poderá participar, direta ou indiretamente, da licitação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123056F8" w14:textId="77777777" w:rsidR="00C25643" w:rsidRPr="00415C94" w:rsidRDefault="00C25643"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O impedimento de que trata o item </w:t>
      </w:r>
      <w:r w:rsidR="001D2438" w:rsidRPr="00415C94">
        <w:rPr>
          <w:rFonts w:ascii="Times New Roman" w:hAnsi="Times New Roman" w:cs="Times New Roman"/>
        </w:rPr>
        <w:t>5</w:t>
      </w:r>
      <w:r w:rsidRPr="00415C94">
        <w:rPr>
          <w:rFonts w:ascii="Times New Roman" w:hAnsi="Times New Roman" w:cs="Times New Roman"/>
        </w:rPr>
        <w:t>.3.4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8524C9" w14:textId="77777777" w:rsidR="00C25643" w:rsidRPr="00415C94" w:rsidRDefault="00C25643"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 xml:space="preserve">A vedação de que trata o item </w:t>
      </w:r>
      <w:r w:rsidR="001D2438" w:rsidRPr="00415C94">
        <w:rPr>
          <w:rFonts w:ascii="Times New Roman" w:hAnsi="Times New Roman" w:cs="Times New Roman"/>
        </w:rPr>
        <w:t>5</w:t>
      </w:r>
      <w:r w:rsidRPr="00415C94">
        <w:rPr>
          <w:rFonts w:ascii="Times New Roman" w:hAnsi="Times New Roman" w:cs="Times New Roman"/>
        </w:rPr>
        <w:t>.3.8 estende-se a terceiro que auxilie a condução da contratação na qualidade de integrante de equipe de apoio, profissional especializado ou funcionário ou representante de empresa que preste assessoria técnica.</w:t>
      </w:r>
    </w:p>
    <w:p w14:paraId="05E111CF" w14:textId="77777777" w:rsidR="00C25643" w:rsidRPr="00415C94" w:rsidRDefault="00C25643" w:rsidP="003D1C73">
      <w:pPr>
        <w:pStyle w:val="Nivel2"/>
        <w:numPr>
          <w:ilvl w:val="0"/>
          <w:numId w:val="0"/>
        </w:numPr>
        <w:spacing w:before="0" w:after="0" w:line="240" w:lineRule="auto"/>
        <w:ind w:left="574" w:hanging="432"/>
        <w:rPr>
          <w:rFonts w:ascii="Times New Roman" w:hAnsi="Times New Roman" w:cs="Times New Roman"/>
          <w:b/>
        </w:rPr>
      </w:pPr>
    </w:p>
    <w:p w14:paraId="2674DD0F" w14:textId="77777777" w:rsidR="00C25643" w:rsidRPr="00415C94" w:rsidRDefault="00C25643" w:rsidP="003D1C73">
      <w:pPr>
        <w:pStyle w:val="Nivel2"/>
        <w:numPr>
          <w:ilvl w:val="0"/>
          <w:numId w:val="10"/>
        </w:numPr>
        <w:spacing w:before="0" w:after="0" w:line="240" w:lineRule="auto"/>
        <w:rPr>
          <w:rFonts w:ascii="Times New Roman" w:hAnsi="Times New Roman" w:cs="Times New Roman"/>
          <w:b/>
        </w:rPr>
      </w:pPr>
      <w:r w:rsidRPr="00415C94">
        <w:rPr>
          <w:rFonts w:ascii="Times New Roman" w:hAnsi="Times New Roman" w:cs="Times New Roman"/>
          <w:b/>
        </w:rPr>
        <w:t xml:space="preserve">DOS BENEFÍCIOS ÀS MICROEMPRESAS E EMPRESAS DE PEQUENO PORTE </w:t>
      </w:r>
    </w:p>
    <w:p w14:paraId="2F7267B5" w14:textId="4A1BEF87" w:rsidR="00C25643" w:rsidRPr="00415C94" w:rsidRDefault="00415C94" w:rsidP="00415C94">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Nos termos dos arts. 47, 48, inciso I e § 3º, e 49 da Lei Complementar nº 123/2006, da Lei Complementar Municipal nº 819/2023 e do planejamento constante do Estudo Técnico Preliminar, os itens cujo valor individual não ultrapasse o limite legal serão destinados exclusivamente à participação de microempresas, empresas de pequeno porte, microempreendedores individuais e equiparadas sediadas no âmbito regional definido pela legislação municipal, desde que, em relação a cada item, permaneça demonstrada a existência de mercado competitivo e de fornecedores aptos ao integral atendimento do objeto.</w:t>
      </w:r>
    </w:p>
    <w:p w14:paraId="530154C8" w14:textId="77777777" w:rsidR="00C25643" w:rsidRPr="00415C94" w:rsidRDefault="00C25643" w:rsidP="003D1C73">
      <w:pPr>
        <w:pStyle w:val="Nivel2"/>
        <w:numPr>
          <w:ilvl w:val="0"/>
          <w:numId w:val="0"/>
        </w:numPr>
        <w:spacing w:before="0" w:after="0" w:line="240" w:lineRule="auto"/>
        <w:ind w:left="142"/>
        <w:rPr>
          <w:rFonts w:ascii="Times New Roman" w:hAnsi="Times New Roman" w:cs="Times New Roman"/>
        </w:rPr>
      </w:pPr>
    </w:p>
    <w:p w14:paraId="751E682D" w14:textId="77777777" w:rsidR="002D501F" w:rsidRPr="00415C94" w:rsidRDefault="002D501F" w:rsidP="003D1C73">
      <w:pPr>
        <w:pStyle w:val="Nivel2"/>
        <w:numPr>
          <w:ilvl w:val="0"/>
          <w:numId w:val="10"/>
        </w:numPr>
        <w:spacing w:before="0" w:after="0" w:line="240" w:lineRule="auto"/>
        <w:ind w:left="0" w:firstLine="0"/>
        <w:rPr>
          <w:rFonts w:ascii="Times New Roman" w:hAnsi="Times New Roman" w:cs="Times New Roman"/>
          <w:b/>
          <w:bCs/>
        </w:rPr>
      </w:pPr>
      <w:r w:rsidRPr="00415C94">
        <w:rPr>
          <w:rFonts w:ascii="Times New Roman" w:hAnsi="Times New Roman" w:cs="Times New Roman"/>
          <w:b/>
          <w:bCs/>
        </w:rPr>
        <w:t>CREDENCIAMENTO NO PROVEDOR DO SISTEMA ELETRÔNICO</w:t>
      </w:r>
    </w:p>
    <w:p w14:paraId="2A8F794A"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O pregão será realizado em sessão pública, por meio da internet, mediante condições de segurança (criptografia e autenticação) em todas as suas fases, através do sistema LICITANET (www.licitanet.com.br).</w:t>
      </w:r>
    </w:p>
    <w:p w14:paraId="5D2CD7EF" w14:textId="77777777" w:rsidR="001D2438" w:rsidRPr="00415C94" w:rsidRDefault="001D2438"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lastRenderedPageBreak/>
        <w:t>Para ter acesso ao sistema eletrônico LICITANET, o responsável legal do interessado deverá efetuar o seu cadastro pessoal e realizar o credenciamento da sua empresa no próprio sistema.</w:t>
      </w:r>
    </w:p>
    <w:p w14:paraId="1C64D3AD"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O credenciamento junto ao provedor do sistema implica a responsabilidade legal do licitante e a presunção de sua capacidade técnica para realização das transações inerentes ao certame na forma eletrônica.</w:t>
      </w:r>
    </w:p>
    <w:p w14:paraId="6319643E"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60279AE7"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6A6E7DD6"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A não observância do disposto no item anterior poderá ensejar a inabilitação.</w:t>
      </w:r>
    </w:p>
    <w:p w14:paraId="2BDE667E"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Caberá ao licitante acompanhar as operações no sistema eletrônico durante o processo licitatório e se responsabilizar pelo ônus decorrente da perda de negócios diante da inobservância de mensagens emitidas pela Administração ou de sua desconexão.</w:t>
      </w:r>
    </w:p>
    <w:p w14:paraId="0E0EAAE5"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O licitante deverá comunicar imediatamente ao provedor do sistema qualquer acontecimento que possa comprometer o sigilo ou a segurança, para imediato bloqueio de acesso</w:t>
      </w:r>
    </w:p>
    <w:p w14:paraId="63BED2BB" w14:textId="77777777" w:rsidR="00C25643" w:rsidRPr="00415C94" w:rsidRDefault="00C25643" w:rsidP="003D1C73">
      <w:pPr>
        <w:pStyle w:val="Nivel2"/>
        <w:numPr>
          <w:ilvl w:val="0"/>
          <w:numId w:val="0"/>
        </w:numPr>
        <w:spacing w:before="0" w:after="0" w:line="240" w:lineRule="auto"/>
        <w:rPr>
          <w:rFonts w:ascii="Times New Roman" w:hAnsi="Times New Roman" w:cs="Times New Roman"/>
        </w:rPr>
      </w:pPr>
    </w:p>
    <w:p w14:paraId="2AA72AF9" w14:textId="77777777" w:rsidR="002D501F" w:rsidRPr="00415C94" w:rsidRDefault="002D501F" w:rsidP="003D1C73">
      <w:pPr>
        <w:pStyle w:val="Nivel01"/>
        <w:numPr>
          <w:ilvl w:val="0"/>
          <w:numId w:val="10"/>
        </w:numPr>
        <w:spacing w:before="0" w:after="0" w:line="240" w:lineRule="auto"/>
        <w:ind w:left="0" w:firstLine="0"/>
        <w:rPr>
          <w:sz w:val="20"/>
          <w:szCs w:val="20"/>
        </w:rPr>
      </w:pPr>
      <w:bookmarkStart w:id="1" w:name="_Toc135469226"/>
      <w:r w:rsidRPr="00415C94">
        <w:rPr>
          <w:sz w:val="20"/>
          <w:szCs w:val="20"/>
        </w:rPr>
        <w:t>DA APRESENTAÇÃO DA PROPOSTA</w:t>
      </w:r>
      <w:bookmarkEnd w:id="1"/>
    </w:p>
    <w:p w14:paraId="6A286088"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8.1. Após a divulgação deste edital, os licitantes encaminharão a proposta, exclusivamente por meio do sistema eletrônico, até a data e o horário estabelecidos para abertura da sessão pública. </w:t>
      </w:r>
    </w:p>
    <w:p w14:paraId="2A0C2596" w14:textId="77777777" w:rsidR="00C25643"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8.2. Para iniciar o cadastramento da proposta no sistema, é necessário o aceite do termo de aceitação das declarações e a seleção da declaração de ME/EPP.</w:t>
      </w:r>
    </w:p>
    <w:p w14:paraId="2F0ABFB7" w14:textId="77777777" w:rsidR="001D2438" w:rsidRPr="00415C94" w:rsidRDefault="001D2438" w:rsidP="003D1C73">
      <w:pPr>
        <w:pStyle w:val="Nivel2"/>
        <w:numPr>
          <w:ilvl w:val="0"/>
          <w:numId w:val="0"/>
        </w:numPr>
        <w:spacing w:before="0" w:after="0" w:line="240" w:lineRule="auto"/>
        <w:ind w:firstLine="708"/>
        <w:rPr>
          <w:rFonts w:ascii="Times New Roman" w:hAnsi="Times New Roman" w:cs="Times New Roman"/>
          <w:color w:val="auto"/>
        </w:rPr>
      </w:pPr>
      <w:r w:rsidRPr="00415C94">
        <w:rPr>
          <w:rFonts w:ascii="Times New Roman" w:hAnsi="Times New Roman" w:cs="Times New Roman"/>
          <w:color w:val="auto"/>
        </w:rPr>
        <w:t>Para o cadastramento de proposta nos itens exclusivos para microempresa e empresa de pequeno porte, a assinalação do campo “sim” na declaração de ME/EPP é obrigatória.</w:t>
      </w:r>
    </w:p>
    <w:p w14:paraId="4A698940" w14:textId="77777777" w:rsidR="001D2438" w:rsidRPr="00415C94" w:rsidRDefault="001D2438" w:rsidP="003D1C73">
      <w:pPr>
        <w:pStyle w:val="Nivel2"/>
        <w:numPr>
          <w:ilvl w:val="0"/>
          <w:numId w:val="0"/>
        </w:numPr>
        <w:spacing w:before="0" w:after="0" w:line="240" w:lineRule="auto"/>
        <w:ind w:firstLine="708"/>
        <w:rPr>
          <w:rFonts w:ascii="Times New Roman" w:hAnsi="Times New Roman" w:cs="Times New Roman"/>
          <w:color w:val="auto"/>
        </w:rPr>
      </w:pPr>
      <w:r w:rsidRPr="00415C94">
        <w:rPr>
          <w:rFonts w:ascii="Times New Roman" w:hAnsi="Times New Roman" w:cs="Times New Roman"/>
          <w:color w:val="auto"/>
        </w:rPr>
        <w:t>8.2.2. A falsidade da declaração sujeitará o licitante às sanções previstas na Lei nº 14.133, de 2021, e neste edital.</w:t>
      </w:r>
    </w:p>
    <w:p w14:paraId="4DC337D0"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8.3. O proponente deverá cadastrar a proposta informando o preço unitário do item, em moeda corrente nacional, com duas casas decimais, bem como indicar marca e modelo do produto ofertado nos campos disponíveis do sistema.</w:t>
      </w:r>
    </w:p>
    <w:p w14:paraId="5540FF0D"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8.4. O cadastramento da proposta vincula o licitante a todos os termos do edital e seus anexos, obrigando-o a executar a proposta em perfeita conformidade com o termo de referência. </w:t>
      </w:r>
    </w:p>
    <w:p w14:paraId="3985836B"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8.5. O cadastramento da proposta induz a oferta do quantitativo total estimado para contratação, uma vez que é vedado a oferta de quantidade inferior ao estimado para contratação. </w:t>
      </w:r>
    </w:p>
    <w:p w14:paraId="520F76B6"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8.6. Antes da abertura da sessão pública, os licitantes poderão modificar ou excluir a proposta cadastrada no sistema. </w:t>
      </w:r>
    </w:p>
    <w:p w14:paraId="364A11F7"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8.7. No valor proposto deverá estar incluso todos os custos operacionais, frete, encargos previdenciários, trabalhistas, tributários, comerciais, lucro e quaisquer outros que incidam direta ou indiretamente na execução do objeto. </w:t>
      </w:r>
    </w:p>
    <w:p w14:paraId="529FEF25"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8.8. O preço ofertado, tanto na proposta inicial quanto na etapa de lances, será de exclusiva responsabilidade do licitante, não lhe assistindo o direito de pleitear alteração sob alegação de erro, omissão ou qualquer outro pretexto.</w:t>
      </w:r>
    </w:p>
    <w:p w14:paraId="5CA6440B"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8.9. O prazo de validade da proposta não será inferior a 90 (noventa) dias, a contar da data de sua apresentação.</w:t>
      </w:r>
    </w:p>
    <w:p w14:paraId="718D3F85"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p>
    <w:p w14:paraId="52CAD63D" w14:textId="77777777" w:rsidR="001D2438" w:rsidRPr="00415C94" w:rsidRDefault="001D2438" w:rsidP="003D1C73">
      <w:pPr>
        <w:pStyle w:val="Nivel2"/>
        <w:numPr>
          <w:ilvl w:val="0"/>
          <w:numId w:val="10"/>
        </w:numPr>
        <w:spacing w:before="0" w:after="0" w:line="240" w:lineRule="auto"/>
        <w:ind w:left="0" w:firstLine="0"/>
        <w:rPr>
          <w:rFonts w:ascii="Times New Roman" w:hAnsi="Times New Roman" w:cs="Times New Roman"/>
          <w:b/>
        </w:rPr>
      </w:pPr>
      <w:r w:rsidRPr="00415C94">
        <w:rPr>
          <w:rFonts w:ascii="Times New Roman" w:hAnsi="Times New Roman" w:cs="Times New Roman"/>
          <w:b/>
        </w:rPr>
        <w:t>DA ABERTURA DA SESSÃO E DA FASE DE LANCES</w:t>
      </w:r>
    </w:p>
    <w:p w14:paraId="4A89C4FE" w14:textId="77777777" w:rsidR="002D501F" w:rsidRPr="00415C94" w:rsidRDefault="001D2438" w:rsidP="003D1C73">
      <w:pPr>
        <w:pStyle w:val="Nivel2"/>
        <w:numPr>
          <w:ilvl w:val="0"/>
          <w:numId w:val="0"/>
        </w:numPr>
        <w:spacing w:before="0" w:after="0" w:line="240" w:lineRule="auto"/>
        <w:rPr>
          <w:rFonts w:ascii="Times New Roman" w:hAnsi="Times New Roman" w:cs="Times New Roman"/>
          <w:lang w:eastAsia="en-US"/>
        </w:rPr>
      </w:pPr>
      <w:r w:rsidRPr="00415C94">
        <w:rPr>
          <w:rFonts w:ascii="Times New Roman" w:hAnsi="Times New Roman" w:cs="Times New Roman"/>
        </w:rPr>
        <w:t xml:space="preserve">9.1. </w:t>
      </w:r>
      <w:r w:rsidR="002D501F" w:rsidRPr="00415C94">
        <w:rPr>
          <w:rFonts w:ascii="Times New Roman" w:hAnsi="Times New Roman" w:cs="Times New Roman"/>
        </w:rPr>
        <w:t>A abertura da presente licitação dar-se-á automaticamente em sessão pública, por meio de sistema eletrônico, na data, horário e local indicados neste edital.</w:t>
      </w:r>
    </w:p>
    <w:p w14:paraId="22570E28"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00C6CBC2"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O sistema disponibilizará campo próprio para troca de mensagens entre o pregoeiro e os licitantes. </w:t>
      </w:r>
    </w:p>
    <w:p w14:paraId="65837FEE"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00CFBEFC"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3CDE693E"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3B7842FF"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0FAEFCEB"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47297366"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Iniciada a fase de lances, os licitantes deverão encaminhar lances exclusivamente por meio de sistema eletrônico, sendo imediatamente informados do seu recebimento e do valor consignado no registro.</w:t>
      </w:r>
    </w:p>
    <w:p w14:paraId="1C3CFA75"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6A610B48"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lastRenderedPageBreak/>
        <w:t xml:space="preserve">O lance deverá ser ofertado pelo </w:t>
      </w:r>
      <w:r w:rsidRPr="00415C94">
        <w:rPr>
          <w:rFonts w:ascii="Times New Roman" w:hAnsi="Times New Roman" w:cs="Times New Roman"/>
          <w:b/>
        </w:rPr>
        <w:t>preço unitário d</w:t>
      </w:r>
      <w:r w:rsidR="00712753" w:rsidRPr="00415C94">
        <w:rPr>
          <w:rFonts w:ascii="Times New Roman" w:hAnsi="Times New Roman" w:cs="Times New Roman"/>
          <w:b/>
        </w:rPr>
        <w:t>o item</w:t>
      </w:r>
      <w:r w:rsidRPr="00415C94">
        <w:rPr>
          <w:rFonts w:ascii="Times New Roman" w:hAnsi="Times New Roman" w:cs="Times New Roman"/>
        </w:rPr>
        <w:t xml:space="preserve">. </w:t>
      </w:r>
    </w:p>
    <w:p w14:paraId="27FAAC83"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56B8F1E2"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O critério de julgamento será o de </w:t>
      </w:r>
      <w:r w:rsidRPr="00415C94">
        <w:rPr>
          <w:rFonts w:ascii="Times New Roman" w:hAnsi="Times New Roman" w:cs="Times New Roman"/>
          <w:b/>
        </w:rPr>
        <w:t>menor preço por item.</w:t>
      </w:r>
    </w:p>
    <w:p w14:paraId="10245235"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5C726C55"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Os licitantes poderão oferecer lances sucessivos, observando o horário fixado para abertura da sessão e as regras estabelecidas neste edital. </w:t>
      </w:r>
    </w:p>
    <w:p w14:paraId="2CB2D1BF"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63255032"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O licitante somente poderá oferecer lance de valor inferior ao último por ele ofertado e registrado pelo sistema. </w:t>
      </w:r>
    </w:p>
    <w:p w14:paraId="298276C4"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0D130690" w14:textId="77777777" w:rsidR="00F25119"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Não serão aceitos dois ou mais lances de mesmo valor, prevalecendo aquele que for recebido e registrado em primeiro lugar. </w:t>
      </w:r>
    </w:p>
    <w:p w14:paraId="2DEF6F1F" w14:textId="77777777" w:rsidR="00F25119" w:rsidRPr="00415C94" w:rsidRDefault="00F25119" w:rsidP="003D1C73">
      <w:pPr>
        <w:pStyle w:val="PargrafodaLista"/>
        <w:spacing w:after="0" w:line="240" w:lineRule="auto"/>
        <w:rPr>
          <w:rFonts w:ascii="Times New Roman" w:hAnsi="Times New Roman" w:cs="Times New Roman"/>
          <w:sz w:val="20"/>
          <w:szCs w:val="20"/>
        </w:rPr>
      </w:pPr>
    </w:p>
    <w:p w14:paraId="5586C390" w14:textId="77777777" w:rsidR="00712753"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O intervalo mínimo de diferença de valores entre os lances, que incidirá tanto em relação aos lances intermediários quanto em relação à proposta que cobrir a melhor oferta, será de R$ 1,00 (um real).</w:t>
      </w:r>
    </w:p>
    <w:p w14:paraId="2E095A35"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37D67680"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Caso o licitante não apresente lances, concorrerá com o valor da sua proposta inicial.</w:t>
      </w:r>
    </w:p>
    <w:p w14:paraId="398CDEC6"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6C4B1656"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Para o envio de lances foi adotado o modo de disputa </w:t>
      </w:r>
      <w:r w:rsidRPr="00415C94">
        <w:rPr>
          <w:rFonts w:ascii="Times New Roman" w:hAnsi="Times New Roman" w:cs="Times New Roman"/>
          <w:b/>
          <w:bCs/>
        </w:rPr>
        <w:t>“aberto”,</w:t>
      </w:r>
      <w:r w:rsidRPr="00415C94">
        <w:rPr>
          <w:rFonts w:ascii="Times New Roman" w:hAnsi="Times New Roman" w:cs="Times New Roman"/>
        </w:rPr>
        <w:t xml:space="preserve"> assim os licitantes apresentarão lances públicos e sucessivos, com prorrogações. </w:t>
      </w:r>
    </w:p>
    <w:p w14:paraId="17A4DB3A"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lang w:eastAsia="en-US"/>
        </w:rPr>
      </w:pPr>
      <w:r w:rsidRPr="00415C94">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2A7B0ED2"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lang w:eastAsia="en-US"/>
        </w:rPr>
      </w:pPr>
      <w:r w:rsidRPr="00415C94">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4DF46475"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lang w:eastAsia="en-US"/>
        </w:rPr>
      </w:pPr>
      <w:r w:rsidRPr="00415C94">
        <w:rPr>
          <w:rFonts w:ascii="Times New Roman" w:hAnsi="Times New Roman" w:cs="Times New Roman"/>
        </w:rPr>
        <w:t>Não havendo novos lances na forma estabelecida nos itens anteriores, a sessão pública encerrar-se-á automaticamente, e o sistema ordenará e divulgará os lances conforme a ordem final de classificação.</w:t>
      </w:r>
    </w:p>
    <w:p w14:paraId="33BEB200"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lang w:eastAsia="en-US"/>
        </w:rPr>
      </w:pPr>
      <w:r w:rsidRPr="00415C94">
        <w:rPr>
          <w:rFonts w:ascii="Times New Roman" w:hAnsi="Times New Roman" w:cs="Times New Roman"/>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35BF6724"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lang w:eastAsia="en-US"/>
        </w:rPr>
      </w:pPr>
      <w:r w:rsidRPr="00415C94">
        <w:rPr>
          <w:rFonts w:ascii="Times New Roman" w:hAnsi="Times New Roman" w:cs="Times New Roman"/>
        </w:rPr>
        <w:t xml:space="preserve">Após o reinício previsto no item supra, os licitantes serão convocados para apresentar lances intermediários. </w:t>
      </w:r>
    </w:p>
    <w:p w14:paraId="0AE4B250" w14:textId="77777777" w:rsidR="00712753"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Durante o transcurso da sessão pública, os licitantes serão informados, em tempo real, do valor do menor lance registrado, vedada a identificação do licitante.</w:t>
      </w:r>
    </w:p>
    <w:p w14:paraId="02995F90"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50F3C924"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O licitante poderá, uma única vez, excluir seu último lance ofertado, no intervalo de quinze segundos após o registro no sistema, na hipótese de lance inconsistente ou inexequível.</w:t>
      </w:r>
    </w:p>
    <w:p w14:paraId="33783BE7"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269EE4E3"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 xml:space="preserve">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 </w:t>
      </w:r>
    </w:p>
    <w:p w14:paraId="38BF9562"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28D29DEE"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Encerrada a etapa de lances, o sistema ordenará e divulgará as propostas segundo a ordem crescente de valores.</w:t>
      </w:r>
    </w:p>
    <w:p w14:paraId="33017852"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5A71B8DB" w14:textId="77777777" w:rsidR="00712753" w:rsidRPr="00415C94" w:rsidRDefault="002D501F"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rPr>
        <w:t>Definido a ordem de classificação, o pregoeiro iniciará a fase de julgamento das propostas.</w:t>
      </w:r>
    </w:p>
    <w:p w14:paraId="57CD85F2"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02986D55" w14:textId="77777777" w:rsidR="00712753" w:rsidRPr="00415C94" w:rsidRDefault="00712753" w:rsidP="003D1C73">
      <w:pPr>
        <w:pStyle w:val="Nivel2"/>
        <w:numPr>
          <w:ilvl w:val="1"/>
          <w:numId w:val="10"/>
        </w:numPr>
        <w:spacing w:before="0" w:after="0" w:line="240" w:lineRule="auto"/>
        <w:ind w:left="0" w:firstLine="0"/>
        <w:rPr>
          <w:rFonts w:ascii="Times New Roman" w:hAnsi="Times New Roman" w:cs="Times New Roman"/>
          <w:lang w:eastAsia="en-US"/>
        </w:rPr>
      </w:pPr>
      <w:r w:rsidRPr="00415C94">
        <w:rPr>
          <w:rFonts w:ascii="Times New Roman" w:hAnsi="Times New Roman" w:cs="Times New Roman"/>
          <w:lang w:eastAsia="en-US"/>
        </w:rPr>
        <w:t>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2CA7163E" w14:textId="77777777" w:rsidR="00712753" w:rsidRPr="00415C94" w:rsidRDefault="00712753" w:rsidP="003D1C73">
      <w:pPr>
        <w:pStyle w:val="Nivel2"/>
        <w:numPr>
          <w:ilvl w:val="0"/>
          <w:numId w:val="0"/>
        </w:numPr>
        <w:spacing w:before="0" w:after="0" w:line="240" w:lineRule="auto"/>
        <w:rPr>
          <w:rFonts w:ascii="Times New Roman" w:hAnsi="Times New Roman" w:cs="Times New Roman"/>
          <w:lang w:eastAsia="en-US"/>
        </w:rPr>
      </w:pPr>
    </w:p>
    <w:p w14:paraId="210D237E" w14:textId="77777777" w:rsidR="002D501F" w:rsidRPr="00415C94" w:rsidRDefault="002D501F" w:rsidP="003D1C73">
      <w:pPr>
        <w:pStyle w:val="Nivel01"/>
        <w:numPr>
          <w:ilvl w:val="0"/>
          <w:numId w:val="10"/>
        </w:numPr>
        <w:spacing w:before="0" w:after="0" w:line="240" w:lineRule="auto"/>
        <w:ind w:left="0" w:firstLine="0"/>
        <w:rPr>
          <w:sz w:val="20"/>
          <w:szCs w:val="20"/>
        </w:rPr>
      </w:pPr>
      <w:bookmarkStart w:id="2" w:name="_Toc135469229"/>
      <w:r w:rsidRPr="00415C94">
        <w:rPr>
          <w:sz w:val="20"/>
          <w:szCs w:val="20"/>
        </w:rPr>
        <w:t>DA FASE DE JULGAMENTO</w:t>
      </w:r>
      <w:bookmarkEnd w:id="2"/>
    </w:p>
    <w:p w14:paraId="10175086"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Definida a ordem de classificação, o pregoeiro verificará se o licitante provisoriamente classificado em primeiro lugar atende às condições de participação no certame, conforme previsto no art. 14 da Lei nº 14.133/2021 e no item 5.3 deste Edital, especialmente quanto à existência de sanção que impeça a participação no certame ou a futura contratação, mediante consulta aos seguintes cadastros:</w:t>
      </w:r>
    </w:p>
    <w:p w14:paraId="6978DD8C"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color w:val="auto"/>
        </w:rPr>
      </w:pPr>
      <w:r w:rsidRPr="00415C94">
        <w:rPr>
          <w:rFonts w:ascii="Times New Roman" w:hAnsi="Times New Roman" w:cs="Times New Roman"/>
        </w:rPr>
        <w:lastRenderedPageBreak/>
        <w:t>SICAF;</w:t>
      </w:r>
    </w:p>
    <w:p w14:paraId="5CD83EE4"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color w:val="auto"/>
        </w:rPr>
      </w:pPr>
      <w:r w:rsidRPr="00415C94">
        <w:rPr>
          <w:rFonts w:ascii="Times New Roman" w:hAnsi="Times New Roman" w:cs="Times New Roman"/>
        </w:rPr>
        <w:t>Cadastro de Restrições ao Direito de Contratar, mantido pelo TCE-PR;</w:t>
      </w:r>
    </w:p>
    <w:p w14:paraId="6EF19468" w14:textId="77777777" w:rsidR="002D501F" w:rsidRPr="00415C94" w:rsidRDefault="002D501F" w:rsidP="003D1C73">
      <w:pPr>
        <w:pStyle w:val="Nivel3"/>
        <w:numPr>
          <w:ilvl w:val="2"/>
          <w:numId w:val="10"/>
        </w:numPr>
        <w:spacing w:before="0" w:after="0" w:line="240" w:lineRule="auto"/>
        <w:ind w:left="1639" w:hanging="505"/>
        <w:rPr>
          <w:rFonts w:ascii="Times New Roman" w:hAnsi="Times New Roman" w:cs="Times New Roman"/>
          <w:color w:val="auto"/>
        </w:rPr>
      </w:pPr>
      <w:r w:rsidRPr="00415C94">
        <w:rPr>
          <w:rFonts w:ascii="Times New Roman" w:hAnsi="Times New Roman" w:cs="Times New Roman"/>
        </w:rPr>
        <w:t>Consulta Consolidada de Pessoa Jurídica do Tribunal de Contas da União (https://certidoes-apf.apps.tcu.gov.br)</w:t>
      </w:r>
      <w:r w:rsidRPr="00415C94">
        <w:rPr>
          <w:rFonts w:ascii="Times New Roman" w:hAnsi="Times New Roman" w:cs="Times New Roman"/>
          <w:color w:val="auto"/>
        </w:rPr>
        <w:t xml:space="preserve">. </w:t>
      </w:r>
    </w:p>
    <w:p w14:paraId="44D742FB" w14:textId="77777777" w:rsidR="001D2438" w:rsidRPr="00415C94" w:rsidRDefault="002D501F"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Caso atendidas as condições de participação, será iniciado o procedimento de julgamento</w:t>
      </w:r>
      <w:r w:rsidR="00712753" w:rsidRPr="00415C94">
        <w:rPr>
          <w:rFonts w:ascii="Times New Roman" w:hAnsi="Times New Roman" w:cs="Times New Roman"/>
          <w:color w:val="auto"/>
        </w:rPr>
        <w:t>.</w:t>
      </w:r>
    </w:p>
    <w:p w14:paraId="113171ED" w14:textId="77777777" w:rsidR="001D2438" w:rsidRPr="00415C94" w:rsidRDefault="001D2438" w:rsidP="003D1C73">
      <w:pPr>
        <w:pStyle w:val="Nivel2"/>
        <w:numPr>
          <w:ilvl w:val="0"/>
          <w:numId w:val="0"/>
        </w:numPr>
        <w:spacing w:before="0" w:after="0" w:line="240" w:lineRule="auto"/>
        <w:rPr>
          <w:rFonts w:ascii="Times New Roman" w:hAnsi="Times New Roman" w:cs="Times New Roman"/>
          <w:color w:val="auto"/>
        </w:rPr>
      </w:pPr>
    </w:p>
    <w:p w14:paraId="30EC434D" w14:textId="77777777" w:rsidR="00712753" w:rsidRPr="00415C94" w:rsidRDefault="001D2438"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72DEAF45" w14:textId="77777777" w:rsidR="00FC499D" w:rsidRPr="00415C94" w:rsidRDefault="00FC499D" w:rsidP="003D1C73">
      <w:pPr>
        <w:pStyle w:val="Nivel2"/>
        <w:numPr>
          <w:ilvl w:val="0"/>
          <w:numId w:val="0"/>
        </w:numPr>
        <w:spacing w:before="0" w:after="0" w:line="240" w:lineRule="auto"/>
        <w:rPr>
          <w:rFonts w:ascii="Times New Roman" w:hAnsi="Times New Roman" w:cs="Times New Roman"/>
        </w:rPr>
      </w:pPr>
    </w:p>
    <w:p w14:paraId="63F6E326" w14:textId="77777777" w:rsidR="00712753" w:rsidRPr="00415C94" w:rsidRDefault="00712753"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Encerradas as negociações, o pregoeiro solicitará ao licitante melhor classificado que, no prazo de 2 (duas) horas, anexe ao sistema eletrônico, em formato PDF e assinada pelo representante legal, a proposta final devidamente atualizada e, quando solicitado, os catálogos, folders, fichas técnicas, manuais ou documentos oficiais do fabricante necessários à verificação do produto ofertado, contendo:</w:t>
      </w:r>
    </w:p>
    <w:p w14:paraId="11751707" w14:textId="77777777" w:rsidR="00034D5F" w:rsidRPr="00415C94" w:rsidRDefault="00034D5F" w:rsidP="003D1C73">
      <w:pPr>
        <w:pStyle w:val="Nivel2"/>
        <w:numPr>
          <w:ilvl w:val="0"/>
          <w:numId w:val="0"/>
        </w:numPr>
        <w:spacing w:before="0" w:after="0" w:line="240" w:lineRule="auto"/>
        <w:ind w:firstLine="851"/>
        <w:rPr>
          <w:rFonts w:ascii="Times New Roman" w:hAnsi="Times New Roman" w:cs="Times New Roman"/>
          <w:color w:val="auto"/>
        </w:rPr>
      </w:pPr>
      <w:r w:rsidRPr="00415C94">
        <w:rPr>
          <w:rFonts w:ascii="Times New Roman" w:hAnsi="Times New Roman" w:cs="Times New Roman"/>
          <w:color w:val="auto"/>
        </w:rPr>
        <w:t>10.4.1. A proposta deverá observar o modelo constante no Anexo II deste Edital e indicar, para cada item, a descrição, a marca, o modelo, a quantidade e os valores unitário e total.</w:t>
      </w:r>
    </w:p>
    <w:p w14:paraId="54012270" w14:textId="77777777" w:rsidR="00034D5F" w:rsidRPr="00415C94" w:rsidRDefault="00034D5F" w:rsidP="003D1C73">
      <w:pPr>
        <w:pStyle w:val="Nivel2"/>
        <w:numPr>
          <w:ilvl w:val="0"/>
          <w:numId w:val="0"/>
        </w:numPr>
        <w:spacing w:before="0" w:after="0" w:line="240" w:lineRule="auto"/>
        <w:ind w:firstLine="851"/>
        <w:rPr>
          <w:rFonts w:ascii="Times New Roman" w:hAnsi="Times New Roman" w:cs="Times New Roman"/>
          <w:color w:val="auto"/>
        </w:rPr>
      </w:pPr>
      <w:r w:rsidRPr="00415C94">
        <w:rPr>
          <w:rFonts w:ascii="Times New Roman" w:hAnsi="Times New Roman" w:cs="Times New Roman"/>
          <w:color w:val="auto"/>
        </w:rPr>
        <w:t>10.4.2. A proposta deverá ser instruída com a planilha de preços constante do Anexo II ou modelo próprio da empresa, desde que contenha todas as informações necessárias à compreensão e conferência dos valores.</w:t>
      </w:r>
    </w:p>
    <w:p w14:paraId="4A92F3AF" w14:textId="77777777" w:rsidR="00034D5F" w:rsidRPr="00415C94" w:rsidRDefault="00034D5F" w:rsidP="003D1C73">
      <w:pPr>
        <w:pStyle w:val="Nivel2"/>
        <w:numPr>
          <w:ilvl w:val="0"/>
          <w:numId w:val="0"/>
        </w:numPr>
        <w:spacing w:before="0" w:after="0" w:line="240" w:lineRule="auto"/>
        <w:ind w:firstLine="851"/>
        <w:rPr>
          <w:rFonts w:ascii="Times New Roman" w:hAnsi="Times New Roman" w:cs="Times New Roman"/>
          <w:color w:val="auto"/>
        </w:rPr>
      </w:pPr>
      <w:r w:rsidRPr="00415C94">
        <w:rPr>
          <w:rFonts w:ascii="Times New Roman" w:hAnsi="Times New Roman" w:cs="Times New Roman"/>
          <w:color w:val="auto"/>
        </w:rPr>
        <w:t xml:space="preserve">10.4.3. Excepcionalmente, o pregoeiro poderá prorrogar o prazo para apresentação da proposta, mediante solicitação justificada do licitante, comunicada por meio do chat do sistema eletrônico. </w:t>
      </w:r>
    </w:p>
    <w:p w14:paraId="029B67FB" w14:textId="77777777" w:rsidR="00712753" w:rsidRPr="00415C94" w:rsidRDefault="00034D5F" w:rsidP="003D1C73">
      <w:pPr>
        <w:pStyle w:val="Nivel2"/>
        <w:numPr>
          <w:ilvl w:val="0"/>
          <w:numId w:val="0"/>
        </w:numPr>
        <w:spacing w:before="0" w:after="0" w:line="240" w:lineRule="auto"/>
        <w:ind w:firstLine="851"/>
        <w:rPr>
          <w:rFonts w:ascii="Times New Roman" w:hAnsi="Times New Roman" w:cs="Times New Roman"/>
          <w:color w:val="auto"/>
        </w:rPr>
      </w:pPr>
      <w:r w:rsidRPr="00415C94">
        <w:rPr>
          <w:rFonts w:ascii="Times New Roman" w:hAnsi="Times New Roman" w:cs="Times New Roman"/>
          <w:color w:val="auto"/>
        </w:rPr>
        <w:t>10.4.4. O pregoeiro poderá solicitar documentação complementar para confirmar as informações prestadas na proposta e demonstrar o atendimento das especificações técnicas, vedada a alteração da marca ou do modelo originalmente ofertado.</w:t>
      </w:r>
    </w:p>
    <w:p w14:paraId="1EF0AEC6" w14:textId="77777777" w:rsidR="00034D5F" w:rsidRPr="00415C94" w:rsidRDefault="00034D5F"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rPr>
        <w:t>10.4.5. A documentação técnica deverá identificar claramente a marca e o modelo ofertados. Informações ausentes ou duvidosas poderão ser objeto de diligência, desde que a medida não resulte em modificação substancial da proposta.</w:t>
      </w:r>
    </w:p>
    <w:p w14:paraId="126DAA51"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A proposta e o edital formam um conjunto indissociável, e o licitante, ao apresentar sua proposta, concorda em cumprir todas as especificações e requisitos estabelecidos em ambos os documentos.</w:t>
      </w:r>
    </w:p>
    <w:p w14:paraId="142B9B61" w14:textId="77777777" w:rsidR="00034D5F" w:rsidRPr="00415C94" w:rsidRDefault="00034D5F" w:rsidP="003D1C73">
      <w:pPr>
        <w:pStyle w:val="Nivel2"/>
        <w:numPr>
          <w:ilvl w:val="0"/>
          <w:numId w:val="0"/>
        </w:numPr>
        <w:spacing w:before="0" w:after="0" w:line="240" w:lineRule="auto"/>
        <w:rPr>
          <w:rFonts w:ascii="Times New Roman" w:hAnsi="Times New Roman" w:cs="Times New Roman"/>
          <w:color w:val="auto"/>
        </w:rPr>
      </w:pPr>
    </w:p>
    <w:p w14:paraId="67F48352"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O pregoeiro examinará a proposta classificada em primeiro lugar quanto à adequação ao objeto e à compatibilidade do preço em relação ao máximo estipulado para contratação neste edital e em seus anexos.</w:t>
      </w:r>
    </w:p>
    <w:p w14:paraId="2A5ECBA3" w14:textId="77777777" w:rsidR="00712753" w:rsidRPr="00415C94" w:rsidRDefault="00712753" w:rsidP="003D1C73">
      <w:pPr>
        <w:pStyle w:val="Nivel2"/>
        <w:numPr>
          <w:ilvl w:val="0"/>
          <w:numId w:val="0"/>
        </w:numPr>
        <w:spacing w:before="0" w:after="0" w:line="240" w:lineRule="auto"/>
        <w:rPr>
          <w:rFonts w:ascii="Times New Roman" w:hAnsi="Times New Roman" w:cs="Times New Roman"/>
          <w:color w:val="auto"/>
        </w:rPr>
      </w:pPr>
    </w:p>
    <w:p w14:paraId="11B706CE"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rPr>
        <w:t>Será desclassificada a proposta provisoriamente melhor classificada que:</w:t>
      </w:r>
    </w:p>
    <w:p w14:paraId="358CD777" w14:textId="77777777" w:rsidR="00034D5F" w:rsidRPr="00415C94" w:rsidRDefault="00034D5F" w:rsidP="003D1C73">
      <w:pPr>
        <w:pStyle w:val="PargrafodaLista"/>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10.7.1. após a fase de lances e convocação do pregoeiro, não seja anexada no sistema dentro do prazo fixado, com os valores adequados ao último lance ofertado, acompanhada da planilha</w:t>
      </w:r>
      <w:r w:rsidR="00A7244A" w:rsidRPr="00415C94">
        <w:rPr>
          <w:rFonts w:ascii="Times New Roman" w:hAnsi="Times New Roman" w:cs="Times New Roman"/>
          <w:sz w:val="20"/>
          <w:szCs w:val="20"/>
        </w:rPr>
        <w:t xml:space="preserve"> da proposta final</w:t>
      </w:r>
      <w:r w:rsidRPr="00415C94">
        <w:rPr>
          <w:rFonts w:ascii="Times New Roman" w:hAnsi="Times New Roman" w:cs="Times New Roman"/>
          <w:sz w:val="20"/>
          <w:szCs w:val="20"/>
        </w:rPr>
        <w:t xml:space="preserve">; </w:t>
      </w:r>
    </w:p>
    <w:p w14:paraId="7732C6C5" w14:textId="77777777" w:rsidR="00034D5F" w:rsidRPr="00415C94" w:rsidRDefault="00034D5F" w:rsidP="003D1C73">
      <w:pPr>
        <w:pStyle w:val="PargrafodaLista"/>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10.7.2. não seja adequada ao objeto licitado ou não obedeça às especificações técnicas pormenorizadas neste edital e anexos; </w:t>
      </w:r>
    </w:p>
    <w:p w14:paraId="72006BE6" w14:textId="77777777" w:rsidR="00034D5F" w:rsidRPr="00415C94" w:rsidRDefault="00034D5F" w:rsidP="003D1C73">
      <w:pPr>
        <w:pStyle w:val="PargrafodaLista"/>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10.7.3. apresente preços inexequíveis ou superiores ao valor estimado para contratação; </w:t>
      </w:r>
    </w:p>
    <w:p w14:paraId="15384BF8" w14:textId="77777777" w:rsidR="00034D5F" w:rsidRPr="00415C94" w:rsidRDefault="00034D5F" w:rsidP="003D1C73">
      <w:pPr>
        <w:pStyle w:val="PargrafodaLista"/>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10.7.4. não tiver sua exequibilidade demonstrada, quando exigido pela Administração; </w:t>
      </w:r>
    </w:p>
    <w:p w14:paraId="2BC734D9" w14:textId="77777777" w:rsidR="00034D5F" w:rsidRPr="00415C94" w:rsidRDefault="00034D5F" w:rsidP="003D1C73">
      <w:pPr>
        <w:pStyle w:val="PargrafodaLista"/>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10.7.5. contiver vícios insanáveis. </w:t>
      </w:r>
    </w:p>
    <w:p w14:paraId="144334D0"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10.8. É indício de inexequibilidade das propostas valores inferiores a 50% (cinquenta por cento) do valor orçado pela Administração. </w:t>
      </w:r>
    </w:p>
    <w:p w14:paraId="714DCA14"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10.9. Se houver indícios de inexequibilidade da proposta, ou em caso da necessidade de esclarecimentos complementares, poderão ser efetuadas diligências, para que a empresa comprove a exequibilidade da proposta. </w:t>
      </w:r>
    </w:p>
    <w:p w14:paraId="504E5C26"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10.10. A inexequibilidade só será considerada após diligência do pregoeiro, que comprove: </w:t>
      </w:r>
    </w:p>
    <w:p w14:paraId="6931F372"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I - que o custo do licitante ultrapassa o valor da proposta; e </w:t>
      </w:r>
    </w:p>
    <w:p w14:paraId="3C554DDB"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II - inexistirem custos de oportunidade capazes de justificar o vulto da oferta. </w:t>
      </w:r>
    </w:p>
    <w:p w14:paraId="2F98A48C"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10.11. Caso a proposta atenda ao edital, será aceita pelo pregoeiro, e iniciado a fase de habilitação. </w:t>
      </w:r>
    </w:p>
    <w:p w14:paraId="0DED6E79" w14:textId="77777777" w:rsidR="00034D5F" w:rsidRPr="00415C94" w:rsidRDefault="00034D5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10.12. Havendo a desclassificação da proposta classificada em primeiro lugar, o pregoeiro convocará os demais licitantes na ordem de classificação para apresentação da proposta, e o descumprimento das convocações ensejará a abertura de processo administrativo para aplicação das penalidades cabíveis.</w:t>
      </w:r>
    </w:p>
    <w:p w14:paraId="68B3C2BD" w14:textId="77777777" w:rsidR="00BE09C4" w:rsidRPr="00415C94" w:rsidRDefault="00BE09C4" w:rsidP="003D1C73">
      <w:pPr>
        <w:pStyle w:val="Nivel2"/>
        <w:numPr>
          <w:ilvl w:val="0"/>
          <w:numId w:val="0"/>
        </w:numPr>
        <w:spacing w:before="0" w:after="0" w:line="240" w:lineRule="auto"/>
        <w:rPr>
          <w:rFonts w:ascii="Times New Roman" w:hAnsi="Times New Roman" w:cs="Times New Roman"/>
        </w:rPr>
      </w:pPr>
    </w:p>
    <w:p w14:paraId="5342C1FF" w14:textId="77777777" w:rsidR="002D501F" w:rsidRPr="00415C94" w:rsidRDefault="002D501F" w:rsidP="003D1C73">
      <w:pPr>
        <w:pStyle w:val="Nivel01"/>
        <w:numPr>
          <w:ilvl w:val="0"/>
          <w:numId w:val="10"/>
        </w:numPr>
        <w:spacing w:before="0" w:after="0" w:line="240" w:lineRule="auto"/>
        <w:ind w:left="0" w:firstLine="0"/>
        <w:rPr>
          <w:sz w:val="20"/>
          <w:szCs w:val="20"/>
        </w:rPr>
      </w:pPr>
      <w:bookmarkStart w:id="3" w:name="_Toc135469230"/>
      <w:r w:rsidRPr="00415C94">
        <w:rPr>
          <w:sz w:val="20"/>
          <w:szCs w:val="20"/>
        </w:rPr>
        <w:t>DA FASE DE HABILITAÇÃO</w:t>
      </w:r>
      <w:bookmarkEnd w:id="3"/>
    </w:p>
    <w:p w14:paraId="43193EB6"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 Conforme o art. 63, inciso II, da Lei nº 14.133/2021, a apresentação dos documentos de habilitação será exigida apenas do licitante vencedor. Contudo, a documentação comprobatória será analisada com base na data de abertura da sessão pública, devendo estar válida nessa data. Durante todo o processo licitatório e a vigência contratual, o licitante deverá manter inalteradas todas as condições de habilitação declaradas, sob pena de aplicação das sanções previstas em lei e neste edital. </w:t>
      </w:r>
    </w:p>
    <w:p w14:paraId="3A87953F"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7E757683"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A habilitação será verificada por meio dos documentos apresentados no sistema LICITANET. </w:t>
      </w:r>
    </w:p>
    <w:p w14:paraId="7B507D9E"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59F00451"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É de responsabilidade do licitante conferir a exatidão dos seus dados cadastrais no sistema LICITANET e mantê-los atualizados, devendo proceder imediatamente à correção ou à alteração dos registros tão logo identifique incorreção ou desatualização, sob pena de inabilitação. </w:t>
      </w:r>
    </w:p>
    <w:p w14:paraId="67E2833F"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77D1F055"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Os documentos exigidos para habilitação serão enviados por meio do sistema LICITANET, em formato digital, no prazo de no máximo 2 (duas) horas, prorrogável por igual período, contado da solicitação do pregoeiro. </w:t>
      </w:r>
    </w:p>
    <w:p w14:paraId="4BFDF506"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68ADC2AA"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Os documentos anexados no sistema LICITANET para fins de habilitação serão considerados cópia fiel dos seus originais, sob a fé e a responsabilidade do próprio licitante. </w:t>
      </w:r>
    </w:p>
    <w:p w14:paraId="6D11EBA4" w14:textId="77777777" w:rsidR="00034D5F" w:rsidRPr="00415C94" w:rsidRDefault="00034D5F" w:rsidP="003D1C73">
      <w:pPr>
        <w:pStyle w:val="PargrafodaLista"/>
        <w:spacing w:after="0" w:line="240" w:lineRule="auto"/>
        <w:rPr>
          <w:rFonts w:ascii="Times New Roman" w:hAnsi="Times New Roman" w:cs="Times New Roman"/>
          <w:sz w:val="20"/>
          <w:szCs w:val="20"/>
        </w:rPr>
      </w:pPr>
    </w:p>
    <w:p w14:paraId="6389E464" w14:textId="77777777" w:rsidR="00034D5F"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Após a apresentação dos documentos de habilitação, fica vedada a substituição ou a apresentação de novos documentos, salvo em sede de diligência, para: I - complementação de informações acerca dos documentos já apresentados pelos licitantes e desde que necessária para apurar fatos existentes à época da abertura do certame; e II - atualização de documentos cuja validade tenha expirado após a data de recebimento das propostas. </w:t>
      </w:r>
    </w:p>
    <w:p w14:paraId="3C0BCD3C"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2BCD48C5" w14:textId="77777777" w:rsidR="00BE09C4" w:rsidRPr="00415C94" w:rsidRDefault="00034D5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Os documentos exigidos a seguir são necessários e suficientes para demonstrar a capacidade do licitante de executar o objeto da licitação, e serão exigidos para fins de habilitação, nos termos dos arts. 62 a 70 da Lei nº 14.133, de 2021:</w:t>
      </w:r>
    </w:p>
    <w:p w14:paraId="7D6D7C76"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Da Habilitação</w:t>
      </w:r>
    </w:p>
    <w:p w14:paraId="6C4CC555"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11.7.1 – Habilitação Jurídica</w:t>
      </w:r>
    </w:p>
    <w:p w14:paraId="583B417E" w14:textId="77777777" w:rsidR="00034D5F" w:rsidRPr="00415C94" w:rsidRDefault="00034D5F" w:rsidP="003D1C73">
      <w:pPr>
        <w:pStyle w:val="Nivel2"/>
        <w:numPr>
          <w:ilvl w:val="0"/>
          <w:numId w:val="11"/>
        </w:numPr>
        <w:spacing w:before="0" w:after="0" w:line="240" w:lineRule="auto"/>
        <w:ind w:left="284" w:hanging="7"/>
        <w:rPr>
          <w:rFonts w:ascii="Times New Roman" w:hAnsi="Times New Roman" w:cs="Times New Roman"/>
        </w:rPr>
      </w:pPr>
      <w:r w:rsidRPr="00415C94">
        <w:rPr>
          <w:rFonts w:ascii="Times New Roman" w:hAnsi="Times New Roman" w:cs="Times New Roman"/>
        </w:rPr>
        <w:t>11.7.1. Contrato social registrado na junta comercial ou documento equivalente capaz de comprovar a existência jurídica da pessoa.</w:t>
      </w:r>
    </w:p>
    <w:p w14:paraId="744C6319"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11.7.2 a 11.7.11 – Habilitação Técnica</w:t>
      </w:r>
    </w:p>
    <w:p w14:paraId="3182BE9A"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11.7.2. Declaração de:</w:t>
      </w:r>
    </w:p>
    <w:p w14:paraId="7FD6F1FC" w14:textId="77777777" w:rsidR="00034D5F" w:rsidRPr="00415C94" w:rsidRDefault="00034D5F" w:rsidP="003D1C73">
      <w:pPr>
        <w:pStyle w:val="Nivel2"/>
        <w:numPr>
          <w:ilvl w:val="1"/>
          <w:numId w:val="12"/>
        </w:numPr>
        <w:spacing w:before="0" w:after="0" w:line="240" w:lineRule="auto"/>
        <w:ind w:left="284" w:hanging="7"/>
        <w:rPr>
          <w:rFonts w:ascii="Times New Roman" w:hAnsi="Times New Roman" w:cs="Times New Roman"/>
        </w:rPr>
      </w:pPr>
      <w:r w:rsidRPr="00415C94">
        <w:rPr>
          <w:rFonts w:ascii="Times New Roman" w:hAnsi="Times New Roman" w:cs="Times New Roman"/>
        </w:rPr>
        <w:t>Atendimento aos requisitos de habilitação;</w:t>
      </w:r>
    </w:p>
    <w:p w14:paraId="740E3ACB" w14:textId="77777777" w:rsidR="00034D5F" w:rsidRPr="00415C94" w:rsidRDefault="00034D5F" w:rsidP="003D1C73">
      <w:pPr>
        <w:pStyle w:val="Nivel2"/>
        <w:numPr>
          <w:ilvl w:val="1"/>
          <w:numId w:val="12"/>
        </w:numPr>
        <w:spacing w:before="0" w:after="0" w:line="240" w:lineRule="auto"/>
        <w:ind w:left="284" w:hanging="7"/>
        <w:rPr>
          <w:rFonts w:ascii="Times New Roman" w:hAnsi="Times New Roman" w:cs="Times New Roman"/>
        </w:rPr>
      </w:pPr>
      <w:r w:rsidRPr="00415C94">
        <w:rPr>
          <w:rFonts w:ascii="Times New Roman" w:hAnsi="Times New Roman" w:cs="Times New Roman"/>
        </w:rPr>
        <w:t>Que não emprega menor de dezoito anos;</w:t>
      </w:r>
    </w:p>
    <w:p w14:paraId="60F26D76" w14:textId="77777777" w:rsidR="00034D5F" w:rsidRPr="00415C94" w:rsidRDefault="00034D5F" w:rsidP="003D1C73">
      <w:pPr>
        <w:pStyle w:val="Nivel2"/>
        <w:numPr>
          <w:ilvl w:val="1"/>
          <w:numId w:val="12"/>
        </w:numPr>
        <w:spacing w:before="0" w:after="0" w:line="240" w:lineRule="auto"/>
        <w:ind w:left="284" w:hanging="7"/>
        <w:rPr>
          <w:rFonts w:ascii="Times New Roman" w:hAnsi="Times New Roman" w:cs="Times New Roman"/>
        </w:rPr>
      </w:pPr>
      <w:r w:rsidRPr="00415C94">
        <w:rPr>
          <w:rFonts w:ascii="Times New Roman" w:hAnsi="Times New Roman" w:cs="Times New Roman"/>
        </w:rPr>
        <w:t>Que o licitante tomou conhecimento de todas as informações e das condições locais para cumprimento das obrigações objeto da licitação;</w:t>
      </w:r>
    </w:p>
    <w:p w14:paraId="4F5E417A" w14:textId="77777777" w:rsidR="009167FE" w:rsidRPr="00415C94" w:rsidRDefault="009167FE" w:rsidP="003D1C73">
      <w:pPr>
        <w:pStyle w:val="Nivel2"/>
        <w:numPr>
          <w:ilvl w:val="1"/>
          <w:numId w:val="12"/>
        </w:numPr>
        <w:spacing w:before="0" w:after="0" w:line="240" w:lineRule="auto"/>
        <w:ind w:left="284" w:hanging="7"/>
        <w:rPr>
          <w:rFonts w:ascii="Times New Roman" w:hAnsi="Times New Roman" w:cs="Times New Roman"/>
        </w:rPr>
      </w:pPr>
      <w:r w:rsidRPr="00415C94">
        <w:rPr>
          <w:rFonts w:ascii="Times New Roman" w:hAnsi="Times New Roman" w:cs="Times New Roman"/>
        </w:rPr>
        <w:t>Demais exigências de qualificação técnica e documentação dos produtos, quando aplicáveis, conforme descritas no Termo de Referência do presente processo.</w:t>
      </w:r>
    </w:p>
    <w:p w14:paraId="6E02B797" w14:textId="77777777" w:rsidR="009167FE" w:rsidRPr="00415C94" w:rsidRDefault="009167FE" w:rsidP="003D1C73">
      <w:pPr>
        <w:pStyle w:val="Nivel2"/>
        <w:numPr>
          <w:ilvl w:val="0"/>
          <w:numId w:val="0"/>
        </w:numPr>
        <w:spacing w:before="0" w:after="0" w:line="240" w:lineRule="auto"/>
        <w:ind w:left="284"/>
        <w:rPr>
          <w:rFonts w:ascii="Times New Roman" w:hAnsi="Times New Roman" w:cs="Times New Roman"/>
        </w:rPr>
      </w:pPr>
    </w:p>
    <w:p w14:paraId="794A06A0"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11.7.12 a 11.7.17 – Habilitação Fiscal, Social e Trabalhista</w:t>
      </w:r>
    </w:p>
    <w:p w14:paraId="27ED222F"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11.7.12. Inscrição no Cadastro Nacional de Pessoas Jurídicas (CNPJ).</w:t>
      </w:r>
    </w:p>
    <w:p w14:paraId="4F453ADE"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11.7.13. Inscrição no cadastro de contribuintes estadual ou municipal, conforme sede/domicílio, compatível com o objeto da licitação.</w:t>
      </w:r>
    </w:p>
    <w:p w14:paraId="2DF02FAA"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11.7.14. Prova de regularidade perante a Fazenda:</w:t>
      </w:r>
    </w:p>
    <w:p w14:paraId="72615E80" w14:textId="77777777" w:rsidR="00034D5F" w:rsidRPr="00415C94" w:rsidRDefault="00034D5F" w:rsidP="003D1C73">
      <w:pPr>
        <w:pStyle w:val="Nivel2"/>
        <w:numPr>
          <w:ilvl w:val="1"/>
          <w:numId w:val="13"/>
        </w:numPr>
        <w:spacing w:before="0" w:after="0" w:line="240" w:lineRule="auto"/>
        <w:ind w:left="284" w:hanging="7"/>
        <w:rPr>
          <w:rFonts w:ascii="Times New Roman" w:hAnsi="Times New Roman" w:cs="Times New Roman"/>
        </w:rPr>
      </w:pPr>
      <w:r w:rsidRPr="00415C94">
        <w:rPr>
          <w:rFonts w:ascii="Times New Roman" w:hAnsi="Times New Roman" w:cs="Times New Roman"/>
        </w:rPr>
        <w:t>Federal,</w:t>
      </w:r>
    </w:p>
    <w:p w14:paraId="1C735B39" w14:textId="77777777" w:rsidR="00034D5F" w:rsidRPr="00415C94" w:rsidRDefault="00034D5F" w:rsidP="003D1C73">
      <w:pPr>
        <w:pStyle w:val="Nivel2"/>
        <w:numPr>
          <w:ilvl w:val="1"/>
          <w:numId w:val="13"/>
        </w:numPr>
        <w:spacing w:before="0" w:after="0" w:line="240" w:lineRule="auto"/>
        <w:ind w:left="284" w:hanging="7"/>
        <w:rPr>
          <w:rFonts w:ascii="Times New Roman" w:hAnsi="Times New Roman" w:cs="Times New Roman"/>
        </w:rPr>
      </w:pPr>
      <w:r w:rsidRPr="00415C94">
        <w:rPr>
          <w:rFonts w:ascii="Times New Roman" w:hAnsi="Times New Roman" w:cs="Times New Roman"/>
        </w:rPr>
        <w:t>Estadual e</w:t>
      </w:r>
    </w:p>
    <w:p w14:paraId="107F63F7" w14:textId="77777777" w:rsidR="00034D5F" w:rsidRPr="00415C94" w:rsidRDefault="00034D5F" w:rsidP="003D1C73">
      <w:pPr>
        <w:pStyle w:val="Nivel2"/>
        <w:numPr>
          <w:ilvl w:val="1"/>
          <w:numId w:val="13"/>
        </w:numPr>
        <w:spacing w:before="0" w:after="0" w:line="240" w:lineRule="auto"/>
        <w:ind w:left="284" w:hanging="7"/>
        <w:rPr>
          <w:rFonts w:ascii="Times New Roman" w:hAnsi="Times New Roman" w:cs="Times New Roman"/>
        </w:rPr>
      </w:pPr>
      <w:r w:rsidRPr="00415C94">
        <w:rPr>
          <w:rFonts w:ascii="Times New Roman" w:hAnsi="Times New Roman" w:cs="Times New Roman"/>
        </w:rPr>
        <w:t>Municipal da sede/domicílio.</w:t>
      </w:r>
    </w:p>
    <w:p w14:paraId="022AAE6F"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11.7.15. Prova de regularidade relativa:</w:t>
      </w:r>
    </w:p>
    <w:p w14:paraId="3A72988A" w14:textId="77777777" w:rsidR="00034D5F" w:rsidRPr="00415C94" w:rsidRDefault="00034D5F" w:rsidP="003D1C73">
      <w:pPr>
        <w:pStyle w:val="Nivel2"/>
        <w:numPr>
          <w:ilvl w:val="1"/>
          <w:numId w:val="13"/>
        </w:numPr>
        <w:spacing w:before="0" w:after="0" w:line="240" w:lineRule="auto"/>
        <w:ind w:left="284" w:hanging="7"/>
        <w:rPr>
          <w:rFonts w:ascii="Times New Roman" w:hAnsi="Times New Roman" w:cs="Times New Roman"/>
        </w:rPr>
      </w:pPr>
      <w:r w:rsidRPr="00415C94">
        <w:rPr>
          <w:rFonts w:ascii="Times New Roman" w:hAnsi="Times New Roman" w:cs="Times New Roman"/>
        </w:rPr>
        <w:t>À Seguridade Social e</w:t>
      </w:r>
    </w:p>
    <w:p w14:paraId="5952B329" w14:textId="77777777" w:rsidR="00034D5F" w:rsidRPr="00415C94" w:rsidRDefault="00034D5F" w:rsidP="003D1C73">
      <w:pPr>
        <w:pStyle w:val="Nivel2"/>
        <w:numPr>
          <w:ilvl w:val="1"/>
          <w:numId w:val="13"/>
        </w:numPr>
        <w:spacing w:before="0" w:after="0" w:line="240" w:lineRule="auto"/>
        <w:ind w:left="284" w:hanging="7"/>
        <w:rPr>
          <w:rFonts w:ascii="Times New Roman" w:hAnsi="Times New Roman" w:cs="Times New Roman"/>
        </w:rPr>
      </w:pPr>
      <w:r w:rsidRPr="00415C94">
        <w:rPr>
          <w:rFonts w:ascii="Times New Roman" w:hAnsi="Times New Roman" w:cs="Times New Roman"/>
        </w:rPr>
        <w:t>Ao FGTS, comprovando cumprimento de encargos sociais.</w:t>
      </w:r>
    </w:p>
    <w:p w14:paraId="54B0123F"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11.7.16. Prova de regularidade perante a Justiça do Trabalho.</w:t>
      </w:r>
    </w:p>
    <w:p w14:paraId="01B8D960"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11.7.17. Declaração de cumprimento do disposto no inciso XXXIII do art. 7º da Constituição Federal, conforme modelo do Anexo IV.</w:t>
      </w:r>
    </w:p>
    <w:p w14:paraId="2B77ED3A" w14:textId="77777777" w:rsidR="000D64AA" w:rsidRPr="00415C94" w:rsidRDefault="000D64AA" w:rsidP="003D1C73">
      <w:pPr>
        <w:pStyle w:val="Nivel2"/>
        <w:numPr>
          <w:ilvl w:val="0"/>
          <w:numId w:val="0"/>
        </w:numPr>
        <w:spacing w:before="0" w:after="0" w:line="240" w:lineRule="auto"/>
        <w:ind w:left="284" w:hanging="7"/>
        <w:rPr>
          <w:rFonts w:ascii="Times New Roman" w:hAnsi="Times New Roman" w:cs="Times New Roman"/>
        </w:rPr>
      </w:pPr>
    </w:p>
    <w:p w14:paraId="32D48A23"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11.7.18 e 11.7.19 – Habilitação Econômico-Financeira</w:t>
      </w:r>
    </w:p>
    <w:p w14:paraId="1EC436CF"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11.7.18. Balanço patrimonial e demonstração de resultado dos </w:t>
      </w:r>
      <w:r w:rsidRPr="00415C94">
        <w:rPr>
          <w:rFonts w:ascii="Times New Roman" w:hAnsi="Times New Roman" w:cs="Times New Roman"/>
          <w:b/>
          <w:bCs/>
        </w:rPr>
        <w:t>dois últimos exercícios sociais</w:t>
      </w:r>
      <w:r w:rsidRPr="00415C94">
        <w:rPr>
          <w:rFonts w:ascii="Times New Roman" w:hAnsi="Times New Roman" w:cs="Times New Roman"/>
        </w:rPr>
        <w:t>, registrados no órgão competente.</w:t>
      </w:r>
    </w:p>
    <w:p w14:paraId="687771B9" w14:textId="77777777" w:rsidR="00034D5F" w:rsidRPr="00415C94" w:rsidRDefault="00034D5F" w:rsidP="003D1C73">
      <w:pPr>
        <w:pStyle w:val="Nivel2"/>
        <w:numPr>
          <w:ilvl w:val="1"/>
          <w:numId w:val="14"/>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11.7.18.1. Empresas criadas no exercício da licitação poderão apresentar o </w:t>
      </w:r>
      <w:r w:rsidRPr="00415C94">
        <w:rPr>
          <w:rFonts w:ascii="Times New Roman" w:hAnsi="Times New Roman" w:cs="Times New Roman"/>
          <w:b/>
          <w:bCs/>
        </w:rPr>
        <w:t>balanço de abertura</w:t>
      </w:r>
      <w:r w:rsidRPr="00415C94">
        <w:rPr>
          <w:rFonts w:ascii="Times New Roman" w:hAnsi="Times New Roman" w:cs="Times New Roman"/>
        </w:rPr>
        <w:t xml:space="preserve"> em substituição.</w:t>
      </w:r>
    </w:p>
    <w:p w14:paraId="4952ADD5"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11.7.19. Certidão negativa de falência ou recuperação judicial expedida pelo distribuidor da sede do licitante, emitida dentro do prazo de validade indicado no documento ou, na ausência deste, há no máximo 90 (noventa) dias da data da sessão.</w:t>
      </w:r>
    </w:p>
    <w:p w14:paraId="03E3A63D"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p>
    <w:p w14:paraId="4F6D2E2D"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b/>
          <w:bCs/>
        </w:rPr>
      </w:pPr>
      <w:r w:rsidRPr="00415C94">
        <w:rPr>
          <w:rFonts w:ascii="Times New Roman" w:hAnsi="Times New Roman" w:cs="Times New Roman"/>
          <w:b/>
          <w:bCs/>
        </w:rPr>
        <w:t>11.8 a 11.13 – Dos Procedimentos de Verificação</w:t>
      </w:r>
    </w:p>
    <w:p w14:paraId="2A916125"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11.8. A verificação pelo pregoeiro em </w:t>
      </w:r>
      <w:r w:rsidRPr="00415C94">
        <w:rPr>
          <w:rFonts w:ascii="Times New Roman" w:hAnsi="Times New Roman" w:cs="Times New Roman"/>
          <w:b/>
          <w:bCs/>
        </w:rPr>
        <w:t>sítios eletrônicos oficiais</w:t>
      </w:r>
      <w:r w:rsidRPr="00415C94">
        <w:rPr>
          <w:rFonts w:ascii="Times New Roman" w:hAnsi="Times New Roman" w:cs="Times New Roman"/>
        </w:rPr>
        <w:t xml:space="preserve"> constitui meio legal de prova de habilitação (conforme Art. 39, §6º da IN SEGES/ME nº 73/2022).</w:t>
      </w:r>
    </w:p>
    <w:p w14:paraId="26489864"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11.9. Caso haja </w:t>
      </w:r>
      <w:r w:rsidRPr="00415C94">
        <w:rPr>
          <w:rFonts w:ascii="Times New Roman" w:hAnsi="Times New Roman" w:cs="Times New Roman"/>
          <w:b/>
          <w:bCs/>
        </w:rPr>
        <w:t>restrição fiscal ou trabalhista</w:t>
      </w:r>
      <w:r w:rsidRPr="00415C94">
        <w:rPr>
          <w:rFonts w:ascii="Times New Roman" w:hAnsi="Times New Roman" w:cs="Times New Roman"/>
        </w:rPr>
        <w:t xml:space="preserve"> de ME ou EPP:</w:t>
      </w:r>
    </w:p>
    <w:p w14:paraId="4A0B06E6" w14:textId="77777777" w:rsidR="00034D5F" w:rsidRPr="00415C94" w:rsidRDefault="00034D5F" w:rsidP="003D1C73">
      <w:pPr>
        <w:pStyle w:val="Nivel2"/>
        <w:numPr>
          <w:ilvl w:val="1"/>
          <w:numId w:val="15"/>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Será assegurado prazo de </w:t>
      </w:r>
      <w:r w:rsidRPr="00415C94">
        <w:rPr>
          <w:rFonts w:ascii="Times New Roman" w:hAnsi="Times New Roman" w:cs="Times New Roman"/>
          <w:b/>
          <w:bCs/>
        </w:rPr>
        <w:t>5 dias úteis</w:t>
      </w:r>
      <w:r w:rsidRPr="00415C94">
        <w:rPr>
          <w:rFonts w:ascii="Times New Roman" w:hAnsi="Times New Roman" w:cs="Times New Roman"/>
        </w:rPr>
        <w:t>, prorrogável por igual período,</w:t>
      </w:r>
    </w:p>
    <w:p w14:paraId="241485D7" w14:textId="77777777" w:rsidR="00034D5F" w:rsidRPr="00415C94" w:rsidRDefault="00034D5F" w:rsidP="003D1C73">
      <w:pPr>
        <w:pStyle w:val="Nivel2"/>
        <w:numPr>
          <w:ilvl w:val="1"/>
          <w:numId w:val="15"/>
        </w:numPr>
        <w:spacing w:before="0" w:after="0" w:line="240" w:lineRule="auto"/>
        <w:ind w:left="284" w:hanging="7"/>
        <w:rPr>
          <w:rFonts w:ascii="Times New Roman" w:hAnsi="Times New Roman" w:cs="Times New Roman"/>
        </w:rPr>
      </w:pPr>
      <w:r w:rsidRPr="00415C94">
        <w:rPr>
          <w:rFonts w:ascii="Times New Roman" w:hAnsi="Times New Roman" w:cs="Times New Roman"/>
        </w:rPr>
        <w:t>Para regularização da documentação.</w:t>
      </w:r>
    </w:p>
    <w:p w14:paraId="425F4C3E"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11.10. A não regularização no prazo implicará </w:t>
      </w:r>
      <w:r w:rsidRPr="00415C94">
        <w:rPr>
          <w:rFonts w:ascii="Times New Roman" w:hAnsi="Times New Roman" w:cs="Times New Roman"/>
          <w:b/>
          <w:bCs/>
        </w:rPr>
        <w:t>decadência do direito à contratação</w:t>
      </w:r>
      <w:r w:rsidRPr="00415C94">
        <w:rPr>
          <w:rFonts w:ascii="Times New Roman" w:hAnsi="Times New Roman" w:cs="Times New Roman"/>
        </w:rPr>
        <w:t>, sem prejuízo de sanções legais.</w:t>
      </w:r>
    </w:p>
    <w:p w14:paraId="5CFCB6C5"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11.11. Será verificado se o licitante </w:t>
      </w:r>
      <w:r w:rsidRPr="00415C94">
        <w:rPr>
          <w:rFonts w:ascii="Times New Roman" w:hAnsi="Times New Roman" w:cs="Times New Roman"/>
          <w:b/>
          <w:bCs/>
        </w:rPr>
        <w:t>apresentou as declarações</w:t>
      </w:r>
      <w:r w:rsidRPr="00415C94">
        <w:rPr>
          <w:rFonts w:ascii="Times New Roman" w:hAnsi="Times New Roman" w:cs="Times New Roman"/>
        </w:rPr>
        <w:t xml:space="preserve"> exigidas no sistema, sob pena de inabilitação.</w:t>
      </w:r>
    </w:p>
    <w:p w14:paraId="65FC9202"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11.12. Se o licitante </w:t>
      </w:r>
      <w:r w:rsidRPr="00415C94">
        <w:rPr>
          <w:rFonts w:ascii="Times New Roman" w:hAnsi="Times New Roman" w:cs="Times New Roman"/>
          <w:b/>
          <w:bCs/>
        </w:rPr>
        <w:t>não atender às exigências</w:t>
      </w:r>
      <w:r w:rsidRPr="00415C94">
        <w:rPr>
          <w:rFonts w:ascii="Times New Roman" w:hAnsi="Times New Roman" w:cs="Times New Roman"/>
        </w:rPr>
        <w:t>, será inabilitado, retornando-se à análise da proposta subsequente, conforme ordem de classificação.</w:t>
      </w:r>
    </w:p>
    <w:p w14:paraId="257A4CE4" w14:textId="77777777" w:rsidR="00034D5F" w:rsidRPr="00415C94" w:rsidRDefault="00034D5F" w:rsidP="003D1C73">
      <w:pPr>
        <w:pStyle w:val="Nivel2"/>
        <w:numPr>
          <w:ilvl w:val="0"/>
          <w:numId w:val="0"/>
        </w:numPr>
        <w:spacing w:before="0" w:after="0" w:line="240" w:lineRule="auto"/>
        <w:ind w:left="284" w:hanging="7"/>
        <w:rPr>
          <w:rFonts w:ascii="Times New Roman" w:hAnsi="Times New Roman" w:cs="Times New Roman"/>
        </w:rPr>
      </w:pPr>
      <w:r w:rsidRPr="00415C94">
        <w:rPr>
          <w:rFonts w:ascii="Times New Roman" w:hAnsi="Times New Roman" w:cs="Times New Roman"/>
        </w:rPr>
        <w:t xml:space="preserve">11.13. Após encerramento da habilitação, as </w:t>
      </w:r>
      <w:r w:rsidRPr="00415C94">
        <w:rPr>
          <w:rFonts w:ascii="Times New Roman" w:hAnsi="Times New Roman" w:cs="Times New Roman"/>
          <w:b/>
          <w:bCs/>
        </w:rPr>
        <w:t>documentações dos proponentes habilitados</w:t>
      </w:r>
      <w:r w:rsidRPr="00415C94">
        <w:rPr>
          <w:rFonts w:ascii="Times New Roman" w:hAnsi="Times New Roman" w:cs="Times New Roman"/>
        </w:rPr>
        <w:t xml:space="preserve"> serão </w:t>
      </w:r>
      <w:r w:rsidRPr="00415C94">
        <w:rPr>
          <w:rFonts w:ascii="Times New Roman" w:hAnsi="Times New Roman" w:cs="Times New Roman"/>
          <w:b/>
          <w:bCs/>
        </w:rPr>
        <w:t>disponibilizadas ao público</w:t>
      </w:r>
      <w:r w:rsidRPr="00415C94">
        <w:rPr>
          <w:rFonts w:ascii="Times New Roman" w:hAnsi="Times New Roman" w:cs="Times New Roman"/>
        </w:rPr>
        <w:t>.</w:t>
      </w:r>
    </w:p>
    <w:p w14:paraId="5FE48B76" w14:textId="77777777" w:rsidR="00034D5F" w:rsidRPr="00415C94" w:rsidRDefault="00034D5F" w:rsidP="003D1C73">
      <w:pPr>
        <w:pStyle w:val="Nivel2"/>
        <w:numPr>
          <w:ilvl w:val="0"/>
          <w:numId w:val="0"/>
        </w:numPr>
        <w:spacing w:before="0" w:after="0" w:line="240" w:lineRule="auto"/>
        <w:rPr>
          <w:rFonts w:ascii="Times New Roman" w:hAnsi="Times New Roman" w:cs="Times New Roman"/>
        </w:rPr>
      </w:pPr>
    </w:p>
    <w:p w14:paraId="5DC71664" w14:textId="77777777" w:rsidR="002D501F" w:rsidRPr="00415C94" w:rsidRDefault="002D501F" w:rsidP="003D1C73">
      <w:pPr>
        <w:pStyle w:val="Nivel2"/>
        <w:numPr>
          <w:ilvl w:val="0"/>
          <w:numId w:val="10"/>
        </w:numPr>
        <w:spacing w:before="0" w:after="0" w:line="240" w:lineRule="auto"/>
        <w:ind w:left="0" w:firstLine="0"/>
        <w:rPr>
          <w:rFonts w:ascii="Times New Roman" w:hAnsi="Times New Roman" w:cs="Times New Roman"/>
          <w:b/>
          <w:bCs/>
          <w:color w:val="auto"/>
        </w:rPr>
      </w:pPr>
      <w:r w:rsidRPr="00415C94">
        <w:rPr>
          <w:rFonts w:ascii="Times New Roman" w:hAnsi="Times New Roman" w:cs="Times New Roman"/>
          <w:b/>
          <w:bCs/>
        </w:rPr>
        <w:t>DO SANEAMENTO DA PROPOSTA E DOS DOCUMENTOS DE HABILITAÇÃO</w:t>
      </w:r>
      <w:r w:rsidRPr="00415C94">
        <w:rPr>
          <w:rFonts w:ascii="Times New Roman" w:hAnsi="Times New Roman" w:cs="Times New Roman"/>
        </w:rPr>
        <w:t xml:space="preserve"> </w:t>
      </w:r>
    </w:p>
    <w:p w14:paraId="39B2E314" w14:textId="77777777" w:rsidR="002D501F" w:rsidRPr="00415C94" w:rsidRDefault="002D501F" w:rsidP="003D1C73">
      <w:pPr>
        <w:pStyle w:val="Nivel2"/>
        <w:numPr>
          <w:ilvl w:val="0"/>
          <w:numId w:val="0"/>
        </w:numPr>
        <w:spacing w:before="0" w:after="0" w:line="240" w:lineRule="auto"/>
        <w:rPr>
          <w:rFonts w:ascii="Times New Roman" w:hAnsi="Times New Roman" w:cs="Times New Roman"/>
          <w:b/>
          <w:bCs/>
        </w:rPr>
      </w:pPr>
      <w:r w:rsidRPr="00415C94">
        <w:rPr>
          <w:rFonts w:ascii="Times New Roman" w:hAnsi="Times New Roman" w:cs="Times New Roman"/>
          <w:b/>
          <w:bCs/>
        </w:rPr>
        <w:t>Proposta</w:t>
      </w:r>
    </w:p>
    <w:p w14:paraId="1EBE4D8F"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05B231E2" w14:textId="77777777" w:rsidR="002D501F" w:rsidRPr="00415C94" w:rsidRDefault="002D501F" w:rsidP="003D1C73">
      <w:pPr>
        <w:pStyle w:val="Nivel2"/>
        <w:numPr>
          <w:ilvl w:val="0"/>
          <w:numId w:val="0"/>
        </w:numPr>
        <w:spacing w:before="0" w:after="0" w:line="240" w:lineRule="auto"/>
        <w:rPr>
          <w:rFonts w:ascii="Times New Roman" w:hAnsi="Times New Roman" w:cs="Times New Roman"/>
          <w:b/>
          <w:bCs/>
        </w:rPr>
      </w:pPr>
      <w:r w:rsidRPr="00415C94">
        <w:rPr>
          <w:rFonts w:ascii="Times New Roman" w:hAnsi="Times New Roman" w:cs="Times New Roman"/>
          <w:b/>
          <w:bCs/>
        </w:rPr>
        <w:t>Documentos de habilitação</w:t>
      </w:r>
    </w:p>
    <w:p w14:paraId="203050CB" w14:textId="77777777" w:rsidR="002D501F"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78983D3B" w14:textId="77777777" w:rsidR="002D501F" w:rsidRPr="00415C94" w:rsidRDefault="002D501F" w:rsidP="003D1C73">
      <w:pPr>
        <w:pStyle w:val="Nivel2"/>
        <w:numPr>
          <w:ilvl w:val="0"/>
          <w:numId w:val="0"/>
        </w:numPr>
        <w:spacing w:before="0" w:after="0" w:line="240" w:lineRule="auto"/>
        <w:rPr>
          <w:rFonts w:ascii="Times New Roman" w:hAnsi="Times New Roman" w:cs="Times New Roman"/>
          <w:b/>
          <w:bCs/>
        </w:rPr>
      </w:pPr>
      <w:r w:rsidRPr="00415C94">
        <w:rPr>
          <w:rFonts w:ascii="Times New Roman" w:hAnsi="Times New Roman" w:cs="Times New Roman"/>
          <w:b/>
          <w:bCs/>
        </w:rPr>
        <w:t xml:space="preserve">Realização de diligências </w:t>
      </w:r>
    </w:p>
    <w:p w14:paraId="0371F733" w14:textId="77777777" w:rsidR="00BE09C4" w:rsidRPr="00415C94" w:rsidRDefault="002D501F" w:rsidP="003D1C73">
      <w:pPr>
        <w:pStyle w:val="Nivel2"/>
        <w:numPr>
          <w:ilvl w:val="1"/>
          <w:numId w:val="10"/>
        </w:numPr>
        <w:spacing w:before="0" w:after="0" w:line="240" w:lineRule="auto"/>
        <w:ind w:left="0" w:firstLine="0"/>
        <w:rPr>
          <w:rFonts w:ascii="Times New Roman" w:hAnsi="Times New Roman" w:cs="Times New Roman"/>
        </w:rPr>
      </w:pPr>
      <w:r w:rsidRPr="00415C94">
        <w:rPr>
          <w:rFonts w:ascii="Times New Roman" w:hAnsi="Times New Roman" w:cs="Times New Roman"/>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46250F42" w14:textId="77777777" w:rsidR="00BE09C4" w:rsidRPr="00415C94" w:rsidRDefault="00BE09C4" w:rsidP="003D1C73">
      <w:pPr>
        <w:pStyle w:val="Nivel2"/>
        <w:numPr>
          <w:ilvl w:val="0"/>
          <w:numId w:val="0"/>
        </w:numPr>
        <w:spacing w:before="0" w:after="0" w:line="240" w:lineRule="auto"/>
        <w:rPr>
          <w:rFonts w:ascii="Times New Roman" w:hAnsi="Times New Roman" w:cs="Times New Roman"/>
        </w:rPr>
      </w:pPr>
    </w:p>
    <w:p w14:paraId="16C72581" w14:textId="77777777" w:rsidR="00FC499D" w:rsidRPr="00415C94" w:rsidRDefault="00FC499D" w:rsidP="003D1C73">
      <w:pPr>
        <w:pStyle w:val="Nivel01"/>
        <w:numPr>
          <w:ilvl w:val="0"/>
          <w:numId w:val="10"/>
        </w:numPr>
        <w:spacing w:before="0" w:after="0" w:line="240" w:lineRule="auto"/>
        <w:ind w:left="0" w:firstLine="0"/>
        <w:rPr>
          <w:sz w:val="20"/>
          <w:szCs w:val="20"/>
        </w:rPr>
      </w:pPr>
      <w:bookmarkStart w:id="4" w:name="_Toc135469233"/>
      <w:r w:rsidRPr="00415C94">
        <w:rPr>
          <w:sz w:val="20"/>
          <w:szCs w:val="20"/>
        </w:rPr>
        <w:t>DOS RECURSOS</w:t>
      </w:r>
      <w:bookmarkEnd w:id="4"/>
    </w:p>
    <w:p w14:paraId="70F68720"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 interposição de recurso referente ao julgamento das propostas, à habilitação ou inabilitação de licitantes, à anulação ou revogação da licitação, observará o disposto no </w:t>
      </w:r>
      <w:hyperlink r:id="rId10" w:anchor="art165" w:history="1">
        <w:r w:rsidRPr="00415C94">
          <w:rPr>
            <w:rStyle w:val="Hyperlink"/>
            <w:rFonts w:ascii="Times New Roman" w:hAnsi="Times New Roman" w:cs="Times New Roman"/>
            <w:color w:val="auto"/>
          </w:rPr>
          <w:t>art. 165 da Lei nº 14.133, de 2021</w:t>
        </w:r>
      </w:hyperlink>
      <w:r w:rsidRPr="00415C94">
        <w:rPr>
          <w:rFonts w:ascii="Times New Roman" w:hAnsi="Times New Roman" w:cs="Times New Roman"/>
          <w:color w:val="auto"/>
        </w:rPr>
        <w:t>.</w:t>
      </w:r>
    </w:p>
    <w:p w14:paraId="3CAAB87B"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7C742936"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prazo recursal é de 3 (três) dias úteis, contados da data de intimação ou de lavratura da ata.</w:t>
      </w:r>
    </w:p>
    <w:p w14:paraId="0F5DF75A"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22E6FF8E"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Quando o recurso apresentado impugnar o julgamento das propostas ou o ato de habilitação ou inabilitação do licitante:</w:t>
      </w:r>
    </w:p>
    <w:p w14:paraId="12E6A57C" w14:textId="77777777" w:rsidR="00FC499D" w:rsidRPr="00415C94" w:rsidRDefault="00FC499D" w:rsidP="003D1C73">
      <w:pPr>
        <w:pStyle w:val="Nivel3"/>
        <w:numPr>
          <w:ilvl w:val="2"/>
          <w:numId w:val="10"/>
        </w:numPr>
        <w:spacing w:before="0" w:after="0" w:line="240" w:lineRule="auto"/>
        <w:ind w:left="1639" w:hanging="505"/>
        <w:rPr>
          <w:rFonts w:ascii="Times New Roman" w:hAnsi="Times New Roman" w:cs="Times New Roman"/>
        </w:rPr>
      </w:pPr>
      <w:r w:rsidRPr="00415C94">
        <w:rPr>
          <w:rFonts w:ascii="Times New Roman" w:hAnsi="Times New Roman" w:cs="Times New Roman"/>
        </w:rPr>
        <w:t>a intenção de recorrer deverá ser manifestada imediatamente, sob pena de preclusão;</w:t>
      </w:r>
    </w:p>
    <w:p w14:paraId="356730AF" w14:textId="77777777" w:rsidR="00FC499D" w:rsidRPr="00415C94" w:rsidRDefault="00FC499D" w:rsidP="003D1C73">
      <w:pPr>
        <w:pStyle w:val="Nivel3"/>
        <w:numPr>
          <w:ilvl w:val="2"/>
          <w:numId w:val="10"/>
        </w:numPr>
        <w:spacing w:before="0" w:after="0" w:line="240" w:lineRule="auto"/>
        <w:ind w:left="1639" w:hanging="505"/>
        <w:rPr>
          <w:rFonts w:ascii="Times New Roman" w:hAnsi="Times New Roman" w:cs="Times New Roman"/>
        </w:rPr>
      </w:pPr>
      <w:bookmarkStart w:id="5" w:name="_Hlk135318381"/>
      <w:bookmarkStart w:id="6" w:name="_Hlk135315794"/>
      <w:r w:rsidRPr="00415C94">
        <w:rPr>
          <w:rFonts w:ascii="Times New Roman" w:hAnsi="Times New Roman" w:cs="Times New Roman"/>
        </w:rPr>
        <w:t>o prazo para a manifestação da intenção de recorrer será de 30 (trinta) minutos.</w:t>
      </w:r>
      <w:bookmarkEnd w:id="5"/>
    </w:p>
    <w:bookmarkEnd w:id="6"/>
    <w:p w14:paraId="52C36A9C" w14:textId="77777777" w:rsidR="00FC499D" w:rsidRPr="00415C94" w:rsidRDefault="00FC499D" w:rsidP="003D1C73">
      <w:pPr>
        <w:pStyle w:val="Nivel3"/>
        <w:numPr>
          <w:ilvl w:val="2"/>
          <w:numId w:val="10"/>
        </w:numPr>
        <w:spacing w:before="0" w:after="0" w:line="240" w:lineRule="auto"/>
        <w:ind w:left="1639" w:hanging="505"/>
        <w:rPr>
          <w:rFonts w:ascii="Times New Roman" w:hAnsi="Times New Roman" w:cs="Times New Roman"/>
        </w:rPr>
      </w:pPr>
      <w:r w:rsidRPr="00415C94">
        <w:rPr>
          <w:rFonts w:ascii="Times New Roman" w:hAnsi="Times New Roman" w:cs="Times New Roman"/>
        </w:rPr>
        <w:t>o prazo para apresentação das razões recursais será iniciado na data de intimação ou de lavratura da ata de habilitação ou inabilitação;</w:t>
      </w:r>
    </w:p>
    <w:p w14:paraId="2DDDD5FD" w14:textId="77777777" w:rsidR="00FC499D" w:rsidRPr="00415C94" w:rsidRDefault="00FC499D" w:rsidP="003D1C73">
      <w:pPr>
        <w:pStyle w:val="Nivel3"/>
        <w:numPr>
          <w:ilvl w:val="2"/>
          <w:numId w:val="10"/>
        </w:numPr>
        <w:spacing w:before="0" w:after="0" w:line="240" w:lineRule="auto"/>
        <w:ind w:left="1639" w:hanging="505"/>
        <w:rPr>
          <w:rFonts w:ascii="Times New Roman" w:hAnsi="Times New Roman" w:cs="Times New Roman"/>
        </w:rPr>
      </w:pPr>
      <w:r w:rsidRPr="00415C94">
        <w:rPr>
          <w:rFonts w:ascii="Times New Roman" w:hAnsi="Times New Roman" w:cs="Times New Roman"/>
        </w:rPr>
        <w:t>na hipótese de adoção da inversão de fases prevista no </w:t>
      </w:r>
      <w:hyperlink r:id="rId11" w:anchor="art17§1" w:history="1">
        <w:r w:rsidRPr="00415C94">
          <w:rPr>
            <w:rStyle w:val="Hyperlink"/>
            <w:rFonts w:ascii="Times New Roman" w:hAnsi="Times New Roman" w:cs="Times New Roman"/>
            <w:color w:val="auto"/>
          </w:rPr>
          <w:t>§ 1º do art. 17 da Lei nº 14.133, de 2021</w:t>
        </w:r>
      </w:hyperlink>
      <w:r w:rsidRPr="00415C94">
        <w:rPr>
          <w:rFonts w:ascii="Times New Roman" w:hAnsi="Times New Roman" w:cs="Times New Roman"/>
        </w:rPr>
        <w:t>, o prazo para apresentação das razões recursais será iniciado na data de intimação da ata de julgamento.</w:t>
      </w:r>
    </w:p>
    <w:p w14:paraId="3267134B" w14:textId="77777777" w:rsidR="00FC499D" w:rsidRPr="00415C94" w:rsidRDefault="00FC499D" w:rsidP="003D1C73">
      <w:pPr>
        <w:pStyle w:val="Nivel2"/>
        <w:numPr>
          <w:ilvl w:val="1"/>
          <w:numId w:val="10"/>
        </w:numPr>
        <w:spacing w:before="0" w:after="0" w:line="240" w:lineRule="auto"/>
        <w:ind w:left="0" w:firstLine="0"/>
        <w:rPr>
          <w:rStyle w:val="Hyperlink"/>
          <w:rFonts w:ascii="Times New Roman" w:hAnsi="Times New Roman" w:cs="Times New Roman"/>
          <w:color w:val="auto"/>
          <w:u w:val="none"/>
        </w:rPr>
      </w:pPr>
      <w:r w:rsidRPr="00415C94">
        <w:rPr>
          <w:rFonts w:ascii="Times New Roman" w:hAnsi="Times New Roman" w:cs="Times New Roman"/>
          <w:color w:val="auto"/>
        </w:rPr>
        <w:t xml:space="preserve">Os recursos deverão ser encaminhados em campo próprio do sistema ou através do e-mail: </w:t>
      </w:r>
      <w:hyperlink r:id="rId12" w:history="1">
        <w:r w:rsidRPr="00415C94">
          <w:rPr>
            <w:rStyle w:val="Hyperlink"/>
            <w:rFonts w:ascii="Times New Roman" w:hAnsi="Times New Roman" w:cs="Times New Roman"/>
          </w:rPr>
          <w:t>licitagoioxim@yahoo.com.br.</w:t>
        </w:r>
      </w:hyperlink>
    </w:p>
    <w:p w14:paraId="375BE98E"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 </w:t>
      </w:r>
    </w:p>
    <w:p w14:paraId="5C1BC719"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30B1F41B"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35EE8A79"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Os recursos interpostos fora do prazo não serão conhecidos. </w:t>
      </w:r>
    </w:p>
    <w:p w14:paraId="1B43158E"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779EBB01"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F790E13"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021DBA5C"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lastRenderedPageBreak/>
        <w:t xml:space="preserve">O recurso e o pedido de reconsideração terão efeito suspensivo do ato ou da decisão recorrida até que sobrevenha decisão final da autoridade competente. </w:t>
      </w:r>
    </w:p>
    <w:p w14:paraId="49830B87"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435E050C" w14:textId="77777777" w:rsidR="00FC499D"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O acolhimento do recurso invalida tão somente os atos insuscetíveis de aproveitamento. </w:t>
      </w:r>
    </w:p>
    <w:p w14:paraId="08F48763" w14:textId="77777777" w:rsidR="00FC499D" w:rsidRPr="00415C94" w:rsidRDefault="00FC499D" w:rsidP="003D1C73">
      <w:pPr>
        <w:pStyle w:val="Nivel2"/>
        <w:numPr>
          <w:ilvl w:val="0"/>
          <w:numId w:val="0"/>
        </w:numPr>
        <w:spacing w:before="0" w:after="0" w:line="240" w:lineRule="auto"/>
        <w:rPr>
          <w:rFonts w:ascii="Times New Roman" w:hAnsi="Times New Roman" w:cs="Times New Roman"/>
          <w:color w:val="auto"/>
        </w:rPr>
      </w:pPr>
    </w:p>
    <w:p w14:paraId="27FA9544" w14:textId="77777777" w:rsidR="00254E7F" w:rsidRPr="00415C94" w:rsidRDefault="00FC499D"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Os autos do processo permanecerão com vista franqueada aos interessados no sítio eletrônico do Município, no sistema LICITANET, no Portal Nacional de Contratações Públicas - PNCP e no Portal da Transparência municipal.</w:t>
      </w:r>
    </w:p>
    <w:p w14:paraId="533D234D" w14:textId="77777777" w:rsidR="00254E7F" w:rsidRPr="00415C94" w:rsidRDefault="00254E7F" w:rsidP="003D1C73">
      <w:pPr>
        <w:pStyle w:val="PargrafodaLista"/>
        <w:spacing w:after="0" w:line="240" w:lineRule="auto"/>
        <w:rPr>
          <w:rFonts w:ascii="Times New Roman" w:hAnsi="Times New Roman" w:cs="Times New Roman"/>
          <w:b/>
          <w:sz w:val="20"/>
          <w:szCs w:val="20"/>
        </w:rPr>
      </w:pPr>
    </w:p>
    <w:p w14:paraId="6B801364" w14:textId="77777777" w:rsidR="00254E7F" w:rsidRPr="00415C94" w:rsidRDefault="00254E7F" w:rsidP="003D1C73">
      <w:pPr>
        <w:pStyle w:val="Nivel2"/>
        <w:numPr>
          <w:ilvl w:val="0"/>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b/>
          <w:color w:val="auto"/>
        </w:rPr>
        <w:t xml:space="preserve">DO ENCERRAMENTO DA LICITAÇÃO </w:t>
      </w:r>
    </w:p>
    <w:p w14:paraId="2B74DC0A" w14:textId="77777777" w:rsidR="00254E7F" w:rsidRPr="00415C94" w:rsidRDefault="00254E7F"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 xml:space="preserve">Encerradas as fases de julgamento e habilitação, e exauridos os recursos administrativos, o processo licitatório será encaminhado à autoridade superior, que poderá: </w:t>
      </w:r>
    </w:p>
    <w:p w14:paraId="3D2A3716" w14:textId="77777777" w:rsidR="00254E7F" w:rsidRPr="00415C94" w:rsidRDefault="00254E7F"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determinar o retorno dos autos para saneamento de irregularidades;</w:t>
      </w:r>
    </w:p>
    <w:p w14:paraId="17901D76" w14:textId="77777777" w:rsidR="00254E7F" w:rsidRPr="00415C94" w:rsidRDefault="00254E7F"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revogar a licitação por motivo de conveniência e oportunidade;</w:t>
      </w:r>
    </w:p>
    <w:p w14:paraId="0EC702E0" w14:textId="77777777" w:rsidR="00254E7F" w:rsidRPr="00415C94" w:rsidRDefault="00254E7F"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 proceder à anulação da licitação, de ofício ou mediante provocação de terceiros, sempre que presente ilegalidade insanável;</w:t>
      </w:r>
    </w:p>
    <w:p w14:paraId="03C5F809" w14:textId="77777777" w:rsidR="00254E7F" w:rsidRPr="00415C94" w:rsidRDefault="00254E7F" w:rsidP="003D1C73">
      <w:pPr>
        <w:pStyle w:val="Nivel3"/>
        <w:numPr>
          <w:ilvl w:val="2"/>
          <w:numId w:val="10"/>
        </w:numPr>
        <w:spacing w:before="0" w:after="0" w:line="240" w:lineRule="auto"/>
        <w:ind w:left="1638"/>
        <w:rPr>
          <w:rFonts w:ascii="Times New Roman" w:hAnsi="Times New Roman" w:cs="Times New Roman"/>
        </w:rPr>
      </w:pPr>
      <w:r w:rsidRPr="00415C94">
        <w:rPr>
          <w:rFonts w:ascii="Times New Roman" w:hAnsi="Times New Roman" w:cs="Times New Roman"/>
        </w:rPr>
        <w:t xml:space="preserve">adjudicar o objeto e homologar a licitação. </w:t>
      </w:r>
    </w:p>
    <w:p w14:paraId="5CC92EA2" w14:textId="77777777" w:rsidR="00254E7F" w:rsidRPr="00415C94" w:rsidRDefault="00254E7F"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Ao pronunciar a nulidade, a autoridade indicará expressamente os atos com vícios insanáveis, tornando sem efeito todos os subsequentes que deles dependam, e dará ensejo à apuração de responsabilidade de quem lhes tenha dado causa.</w:t>
      </w:r>
    </w:p>
    <w:p w14:paraId="2D0EF3FD" w14:textId="77777777" w:rsidR="00254E7F" w:rsidRPr="00415C94" w:rsidRDefault="00254E7F"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 xml:space="preserve">O motivo determinante para a revogação do processo licitatório deverá ser resultante de fato superveniente devidamente comprovado. </w:t>
      </w:r>
    </w:p>
    <w:p w14:paraId="31B30368" w14:textId="77777777" w:rsidR="00254E7F" w:rsidRPr="00415C94" w:rsidRDefault="00254E7F"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Nos casos de anulação e revogação, deverá ser assegurada a prévia manifestação dos interessados.</w:t>
      </w:r>
    </w:p>
    <w:p w14:paraId="3B968619" w14:textId="77777777" w:rsidR="00254E7F" w:rsidRPr="00415C94" w:rsidRDefault="00254E7F" w:rsidP="003D1C73">
      <w:pPr>
        <w:pStyle w:val="Nivel2"/>
        <w:numPr>
          <w:ilvl w:val="1"/>
          <w:numId w:val="10"/>
        </w:numPr>
        <w:spacing w:before="0" w:after="0" w:line="240" w:lineRule="auto"/>
        <w:ind w:left="574"/>
        <w:rPr>
          <w:rFonts w:ascii="Times New Roman" w:hAnsi="Times New Roman" w:cs="Times New Roman"/>
        </w:rPr>
      </w:pPr>
      <w:r w:rsidRPr="00415C94">
        <w:rPr>
          <w:rFonts w:ascii="Times New Roman" w:hAnsi="Times New Roman" w:cs="Times New Roman"/>
        </w:rPr>
        <w:t>A homologação do resultado desta licitação não implicará direito à contratação.</w:t>
      </w:r>
    </w:p>
    <w:p w14:paraId="18A33457" w14:textId="77777777" w:rsidR="00254E7F" w:rsidRPr="00415C94" w:rsidRDefault="00254E7F" w:rsidP="003D1C73">
      <w:pPr>
        <w:pStyle w:val="Nivel01"/>
        <w:spacing w:before="0" w:after="0" w:line="240" w:lineRule="auto"/>
        <w:rPr>
          <w:sz w:val="20"/>
          <w:szCs w:val="20"/>
        </w:rPr>
      </w:pPr>
      <w:bookmarkStart w:id="7" w:name="_Toc135469231"/>
    </w:p>
    <w:bookmarkEnd w:id="7"/>
    <w:p w14:paraId="481BBD7B" w14:textId="77777777" w:rsidR="002D501F" w:rsidRPr="00415C94" w:rsidRDefault="00162481" w:rsidP="003D1C73">
      <w:pPr>
        <w:pStyle w:val="Nivel01"/>
        <w:numPr>
          <w:ilvl w:val="0"/>
          <w:numId w:val="10"/>
        </w:numPr>
        <w:spacing w:before="0" w:after="0" w:line="240" w:lineRule="auto"/>
        <w:ind w:left="0" w:firstLine="0"/>
        <w:rPr>
          <w:sz w:val="20"/>
          <w:szCs w:val="20"/>
        </w:rPr>
      </w:pPr>
      <w:r w:rsidRPr="00415C94">
        <w:rPr>
          <w:sz w:val="20"/>
          <w:szCs w:val="20"/>
        </w:rPr>
        <w:t>DO CONTRATO</w:t>
      </w:r>
    </w:p>
    <w:p w14:paraId="6B40E349" w14:textId="77777777" w:rsidR="00162481"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Após homologação do objeto, a contratação será formalizada pelo setor de contratos por meio de instrumento contratual, emissão de nota de empenho de despesa, autorização de compra ou outro instrumento hábil, conforme o disposto no art. 95 da Lei nº 14.133, de 2021. </w:t>
      </w:r>
    </w:p>
    <w:p w14:paraId="548A865A" w14:textId="77777777" w:rsidR="00415C94" w:rsidRPr="00415C94" w:rsidRDefault="00415C94" w:rsidP="00415C94">
      <w:pPr>
        <w:pStyle w:val="Nivel2"/>
        <w:numPr>
          <w:ilvl w:val="0"/>
          <w:numId w:val="0"/>
        </w:numPr>
        <w:spacing w:before="0" w:after="0" w:line="240" w:lineRule="auto"/>
        <w:rPr>
          <w:rFonts w:ascii="Times New Roman" w:hAnsi="Times New Roman" w:cs="Times New Roman"/>
          <w:color w:val="auto"/>
        </w:rPr>
      </w:pPr>
    </w:p>
    <w:p w14:paraId="76D985DB" w14:textId="77777777" w:rsidR="00162481"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contrato ou instrumento equivalente terá vigência de 12 (doze) meses, observadas as condições do Termo de Referência.</w:t>
      </w:r>
    </w:p>
    <w:p w14:paraId="7ED3EEA9" w14:textId="77777777" w:rsidR="00415C94" w:rsidRPr="00415C94" w:rsidRDefault="00415C94" w:rsidP="00415C94">
      <w:pPr>
        <w:pStyle w:val="Nivel2"/>
        <w:numPr>
          <w:ilvl w:val="0"/>
          <w:numId w:val="0"/>
        </w:numPr>
        <w:spacing w:before="0" w:after="0" w:line="240" w:lineRule="auto"/>
        <w:rPr>
          <w:rFonts w:ascii="Times New Roman" w:hAnsi="Times New Roman" w:cs="Times New Roman"/>
          <w:color w:val="auto"/>
        </w:rPr>
      </w:pPr>
    </w:p>
    <w:p w14:paraId="69E68F22" w14:textId="77777777" w:rsidR="00162481"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03773B3E" w14:textId="77777777" w:rsidR="00415C94" w:rsidRPr="00415C94" w:rsidRDefault="00415C94" w:rsidP="00415C94">
      <w:pPr>
        <w:pStyle w:val="Nivel2"/>
        <w:numPr>
          <w:ilvl w:val="0"/>
          <w:numId w:val="0"/>
        </w:numPr>
        <w:spacing w:before="0" w:after="0" w:line="240" w:lineRule="auto"/>
        <w:rPr>
          <w:rFonts w:ascii="Times New Roman" w:hAnsi="Times New Roman" w:cs="Times New Roman"/>
          <w:color w:val="auto"/>
        </w:rPr>
      </w:pPr>
    </w:p>
    <w:p w14:paraId="0F25FDF1" w14:textId="77777777" w:rsidR="00162481"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138, de 2021. </w:t>
      </w:r>
    </w:p>
    <w:p w14:paraId="5AAF6EB6" w14:textId="77777777" w:rsidR="00415C94" w:rsidRPr="00415C94" w:rsidRDefault="00415C94" w:rsidP="00415C94">
      <w:pPr>
        <w:pStyle w:val="Nivel2"/>
        <w:numPr>
          <w:ilvl w:val="0"/>
          <w:numId w:val="0"/>
        </w:numPr>
        <w:spacing w:before="0" w:after="0" w:line="240" w:lineRule="auto"/>
        <w:rPr>
          <w:rFonts w:ascii="Times New Roman" w:hAnsi="Times New Roman" w:cs="Times New Roman"/>
          <w:color w:val="auto"/>
        </w:rPr>
      </w:pPr>
    </w:p>
    <w:p w14:paraId="71520ED9" w14:textId="77777777" w:rsidR="00162481"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O prazo estabelecido para assinatura do contrato poderá ser prorrogado uma única vez, por igual período, quando solicitado pelo adjudicatário, durante o seu transcurso, e desde que devidamente aceito. </w:t>
      </w:r>
    </w:p>
    <w:p w14:paraId="7997084D" w14:textId="77777777" w:rsidR="00415C94" w:rsidRPr="00415C94" w:rsidRDefault="00415C94" w:rsidP="00415C94">
      <w:pPr>
        <w:pStyle w:val="Nivel2"/>
        <w:numPr>
          <w:ilvl w:val="0"/>
          <w:numId w:val="0"/>
        </w:numPr>
        <w:spacing w:before="0" w:after="0" w:line="240" w:lineRule="auto"/>
        <w:rPr>
          <w:rFonts w:ascii="Times New Roman" w:hAnsi="Times New Roman" w:cs="Times New Roman"/>
          <w:color w:val="auto"/>
        </w:rPr>
      </w:pPr>
    </w:p>
    <w:p w14:paraId="74107F28" w14:textId="77777777" w:rsidR="002D501F" w:rsidRPr="00415C94" w:rsidRDefault="00162481" w:rsidP="003D1C73">
      <w:pPr>
        <w:pStyle w:val="Nivel2"/>
        <w:numPr>
          <w:ilvl w:val="1"/>
          <w:numId w:val="10"/>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A recusa do adjudicatário em assinar o contrato dentro do prazo estabelecido, permitirá a convocação dos licitantes remanescentes na ordem de classificação para o exercício do mesmo direito, sem prejuízo da aplicação das penalidades previstas em lei e neste edital.</w:t>
      </w:r>
    </w:p>
    <w:p w14:paraId="37EB2A20" w14:textId="77777777" w:rsidR="00BE09C4" w:rsidRPr="00415C94" w:rsidRDefault="00BE09C4" w:rsidP="003D1C73">
      <w:pPr>
        <w:pStyle w:val="Nivel2"/>
        <w:numPr>
          <w:ilvl w:val="0"/>
          <w:numId w:val="0"/>
        </w:numPr>
        <w:spacing w:before="0" w:after="0" w:line="240" w:lineRule="auto"/>
        <w:rPr>
          <w:rFonts w:ascii="Times New Roman" w:hAnsi="Times New Roman" w:cs="Times New Roman"/>
          <w:color w:val="auto"/>
        </w:rPr>
      </w:pPr>
    </w:p>
    <w:p w14:paraId="53BBEC8F" w14:textId="77777777" w:rsidR="002D501F" w:rsidRPr="00415C94" w:rsidRDefault="00162481" w:rsidP="003D1C73">
      <w:pPr>
        <w:pStyle w:val="Nivel01"/>
        <w:numPr>
          <w:ilvl w:val="0"/>
          <w:numId w:val="10"/>
        </w:numPr>
        <w:spacing w:before="0" w:after="0" w:line="240" w:lineRule="auto"/>
        <w:ind w:left="0" w:firstLine="0"/>
        <w:rPr>
          <w:sz w:val="20"/>
          <w:szCs w:val="20"/>
        </w:rPr>
      </w:pPr>
      <w:r w:rsidRPr="00415C94">
        <w:rPr>
          <w:sz w:val="20"/>
          <w:szCs w:val="20"/>
        </w:rPr>
        <w:t>DA MANUTENÇÃO DO EQUILÍBRIO ECONÔMICO-FINANCEIRO DO CONTRATO</w:t>
      </w:r>
    </w:p>
    <w:p w14:paraId="6B6F091B" w14:textId="77777777" w:rsidR="00162481" w:rsidRPr="00415C94" w:rsidRDefault="00162481" w:rsidP="003D1C73">
      <w:pPr>
        <w:pStyle w:val="Nivel01"/>
        <w:numPr>
          <w:ilvl w:val="1"/>
          <w:numId w:val="10"/>
        </w:numPr>
        <w:spacing w:before="0" w:after="0" w:line="240" w:lineRule="auto"/>
        <w:ind w:left="0" w:firstLine="0"/>
        <w:rPr>
          <w:rFonts w:eastAsiaTheme="minorEastAsia"/>
          <w:b w:val="0"/>
          <w:bCs w:val="0"/>
          <w:sz w:val="20"/>
          <w:szCs w:val="20"/>
          <w:lang w:eastAsia="pt-BR"/>
        </w:rPr>
      </w:pPr>
      <w:r w:rsidRPr="00415C94">
        <w:rPr>
          <w:rFonts w:eastAsiaTheme="minorEastAsia"/>
          <w:b w:val="0"/>
          <w:bCs w:val="0"/>
          <w:sz w:val="20"/>
          <w:szCs w:val="20"/>
          <w:lang w:eastAsia="pt-BR"/>
        </w:rPr>
        <w:t>Durante os primeiros 12 (doze) meses, contados da data do orçamento estimado, os preços pactuados para a execução do objeto permanecerão inalterados, ressalvadas as hipóteses legais de revisão para recomposição do equilíbrio econômico-financeiro.</w:t>
      </w:r>
    </w:p>
    <w:p w14:paraId="1DBD44E0" w14:textId="77777777" w:rsidR="00162481" w:rsidRPr="00415C94" w:rsidRDefault="00162481" w:rsidP="003D1C73">
      <w:pPr>
        <w:pStyle w:val="PargrafodaLista"/>
        <w:spacing w:after="0" w:line="240" w:lineRule="auto"/>
        <w:ind w:left="0"/>
        <w:rPr>
          <w:rFonts w:ascii="Times New Roman" w:hAnsi="Times New Roman" w:cs="Times New Roman"/>
          <w:sz w:val="20"/>
          <w:szCs w:val="20"/>
        </w:rPr>
      </w:pPr>
    </w:p>
    <w:p w14:paraId="010806CB" w14:textId="77777777" w:rsidR="00162481" w:rsidRPr="00415C94" w:rsidRDefault="00162481" w:rsidP="003D1C73">
      <w:pPr>
        <w:pStyle w:val="Nivel01"/>
        <w:numPr>
          <w:ilvl w:val="1"/>
          <w:numId w:val="10"/>
        </w:numPr>
        <w:spacing w:before="0" w:after="0" w:line="240" w:lineRule="auto"/>
        <w:ind w:left="0" w:firstLine="0"/>
        <w:rPr>
          <w:rFonts w:eastAsiaTheme="minorEastAsia"/>
          <w:b w:val="0"/>
          <w:bCs w:val="0"/>
          <w:sz w:val="20"/>
          <w:szCs w:val="20"/>
          <w:lang w:eastAsia="pt-BR"/>
        </w:rPr>
      </w:pPr>
      <w:r w:rsidRPr="00415C94">
        <w:rPr>
          <w:rFonts w:eastAsiaTheme="minorEastAsia"/>
          <w:b w:val="0"/>
          <w:bCs w:val="0"/>
          <w:sz w:val="20"/>
          <w:szCs w:val="20"/>
          <w:lang w:eastAsia="pt-BR"/>
        </w:rPr>
        <w:lastRenderedPageBreak/>
        <w:t xml:space="preserve">A partir do 13º mês, o contratado poderá solicitar anualmente o reajuste das parcelas do objeto ainda não executadas. O reajuste será calculado com base na variação acumulada do Índice Nacional de Preços ao Consumidor Amplo (INPC), apurado pelo Instituto Brasileiro de Geografia e Estatística (IBGE), no período de 12 (doze) meses imediatamente anterior à data da solicitação. </w:t>
      </w:r>
    </w:p>
    <w:p w14:paraId="2BF93CD0" w14:textId="77777777" w:rsidR="00162481" w:rsidRPr="00415C94" w:rsidRDefault="00162481" w:rsidP="003D1C73">
      <w:pPr>
        <w:spacing w:after="0" w:line="240" w:lineRule="auto"/>
        <w:rPr>
          <w:rFonts w:ascii="Times New Roman" w:hAnsi="Times New Roman" w:cs="Times New Roman"/>
          <w:sz w:val="20"/>
          <w:szCs w:val="20"/>
        </w:rPr>
      </w:pPr>
    </w:p>
    <w:p w14:paraId="139ED1B5" w14:textId="77777777" w:rsidR="00162481" w:rsidRPr="00415C94" w:rsidRDefault="00162481" w:rsidP="003D1C73">
      <w:pPr>
        <w:pStyle w:val="Nivel01"/>
        <w:numPr>
          <w:ilvl w:val="1"/>
          <w:numId w:val="10"/>
        </w:numPr>
        <w:spacing w:before="0" w:after="0" w:line="240" w:lineRule="auto"/>
        <w:ind w:left="0" w:firstLine="0"/>
        <w:rPr>
          <w:rFonts w:eastAsiaTheme="minorEastAsia"/>
          <w:b w:val="0"/>
          <w:bCs w:val="0"/>
          <w:sz w:val="20"/>
          <w:szCs w:val="20"/>
          <w:lang w:eastAsia="pt-BR"/>
        </w:rPr>
      </w:pPr>
      <w:r w:rsidRPr="00415C94">
        <w:rPr>
          <w:rFonts w:eastAsiaTheme="minorEastAsia"/>
          <w:b w:val="0"/>
          <w:bCs w:val="0"/>
          <w:sz w:val="20"/>
          <w:szCs w:val="20"/>
          <w:lang w:eastAsia="pt-BR"/>
        </w:rPr>
        <w:t>Havendo necessidade comprovada, o contrato poderá ser revisado para restabelecer sua exequibilidade em razão de eventos posteriores cujos riscos não tenham sido assumidos pelo contratado, nos termos da Lei nº 14.133/2021 e do Decreto Municipal nº 002/2024.</w:t>
      </w:r>
    </w:p>
    <w:p w14:paraId="4EDFB913" w14:textId="77777777" w:rsidR="00162481" w:rsidRPr="00415C94" w:rsidRDefault="00162481" w:rsidP="003D1C73">
      <w:pPr>
        <w:spacing w:after="0" w:line="240" w:lineRule="auto"/>
        <w:rPr>
          <w:rFonts w:ascii="Times New Roman" w:hAnsi="Times New Roman" w:cs="Times New Roman"/>
          <w:sz w:val="20"/>
          <w:szCs w:val="20"/>
        </w:rPr>
      </w:pPr>
    </w:p>
    <w:p w14:paraId="77CBE574" w14:textId="77777777" w:rsidR="00162481" w:rsidRPr="00415C94" w:rsidRDefault="00162481" w:rsidP="003D1C73">
      <w:pPr>
        <w:pStyle w:val="PargrafodaLista"/>
        <w:numPr>
          <w:ilvl w:val="1"/>
          <w:numId w:val="10"/>
        </w:numPr>
        <w:spacing w:after="0" w:line="240" w:lineRule="auto"/>
        <w:ind w:left="0" w:firstLine="0"/>
        <w:rPr>
          <w:rFonts w:ascii="Times New Roman" w:hAnsi="Times New Roman" w:cs="Times New Roman"/>
          <w:b/>
          <w:bCs/>
          <w:sz w:val="20"/>
          <w:szCs w:val="20"/>
        </w:rPr>
      </w:pPr>
      <w:r w:rsidRPr="00415C94">
        <w:rPr>
          <w:rFonts w:ascii="Times New Roman" w:hAnsi="Times New Roman" w:cs="Times New Roman"/>
          <w:sz w:val="20"/>
          <w:szCs w:val="20"/>
        </w:rPr>
        <w:t>A decisão sobre o pedido de revisão será proferida no prazo de até 45 (quarenta e cinco) dias, contados do protocolo do requerimento devidamente instruído com justificativas, planilhas, memória de cálculo e documentos comprobatórios.</w:t>
      </w:r>
    </w:p>
    <w:p w14:paraId="642E89AD" w14:textId="77777777" w:rsidR="00162481" w:rsidRPr="00415C94" w:rsidRDefault="00162481" w:rsidP="003D1C73">
      <w:pPr>
        <w:pStyle w:val="PargrafodaLista"/>
        <w:spacing w:after="0" w:line="240" w:lineRule="auto"/>
        <w:rPr>
          <w:rFonts w:ascii="Times New Roman" w:hAnsi="Times New Roman" w:cs="Times New Roman"/>
          <w:b/>
          <w:sz w:val="20"/>
          <w:szCs w:val="20"/>
        </w:rPr>
      </w:pPr>
    </w:p>
    <w:p w14:paraId="68649979" w14:textId="77777777" w:rsidR="00162481" w:rsidRPr="00415C94" w:rsidRDefault="00162481" w:rsidP="003D1C73">
      <w:pPr>
        <w:pStyle w:val="PargrafodaLista"/>
        <w:numPr>
          <w:ilvl w:val="0"/>
          <w:numId w:val="10"/>
        </w:numPr>
        <w:spacing w:after="0" w:line="240" w:lineRule="auto"/>
        <w:ind w:left="0" w:firstLine="0"/>
        <w:rPr>
          <w:rFonts w:ascii="Times New Roman" w:hAnsi="Times New Roman" w:cs="Times New Roman"/>
          <w:b/>
          <w:bCs/>
          <w:sz w:val="20"/>
          <w:szCs w:val="20"/>
        </w:rPr>
      </w:pPr>
      <w:r w:rsidRPr="00415C94">
        <w:rPr>
          <w:rFonts w:ascii="Times New Roman" w:hAnsi="Times New Roman" w:cs="Times New Roman"/>
          <w:b/>
          <w:sz w:val="20"/>
          <w:szCs w:val="20"/>
        </w:rPr>
        <w:t xml:space="preserve">MODELO DE GESTÃO E DE EXECUÇÃO DO CONTRATO </w:t>
      </w:r>
    </w:p>
    <w:p w14:paraId="766098CF" w14:textId="77777777" w:rsidR="00162481" w:rsidRPr="00415C94" w:rsidRDefault="00162481" w:rsidP="003D1C73">
      <w:pPr>
        <w:pStyle w:val="PargrafodaLista"/>
        <w:numPr>
          <w:ilvl w:val="1"/>
          <w:numId w:val="10"/>
        </w:numPr>
        <w:spacing w:after="0" w:line="240" w:lineRule="auto"/>
        <w:ind w:left="0" w:firstLine="0"/>
        <w:rPr>
          <w:rFonts w:ascii="Times New Roman" w:hAnsi="Times New Roman" w:cs="Times New Roman"/>
          <w:sz w:val="20"/>
          <w:szCs w:val="20"/>
        </w:rPr>
      </w:pPr>
      <w:r w:rsidRPr="00415C94">
        <w:rPr>
          <w:rFonts w:ascii="Times New Roman" w:hAnsi="Times New Roman" w:cs="Times New Roman"/>
          <w:sz w:val="20"/>
          <w:szCs w:val="20"/>
        </w:rPr>
        <w:t>O regime de execução, forma de fornecimento, modelo de gestão e de execução do contrato constam no termo de referência deste edital e minuta do contrato.</w:t>
      </w:r>
    </w:p>
    <w:p w14:paraId="72D345F1" w14:textId="77777777" w:rsidR="000D64AA" w:rsidRPr="00415C94" w:rsidRDefault="000D64AA" w:rsidP="003D1C73">
      <w:pPr>
        <w:pStyle w:val="PargrafodaLista"/>
        <w:spacing w:after="0" w:line="240" w:lineRule="auto"/>
        <w:rPr>
          <w:rFonts w:ascii="Times New Roman" w:hAnsi="Times New Roman" w:cs="Times New Roman"/>
          <w:sz w:val="20"/>
          <w:szCs w:val="20"/>
        </w:rPr>
      </w:pPr>
    </w:p>
    <w:p w14:paraId="2E2F1B6C" w14:textId="77777777" w:rsidR="00162481" w:rsidRPr="00415C94" w:rsidRDefault="00162481" w:rsidP="003D1C73">
      <w:pPr>
        <w:spacing w:after="0" w:line="240" w:lineRule="auto"/>
        <w:rPr>
          <w:rFonts w:ascii="Times New Roman" w:hAnsi="Times New Roman" w:cs="Times New Roman"/>
          <w:b/>
          <w:sz w:val="20"/>
          <w:szCs w:val="20"/>
        </w:rPr>
      </w:pPr>
      <w:r w:rsidRPr="00415C94">
        <w:rPr>
          <w:rFonts w:ascii="Times New Roman" w:hAnsi="Times New Roman" w:cs="Times New Roman"/>
          <w:b/>
          <w:sz w:val="20"/>
          <w:szCs w:val="20"/>
        </w:rPr>
        <w:t>18. DO RECEBIMENTO E DO PAGAMENTO</w:t>
      </w:r>
    </w:p>
    <w:p w14:paraId="603BD539" w14:textId="77777777" w:rsidR="00162481" w:rsidRPr="00415C94" w:rsidRDefault="00162481"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18.1. As disposições relativas à forma e ao prazo de pagamento constam no Termo de Referência deste Edital e na minuta do contrato.</w:t>
      </w:r>
    </w:p>
    <w:p w14:paraId="726FE77C" w14:textId="77777777" w:rsidR="00162481" w:rsidRPr="00415C94" w:rsidRDefault="00162481"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18.2. As notas fiscais deverão ser protocoladas pelo contratado com o assunto “Entrega de Nota Fiscal para Liquidação” através do e-mail financeiro@goioxim.pr.gov.br.</w:t>
      </w:r>
    </w:p>
    <w:p w14:paraId="4A1082F2" w14:textId="77777777" w:rsidR="00162481" w:rsidRPr="00415C94" w:rsidRDefault="00162481"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18.3. Os gestores e fiscais serão formalmente designados por cada Secretaria requisitante na ocasião da celebração do contrato ou emissão do instrumento equivalente.</w:t>
      </w:r>
    </w:p>
    <w:p w14:paraId="767C6457" w14:textId="77777777" w:rsidR="00162481" w:rsidRPr="00415C94" w:rsidRDefault="00162481"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18.4. O recebimento provisório, ainda que o contrato seja substituído por instrumento hábil na forma do art. 95 da Lei nº 14.133/2021, será realizado pelo fiscal responsável pela unidade beneficiária.</w:t>
      </w:r>
    </w:p>
    <w:p w14:paraId="1D224310" w14:textId="77777777" w:rsidR="00162481" w:rsidRPr="00415C94" w:rsidRDefault="00162481"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18.5. O recebimento definitivo será realizado pelo gestor, pela comissão de recebimento ou pelo servidor formalmente designado pela respectiva Secretaria, observado o Termo de Referência.</w:t>
      </w:r>
    </w:p>
    <w:p w14:paraId="46736E31" w14:textId="77777777" w:rsidR="000D64AA" w:rsidRPr="00415C94" w:rsidRDefault="000D64AA" w:rsidP="003D1C73">
      <w:pPr>
        <w:spacing w:after="0" w:line="240" w:lineRule="auto"/>
        <w:jc w:val="both"/>
        <w:rPr>
          <w:rFonts w:ascii="Times New Roman" w:hAnsi="Times New Roman" w:cs="Times New Roman"/>
          <w:sz w:val="20"/>
          <w:szCs w:val="20"/>
        </w:rPr>
      </w:pPr>
    </w:p>
    <w:p w14:paraId="55571C2D" w14:textId="77777777" w:rsidR="002D501F" w:rsidRPr="00415C94" w:rsidRDefault="00162481" w:rsidP="003D1C73">
      <w:pPr>
        <w:pStyle w:val="Nivel01"/>
        <w:spacing w:before="0" w:after="0" w:line="240" w:lineRule="auto"/>
        <w:rPr>
          <w:sz w:val="20"/>
          <w:szCs w:val="20"/>
        </w:rPr>
      </w:pPr>
      <w:r w:rsidRPr="00415C94">
        <w:rPr>
          <w:sz w:val="20"/>
          <w:szCs w:val="20"/>
        </w:rPr>
        <w:t xml:space="preserve">19. </w:t>
      </w:r>
      <w:r w:rsidR="002D501F" w:rsidRPr="00415C94">
        <w:rPr>
          <w:sz w:val="20"/>
          <w:szCs w:val="20"/>
        </w:rPr>
        <w:t>DAS INFRAÇÕES ADMINISTRATIVAS E SANÇÕES</w:t>
      </w:r>
    </w:p>
    <w:p w14:paraId="09E0C40A" w14:textId="77777777" w:rsidR="002D501F" w:rsidRPr="00415C94" w:rsidRDefault="002D501F" w:rsidP="003D1C73">
      <w:pPr>
        <w:pStyle w:val="Nivel2"/>
        <w:numPr>
          <w:ilvl w:val="1"/>
          <w:numId w:val="16"/>
        </w:numPr>
        <w:spacing w:before="0" w:after="0" w:line="240" w:lineRule="auto"/>
        <w:rPr>
          <w:rFonts w:ascii="Times New Roman" w:hAnsi="Times New Roman" w:cs="Times New Roman"/>
          <w:color w:val="auto"/>
        </w:rPr>
      </w:pPr>
      <w:r w:rsidRPr="00415C94">
        <w:rPr>
          <w:rFonts w:ascii="Times New Roman" w:hAnsi="Times New Roman" w:cs="Times New Roman"/>
          <w:color w:val="auto"/>
        </w:rPr>
        <w:t xml:space="preserve">Comete infração administrativa, nos termos da lei, o licitante que, com dolo ou culpa: </w:t>
      </w:r>
    </w:p>
    <w:p w14:paraId="0ECD775F" w14:textId="77777777" w:rsidR="002D501F" w:rsidRPr="00415C94" w:rsidRDefault="00162481" w:rsidP="003D1C73">
      <w:pPr>
        <w:pStyle w:val="Nivel3"/>
        <w:numPr>
          <w:ilvl w:val="2"/>
          <w:numId w:val="16"/>
        </w:numPr>
        <w:spacing w:before="0" w:after="0" w:line="240" w:lineRule="auto"/>
        <w:ind w:left="0" w:firstLine="567"/>
        <w:rPr>
          <w:rFonts w:ascii="Times New Roman" w:hAnsi="Times New Roman" w:cs="Times New Roman"/>
          <w:color w:val="auto"/>
        </w:rPr>
      </w:pPr>
      <w:bookmarkStart w:id="8" w:name="_Hlk114652595"/>
      <w:r w:rsidRPr="00415C94">
        <w:rPr>
          <w:rFonts w:ascii="Times New Roman" w:hAnsi="Times New Roman" w:cs="Times New Roman"/>
          <w:color w:val="auto"/>
        </w:rPr>
        <w:t>Deixar de apresentar a documentação exigida no edital ou não entregar qualquer documento que tenha sido solicitado pelo pregoeiro durante o certame, inclusive a declaração unificada;</w:t>
      </w:r>
    </w:p>
    <w:p w14:paraId="7B6932C7"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bookmarkStart w:id="9" w:name="_Ref114668108"/>
      <w:r w:rsidRPr="00415C94">
        <w:rPr>
          <w:rFonts w:ascii="Times New Roman" w:hAnsi="Times New Roman" w:cs="Times New Roman"/>
          <w:color w:val="auto"/>
        </w:rPr>
        <w:t>Salvo em decorrência de fato superveniente devidamente justificado, não mantiver a proposta em especial quando:</w:t>
      </w:r>
      <w:bookmarkEnd w:id="9"/>
    </w:p>
    <w:p w14:paraId="0DCDF023"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 xml:space="preserve">não enviar a proposta adequada ao último lance ofertado ou após a negociação; </w:t>
      </w:r>
    </w:p>
    <w:p w14:paraId="30821B4C"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 xml:space="preserve">recusar-se a enviar o detalhamento da proposta quando exigível; </w:t>
      </w:r>
    </w:p>
    <w:p w14:paraId="0A5E0F60"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 xml:space="preserve">pedir para ser desclassificado quando encerrada a etapa competitiva; ou </w:t>
      </w:r>
    </w:p>
    <w:p w14:paraId="55808468"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deixar de apresentar catálogo, ficha técnica, manual ou documento do fabricante, quando exigido;</w:t>
      </w:r>
    </w:p>
    <w:p w14:paraId="3E645BE7"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apresentar proposta, documentação técnica ou produto em desacordo com as especificações do Edital;</w:t>
      </w:r>
    </w:p>
    <w:p w14:paraId="2B2689C1" w14:textId="77777777" w:rsidR="004B2EA2" w:rsidRPr="00415C94" w:rsidRDefault="004B2EA2" w:rsidP="003D1C73">
      <w:pPr>
        <w:pStyle w:val="Nivel4"/>
        <w:numPr>
          <w:ilvl w:val="0"/>
          <w:numId w:val="0"/>
        </w:numPr>
        <w:spacing w:before="0" w:after="0" w:line="240" w:lineRule="auto"/>
        <w:ind w:left="851"/>
        <w:rPr>
          <w:rFonts w:ascii="Times New Roman" w:hAnsi="Times New Roman" w:cs="Times New Roman"/>
        </w:rPr>
      </w:pPr>
    </w:p>
    <w:p w14:paraId="007F8CFB" w14:textId="77777777" w:rsidR="002D501F" w:rsidRPr="00415C94" w:rsidRDefault="002D501F" w:rsidP="003D1C73">
      <w:pPr>
        <w:pStyle w:val="Nivel3"/>
        <w:numPr>
          <w:ilvl w:val="2"/>
          <w:numId w:val="16"/>
        </w:numPr>
        <w:spacing w:before="0" w:after="0" w:line="240" w:lineRule="auto"/>
        <w:ind w:left="0" w:firstLine="0"/>
        <w:rPr>
          <w:rFonts w:ascii="Times New Roman" w:hAnsi="Times New Roman" w:cs="Times New Roman"/>
          <w:color w:val="auto"/>
        </w:rPr>
      </w:pPr>
      <w:bookmarkStart w:id="10" w:name="_Ref114668139"/>
      <w:r w:rsidRPr="00415C94">
        <w:rPr>
          <w:rFonts w:ascii="Times New Roman" w:hAnsi="Times New Roman" w:cs="Times New Roman"/>
          <w:color w:val="auto"/>
        </w:rPr>
        <w:t>não celebrar o contrato ou não entregar a documentação exigida para a contratação, quando convocado dentro do prazo de validade de sua proposta;</w:t>
      </w:r>
      <w:bookmarkEnd w:id="10"/>
    </w:p>
    <w:p w14:paraId="385020D2" w14:textId="77777777" w:rsidR="002D501F" w:rsidRPr="00415C94" w:rsidRDefault="002D501F" w:rsidP="003D1C73">
      <w:pPr>
        <w:pStyle w:val="Nivel4"/>
        <w:numPr>
          <w:ilvl w:val="3"/>
          <w:numId w:val="16"/>
        </w:numPr>
        <w:spacing w:before="0" w:after="0" w:line="240" w:lineRule="auto"/>
        <w:ind w:left="0" w:firstLine="567"/>
        <w:rPr>
          <w:rFonts w:ascii="Times New Roman" w:hAnsi="Times New Roman" w:cs="Times New Roman"/>
        </w:rPr>
      </w:pPr>
      <w:r w:rsidRPr="00415C94">
        <w:rPr>
          <w:rFonts w:ascii="Times New Roman" w:hAnsi="Times New Roman" w:cs="Times New Roman"/>
        </w:rPr>
        <w:t>recusar-se, sem justificativa, a assinar o contrato ou a ata de registro de preço, ou a aceitar ou retirar o instrumento equivalente no prazo estabelecido pela Administração;</w:t>
      </w:r>
    </w:p>
    <w:p w14:paraId="7507F580"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bookmarkStart w:id="11" w:name="_Ref114668249"/>
      <w:r w:rsidRPr="00415C94">
        <w:rPr>
          <w:rFonts w:ascii="Times New Roman" w:hAnsi="Times New Roman" w:cs="Times New Roman"/>
          <w:color w:val="auto"/>
        </w:rPr>
        <w:t>apresentar declaração ou documentação falsa exigida para o certame ou prestar declaração falsa durante a licitação</w:t>
      </w:r>
      <w:bookmarkEnd w:id="11"/>
    </w:p>
    <w:p w14:paraId="4D62134E"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bookmarkStart w:id="12" w:name="_Ref114668245"/>
      <w:r w:rsidRPr="00415C94">
        <w:rPr>
          <w:rFonts w:ascii="Times New Roman" w:hAnsi="Times New Roman" w:cs="Times New Roman"/>
          <w:color w:val="auto"/>
        </w:rPr>
        <w:t>fraudar a licitação</w:t>
      </w:r>
      <w:bookmarkEnd w:id="12"/>
    </w:p>
    <w:p w14:paraId="468B6F14"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bookmarkStart w:id="13" w:name="_Ref114668247"/>
      <w:r w:rsidRPr="00415C94">
        <w:rPr>
          <w:rFonts w:ascii="Times New Roman" w:hAnsi="Times New Roman" w:cs="Times New Roman"/>
          <w:color w:val="auto"/>
        </w:rPr>
        <w:t>comportar-se de modo inidôneo ou cometer fraude de qualquer natureza, em especial quando:</w:t>
      </w:r>
      <w:bookmarkEnd w:id="13"/>
    </w:p>
    <w:p w14:paraId="6E3120A3"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 xml:space="preserve">agir em conluio ou em desconformidade com a lei; </w:t>
      </w:r>
    </w:p>
    <w:p w14:paraId="6DBE0D44"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 xml:space="preserve">induzir deliberadamente a erro no julgamento; </w:t>
      </w:r>
    </w:p>
    <w:p w14:paraId="2F0FD3E1" w14:textId="77777777" w:rsidR="002D501F" w:rsidRPr="00415C94" w:rsidRDefault="002D501F" w:rsidP="003D1C73">
      <w:pPr>
        <w:pStyle w:val="Nivel4"/>
        <w:numPr>
          <w:ilvl w:val="3"/>
          <w:numId w:val="16"/>
        </w:numPr>
        <w:spacing w:before="0" w:after="0" w:line="240" w:lineRule="auto"/>
        <w:ind w:left="0" w:firstLine="851"/>
        <w:rPr>
          <w:rFonts w:ascii="Times New Roman" w:hAnsi="Times New Roman" w:cs="Times New Roman"/>
        </w:rPr>
      </w:pPr>
      <w:r w:rsidRPr="00415C94">
        <w:rPr>
          <w:rFonts w:ascii="Times New Roman" w:hAnsi="Times New Roman" w:cs="Times New Roman"/>
        </w:rPr>
        <w:t>apresentar catálogo, ficha técnica, declaração ou documento técnico falsificado, adulterado ou materialmente inverídico;</w:t>
      </w:r>
    </w:p>
    <w:p w14:paraId="0D40210E" w14:textId="77777777" w:rsidR="004B2EA2" w:rsidRPr="00415C94" w:rsidRDefault="004B2EA2" w:rsidP="003D1C73">
      <w:pPr>
        <w:pStyle w:val="Nivel4"/>
        <w:numPr>
          <w:ilvl w:val="0"/>
          <w:numId w:val="0"/>
        </w:numPr>
        <w:spacing w:before="0" w:after="0" w:line="240" w:lineRule="auto"/>
        <w:ind w:left="851"/>
        <w:rPr>
          <w:rFonts w:ascii="Times New Roman" w:hAnsi="Times New Roman" w:cs="Times New Roman"/>
        </w:rPr>
      </w:pPr>
    </w:p>
    <w:p w14:paraId="7040C00B" w14:textId="77777777" w:rsidR="002D501F" w:rsidRPr="00415C94" w:rsidRDefault="002D501F" w:rsidP="003D1C73">
      <w:pPr>
        <w:pStyle w:val="Nivel3"/>
        <w:numPr>
          <w:ilvl w:val="2"/>
          <w:numId w:val="16"/>
        </w:numPr>
        <w:spacing w:before="0" w:after="0" w:line="240" w:lineRule="auto"/>
        <w:ind w:left="0" w:firstLine="0"/>
        <w:rPr>
          <w:rFonts w:ascii="Times New Roman" w:hAnsi="Times New Roman" w:cs="Times New Roman"/>
          <w:color w:val="auto"/>
        </w:rPr>
      </w:pPr>
      <w:bookmarkStart w:id="14" w:name="_Ref114668251"/>
      <w:r w:rsidRPr="00415C94">
        <w:rPr>
          <w:rFonts w:ascii="Times New Roman" w:hAnsi="Times New Roman" w:cs="Times New Roman"/>
          <w:color w:val="auto"/>
        </w:rPr>
        <w:t>praticar atos ilícitos com vistas a frustrar os objetivos da licitação</w:t>
      </w:r>
      <w:bookmarkEnd w:id="14"/>
    </w:p>
    <w:p w14:paraId="7F145B68" w14:textId="77777777" w:rsidR="002D501F" w:rsidRPr="00415C94" w:rsidRDefault="002D501F" w:rsidP="003D1C73">
      <w:pPr>
        <w:pStyle w:val="Nivel3"/>
        <w:numPr>
          <w:ilvl w:val="2"/>
          <w:numId w:val="16"/>
        </w:numPr>
        <w:spacing w:before="0" w:after="0" w:line="240" w:lineRule="auto"/>
        <w:ind w:left="0" w:firstLine="0"/>
        <w:rPr>
          <w:rFonts w:ascii="Times New Roman" w:hAnsi="Times New Roman" w:cs="Times New Roman"/>
          <w:color w:val="auto"/>
        </w:rPr>
      </w:pPr>
      <w:bookmarkStart w:id="15" w:name="_Ref114668252"/>
      <w:r w:rsidRPr="00415C94">
        <w:rPr>
          <w:rFonts w:ascii="Times New Roman" w:hAnsi="Times New Roman" w:cs="Times New Roman"/>
          <w:color w:val="auto"/>
        </w:rPr>
        <w:t xml:space="preserve">praticar ato lesivo previsto no </w:t>
      </w:r>
      <w:hyperlink r:id="rId13" w:anchor="art5" w:history="1">
        <w:r w:rsidRPr="00415C94">
          <w:rPr>
            <w:rStyle w:val="Hyperlink"/>
            <w:rFonts w:ascii="Times New Roman" w:hAnsi="Times New Roman" w:cs="Times New Roman"/>
            <w:color w:val="auto"/>
          </w:rPr>
          <w:t>art. 5º da Lei n.º 12.846, de 2013</w:t>
        </w:r>
      </w:hyperlink>
      <w:r w:rsidRPr="00415C94">
        <w:rPr>
          <w:rFonts w:ascii="Times New Roman" w:hAnsi="Times New Roman" w:cs="Times New Roman"/>
          <w:color w:val="auto"/>
        </w:rPr>
        <w:t>.</w:t>
      </w:r>
      <w:bookmarkEnd w:id="15"/>
    </w:p>
    <w:p w14:paraId="4B0396E6" w14:textId="77777777" w:rsidR="004B2EA2" w:rsidRPr="00415C94" w:rsidRDefault="004B2EA2" w:rsidP="003D1C73">
      <w:pPr>
        <w:pStyle w:val="Nivel3"/>
        <w:numPr>
          <w:ilvl w:val="0"/>
          <w:numId w:val="0"/>
        </w:numPr>
        <w:spacing w:before="0" w:after="0" w:line="240" w:lineRule="auto"/>
        <w:rPr>
          <w:rFonts w:ascii="Times New Roman" w:hAnsi="Times New Roman" w:cs="Times New Roman"/>
          <w:color w:val="auto"/>
        </w:rPr>
      </w:pPr>
    </w:p>
    <w:bookmarkEnd w:id="8"/>
    <w:p w14:paraId="63C0C19B"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Com fulcro na </w:t>
      </w:r>
      <w:hyperlink r:id="rId14" w:history="1">
        <w:r w:rsidRPr="00415C94">
          <w:rPr>
            <w:rStyle w:val="Hyperlink"/>
            <w:rFonts w:ascii="Times New Roman" w:hAnsi="Times New Roman" w:cs="Times New Roman"/>
            <w:color w:val="auto"/>
          </w:rPr>
          <w:t>Lei nº 14.133, de 2021</w:t>
        </w:r>
      </w:hyperlink>
      <w:r w:rsidRPr="00415C94">
        <w:rPr>
          <w:rFonts w:ascii="Times New Roman" w:hAnsi="Times New Roman" w:cs="Times New Roman"/>
          <w:color w:val="auto"/>
        </w:rPr>
        <w:t xml:space="preserve">, a Administração poderá, garantida a prévia defesa, aplicar aos licitantes e/ou adjudicatários as seguintes sanções, sem prejuízo das responsabilidades civil e criminal: </w:t>
      </w:r>
    </w:p>
    <w:p w14:paraId="74D03F28"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 xml:space="preserve">advertência; </w:t>
      </w:r>
    </w:p>
    <w:p w14:paraId="7413D84A"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multa;</w:t>
      </w:r>
    </w:p>
    <w:p w14:paraId="385D8B57"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impedimento de licitar e contratar e</w:t>
      </w:r>
    </w:p>
    <w:p w14:paraId="77B75734"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declaração de inidoneidade para licitar ou contratar, enquanto perdurarem os motivos determinantes da punição ou até que seja promovida sua reabilitação perante a própria autoridade que aplicou a penalidade.</w:t>
      </w:r>
    </w:p>
    <w:p w14:paraId="4F99547C" w14:textId="77777777" w:rsidR="004B2EA2" w:rsidRPr="00415C94" w:rsidRDefault="004B2EA2" w:rsidP="003D1C73">
      <w:pPr>
        <w:pStyle w:val="Nivel3"/>
        <w:numPr>
          <w:ilvl w:val="0"/>
          <w:numId w:val="0"/>
        </w:numPr>
        <w:spacing w:before="0" w:after="0" w:line="240" w:lineRule="auto"/>
        <w:ind w:left="567"/>
        <w:rPr>
          <w:rFonts w:ascii="Times New Roman" w:hAnsi="Times New Roman" w:cs="Times New Roman"/>
          <w:color w:val="auto"/>
        </w:rPr>
      </w:pPr>
    </w:p>
    <w:p w14:paraId="484AF6C8"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Na aplicação das sanções serão considerados:</w:t>
      </w:r>
    </w:p>
    <w:p w14:paraId="7EEA3969"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a natureza e a gravidade da infração cometida.</w:t>
      </w:r>
    </w:p>
    <w:p w14:paraId="7AA95A6A"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as peculiaridades do caso concreto</w:t>
      </w:r>
    </w:p>
    <w:p w14:paraId="4DFE9CA7"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as circunstâncias agravantes ou atenuantes</w:t>
      </w:r>
    </w:p>
    <w:p w14:paraId="3BCC8E28"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os danos que dela provierem para a Administração Pública</w:t>
      </w:r>
    </w:p>
    <w:p w14:paraId="3176660E"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a implantação ou o aperfeiçoamento de programa de integridade, conforme normas e orientações dos órgãos de controle.</w:t>
      </w:r>
    </w:p>
    <w:p w14:paraId="2635F28A" w14:textId="77777777" w:rsidR="004B2EA2" w:rsidRPr="00415C94" w:rsidRDefault="004B2EA2" w:rsidP="003D1C73">
      <w:pPr>
        <w:pStyle w:val="Nivel3"/>
        <w:numPr>
          <w:ilvl w:val="0"/>
          <w:numId w:val="0"/>
        </w:numPr>
        <w:spacing w:before="0" w:after="0" w:line="240" w:lineRule="auto"/>
        <w:ind w:left="567"/>
        <w:rPr>
          <w:rFonts w:ascii="Times New Roman" w:hAnsi="Times New Roman" w:cs="Times New Roman"/>
          <w:color w:val="auto"/>
        </w:rPr>
      </w:pPr>
    </w:p>
    <w:p w14:paraId="7EA66E99"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 multa será recolhida em percentual de 0,5% a 30% incidente sobre o valor do contrato licitado, recolhida no prazo máximo de </w:t>
      </w:r>
      <w:r w:rsidRPr="00415C94">
        <w:rPr>
          <w:rFonts w:ascii="Times New Roman" w:hAnsi="Times New Roman" w:cs="Times New Roman"/>
          <w:b/>
          <w:bCs/>
          <w:color w:val="auto"/>
        </w:rPr>
        <w:t>10 (dez) dias</w:t>
      </w:r>
      <w:r w:rsidRPr="00415C94">
        <w:rPr>
          <w:rFonts w:ascii="Times New Roman" w:hAnsi="Times New Roman" w:cs="Times New Roman"/>
          <w:color w:val="auto"/>
        </w:rPr>
        <w:t xml:space="preserve"> úteis, a contar da comunicação oficial. </w:t>
      </w:r>
    </w:p>
    <w:p w14:paraId="51EDD4F3"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bookmarkStart w:id="16" w:name="_Hlk113876035"/>
      <w:r w:rsidRPr="00415C94">
        <w:rPr>
          <w:rFonts w:ascii="Times New Roman" w:hAnsi="Times New Roman" w:cs="Times New Roman"/>
          <w:color w:val="auto"/>
        </w:rPr>
        <w:t>Para as infrações previstas nos itens</w:t>
      </w:r>
      <w:bookmarkStart w:id="17" w:name="_Hlk157006610"/>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_Ref114668108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19.1.2</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_Ref114668139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19.1.3</w:t>
      </w:r>
      <w:r w:rsidRPr="00415C94">
        <w:rPr>
          <w:rFonts w:ascii="Times New Roman" w:hAnsi="Times New Roman" w:cs="Times New Roman"/>
          <w:color w:val="auto"/>
        </w:rPr>
        <w:fldChar w:fldCharType="end"/>
      </w:r>
      <w:bookmarkEnd w:id="17"/>
      <w:r w:rsidRPr="00415C94">
        <w:rPr>
          <w:rFonts w:ascii="Times New Roman" w:hAnsi="Times New Roman" w:cs="Times New Roman"/>
          <w:color w:val="auto"/>
        </w:rPr>
        <w:t>, a multa será de 0,5% a 15% do valor do contrato licitado.</w:t>
      </w:r>
    </w:p>
    <w:bookmarkEnd w:id="16"/>
    <w:p w14:paraId="2C0F4160" w14:textId="77777777" w:rsidR="002D501F" w:rsidRPr="00415C94" w:rsidRDefault="002D501F" w:rsidP="003D1C73">
      <w:pPr>
        <w:pStyle w:val="Nivel3"/>
        <w:numPr>
          <w:ilvl w:val="2"/>
          <w:numId w:val="16"/>
        </w:numPr>
        <w:spacing w:before="0" w:after="0" w:line="240" w:lineRule="auto"/>
        <w:ind w:left="0" w:firstLine="567"/>
        <w:rPr>
          <w:rFonts w:ascii="Times New Roman" w:hAnsi="Times New Roman" w:cs="Times New Roman"/>
          <w:color w:val="auto"/>
        </w:rPr>
      </w:pPr>
      <w:r w:rsidRPr="00415C94">
        <w:rPr>
          <w:rFonts w:ascii="Times New Roman" w:hAnsi="Times New Roman" w:cs="Times New Roman"/>
          <w:color w:val="auto"/>
        </w:rPr>
        <w:t xml:space="preserve">Para as infrações previstas nos itens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_Ref114668249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19.1.4</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_Ref114668245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19.1.5</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_Ref114668247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19.1.6</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_Ref114668251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19.1.7</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_Ref114668252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19.1.8</w:t>
      </w:r>
      <w:r w:rsidRPr="00415C94">
        <w:rPr>
          <w:rFonts w:ascii="Times New Roman" w:hAnsi="Times New Roman" w:cs="Times New Roman"/>
          <w:color w:val="auto"/>
        </w:rPr>
        <w:fldChar w:fldCharType="end"/>
      </w:r>
      <w:r w:rsidRPr="00415C94">
        <w:rPr>
          <w:rFonts w:ascii="Times New Roman" w:hAnsi="Times New Roman" w:cs="Times New Roman"/>
          <w:color w:val="auto"/>
        </w:rPr>
        <w:t>, a multa será de 15% a 30% do valor do contrato licitado.</w:t>
      </w:r>
    </w:p>
    <w:p w14:paraId="604BC435" w14:textId="77777777" w:rsidR="004B2EA2" w:rsidRPr="00415C94" w:rsidRDefault="004B2EA2" w:rsidP="003D1C73">
      <w:pPr>
        <w:pStyle w:val="Nivel3"/>
        <w:numPr>
          <w:ilvl w:val="0"/>
          <w:numId w:val="0"/>
        </w:numPr>
        <w:spacing w:before="0" w:after="0" w:line="240" w:lineRule="auto"/>
        <w:ind w:left="567"/>
        <w:rPr>
          <w:rFonts w:ascii="Times New Roman" w:hAnsi="Times New Roman" w:cs="Times New Roman"/>
          <w:color w:val="auto"/>
        </w:rPr>
      </w:pPr>
    </w:p>
    <w:p w14:paraId="55B31845"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As sanções de advertência, impedimento de licitar e contratar e declaração de inidoneidade para licitar ou contratar poderão ser aplicadas, cumulativamente ou não, à penalidade de multa.</w:t>
      </w:r>
    </w:p>
    <w:p w14:paraId="52B6E1F0"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4D0689FB"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Na aplicação da sanção de multa será facultada a defesa do interessado no prazo de 15 (quinze) dias úteis, contado da data de sua intimação.</w:t>
      </w:r>
    </w:p>
    <w:p w14:paraId="0EE83B34"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 sanção de impedimento de licitar e contratar será aplicada ao responsável em decorrência das infrações administrativas relacionadas nos itens,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_Ref114668108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19.1.2</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_Ref114668139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19.1.3</w:t>
      </w:r>
      <w:r w:rsidRPr="00415C94">
        <w:rPr>
          <w:rFonts w:ascii="Times New Roman" w:hAnsi="Times New Roman" w:cs="Times New Roman"/>
          <w:color w:val="auto"/>
        </w:rPr>
        <w:fldChar w:fldCharType="end"/>
      </w:r>
      <w:r w:rsidRPr="00415C94">
        <w:rPr>
          <w:rFonts w:ascii="Times New Roman" w:hAnsi="Times New Roman" w:cs="Times New Roman"/>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33E545"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27EF8ECA"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Poderá ser aplicada ao responsável a sanção de declaração de inidoneidade para licitar ou contratar, em decorrência da prática das infrações dispostas nos itens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_Ref114668249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19.1.4</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_Ref114668245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19.1.5</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_Ref114668247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19.1.6</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_Ref114668251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19.1.7</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_Ref114668252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19.1.8</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_Ref114668252 \r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19.1.8</w:t>
      </w:r>
      <w:r w:rsidRPr="00415C94">
        <w:rPr>
          <w:rFonts w:ascii="Times New Roman" w:hAnsi="Times New Roman" w:cs="Times New Roman"/>
          <w:color w:val="auto"/>
        </w:rPr>
        <w:fldChar w:fldCharType="end"/>
      </w:r>
      <w:r w:rsidRPr="00415C94">
        <w:rPr>
          <w:rFonts w:ascii="Times New Roman" w:hAnsi="Times New Roman" w:cs="Times New Roman"/>
          <w:color w:val="auto"/>
        </w:rPr>
        <w:t>, bem como pelas infrações administrativas previstas nos itens</w:t>
      </w:r>
      <w:r w:rsidR="0012468B" w:rsidRPr="00415C94">
        <w:rPr>
          <w:rFonts w:ascii="Times New Roman" w:hAnsi="Times New Roman" w:cs="Times New Roman"/>
          <w:color w:val="auto"/>
        </w:rPr>
        <w:t>,</w:t>
      </w:r>
      <w:r w:rsidR="000D64AA" w:rsidRPr="00415C94">
        <w:rPr>
          <w:rFonts w:ascii="Times New Roman" w:hAnsi="Times New Roman" w:cs="Times New Roman"/>
          <w:color w:val="auto"/>
        </w:rPr>
        <w:t xml:space="preserv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_Ref114668108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19.1.2</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e </w:t>
      </w:r>
      <w:r w:rsidRPr="00415C94">
        <w:rPr>
          <w:rFonts w:ascii="Times New Roman" w:hAnsi="Times New Roman" w:cs="Times New Roman"/>
          <w:color w:val="auto"/>
        </w:rPr>
        <w:fldChar w:fldCharType="begin"/>
      </w:r>
      <w:r w:rsidRPr="00415C94">
        <w:rPr>
          <w:rFonts w:ascii="Times New Roman" w:hAnsi="Times New Roman" w:cs="Times New Roman"/>
          <w:color w:val="auto"/>
        </w:rPr>
        <w:instrText xml:space="preserve"> REF _Ref114668139 \n \h  \* MERGEFORMAT </w:instrText>
      </w:r>
      <w:r w:rsidRPr="00415C94">
        <w:rPr>
          <w:rFonts w:ascii="Times New Roman" w:hAnsi="Times New Roman" w:cs="Times New Roman"/>
          <w:color w:val="auto"/>
        </w:rPr>
      </w:r>
      <w:r w:rsidRPr="00415C94">
        <w:rPr>
          <w:rFonts w:ascii="Times New Roman" w:hAnsi="Times New Roman" w:cs="Times New Roman"/>
          <w:color w:val="auto"/>
        </w:rPr>
        <w:fldChar w:fldCharType="separate"/>
      </w:r>
      <w:r w:rsidR="006B3661" w:rsidRPr="00415C94">
        <w:rPr>
          <w:rFonts w:ascii="Times New Roman" w:hAnsi="Times New Roman" w:cs="Times New Roman"/>
          <w:color w:val="auto"/>
        </w:rPr>
        <w:t>19.1.3</w:t>
      </w:r>
      <w:r w:rsidRPr="00415C94">
        <w:rPr>
          <w:rFonts w:ascii="Times New Roman" w:hAnsi="Times New Roman" w:cs="Times New Roman"/>
          <w:color w:val="auto"/>
        </w:rPr>
        <w:fldChar w:fldCharType="end"/>
      </w:r>
      <w:r w:rsidRPr="00415C94">
        <w:rPr>
          <w:rFonts w:ascii="Times New Roman" w:hAnsi="Times New Roman" w:cs="Times New Roman"/>
          <w:color w:val="auto"/>
        </w:rPr>
        <w:t xml:space="preserve"> que justifiquem a imposição de penalidade mais grave que a sanção de impedimento de licitar e contratar, cuja duração observará o prazo previsto no </w:t>
      </w:r>
      <w:hyperlink r:id="rId15" w:anchor="art156§5" w:history="1">
        <w:r w:rsidRPr="00415C94">
          <w:rPr>
            <w:rStyle w:val="Hyperlink"/>
            <w:rFonts w:ascii="Times New Roman" w:hAnsi="Times New Roman" w:cs="Times New Roman"/>
            <w:color w:val="auto"/>
          </w:rPr>
          <w:t>art. 156, §5º, da Lei n.º 14.133/2021</w:t>
        </w:r>
      </w:hyperlink>
      <w:r w:rsidR="004B2EA2" w:rsidRPr="00415C94">
        <w:rPr>
          <w:rStyle w:val="Hyperlink"/>
          <w:rFonts w:ascii="Times New Roman" w:hAnsi="Times New Roman" w:cs="Times New Roman"/>
          <w:color w:val="auto"/>
        </w:rPr>
        <w:t>.</w:t>
      </w:r>
    </w:p>
    <w:p w14:paraId="2C45A5A3"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06F03848"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A recusa injustificada do adjudicatário em assinar o contrato, aceitar a nota de empenho, a autorização de fornecimento ou retirar o instrumento equivalente no prazo estabelecido pela Administração caracterizará descumprimento total da obrigação assumida e o sujeitará às penalidades cabíveis.</w:t>
      </w:r>
    </w:p>
    <w:p w14:paraId="48ABE25F"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0518238B"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0A18347C"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5DA23A3C"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33A0EAB0"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3F582214"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201F53"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725E869F" w14:textId="77777777" w:rsidR="004B2EA2"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recurso e o pedido de reconsideração terão efeito suspensivo do ato ou da decisão recorrida até que sobrevenha decisão final da autoridade competente ou servidor designado para esta finalidade.</w:t>
      </w:r>
    </w:p>
    <w:p w14:paraId="2F5F68F0"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7A499DAB"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A aplicação das sanções previstas neste edital não exclui, em hipótese alguma, a obrigação de reparação integral dos danos causados.</w:t>
      </w:r>
    </w:p>
    <w:p w14:paraId="7532AB32" w14:textId="77777777" w:rsidR="004B2EA2" w:rsidRPr="00415C94" w:rsidRDefault="004B2EA2" w:rsidP="003D1C73">
      <w:pPr>
        <w:pStyle w:val="Nivel2"/>
        <w:numPr>
          <w:ilvl w:val="0"/>
          <w:numId w:val="0"/>
        </w:numPr>
        <w:spacing w:before="0" w:after="0" w:line="240" w:lineRule="auto"/>
        <w:rPr>
          <w:rFonts w:ascii="Times New Roman" w:hAnsi="Times New Roman" w:cs="Times New Roman"/>
          <w:color w:val="auto"/>
        </w:rPr>
      </w:pPr>
    </w:p>
    <w:p w14:paraId="33DE8398" w14:textId="77777777" w:rsidR="002D501F" w:rsidRPr="00415C94" w:rsidRDefault="002D501F" w:rsidP="003D1C73">
      <w:pPr>
        <w:pStyle w:val="Nivel01"/>
        <w:numPr>
          <w:ilvl w:val="0"/>
          <w:numId w:val="16"/>
        </w:numPr>
        <w:spacing w:before="0" w:after="0" w:line="240" w:lineRule="auto"/>
        <w:ind w:left="0" w:firstLine="0"/>
        <w:rPr>
          <w:sz w:val="20"/>
          <w:szCs w:val="20"/>
        </w:rPr>
      </w:pPr>
      <w:bookmarkStart w:id="18" w:name="_Toc135469236"/>
      <w:r w:rsidRPr="00415C94">
        <w:rPr>
          <w:sz w:val="20"/>
          <w:szCs w:val="20"/>
        </w:rPr>
        <w:t>DAS DISPOSIÇÕES GERAIS</w:t>
      </w:r>
      <w:bookmarkEnd w:id="18"/>
    </w:p>
    <w:p w14:paraId="7A6B1D61" w14:textId="77777777" w:rsidR="004B2EA2" w:rsidRPr="00415C94" w:rsidRDefault="00162481" w:rsidP="003D1C73">
      <w:pPr>
        <w:pStyle w:val="Nivel2"/>
        <w:numPr>
          <w:ilvl w:val="1"/>
          <w:numId w:val="16"/>
        </w:numPr>
        <w:spacing w:before="0" w:after="0" w:line="240" w:lineRule="auto"/>
        <w:ind w:left="0" w:firstLine="0"/>
        <w:rPr>
          <w:rFonts w:ascii="Times New Roman" w:hAnsi="Times New Roman" w:cs="Times New Roman"/>
          <w:color w:val="auto"/>
        </w:rPr>
      </w:pPr>
      <w:bookmarkStart w:id="19" w:name="_Hlk82473550"/>
      <w:r w:rsidRPr="00415C94">
        <w:rPr>
          <w:rFonts w:ascii="Times New Roman" w:hAnsi="Times New Roman" w:cs="Times New Roman"/>
          <w:color w:val="auto"/>
        </w:rPr>
        <w:t>Será divulgado o termo de julgamento no sistema eletrônico e no sitio eletrônico oficial do Município;</w:t>
      </w:r>
    </w:p>
    <w:p w14:paraId="7A531728"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Todas as referências de tempo no Edital, no aviso e durante a sessão pública observarão o horário de Brasília - DF.</w:t>
      </w:r>
    </w:p>
    <w:p w14:paraId="60AC62B9" w14:textId="77777777" w:rsidR="002D501F" w:rsidRPr="00415C94" w:rsidRDefault="00162481"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Na contagem dos prazos estabelecidos neste edital e seus anexos, excluir-se-á o dia do início e incluir-se-á o do vencimento. Só se iniciam e vencem os prazos em dias de expediente na Administração.</w:t>
      </w:r>
    </w:p>
    <w:p w14:paraId="50544386"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AF503C"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1FA5DE7F" w14:textId="77777777" w:rsidR="002D501F" w:rsidRPr="00415C94" w:rsidRDefault="00162481"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licitante deverá comunicar imediatamente ao provedor do sistema qualquer acontecimento que possa comprometer o sigilo ou a segurança, para imediato bloqueio de acesso.</w:t>
      </w:r>
    </w:p>
    <w:p w14:paraId="395579AA" w14:textId="77777777" w:rsidR="002D501F" w:rsidRPr="00415C94" w:rsidRDefault="002D501F" w:rsidP="003D1C73">
      <w:pPr>
        <w:pStyle w:val="Nivel2"/>
        <w:numPr>
          <w:ilvl w:val="1"/>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O desatendimento de exigências formais não essenciais não importará o afastamento do licitante, desde que seja possível o aproveitamento do ato, observados os princípios da isonomia e do interesse público.</w:t>
      </w:r>
    </w:p>
    <w:p w14:paraId="1F294C32" w14:textId="77777777" w:rsidR="002D501F" w:rsidRPr="00415C94" w:rsidRDefault="002D501F" w:rsidP="003D1C73">
      <w:pPr>
        <w:pStyle w:val="Nivel2"/>
        <w:numPr>
          <w:ilvl w:val="1"/>
          <w:numId w:val="16"/>
        </w:numPr>
        <w:spacing w:before="0" w:after="0" w:line="240" w:lineRule="auto"/>
        <w:ind w:left="0" w:firstLine="0"/>
        <w:rPr>
          <w:rFonts w:ascii="Times New Roman" w:eastAsia="Times New Roman" w:hAnsi="Times New Roman" w:cs="Times New Roman"/>
          <w:color w:val="auto"/>
        </w:rPr>
      </w:pPr>
      <w:r w:rsidRPr="00415C94">
        <w:rPr>
          <w:rFonts w:ascii="Times New Roman" w:hAnsi="Times New Roman" w:cs="Times New Roman"/>
          <w:color w:val="auto"/>
        </w:rPr>
        <w:t>Em caso de divergência entre as disposições deste Edital e de seus anexos ou demais peças do processo, prevalecerão as disposições deste Edital, ressalvadas as especificações técnicas do Termo de Referência, que prevalecerão sobre descrições resumidas cadastradas no sistema eletrônico.</w:t>
      </w:r>
    </w:p>
    <w:p w14:paraId="0E5CE10D" w14:textId="77777777" w:rsidR="002D501F" w:rsidRPr="00415C94" w:rsidRDefault="002D501F" w:rsidP="003D1C73">
      <w:pPr>
        <w:pStyle w:val="Nivel3"/>
        <w:numPr>
          <w:ilvl w:val="2"/>
          <w:numId w:val="16"/>
        </w:numPr>
        <w:spacing w:before="0" w:after="0" w:line="240" w:lineRule="auto"/>
        <w:ind w:left="0" w:firstLine="0"/>
        <w:rPr>
          <w:rFonts w:ascii="Times New Roman" w:hAnsi="Times New Roman" w:cs="Times New Roman"/>
          <w:color w:val="auto"/>
        </w:rPr>
      </w:pPr>
      <w:r w:rsidRPr="00415C94">
        <w:rPr>
          <w:rFonts w:ascii="Times New Roman" w:hAnsi="Times New Roman" w:cs="Times New Roman"/>
          <w:color w:val="auto"/>
        </w:rPr>
        <w:t>Nos casos de divergência ou equívocos encontrados no edital no momento da sessão ou análise da documentação, o Agente de Contratação/Comissão de licitação poderá sanar os equívocos registrando em Ata e dando conhecimento a todos.</w:t>
      </w:r>
    </w:p>
    <w:p w14:paraId="1C325CC2" w14:textId="77777777" w:rsidR="002D501F" w:rsidRPr="00415C94" w:rsidRDefault="002D501F" w:rsidP="003D1C73">
      <w:pPr>
        <w:pStyle w:val="Nivel2"/>
        <w:numPr>
          <w:ilvl w:val="1"/>
          <w:numId w:val="16"/>
        </w:numPr>
        <w:spacing w:before="0" w:after="0" w:line="240" w:lineRule="auto"/>
        <w:ind w:left="0" w:firstLine="0"/>
        <w:rPr>
          <w:rFonts w:ascii="Times New Roman" w:eastAsia="Times New Roman" w:hAnsi="Times New Roman" w:cs="Times New Roman"/>
          <w:color w:val="auto"/>
        </w:rPr>
      </w:pPr>
      <w:r w:rsidRPr="00415C94">
        <w:rPr>
          <w:rFonts w:ascii="Times New Roman" w:hAnsi="Times New Roman" w:cs="Times New Roman"/>
          <w:color w:val="auto"/>
        </w:rPr>
        <w:t>O Edital e seus anexos estão disponíveis, na íntegra, no Portal Nacional de Contratações Públicas (PNCP), na plataforma LICITANET e no endereço eletrônico www.goioxim.pr.gov.br.</w:t>
      </w:r>
    </w:p>
    <w:p w14:paraId="531D3852" w14:textId="77777777" w:rsidR="002D501F" w:rsidRPr="00415C94" w:rsidRDefault="002D501F" w:rsidP="003D1C73">
      <w:pPr>
        <w:pStyle w:val="Nivel2"/>
        <w:numPr>
          <w:ilvl w:val="1"/>
          <w:numId w:val="16"/>
        </w:numPr>
        <w:spacing w:before="0" w:after="0" w:line="240" w:lineRule="auto"/>
        <w:ind w:left="0" w:firstLine="0"/>
        <w:rPr>
          <w:rFonts w:ascii="Times New Roman" w:eastAsia="Times New Roman" w:hAnsi="Times New Roman" w:cs="Times New Roman"/>
          <w:color w:val="auto"/>
        </w:rPr>
      </w:pPr>
      <w:r w:rsidRPr="00415C94">
        <w:rPr>
          <w:rFonts w:ascii="Times New Roman" w:hAnsi="Times New Roman" w:cs="Times New Roman"/>
          <w:color w:val="auto"/>
        </w:rPr>
        <w:t>Integram este Edital, para todos os fins e efeitos, os seguintes anexos:</w:t>
      </w:r>
    </w:p>
    <w:p w14:paraId="23068452" w14:textId="77777777" w:rsidR="00162481" w:rsidRPr="00415C94" w:rsidRDefault="00162481" w:rsidP="003D1C73">
      <w:pPr>
        <w:pStyle w:val="Nivel3"/>
        <w:numPr>
          <w:ilvl w:val="0"/>
          <w:numId w:val="0"/>
        </w:numPr>
        <w:spacing w:before="0" w:after="0" w:line="240" w:lineRule="auto"/>
        <w:jc w:val="center"/>
        <w:rPr>
          <w:rFonts w:ascii="Times New Roman" w:hAnsi="Times New Roman" w:cs="Times New Roman"/>
          <w:color w:val="auto"/>
        </w:rPr>
      </w:pPr>
      <w:r w:rsidRPr="00415C94">
        <w:rPr>
          <w:rFonts w:ascii="Times New Roman" w:hAnsi="Times New Roman" w:cs="Times New Roman"/>
          <w:color w:val="auto"/>
        </w:rPr>
        <w:t>ANEXO I - Termo de Referência</w:t>
      </w:r>
    </w:p>
    <w:p w14:paraId="4C0F1228" w14:textId="77777777" w:rsidR="0012468B" w:rsidRPr="00415C94" w:rsidRDefault="0012468B" w:rsidP="003D1C73">
      <w:pPr>
        <w:pStyle w:val="Nivel3"/>
        <w:numPr>
          <w:ilvl w:val="0"/>
          <w:numId w:val="0"/>
        </w:numPr>
        <w:spacing w:before="0" w:after="0" w:line="240" w:lineRule="auto"/>
        <w:jc w:val="center"/>
        <w:rPr>
          <w:rFonts w:ascii="Times New Roman" w:hAnsi="Times New Roman" w:cs="Times New Roman"/>
          <w:color w:val="auto"/>
        </w:rPr>
      </w:pPr>
      <w:r w:rsidRPr="00415C94">
        <w:rPr>
          <w:rFonts w:ascii="Times New Roman" w:hAnsi="Times New Roman" w:cs="Times New Roman"/>
          <w:color w:val="auto"/>
        </w:rPr>
        <w:t>Apêndice do Anexo I - Estudo Técnico Preliminar</w:t>
      </w:r>
    </w:p>
    <w:p w14:paraId="79387699" w14:textId="77777777" w:rsidR="00162481" w:rsidRPr="00415C94" w:rsidRDefault="00162481" w:rsidP="003D1C73">
      <w:pPr>
        <w:pStyle w:val="Nivel3"/>
        <w:numPr>
          <w:ilvl w:val="0"/>
          <w:numId w:val="0"/>
        </w:numPr>
        <w:spacing w:before="0" w:after="0" w:line="240" w:lineRule="auto"/>
        <w:jc w:val="center"/>
        <w:rPr>
          <w:rFonts w:ascii="Times New Roman" w:hAnsi="Times New Roman" w:cs="Times New Roman"/>
          <w:color w:val="auto"/>
        </w:rPr>
      </w:pPr>
      <w:r w:rsidRPr="00415C94">
        <w:rPr>
          <w:rFonts w:ascii="Times New Roman" w:hAnsi="Times New Roman" w:cs="Times New Roman"/>
          <w:color w:val="auto"/>
        </w:rPr>
        <w:t>ANEXO II - Modelo de proposta final</w:t>
      </w:r>
    </w:p>
    <w:p w14:paraId="062AC545" w14:textId="77777777" w:rsidR="00162481" w:rsidRPr="00415C94" w:rsidRDefault="00162481" w:rsidP="003D1C73">
      <w:pPr>
        <w:pStyle w:val="Nivel3"/>
        <w:numPr>
          <w:ilvl w:val="0"/>
          <w:numId w:val="0"/>
        </w:numPr>
        <w:spacing w:before="0" w:after="0" w:line="240" w:lineRule="auto"/>
        <w:jc w:val="center"/>
        <w:rPr>
          <w:rFonts w:ascii="Times New Roman" w:hAnsi="Times New Roman" w:cs="Times New Roman"/>
          <w:color w:val="auto"/>
        </w:rPr>
      </w:pPr>
      <w:r w:rsidRPr="00415C94">
        <w:rPr>
          <w:rFonts w:ascii="Times New Roman" w:hAnsi="Times New Roman" w:cs="Times New Roman"/>
          <w:color w:val="auto"/>
        </w:rPr>
        <w:t>ANEXO III - Minuta do contrato</w:t>
      </w:r>
    </w:p>
    <w:p w14:paraId="31DE9AF2" w14:textId="77777777" w:rsidR="00162481" w:rsidRPr="00415C94" w:rsidRDefault="00162481" w:rsidP="003D1C73">
      <w:pPr>
        <w:pStyle w:val="Nivel3"/>
        <w:numPr>
          <w:ilvl w:val="0"/>
          <w:numId w:val="0"/>
        </w:numPr>
        <w:spacing w:before="0" w:after="0" w:line="240" w:lineRule="auto"/>
        <w:jc w:val="center"/>
        <w:rPr>
          <w:rFonts w:ascii="Times New Roman" w:hAnsi="Times New Roman" w:cs="Times New Roman"/>
          <w:color w:val="auto"/>
        </w:rPr>
      </w:pPr>
      <w:r w:rsidRPr="00415C94">
        <w:rPr>
          <w:rFonts w:ascii="Times New Roman" w:hAnsi="Times New Roman" w:cs="Times New Roman"/>
          <w:color w:val="auto"/>
        </w:rPr>
        <w:t>ANEXO IV - Declaração unificada</w:t>
      </w:r>
    </w:p>
    <w:p w14:paraId="43EAF634" w14:textId="655845C4" w:rsidR="00415C94" w:rsidRDefault="004B2EA2" w:rsidP="003D1C73">
      <w:pPr>
        <w:spacing w:after="0" w:line="240" w:lineRule="auto"/>
        <w:jc w:val="both"/>
        <w:rPr>
          <w:rFonts w:ascii="Times New Roman" w:eastAsia="MS Mincho" w:hAnsi="Times New Roman" w:cs="Times New Roman"/>
          <w:sz w:val="20"/>
          <w:szCs w:val="20"/>
        </w:rPr>
      </w:pPr>
      <w:r w:rsidRPr="00415C94">
        <w:rPr>
          <w:rFonts w:ascii="Times New Roman" w:eastAsia="MS Mincho" w:hAnsi="Times New Roman" w:cs="Times New Roman"/>
          <w:sz w:val="20"/>
          <w:szCs w:val="20"/>
        </w:rPr>
        <w:t>Goioxim/PR, datado e assinado digitalmente por Flávio Balduino Soares, Agente de Contratação, designado pelo Decreto Municipal nº 024/2026.</w:t>
      </w:r>
    </w:p>
    <w:p w14:paraId="362C2B64" w14:textId="0073450C" w:rsidR="00F56293" w:rsidRPr="00F56293" w:rsidRDefault="00415C94" w:rsidP="00F56293">
      <w:pPr>
        <w:keepNext/>
        <w:spacing w:after="100"/>
        <w:jc w:val="center"/>
        <w:rPr>
          <w:rFonts w:ascii="Arial" w:hAnsi="Arial"/>
          <w:sz w:val="19"/>
        </w:rPr>
      </w:pPr>
      <w:r>
        <w:rPr>
          <w:rFonts w:ascii="Times New Roman" w:eastAsia="MS Mincho" w:hAnsi="Times New Roman" w:cs="Times New Roman"/>
          <w:sz w:val="20"/>
          <w:szCs w:val="20"/>
        </w:rPr>
        <w:br w:type="page"/>
      </w:r>
      <w:r w:rsidR="00F56293" w:rsidRPr="00F56293">
        <w:rPr>
          <w:rFonts w:ascii="Arial" w:eastAsia="Arial" w:hAnsi="Arial"/>
          <w:b/>
          <w:sz w:val="24"/>
        </w:rPr>
        <w:lastRenderedPageBreak/>
        <w:t>TERMO DE REFERÊNCIA</w:t>
      </w:r>
    </w:p>
    <w:p w14:paraId="5789667B"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1.</w:t>
      </w:r>
      <w:r w:rsidRPr="00F56293">
        <w:rPr>
          <w:rFonts w:ascii="Arial" w:eastAsia="Arial" w:hAnsi="Arial"/>
          <w:b/>
          <w:sz w:val="21"/>
        </w:rPr>
        <w:tab/>
        <w:t>DEFINIÇÃO DO OBJETO</w:t>
      </w:r>
    </w:p>
    <w:p w14:paraId="4D2D5DA4"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1.1.</w:t>
      </w:r>
      <w:r w:rsidRPr="00F56293">
        <w:rPr>
          <w:rFonts w:ascii="Arial" w:eastAsia="Arial" w:hAnsi="Arial"/>
          <w:sz w:val="19"/>
        </w:rPr>
        <w:t xml:space="preserve"> O objeto do presente instrumento é a aquisição de equipamentos, móveis, eletrodomésticos, materiais permanentes e itens de tecnologia destinados à estruturação e ao aprimoramento das atividades da Secretaria Municipal da Mulher, Pessoa Idosa e Igualdade Racial e da Secretaria Municipal de Saúde - Farmácia Municipal de Goioxim, mediante processo único, com julgamento pelo menor preço por item, conforme as especificações, quantidades e valores abaixo.</w:t>
      </w:r>
    </w:p>
    <w:p w14:paraId="606E3810"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1.2.</w:t>
      </w:r>
      <w:r w:rsidRPr="00F56293">
        <w:rPr>
          <w:rFonts w:ascii="Arial" w:eastAsia="Arial" w:hAnsi="Arial"/>
          <w:sz w:val="19"/>
        </w:rPr>
        <w:t xml:space="preserve"> A contratação compreende dois blocos de organização administrativa e orçamentária: o Bloco I, destinado à Secretaria Municipal da Mulher, Pessoa Idosa e Igualdade Racial, custeado com recursos da iniciativa “Estruturação da Gestão e da Rede de Proteção e Defesa de Direitos da Mulher - CAPITAL”, Deliberação nº 15/2025; e o Bloco II, destinado à Farmácia Municipal, custeado com recursos do Incentivo à Organização da Assistência Farmacêutica - IOAF.</w:t>
      </w:r>
    </w:p>
    <w:p w14:paraId="7F69B5B2" w14:textId="77777777" w:rsidR="00F56293" w:rsidRPr="00F56293" w:rsidRDefault="00F56293" w:rsidP="00F56293">
      <w:pPr>
        <w:spacing w:after="40" w:line="240" w:lineRule="auto"/>
        <w:jc w:val="both"/>
        <w:rPr>
          <w:rFonts w:ascii="Arial" w:hAnsi="Arial"/>
          <w:sz w:val="19"/>
        </w:rPr>
      </w:pPr>
    </w:p>
    <w:p w14:paraId="156C5F7C" w14:textId="77777777" w:rsidR="00F56293" w:rsidRPr="00F56293" w:rsidRDefault="00F56293" w:rsidP="00F56293">
      <w:pPr>
        <w:keepNext/>
        <w:spacing w:before="40" w:after="20" w:line="240" w:lineRule="auto"/>
        <w:rPr>
          <w:rFonts w:ascii="Arial" w:eastAsia="Arial" w:hAnsi="Arial"/>
          <w:b/>
          <w:sz w:val="19"/>
        </w:rPr>
      </w:pPr>
      <w:r w:rsidRPr="00F56293">
        <w:rPr>
          <w:rFonts w:ascii="Arial" w:eastAsia="Arial" w:hAnsi="Arial"/>
          <w:b/>
          <w:sz w:val="19"/>
        </w:rPr>
        <w:t>BLOCO I - SECRETARIA MUNICIPAL DA MULHER, PESSOA IDOSA E IGUALDADE RACIAL</w:t>
      </w:r>
    </w:p>
    <w:p w14:paraId="7997C839" w14:textId="77777777" w:rsidR="00F56293" w:rsidRPr="00F56293" w:rsidRDefault="00F56293" w:rsidP="00F56293">
      <w:pPr>
        <w:keepNext/>
        <w:spacing w:before="40" w:after="20" w:line="240" w:lineRule="auto"/>
        <w:rPr>
          <w:rFonts w:ascii="Arial" w:hAnsi="Arial"/>
          <w:sz w:val="19"/>
        </w:rPr>
      </w:pPr>
    </w:p>
    <w:tbl>
      <w:tblPr>
        <w:tblStyle w:val="Tabelacomgrade"/>
        <w:tblW w:w="5000" w:type="pct"/>
        <w:jc w:val="center"/>
        <w:tblLook w:val="04A0" w:firstRow="1" w:lastRow="0" w:firstColumn="1" w:lastColumn="0" w:noHBand="0" w:noVBand="1"/>
      </w:tblPr>
      <w:tblGrid>
        <w:gridCol w:w="454"/>
        <w:gridCol w:w="6301"/>
        <w:gridCol w:w="520"/>
        <w:gridCol w:w="520"/>
        <w:gridCol w:w="1168"/>
        <w:gridCol w:w="1232"/>
      </w:tblGrid>
      <w:tr w:rsidR="00F56293" w:rsidRPr="00F56293" w14:paraId="0E4D0699" w14:textId="77777777" w:rsidTr="00BA5924">
        <w:trPr>
          <w:cantSplit/>
          <w:tblHeader/>
          <w:jc w:val="center"/>
        </w:trPr>
        <w:tc>
          <w:tcPr>
            <w:tcW w:w="223" w:type="pct"/>
            <w:shd w:val="clear" w:color="auto" w:fill="D9E2F3"/>
            <w:tcMar>
              <w:top w:w="40" w:type="dxa"/>
              <w:left w:w="55" w:type="dxa"/>
              <w:bottom w:w="40" w:type="dxa"/>
              <w:right w:w="55" w:type="dxa"/>
            </w:tcMar>
            <w:vAlign w:val="center"/>
          </w:tcPr>
          <w:p w14:paraId="4EE92B0B"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Item</w:t>
            </w:r>
          </w:p>
        </w:tc>
        <w:tc>
          <w:tcPr>
            <w:tcW w:w="3090" w:type="pct"/>
            <w:shd w:val="clear" w:color="auto" w:fill="D9E2F3"/>
            <w:tcMar>
              <w:top w:w="40" w:type="dxa"/>
              <w:left w:w="55" w:type="dxa"/>
              <w:bottom w:w="40" w:type="dxa"/>
              <w:right w:w="55" w:type="dxa"/>
            </w:tcMar>
            <w:vAlign w:val="center"/>
          </w:tcPr>
          <w:p w14:paraId="6225140B" w14:textId="77777777" w:rsidR="00F56293" w:rsidRPr="00F56293" w:rsidRDefault="00F56293" w:rsidP="00F56293">
            <w:pPr>
              <w:spacing w:line="221" w:lineRule="auto"/>
              <w:jc w:val="both"/>
              <w:rPr>
                <w:rFonts w:ascii="Arial" w:hAnsi="Arial"/>
                <w:sz w:val="19"/>
              </w:rPr>
            </w:pPr>
            <w:r w:rsidRPr="00F56293">
              <w:rPr>
                <w:rFonts w:ascii="Arial" w:eastAsia="Arial" w:hAnsi="Arial"/>
                <w:b/>
                <w:sz w:val="14"/>
              </w:rPr>
              <w:t>Descrição/especificação mínima</w:t>
            </w:r>
          </w:p>
        </w:tc>
        <w:tc>
          <w:tcPr>
            <w:tcW w:w="255" w:type="pct"/>
            <w:shd w:val="clear" w:color="auto" w:fill="D9E2F3"/>
            <w:tcMar>
              <w:top w:w="40" w:type="dxa"/>
              <w:left w:w="55" w:type="dxa"/>
              <w:bottom w:w="40" w:type="dxa"/>
              <w:right w:w="55" w:type="dxa"/>
            </w:tcMar>
            <w:vAlign w:val="center"/>
          </w:tcPr>
          <w:p w14:paraId="437EDC09"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Un.</w:t>
            </w:r>
          </w:p>
        </w:tc>
        <w:tc>
          <w:tcPr>
            <w:tcW w:w="255" w:type="pct"/>
            <w:shd w:val="clear" w:color="auto" w:fill="D9E2F3"/>
            <w:tcMar>
              <w:top w:w="40" w:type="dxa"/>
              <w:left w:w="55" w:type="dxa"/>
              <w:bottom w:w="40" w:type="dxa"/>
              <w:right w:w="55" w:type="dxa"/>
            </w:tcMar>
            <w:vAlign w:val="center"/>
          </w:tcPr>
          <w:p w14:paraId="74CC30A4"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Qtd.</w:t>
            </w:r>
          </w:p>
        </w:tc>
        <w:tc>
          <w:tcPr>
            <w:tcW w:w="573" w:type="pct"/>
            <w:shd w:val="clear" w:color="auto" w:fill="D9E2F3"/>
            <w:tcMar>
              <w:top w:w="40" w:type="dxa"/>
              <w:left w:w="55" w:type="dxa"/>
              <w:bottom w:w="40" w:type="dxa"/>
              <w:right w:w="55" w:type="dxa"/>
            </w:tcMar>
            <w:vAlign w:val="center"/>
          </w:tcPr>
          <w:p w14:paraId="5872E895"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Valor unitário</w:t>
            </w:r>
          </w:p>
        </w:tc>
        <w:tc>
          <w:tcPr>
            <w:tcW w:w="605" w:type="pct"/>
            <w:shd w:val="clear" w:color="auto" w:fill="D9E2F3"/>
            <w:tcMar>
              <w:top w:w="40" w:type="dxa"/>
              <w:left w:w="55" w:type="dxa"/>
              <w:bottom w:w="40" w:type="dxa"/>
              <w:right w:w="55" w:type="dxa"/>
            </w:tcMar>
            <w:vAlign w:val="center"/>
          </w:tcPr>
          <w:p w14:paraId="4B517046"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Valor total</w:t>
            </w:r>
          </w:p>
        </w:tc>
      </w:tr>
      <w:tr w:rsidR="00F56293" w:rsidRPr="00F56293" w14:paraId="5772FCC2" w14:textId="77777777" w:rsidTr="00BA5924">
        <w:trPr>
          <w:cantSplit/>
          <w:jc w:val="center"/>
        </w:trPr>
        <w:tc>
          <w:tcPr>
            <w:tcW w:w="223" w:type="pct"/>
            <w:tcMar>
              <w:top w:w="40" w:type="dxa"/>
              <w:left w:w="55" w:type="dxa"/>
              <w:bottom w:w="40" w:type="dxa"/>
              <w:right w:w="55" w:type="dxa"/>
            </w:tcMar>
            <w:vAlign w:val="center"/>
          </w:tcPr>
          <w:p w14:paraId="3C02D4E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3090" w:type="pct"/>
            <w:tcMar>
              <w:top w:w="40" w:type="dxa"/>
              <w:left w:w="55" w:type="dxa"/>
              <w:bottom w:w="40" w:type="dxa"/>
              <w:right w:w="55" w:type="dxa"/>
            </w:tcMar>
            <w:vAlign w:val="center"/>
          </w:tcPr>
          <w:p w14:paraId="53AE7A08"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Notebook novo e em linha de produção, com processador Intel Core i5-13420H ou AMD/Intel equivalente ou superior, com no mínimo 8 núcleos e desempenho compatível; memória RAM mínima de 8 GB, expansível; SSD NVMe de 512 GB; tela de 15,6 polegadas, resolução Full HD, antirreflexo; teclado padrão ABNT2; webcam, microfone e alto-falantes integrados; Wi-Fi e Bluetooth; ao menos 1 porta HDMI, 2 portas USB-A e 1 porta USB-C; sistema operacional Windows 11 original, 64 bits, ou versão vigente equivalente; fonte/carregador, bateria e garantia mínima de 12 meses.</w:t>
            </w:r>
          </w:p>
        </w:tc>
        <w:tc>
          <w:tcPr>
            <w:tcW w:w="255" w:type="pct"/>
            <w:tcMar>
              <w:top w:w="40" w:type="dxa"/>
              <w:left w:w="55" w:type="dxa"/>
              <w:bottom w:w="40" w:type="dxa"/>
              <w:right w:w="55" w:type="dxa"/>
            </w:tcMar>
            <w:vAlign w:val="center"/>
          </w:tcPr>
          <w:p w14:paraId="678C761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129C6EB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05</w:t>
            </w:r>
          </w:p>
        </w:tc>
        <w:tc>
          <w:tcPr>
            <w:tcW w:w="573" w:type="pct"/>
            <w:tcMar>
              <w:top w:w="40" w:type="dxa"/>
              <w:left w:w="55" w:type="dxa"/>
              <w:bottom w:w="40" w:type="dxa"/>
              <w:right w:w="55" w:type="dxa"/>
            </w:tcMar>
            <w:vAlign w:val="center"/>
          </w:tcPr>
          <w:p w14:paraId="165001B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R$ 3.274,66</w:t>
            </w:r>
          </w:p>
        </w:tc>
        <w:tc>
          <w:tcPr>
            <w:tcW w:w="605" w:type="pct"/>
            <w:tcMar>
              <w:top w:w="40" w:type="dxa"/>
              <w:left w:w="55" w:type="dxa"/>
              <w:bottom w:w="40" w:type="dxa"/>
              <w:right w:w="55" w:type="dxa"/>
            </w:tcMar>
            <w:vAlign w:val="center"/>
          </w:tcPr>
          <w:p w14:paraId="165F0C9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R$ 16.373,30</w:t>
            </w:r>
          </w:p>
        </w:tc>
      </w:tr>
      <w:tr w:rsidR="00F56293" w:rsidRPr="00F56293" w14:paraId="4B58B450" w14:textId="77777777" w:rsidTr="00BA5924">
        <w:trPr>
          <w:cantSplit/>
          <w:jc w:val="center"/>
        </w:trPr>
        <w:tc>
          <w:tcPr>
            <w:tcW w:w="223" w:type="pct"/>
            <w:tcMar>
              <w:top w:w="40" w:type="dxa"/>
              <w:left w:w="55" w:type="dxa"/>
              <w:bottom w:w="40" w:type="dxa"/>
              <w:right w:w="55" w:type="dxa"/>
            </w:tcMar>
            <w:vAlign w:val="center"/>
          </w:tcPr>
          <w:p w14:paraId="71577AA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3090" w:type="pct"/>
            <w:tcMar>
              <w:top w:w="40" w:type="dxa"/>
              <w:left w:w="55" w:type="dxa"/>
              <w:bottom w:w="40" w:type="dxa"/>
              <w:right w:w="55" w:type="dxa"/>
            </w:tcMar>
            <w:vAlign w:val="center"/>
          </w:tcPr>
          <w:p w14:paraId="4408A917"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Impressora multifuncional colorida 3 em 1, nova, com funções de impressão, cópia e digitalização; tecnologia de tanque de tinta ou equivalente de baixo custo por página; conectividade USB, Wi-Fi e Wi-Fi Direct; compatibilidade com papel A4; resolução e velocidade compatíveis com uso administrativo; acompanhada do conjunto inicial original de tintas, cabos, drivers e garantia mínima de 12 meses.</w:t>
            </w:r>
          </w:p>
        </w:tc>
        <w:tc>
          <w:tcPr>
            <w:tcW w:w="255" w:type="pct"/>
            <w:tcMar>
              <w:top w:w="40" w:type="dxa"/>
              <w:left w:w="55" w:type="dxa"/>
              <w:bottom w:w="40" w:type="dxa"/>
              <w:right w:w="55" w:type="dxa"/>
            </w:tcMar>
            <w:vAlign w:val="center"/>
          </w:tcPr>
          <w:p w14:paraId="1B4BA42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FE5735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60869E2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R$ 1.478,67</w:t>
            </w:r>
          </w:p>
        </w:tc>
        <w:tc>
          <w:tcPr>
            <w:tcW w:w="605" w:type="pct"/>
            <w:tcMar>
              <w:top w:w="40" w:type="dxa"/>
              <w:left w:w="55" w:type="dxa"/>
              <w:bottom w:w="40" w:type="dxa"/>
              <w:right w:w="55" w:type="dxa"/>
            </w:tcMar>
            <w:vAlign w:val="center"/>
          </w:tcPr>
          <w:p w14:paraId="276E3E4C"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R$ 1.478,67</w:t>
            </w:r>
          </w:p>
        </w:tc>
      </w:tr>
      <w:tr w:rsidR="00F56293" w:rsidRPr="00F56293" w14:paraId="56AA405F" w14:textId="77777777" w:rsidTr="00BA5924">
        <w:trPr>
          <w:cantSplit/>
          <w:jc w:val="center"/>
        </w:trPr>
        <w:tc>
          <w:tcPr>
            <w:tcW w:w="223" w:type="pct"/>
            <w:tcMar>
              <w:top w:w="40" w:type="dxa"/>
              <w:left w:w="55" w:type="dxa"/>
              <w:bottom w:w="40" w:type="dxa"/>
              <w:right w:w="55" w:type="dxa"/>
            </w:tcMar>
            <w:vAlign w:val="center"/>
          </w:tcPr>
          <w:p w14:paraId="250A3E9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03</w:t>
            </w:r>
          </w:p>
        </w:tc>
        <w:tc>
          <w:tcPr>
            <w:tcW w:w="3090" w:type="pct"/>
            <w:tcMar>
              <w:top w:w="40" w:type="dxa"/>
              <w:left w:w="55" w:type="dxa"/>
              <w:bottom w:w="40" w:type="dxa"/>
              <w:right w:w="55" w:type="dxa"/>
            </w:tcMar>
            <w:vAlign w:val="center"/>
          </w:tcPr>
          <w:p w14:paraId="150F5B41"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Impressora multifuncional laser monocromática, nova, com impressão, cópia, digitalização e fax; impressão frente e verso automática; alimentador automático de documentos; velocidade mínima de 30 páginas por minuto em A4; conexão USB e de rede, preferencialmente Ethernet e Wi-Fi; bandeja para, no mínimo, 250 folhas; toner inicial, cabos, drivers e garantia mínima de 12 meses.</w:t>
            </w:r>
          </w:p>
        </w:tc>
        <w:tc>
          <w:tcPr>
            <w:tcW w:w="255" w:type="pct"/>
            <w:tcMar>
              <w:top w:w="40" w:type="dxa"/>
              <w:left w:w="55" w:type="dxa"/>
              <w:bottom w:w="40" w:type="dxa"/>
              <w:right w:w="55" w:type="dxa"/>
            </w:tcMar>
            <w:vAlign w:val="center"/>
          </w:tcPr>
          <w:p w14:paraId="092C9BE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0F65340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388A8F5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R$ 3.016,66</w:t>
            </w:r>
          </w:p>
        </w:tc>
        <w:tc>
          <w:tcPr>
            <w:tcW w:w="605" w:type="pct"/>
            <w:tcMar>
              <w:top w:w="40" w:type="dxa"/>
              <w:left w:w="55" w:type="dxa"/>
              <w:bottom w:w="40" w:type="dxa"/>
              <w:right w:w="55" w:type="dxa"/>
            </w:tcMar>
            <w:vAlign w:val="center"/>
          </w:tcPr>
          <w:p w14:paraId="36AAEF4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R$ 3.016,66</w:t>
            </w:r>
          </w:p>
        </w:tc>
      </w:tr>
      <w:tr w:rsidR="00F56293" w:rsidRPr="00F56293" w14:paraId="2ACD8496" w14:textId="77777777" w:rsidTr="00BA5924">
        <w:trPr>
          <w:cantSplit/>
          <w:jc w:val="center"/>
        </w:trPr>
        <w:tc>
          <w:tcPr>
            <w:tcW w:w="223" w:type="pct"/>
            <w:tcMar>
              <w:top w:w="40" w:type="dxa"/>
              <w:left w:w="55" w:type="dxa"/>
              <w:bottom w:w="40" w:type="dxa"/>
              <w:right w:w="55" w:type="dxa"/>
            </w:tcMar>
            <w:vAlign w:val="center"/>
          </w:tcPr>
          <w:p w14:paraId="5C74649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04</w:t>
            </w:r>
          </w:p>
        </w:tc>
        <w:tc>
          <w:tcPr>
            <w:tcW w:w="3090" w:type="pct"/>
            <w:tcMar>
              <w:top w:w="40" w:type="dxa"/>
              <w:left w:w="55" w:type="dxa"/>
              <w:bottom w:w="40" w:type="dxa"/>
              <w:right w:w="55" w:type="dxa"/>
            </w:tcMar>
            <w:vAlign w:val="center"/>
          </w:tcPr>
          <w:p w14:paraId="7843B3C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Mesa de escritório em formato L, própria para atendimento, confeccionada em MDF/MDP com espessura mínima de 17 mm, tampo resistente, bordas acabadas, passa-cabos e pés com sapatas niveladoras; dimensões aproximadas de 1,80 m x 1,40 m e altura mínima de 0,74 m; cor a definir; fornecimento com montagem completa no local.</w:t>
            </w:r>
          </w:p>
        </w:tc>
        <w:tc>
          <w:tcPr>
            <w:tcW w:w="255" w:type="pct"/>
            <w:tcMar>
              <w:top w:w="40" w:type="dxa"/>
              <w:left w:w="55" w:type="dxa"/>
              <w:bottom w:w="40" w:type="dxa"/>
              <w:right w:w="55" w:type="dxa"/>
            </w:tcMar>
            <w:vAlign w:val="center"/>
          </w:tcPr>
          <w:p w14:paraId="585562C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EBAC1F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3DAFBC2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R$ 823,73</w:t>
            </w:r>
          </w:p>
        </w:tc>
        <w:tc>
          <w:tcPr>
            <w:tcW w:w="605" w:type="pct"/>
            <w:tcMar>
              <w:top w:w="40" w:type="dxa"/>
              <w:left w:w="55" w:type="dxa"/>
              <w:bottom w:w="40" w:type="dxa"/>
              <w:right w:w="55" w:type="dxa"/>
            </w:tcMar>
            <w:vAlign w:val="center"/>
          </w:tcPr>
          <w:p w14:paraId="19D2107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R$ 823,73</w:t>
            </w:r>
          </w:p>
        </w:tc>
      </w:tr>
      <w:tr w:rsidR="00F56293" w:rsidRPr="00F56293" w14:paraId="52D67E3E" w14:textId="77777777" w:rsidTr="00BA5924">
        <w:trPr>
          <w:cantSplit/>
          <w:jc w:val="center"/>
        </w:trPr>
        <w:tc>
          <w:tcPr>
            <w:tcW w:w="223" w:type="pct"/>
            <w:tcMar>
              <w:top w:w="40" w:type="dxa"/>
              <w:left w:w="55" w:type="dxa"/>
              <w:bottom w:w="40" w:type="dxa"/>
              <w:right w:w="55" w:type="dxa"/>
            </w:tcMar>
            <w:vAlign w:val="center"/>
          </w:tcPr>
          <w:p w14:paraId="2964378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05</w:t>
            </w:r>
          </w:p>
        </w:tc>
        <w:tc>
          <w:tcPr>
            <w:tcW w:w="3090" w:type="pct"/>
            <w:tcMar>
              <w:top w:w="40" w:type="dxa"/>
              <w:left w:w="55" w:type="dxa"/>
              <w:bottom w:w="40" w:type="dxa"/>
              <w:right w:w="55" w:type="dxa"/>
            </w:tcMar>
            <w:vAlign w:val="center"/>
          </w:tcPr>
          <w:p w14:paraId="04B3D386"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Mesa para atendimento, confeccionada em MDF/MDP, com tampo de espessura mínima de 25 mm, dimensões aproximadas de 1,00 m x 0,60 m x 0,75 m, bordas acabadas e estrutura estável; cor a definir; fornecimento com montagem completa no local.</w:t>
            </w:r>
          </w:p>
        </w:tc>
        <w:tc>
          <w:tcPr>
            <w:tcW w:w="255" w:type="pct"/>
            <w:tcMar>
              <w:top w:w="40" w:type="dxa"/>
              <w:left w:w="55" w:type="dxa"/>
              <w:bottom w:w="40" w:type="dxa"/>
              <w:right w:w="55" w:type="dxa"/>
            </w:tcMar>
            <w:vAlign w:val="center"/>
          </w:tcPr>
          <w:p w14:paraId="01C6711C"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4EDDFD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03</w:t>
            </w:r>
          </w:p>
        </w:tc>
        <w:tc>
          <w:tcPr>
            <w:tcW w:w="573" w:type="pct"/>
            <w:tcMar>
              <w:top w:w="40" w:type="dxa"/>
              <w:left w:w="55" w:type="dxa"/>
              <w:bottom w:w="40" w:type="dxa"/>
              <w:right w:w="55" w:type="dxa"/>
            </w:tcMar>
            <w:vAlign w:val="center"/>
          </w:tcPr>
          <w:p w14:paraId="24B11C7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R$ 363,37</w:t>
            </w:r>
          </w:p>
        </w:tc>
        <w:tc>
          <w:tcPr>
            <w:tcW w:w="605" w:type="pct"/>
            <w:tcMar>
              <w:top w:w="40" w:type="dxa"/>
              <w:left w:w="55" w:type="dxa"/>
              <w:bottom w:w="40" w:type="dxa"/>
              <w:right w:w="55" w:type="dxa"/>
            </w:tcMar>
            <w:vAlign w:val="center"/>
          </w:tcPr>
          <w:p w14:paraId="399CE3A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R$ 1.090,11</w:t>
            </w:r>
          </w:p>
        </w:tc>
      </w:tr>
      <w:tr w:rsidR="00F56293" w:rsidRPr="00F56293" w14:paraId="742EB250" w14:textId="77777777" w:rsidTr="00BA5924">
        <w:trPr>
          <w:cantSplit/>
          <w:jc w:val="center"/>
        </w:trPr>
        <w:tc>
          <w:tcPr>
            <w:tcW w:w="223" w:type="pct"/>
            <w:tcMar>
              <w:top w:w="40" w:type="dxa"/>
              <w:left w:w="55" w:type="dxa"/>
              <w:bottom w:w="40" w:type="dxa"/>
              <w:right w:w="55" w:type="dxa"/>
            </w:tcMar>
            <w:vAlign w:val="center"/>
          </w:tcPr>
          <w:p w14:paraId="09B6050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06</w:t>
            </w:r>
          </w:p>
        </w:tc>
        <w:tc>
          <w:tcPr>
            <w:tcW w:w="3090" w:type="pct"/>
            <w:tcMar>
              <w:top w:w="40" w:type="dxa"/>
              <w:left w:w="55" w:type="dxa"/>
              <w:bottom w:w="40" w:type="dxa"/>
              <w:right w:w="55" w:type="dxa"/>
            </w:tcMar>
            <w:vAlign w:val="center"/>
          </w:tcPr>
          <w:p w14:paraId="26EC156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Cadeira de escritório giratória, base com cinco apoios em nylon ou material de resistência equivalente, rodízios, regulagem de altura por pistão a gás, apoio de braços, assento e encosto estofados, revestimento resistente e capacidade mínima de 110 kg; garantia mínima de 12 meses.</w:t>
            </w:r>
          </w:p>
        </w:tc>
        <w:tc>
          <w:tcPr>
            <w:tcW w:w="255" w:type="pct"/>
            <w:tcMar>
              <w:top w:w="40" w:type="dxa"/>
              <w:left w:w="55" w:type="dxa"/>
              <w:bottom w:w="40" w:type="dxa"/>
              <w:right w:w="55" w:type="dxa"/>
            </w:tcMar>
            <w:vAlign w:val="center"/>
          </w:tcPr>
          <w:p w14:paraId="49FE79F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4299FF9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03</w:t>
            </w:r>
          </w:p>
        </w:tc>
        <w:tc>
          <w:tcPr>
            <w:tcW w:w="573" w:type="pct"/>
            <w:tcMar>
              <w:top w:w="40" w:type="dxa"/>
              <w:left w:w="55" w:type="dxa"/>
              <w:bottom w:w="40" w:type="dxa"/>
              <w:right w:w="55" w:type="dxa"/>
            </w:tcMar>
            <w:vAlign w:val="center"/>
          </w:tcPr>
          <w:p w14:paraId="28EF8EF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R$ 370,33</w:t>
            </w:r>
          </w:p>
        </w:tc>
        <w:tc>
          <w:tcPr>
            <w:tcW w:w="605" w:type="pct"/>
            <w:tcMar>
              <w:top w:w="40" w:type="dxa"/>
              <w:left w:w="55" w:type="dxa"/>
              <w:bottom w:w="40" w:type="dxa"/>
              <w:right w:w="55" w:type="dxa"/>
            </w:tcMar>
            <w:vAlign w:val="center"/>
          </w:tcPr>
          <w:p w14:paraId="094D43C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R$ 1.110,99</w:t>
            </w:r>
          </w:p>
        </w:tc>
      </w:tr>
      <w:tr w:rsidR="00F56293" w:rsidRPr="00F56293" w14:paraId="1CD7336A" w14:textId="77777777" w:rsidTr="00BA5924">
        <w:trPr>
          <w:cantSplit/>
          <w:jc w:val="center"/>
        </w:trPr>
        <w:tc>
          <w:tcPr>
            <w:tcW w:w="223" w:type="pct"/>
            <w:tcMar>
              <w:top w:w="40" w:type="dxa"/>
              <w:left w:w="55" w:type="dxa"/>
              <w:bottom w:w="40" w:type="dxa"/>
              <w:right w:w="55" w:type="dxa"/>
            </w:tcMar>
            <w:vAlign w:val="center"/>
          </w:tcPr>
          <w:p w14:paraId="3E7B92A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07</w:t>
            </w:r>
          </w:p>
        </w:tc>
        <w:tc>
          <w:tcPr>
            <w:tcW w:w="3090" w:type="pct"/>
            <w:tcMar>
              <w:top w:w="40" w:type="dxa"/>
              <w:left w:w="55" w:type="dxa"/>
              <w:bottom w:w="40" w:type="dxa"/>
              <w:right w:w="55" w:type="dxa"/>
            </w:tcMar>
            <w:vAlign w:val="center"/>
          </w:tcPr>
          <w:p w14:paraId="25B630F1"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Armário multiuso para escritório, em MDF/MDP, com 2 portas, fechadura e chaves, no mínimo 3 prateleiras internas reguláveis, dimensões aproximadas de 1,60 m x 0,80 m x 0,42 m; cor a definir; fornecimento com montagem completa.</w:t>
            </w:r>
          </w:p>
        </w:tc>
        <w:tc>
          <w:tcPr>
            <w:tcW w:w="255" w:type="pct"/>
            <w:tcMar>
              <w:top w:w="40" w:type="dxa"/>
              <w:left w:w="55" w:type="dxa"/>
              <w:bottom w:w="40" w:type="dxa"/>
              <w:right w:w="55" w:type="dxa"/>
            </w:tcMar>
            <w:vAlign w:val="center"/>
          </w:tcPr>
          <w:p w14:paraId="5980555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2B56782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2F4CDEB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R$ 651,38</w:t>
            </w:r>
          </w:p>
        </w:tc>
        <w:tc>
          <w:tcPr>
            <w:tcW w:w="605" w:type="pct"/>
            <w:tcMar>
              <w:top w:w="40" w:type="dxa"/>
              <w:left w:w="55" w:type="dxa"/>
              <w:bottom w:w="40" w:type="dxa"/>
              <w:right w:w="55" w:type="dxa"/>
            </w:tcMar>
            <w:vAlign w:val="center"/>
          </w:tcPr>
          <w:p w14:paraId="3309DFB0"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R$ 1.302,76</w:t>
            </w:r>
          </w:p>
        </w:tc>
      </w:tr>
      <w:tr w:rsidR="00F56293" w:rsidRPr="00F56293" w14:paraId="3F322358" w14:textId="77777777" w:rsidTr="00BA5924">
        <w:trPr>
          <w:cantSplit/>
          <w:jc w:val="center"/>
        </w:trPr>
        <w:tc>
          <w:tcPr>
            <w:tcW w:w="223" w:type="pct"/>
            <w:tcMar>
              <w:top w:w="40" w:type="dxa"/>
              <w:left w:w="55" w:type="dxa"/>
              <w:bottom w:w="40" w:type="dxa"/>
              <w:right w:w="55" w:type="dxa"/>
            </w:tcMar>
            <w:vAlign w:val="center"/>
          </w:tcPr>
          <w:p w14:paraId="06DC2022"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08</w:t>
            </w:r>
          </w:p>
        </w:tc>
        <w:tc>
          <w:tcPr>
            <w:tcW w:w="3090" w:type="pct"/>
            <w:tcMar>
              <w:top w:w="40" w:type="dxa"/>
              <w:left w:w="55" w:type="dxa"/>
              <w:bottom w:w="40" w:type="dxa"/>
              <w:right w:w="55" w:type="dxa"/>
            </w:tcMar>
            <w:vAlign w:val="center"/>
          </w:tcPr>
          <w:p w14:paraId="45C97BC9"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Gaveteiro/arquivo para pastas suspensas, confeccionado em MDF/MDP, com 4 gavetas, corrediças resistentes, fechadura e chaves, dimensões aproximadas de 0,48 m x 0,47 m x 1,335 m; fornecimento com montagem completa.</w:t>
            </w:r>
          </w:p>
        </w:tc>
        <w:tc>
          <w:tcPr>
            <w:tcW w:w="255" w:type="pct"/>
            <w:tcMar>
              <w:top w:w="40" w:type="dxa"/>
              <w:left w:w="55" w:type="dxa"/>
              <w:bottom w:w="40" w:type="dxa"/>
              <w:right w:w="55" w:type="dxa"/>
            </w:tcMar>
            <w:vAlign w:val="center"/>
          </w:tcPr>
          <w:p w14:paraId="5D9EBA2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2D57D50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03</w:t>
            </w:r>
          </w:p>
        </w:tc>
        <w:tc>
          <w:tcPr>
            <w:tcW w:w="573" w:type="pct"/>
            <w:tcMar>
              <w:top w:w="40" w:type="dxa"/>
              <w:left w:w="55" w:type="dxa"/>
              <w:bottom w:w="40" w:type="dxa"/>
              <w:right w:w="55" w:type="dxa"/>
            </w:tcMar>
            <w:vAlign w:val="center"/>
          </w:tcPr>
          <w:p w14:paraId="1D94B1E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R$ 715,67</w:t>
            </w:r>
          </w:p>
        </w:tc>
        <w:tc>
          <w:tcPr>
            <w:tcW w:w="605" w:type="pct"/>
            <w:tcMar>
              <w:top w:w="40" w:type="dxa"/>
              <w:left w:w="55" w:type="dxa"/>
              <w:bottom w:w="40" w:type="dxa"/>
              <w:right w:w="55" w:type="dxa"/>
            </w:tcMar>
            <w:vAlign w:val="center"/>
          </w:tcPr>
          <w:p w14:paraId="6C7AD45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R$ 2.147,01</w:t>
            </w:r>
          </w:p>
        </w:tc>
      </w:tr>
      <w:tr w:rsidR="00F56293" w:rsidRPr="00F56293" w14:paraId="7ADF72C6" w14:textId="77777777" w:rsidTr="00BA5924">
        <w:trPr>
          <w:cantSplit/>
          <w:jc w:val="center"/>
        </w:trPr>
        <w:tc>
          <w:tcPr>
            <w:tcW w:w="223" w:type="pct"/>
            <w:tcMar>
              <w:top w:w="40" w:type="dxa"/>
              <w:left w:w="55" w:type="dxa"/>
              <w:bottom w:w="40" w:type="dxa"/>
              <w:right w:w="55" w:type="dxa"/>
            </w:tcMar>
            <w:vAlign w:val="center"/>
          </w:tcPr>
          <w:p w14:paraId="0182B0E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09</w:t>
            </w:r>
          </w:p>
        </w:tc>
        <w:tc>
          <w:tcPr>
            <w:tcW w:w="3090" w:type="pct"/>
            <w:tcMar>
              <w:top w:w="40" w:type="dxa"/>
              <w:left w:w="55" w:type="dxa"/>
              <w:bottom w:w="40" w:type="dxa"/>
              <w:right w:w="55" w:type="dxa"/>
            </w:tcMar>
            <w:vAlign w:val="center"/>
          </w:tcPr>
          <w:p w14:paraId="0DCA324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Mesa de reunião em MDF/MDP, tampo com espessura mínima de 25 mm, dimensões aproximadas de 1,80 m x 0,70 m x 0,75 m, com capacidade para 8 a 12 lugares, estrutura estável, bordas acabadas e montagem inclusa; cor a definir.</w:t>
            </w:r>
          </w:p>
        </w:tc>
        <w:tc>
          <w:tcPr>
            <w:tcW w:w="255" w:type="pct"/>
            <w:tcMar>
              <w:top w:w="40" w:type="dxa"/>
              <w:left w:w="55" w:type="dxa"/>
              <w:bottom w:w="40" w:type="dxa"/>
              <w:right w:w="55" w:type="dxa"/>
            </w:tcMar>
            <w:vAlign w:val="center"/>
          </w:tcPr>
          <w:p w14:paraId="20F8119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67C7582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658DE29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R$ 677,77</w:t>
            </w:r>
          </w:p>
        </w:tc>
        <w:tc>
          <w:tcPr>
            <w:tcW w:w="605" w:type="pct"/>
            <w:tcMar>
              <w:top w:w="40" w:type="dxa"/>
              <w:left w:w="55" w:type="dxa"/>
              <w:bottom w:w="40" w:type="dxa"/>
              <w:right w:w="55" w:type="dxa"/>
            </w:tcMar>
            <w:vAlign w:val="center"/>
          </w:tcPr>
          <w:p w14:paraId="0F3B8EBC"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R$ 677,77</w:t>
            </w:r>
          </w:p>
        </w:tc>
      </w:tr>
      <w:tr w:rsidR="00F56293" w:rsidRPr="00F56293" w14:paraId="52F67189" w14:textId="77777777" w:rsidTr="00BA5924">
        <w:trPr>
          <w:cantSplit/>
          <w:jc w:val="center"/>
        </w:trPr>
        <w:tc>
          <w:tcPr>
            <w:tcW w:w="223" w:type="pct"/>
            <w:tcMar>
              <w:top w:w="40" w:type="dxa"/>
              <w:left w:w="55" w:type="dxa"/>
              <w:bottom w:w="40" w:type="dxa"/>
              <w:right w:w="55" w:type="dxa"/>
            </w:tcMar>
            <w:vAlign w:val="center"/>
          </w:tcPr>
          <w:p w14:paraId="694303C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10</w:t>
            </w:r>
          </w:p>
        </w:tc>
        <w:tc>
          <w:tcPr>
            <w:tcW w:w="3090" w:type="pct"/>
            <w:tcMar>
              <w:top w:w="40" w:type="dxa"/>
              <w:left w:w="55" w:type="dxa"/>
              <w:bottom w:w="40" w:type="dxa"/>
              <w:right w:w="55" w:type="dxa"/>
            </w:tcMar>
            <w:vAlign w:val="center"/>
          </w:tcPr>
          <w:p w14:paraId="4AF4A7DC"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Cadeira fixa para adulto, sem braços, com quatro pernas e estrutura metálica resistente, assento e encosto em espuma injetada ou material de conforto equivalente, revestimento em couro sintético, tecido resistente ou similar, preferencialmente na cor preta; capacidade mínima de 110 kg e garantia mínima de 12 meses.</w:t>
            </w:r>
          </w:p>
        </w:tc>
        <w:tc>
          <w:tcPr>
            <w:tcW w:w="255" w:type="pct"/>
            <w:tcMar>
              <w:top w:w="40" w:type="dxa"/>
              <w:left w:w="55" w:type="dxa"/>
              <w:bottom w:w="40" w:type="dxa"/>
              <w:right w:w="55" w:type="dxa"/>
            </w:tcMar>
            <w:vAlign w:val="center"/>
          </w:tcPr>
          <w:p w14:paraId="26D8701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8514C5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55</w:t>
            </w:r>
          </w:p>
        </w:tc>
        <w:tc>
          <w:tcPr>
            <w:tcW w:w="573" w:type="pct"/>
            <w:tcMar>
              <w:top w:w="40" w:type="dxa"/>
              <w:left w:w="55" w:type="dxa"/>
              <w:bottom w:w="40" w:type="dxa"/>
              <w:right w:w="55" w:type="dxa"/>
            </w:tcMar>
            <w:vAlign w:val="center"/>
          </w:tcPr>
          <w:p w14:paraId="41EB917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R$ 208,07</w:t>
            </w:r>
          </w:p>
        </w:tc>
        <w:tc>
          <w:tcPr>
            <w:tcW w:w="605" w:type="pct"/>
            <w:tcMar>
              <w:top w:w="40" w:type="dxa"/>
              <w:left w:w="55" w:type="dxa"/>
              <w:bottom w:w="40" w:type="dxa"/>
              <w:right w:w="55" w:type="dxa"/>
            </w:tcMar>
            <w:vAlign w:val="center"/>
          </w:tcPr>
          <w:p w14:paraId="0538112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R$ 11.443,85</w:t>
            </w:r>
          </w:p>
        </w:tc>
      </w:tr>
      <w:tr w:rsidR="00F56293" w:rsidRPr="00F56293" w14:paraId="498F15C9" w14:textId="77777777" w:rsidTr="00BA5924">
        <w:trPr>
          <w:cantSplit/>
          <w:jc w:val="center"/>
        </w:trPr>
        <w:tc>
          <w:tcPr>
            <w:tcW w:w="223" w:type="pct"/>
            <w:tcMar>
              <w:top w:w="40" w:type="dxa"/>
              <w:left w:w="55" w:type="dxa"/>
              <w:bottom w:w="40" w:type="dxa"/>
              <w:right w:w="55" w:type="dxa"/>
            </w:tcMar>
            <w:vAlign w:val="center"/>
          </w:tcPr>
          <w:p w14:paraId="536E7E5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11</w:t>
            </w:r>
          </w:p>
        </w:tc>
        <w:tc>
          <w:tcPr>
            <w:tcW w:w="3090" w:type="pct"/>
            <w:tcMar>
              <w:top w:w="40" w:type="dxa"/>
              <w:left w:w="55" w:type="dxa"/>
              <w:bottom w:w="40" w:type="dxa"/>
              <w:right w:w="55" w:type="dxa"/>
            </w:tcMar>
            <w:vAlign w:val="center"/>
          </w:tcPr>
          <w:p w14:paraId="50F1CD2F"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Longarina para recepção com 3 lugares, estrutura em aço com acabamento anticorrosivo, assentos e encostos individuais em polipropileno, capacidade mínima de 120 kg por lugar, sapatas de proteção e cores a definir; garantia mínima de 12 meses.</w:t>
            </w:r>
          </w:p>
        </w:tc>
        <w:tc>
          <w:tcPr>
            <w:tcW w:w="255" w:type="pct"/>
            <w:tcMar>
              <w:top w:w="40" w:type="dxa"/>
              <w:left w:w="55" w:type="dxa"/>
              <w:bottom w:w="40" w:type="dxa"/>
              <w:right w:w="55" w:type="dxa"/>
            </w:tcMar>
            <w:vAlign w:val="center"/>
          </w:tcPr>
          <w:p w14:paraId="67596E6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6CED0F3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5D6E0B8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R$ 683,37</w:t>
            </w:r>
          </w:p>
        </w:tc>
        <w:tc>
          <w:tcPr>
            <w:tcW w:w="605" w:type="pct"/>
            <w:tcMar>
              <w:top w:w="40" w:type="dxa"/>
              <w:left w:w="55" w:type="dxa"/>
              <w:bottom w:w="40" w:type="dxa"/>
              <w:right w:w="55" w:type="dxa"/>
            </w:tcMar>
            <w:vAlign w:val="center"/>
          </w:tcPr>
          <w:p w14:paraId="61BDCDD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R$ 1.366,74</w:t>
            </w:r>
          </w:p>
        </w:tc>
      </w:tr>
      <w:tr w:rsidR="00F56293" w:rsidRPr="00F56293" w14:paraId="6E453BF8" w14:textId="77777777" w:rsidTr="00BA5924">
        <w:trPr>
          <w:cantSplit/>
          <w:jc w:val="center"/>
        </w:trPr>
        <w:tc>
          <w:tcPr>
            <w:tcW w:w="223" w:type="pct"/>
            <w:tcMar>
              <w:top w:w="40" w:type="dxa"/>
              <w:left w:w="55" w:type="dxa"/>
              <w:bottom w:w="40" w:type="dxa"/>
              <w:right w:w="55" w:type="dxa"/>
            </w:tcMar>
            <w:vAlign w:val="center"/>
          </w:tcPr>
          <w:p w14:paraId="1143A7F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12</w:t>
            </w:r>
          </w:p>
        </w:tc>
        <w:tc>
          <w:tcPr>
            <w:tcW w:w="3090" w:type="pct"/>
            <w:tcMar>
              <w:top w:w="40" w:type="dxa"/>
              <w:left w:w="55" w:type="dxa"/>
              <w:bottom w:w="40" w:type="dxa"/>
              <w:right w:w="55" w:type="dxa"/>
            </w:tcMar>
            <w:vAlign w:val="center"/>
          </w:tcPr>
          <w:p w14:paraId="6B8EC647"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Tela de projeção retrátil com tripé, dimensão nominal de 100 polegadas ou área de projeção aproximada de 1,80 m x 1,80 m, superfície branca fosca, bordas pretas, ajuste de altura e estojo metálico resistente; garantia mínima de 12 meses.</w:t>
            </w:r>
          </w:p>
        </w:tc>
        <w:tc>
          <w:tcPr>
            <w:tcW w:w="255" w:type="pct"/>
            <w:tcMar>
              <w:top w:w="40" w:type="dxa"/>
              <w:left w:w="55" w:type="dxa"/>
              <w:bottom w:w="40" w:type="dxa"/>
              <w:right w:w="55" w:type="dxa"/>
            </w:tcMar>
            <w:vAlign w:val="center"/>
          </w:tcPr>
          <w:p w14:paraId="5F598A0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0912031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130D788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R$ 557,84</w:t>
            </w:r>
          </w:p>
        </w:tc>
        <w:tc>
          <w:tcPr>
            <w:tcW w:w="605" w:type="pct"/>
            <w:tcMar>
              <w:top w:w="40" w:type="dxa"/>
              <w:left w:w="55" w:type="dxa"/>
              <w:bottom w:w="40" w:type="dxa"/>
              <w:right w:w="55" w:type="dxa"/>
            </w:tcMar>
            <w:vAlign w:val="center"/>
          </w:tcPr>
          <w:p w14:paraId="06D681F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R$ 557,84</w:t>
            </w:r>
          </w:p>
        </w:tc>
      </w:tr>
      <w:tr w:rsidR="00F56293" w:rsidRPr="00F56293" w14:paraId="73ED31DB" w14:textId="77777777" w:rsidTr="00BA5924">
        <w:trPr>
          <w:cantSplit/>
          <w:jc w:val="center"/>
        </w:trPr>
        <w:tc>
          <w:tcPr>
            <w:tcW w:w="223" w:type="pct"/>
            <w:tcMar>
              <w:top w:w="40" w:type="dxa"/>
              <w:left w:w="55" w:type="dxa"/>
              <w:bottom w:w="40" w:type="dxa"/>
              <w:right w:w="55" w:type="dxa"/>
            </w:tcMar>
            <w:vAlign w:val="center"/>
          </w:tcPr>
          <w:p w14:paraId="711A855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13</w:t>
            </w:r>
          </w:p>
        </w:tc>
        <w:tc>
          <w:tcPr>
            <w:tcW w:w="3090" w:type="pct"/>
            <w:tcMar>
              <w:top w:w="40" w:type="dxa"/>
              <w:left w:w="55" w:type="dxa"/>
              <w:bottom w:w="40" w:type="dxa"/>
              <w:right w:w="55" w:type="dxa"/>
            </w:tcMar>
            <w:vAlign w:val="center"/>
          </w:tcPr>
          <w:p w14:paraId="217B2CC2"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Projetor multimídia com tecnologia DLP, LCD ou equivalente, resolução nativa mínima XGA (1024 x 768), luminosidade mínima de 4.000 ANSI lumens, contraste mínimo de 10.000:1, entradas HDMI e USB, correção de trapézio, controle remoto, cabo de alimentação e garantia mínima de 12 meses.</w:t>
            </w:r>
          </w:p>
        </w:tc>
        <w:tc>
          <w:tcPr>
            <w:tcW w:w="255" w:type="pct"/>
            <w:tcMar>
              <w:top w:w="40" w:type="dxa"/>
              <w:left w:w="55" w:type="dxa"/>
              <w:bottom w:w="40" w:type="dxa"/>
              <w:right w:w="55" w:type="dxa"/>
            </w:tcMar>
            <w:vAlign w:val="center"/>
          </w:tcPr>
          <w:p w14:paraId="0D70DE9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E178DE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28ABFBB0"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R$ 2.990,00</w:t>
            </w:r>
          </w:p>
        </w:tc>
        <w:tc>
          <w:tcPr>
            <w:tcW w:w="605" w:type="pct"/>
            <w:tcMar>
              <w:top w:w="40" w:type="dxa"/>
              <w:left w:w="55" w:type="dxa"/>
              <w:bottom w:w="40" w:type="dxa"/>
              <w:right w:w="55" w:type="dxa"/>
            </w:tcMar>
            <w:vAlign w:val="center"/>
          </w:tcPr>
          <w:p w14:paraId="68E352D2"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R$ 2.990,00</w:t>
            </w:r>
          </w:p>
        </w:tc>
      </w:tr>
      <w:tr w:rsidR="00F56293" w:rsidRPr="00F56293" w14:paraId="7340B662" w14:textId="77777777" w:rsidTr="00BA5924">
        <w:trPr>
          <w:cantSplit/>
          <w:jc w:val="center"/>
        </w:trPr>
        <w:tc>
          <w:tcPr>
            <w:tcW w:w="223" w:type="pct"/>
            <w:tcMar>
              <w:top w:w="40" w:type="dxa"/>
              <w:left w:w="55" w:type="dxa"/>
              <w:bottom w:w="40" w:type="dxa"/>
              <w:right w:w="55" w:type="dxa"/>
            </w:tcMar>
            <w:vAlign w:val="center"/>
          </w:tcPr>
          <w:p w14:paraId="6D9E8A2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14</w:t>
            </w:r>
          </w:p>
        </w:tc>
        <w:tc>
          <w:tcPr>
            <w:tcW w:w="3090" w:type="pct"/>
            <w:tcMar>
              <w:top w:w="40" w:type="dxa"/>
              <w:left w:w="55" w:type="dxa"/>
              <w:bottom w:w="40" w:type="dxa"/>
              <w:right w:w="55" w:type="dxa"/>
            </w:tcMar>
            <w:vAlign w:val="center"/>
          </w:tcPr>
          <w:p w14:paraId="7626F413"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Smartphone novo, desbloqueado, com processador octa-core, memória RAM mínima de 6 GB, armazenamento interno mínimo de 128 GB, conexão 4G/5G, Wi-Fi, Bluetooth e USB-C, tela mínima de 6,4 polegadas, câmera frontal e traseira, bateria mínima de 5.000 mAh, sistema operacional atualizado e garantia mínima de 12 meses.</w:t>
            </w:r>
          </w:p>
        </w:tc>
        <w:tc>
          <w:tcPr>
            <w:tcW w:w="255" w:type="pct"/>
            <w:tcMar>
              <w:top w:w="40" w:type="dxa"/>
              <w:left w:w="55" w:type="dxa"/>
              <w:bottom w:w="40" w:type="dxa"/>
              <w:right w:w="55" w:type="dxa"/>
            </w:tcMar>
            <w:vAlign w:val="center"/>
          </w:tcPr>
          <w:p w14:paraId="4F6E6B1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A10659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4216502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R$ 1.427,67</w:t>
            </w:r>
          </w:p>
        </w:tc>
        <w:tc>
          <w:tcPr>
            <w:tcW w:w="605" w:type="pct"/>
            <w:tcMar>
              <w:top w:w="40" w:type="dxa"/>
              <w:left w:w="55" w:type="dxa"/>
              <w:bottom w:w="40" w:type="dxa"/>
              <w:right w:w="55" w:type="dxa"/>
            </w:tcMar>
            <w:vAlign w:val="center"/>
          </w:tcPr>
          <w:p w14:paraId="6D0EFE5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R$ 2.855,34</w:t>
            </w:r>
          </w:p>
        </w:tc>
      </w:tr>
      <w:tr w:rsidR="00F56293" w:rsidRPr="00F56293" w14:paraId="52D802E9" w14:textId="77777777" w:rsidTr="00BA5924">
        <w:trPr>
          <w:cantSplit/>
          <w:jc w:val="center"/>
        </w:trPr>
        <w:tc>
          <w:tcPr>
            <w:tcW w:w="223" w:type="pct"/>
            <w:tcMar>
              <w:top w:w="40" w:type="dxa"/>
              <w:left w:w="55" w:type="dxa"/>
              <w:bottom w:w="40" w:type="dxa"/>
              <w:right w:w="55" w:type="dxa"/>
            </w:tcMar>
            <w:vAlign w:val="center"/>
          </w:tcPr>
          <w:p w14:paraId="14A1B8D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lastRenderedPageBreak/>
              <w:t>15</w:t>
            </w:r>
          </w:p>
        </w:tc>
        <w:tc>
          <w:tcPr>
            <w:tcW w:w="3090" w:type="pct"/>
            <w:tcMar>
              <w:top w:w="40" w:type="dxa"/>
              <w:left w:w="55" w:type="dxa"/>
              <w:bottom w:w="40" w:type="dxa"/>
              <w:right w:w="55" w:type="dxa"/>
            </w:tcMar>
            <w:vAlign w:val="center"/>
          </w:tcPr>
          <w:p w14:paraId="1B3C4DCC"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Fogão a gás de 4 bocas, novo, com acendimento automático, mesa ou acabamento frontal em inox, forno com capacidade mínima aproximada de 50 litros, grades resistentes e tensão bivolt quando aplicável; garantia mínima de 12 meses.</w:t>
            </w:r>
          </w:p>
        </w:tc>
        <w:tc>
          <w:tcPr>
            <w:tcW w:w="255" w:type="pct"/>
            <w:tcMar>
              <w:top w:w="40" w:type="dxa"/>
              <w:left w:w="55" w:type="dxa"/>
              <w:bottom w:w="40" w:type="dxa"/>
              <w:right w:w="55" w:type="dxa"/>
            </w:tcMar>
            <w:vAlign w:val="center"/>
          </w:tcPr>
          <w:p w14:paraId="7381481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41B7E1B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465BF6D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R$ 721,27</w:t>
            </w:r>
          </w:p>
        </w:tc>
        <w:tc>
          <w:tcPr>
            <w:tcW w:w="605" w:type="pct"/>
            <w:tcMar>
              <w:top w:w="40" w:type="dxa"/>
              <w:left w:w="55" w:type="dxa"/>
              <w:bottom w:w="40" w:type="dxa"/>
              <w:right w:w="55" w:type="dxa"/>
            </w:tcMar>
            <w:vAlign w:val="center"/>
          </w:tcPr>
          <w:p w14:paraId="51194E2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R$ 721,27</w:t>
            </w:r>
          </w:p>
        </w:tc>
      </w:tr>
      <w:tr w:rsidR="00F56293" w:rsidRPr="00F56293" w14:paraId="32F784E0" w14:textId="77777777" w:rsidTr="00BA5924">
        <w:trPr>
          <w:cantSplit/>
          <w:jc w:val="center"/>
        </w:trPr>
        <w:tc>
          <w:tcPr>
            <w:tcW w:w="223" w:type="pct"/>
            <w:tcMar>
              <w:top w:w="40" w:type="dxa"/>
              <w:left w:w="55" w:type="dxa"/>
              <w:bottom w:w="40" w:type="dxa"/>
              <w:right w:w="55" w:type="dxa"/>
            </w:tcMar>
            <w:vAlign w:val="center"/>
          </w:tcPr>
          <w:p w14:paraId="43F48F3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16</w:t>
            </w:r>
          </w:p>
        </w:tc>
        <w:tc>
          <w:tcPr>
            <w:tcW w:w="3090" w:type="pct"/>
            <w:tcMar>
              <w:top w:w="40" w:type="dxa"/>
              <w:left w:w="55" w:type="dxa"/>
              <w:bottom w:w="40" w:type="dxa"/>
              <w:right w:w="55" w:type="dxa"/>
            </w:tcMar>
            <w:vAlign w:val="center"/>
          </w:tcPr>
          <w:p w14:paraId="18262FE2"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Geladeira duplex, 2 portas, capacidade líquida total mínima de 371 litros, sistema frost free, cor branca, tensão 127 V ou bivolt, eficiência energética classe A ou classificação vigente equivalente, prateleiras internas reguláveis e garantia mínima de 12 meses.</w:t>
            </w:r>
          </w:p>
        </w:tc>
        <w:tc>
          <w:tcPr>
            <w:tcW w:w="255" w:type="pct"/>
            <w:tcMar>
              <w:top w:w="40" w:type="dxa"/>
              <w:left w:w="55" w:type="dxa"/>
              <w:bottom w:w="40" w:type="dxa"/>
              <w:right w:w="55" w:type="dxa"/>
            </w:tcMar>
            <w:vAlign w:val="center"/>
          </w:tcPr>
          <w:p w14:paraId="0C07A5D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1C72713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6D6F113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R$ 2.713,33</w:t>
            </w:r>
          </w:p>
        </w:tc>
        <w:tc>
          <w:tcPr>
            <w:tcW w:w="605" w:type="pct"/>
            <w:tcMar>
              <w:top w:w="40" w:type="dxa"/>
              <w:left w:w="55" w:type="dxa"/>
              <w:bottom w:w="40" w:type="dxa"/>
              <w:right w:w="55" w:type="dxa"/>
            </w:tcMar>
            <w:vAlign w:val="center"/>
          </w:tcPr>
          <w:p w14:paraId="58F465F0"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R$ 2.713,33</w:t>
            </w:r>
          </w:p>
        </w:tc>
      </w:tr>
      <w:tr w:rsidR="00F56293" w:rsidRPr="00F56293" w14:paraId="3031AC0F" w14:textId="77777777" w:rsidTr="00BA5924">
        <w:trPr>
          <w:cantSplit/>
          <w:jc w:val="center"/>
        </w:trPr>
        <w:tc>
          <w:tcPr>
            <w:tcW w:w="223" w:type="pct"/>
            <w:tcMar>
              <w:top w:w="40" w:type="dxa"/>
              <w:left w:w="55" w:type="dxa"/>
              <w:bottom w:w="40" w:type="dxa"/>
              <w:right w:w="55" w:type="dxa"/>
            </w:tcMar>
            <w:vAlign w:val="center"/>
          </w:tcPr>
          <w:p w14:paraId="5CB1534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17</w:t>
            </w:r>
          </w:p>
        </w:tc>
        <w:tc>
          <w:tcPr>
            <w:tcW w:w="3090" w:type="pct"/>
            <w:tcMar>
              <w:top w:w="40" w:type="dxa"/>
              <w:left w:w="55" w:type="dxa"/>
              <w:bottom w:w="40" w:type="dxa"/>
              <w:right w:w="55" w:type="dxa"/>
            </w:tcMar>
            <w:vAlign w:val="center"/>
          </w:tcPr>
          <w:p w14:paraId="19D58738"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Armário aéreo para cozinha, com 3 portas, confeccionado em MDF/MDP, dimensões aproximadas de 28 cm de profundidade x 105 cm de largura x 50 cm de altura, ferragens resistentes, cor a definir e montagem inclusa.</w:t>
            </w:r>
          </w:p>
        </w:tc>
        <w:tc>
          <w:tcPr>
            <w:tcW w:w="255" w:type="pct"/>
            <w:tcMar>
              <w:top w:w="40" w:type="dxa"/>
              <w:left w:w="55" w:type="dxa"/>
              <w:bottom w:w="40" w:type="dxa"/>
              <w:right w:w="55" w:type="dxa"/>
            </w:tcMar>
            <w:vAlign w:val="center"/>
          </w:tcPr>
          <w:p w14:paraId="2FB1257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9F63F6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36EC67E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R$ 504,27</w:t>
            </w:r>
          </w:p>
        </w:tc>
        <w:tc>
          <w:tcPr>
            <w:tcW w:w="605" w:type="pct"/>
            <w:tcMar>
              <w:top w:w="40" w:type="dxa"/>
              <w:left w:w="55" w:type="dxa"/>
              <w:bottom w:w="40" w:type="dxa"/>
              <w:right w:w="55" w:type="dxa"/>
            </w:tcMar>
            <w:vAlign w:val="center"/>
          </w:tcPr>
          <w:p w14:paraId="265BF0C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R$ 504,27</w:t>
            </w:r>
          </w:p>
        </w:tc>
      </w:tr>
      <w:tr w:rsidR="00F56293" w:rsidRPr="00F56293" w14:paraId="0BCC2FCF" w14:textId="77777777" w:rsidTr="00BA5924">
        <w:trPr>
          <w:cantSplit/>
          <w:jc w:val="center"/>
        </w:trPr>
        <w:tc>
          <w:tcPr>
            <w:tcW w:w="223" w:type="pct"/>
            <w:tcMar>
              <w:top w:w="40" w:type="dxa"/>
              <w:left w:w="55" w:type="dxa"/>
              <w:bottom w:w="40" w:type="dxa"/>
              <w:right w:w="55" w:type="dxa"/>
            </w:tcMar>
            <w:vAlign w:val="center"/>
          </w:tcPr>
          <w:p w14:paraId="7CA28F2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18</w:t>
            </w:r>
          </w:p>
        </w:tc>
        <w:tc>
          <w:tcPr>
            <w:tcW w:w="3090" w:type="pct"/>
            <w:tcMar>
              <w:top w:w="40" w:type="dxa"/>
              <w:left w:w="55" w:type="dxa"/>
              <w:bottom w:w="40" w:type="dxa"/>
              <w:right w:w="55" w:type="dxa"/>
            </w:tcMar>
            <w:vAlign w:val="center"/>
          </w:tcPr>
          <w:p w14:paraId="035A542A"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Balcão de cozinha com cuba/pia em aço inox, estrutura em MDF/MDP, 3 portas e 2 gavetas, largura mínima de 1,20 m, tampo e ferragens resistentes, cor a definir; montagem e instalação inclusas, com ligação aos pontos hidráulicos e de esgoto existentes, sem obras civis estruturais.</w:t>
            </w:r>
          </w:p>
        </w:tc>
        <w:tc>
          <w:tcPr>
            <w:tcW w:w="255" w:type="pct"/>
            <w:tcMar>
              <w:top w:w="40" w:type="dxa"/>
              <w:left w:w="55" w:type="dxa"/>
              <w:bottom w:w="40" w:type="dxa"/>
              <w:right w:w="55" w:type="dxa"/>
            </w:tcMar>
            <w:vAlign w:val="center"/>
          </w:tcPr>
          <w:p w14:paraId="3B5B7AF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F88456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69DBF9D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R$ 866,90</w:t>
            </w:r>
          </w:p>
        </w:tc>
        <w:tc>
          <w:tcPr>
            <w:tcW w:w="605" w:type="pct"/>
            <w:tcMar>
              <w:top w:w="40" w:type="dxa"/>
              <w:left w:w="55" w:type="dxa"/>
              <w:bottom w:w="40" w:type="dxa"/>
              <w:right w:w="55" w:type="dxa"/>
            </w:tcMar>
            <w:vAlign w:val="center"/>
          </w:tcPr>
          <w:p w14:paraId="370D142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R$ 866,90</w:t>
            </w:r>
          </w:p>
        </w:tc>
      </w:tr>
      <w:tr w:rsidR="00F56293" w:rsidRPr="00F56293" w14:paraId="29384D92" w14:textId="77777777" w:rsidTr="00BA5924">
        <w:trPr>
          <w:cantSplit/>
          <w:jc w:val="center"/>
        </w:trPr>
        <w:tc>
          <w:tcPr>
            <w:tcW w:w="223" w:type="pct"/>
            <w:tcMar>
              <w:top w:w="40" w:type="dxa"/>
              <w:left w:w="55" w:type="dxa"/>
              <w:bottom w:w="40" w:type="dxa"/>
              <w:right w:w="55" w:type="dxa"/>
            </w:tcMar>
            <w:vAlign w:val="center"/>
          </w:tcPr>
          <w:p w14:paraId="3352DEC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19</w:t>
            </w:r>
          </w:p>
        </w:tc>
        <w:tc>
          <w:tcPr>
            <w:tcW w:w="3090" w:type="pct"/>
            <w:tcMar>
              <w:top w:w="40" w:type="dxa"/>
              <w:left w:w="55" w:type="dxa"/>
              <w:bottom w:w="40" w:type="dxa"/>
              <w:right w:w="55" w:type="dxa"/>
            </w:tcMar>
            <w:vAlign w:val="center"/>
          </w:tcPr>
          <w:p w14:paraId="0D397C8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Forno micro-ondas, novo, com capacidade aproximada de 30 litros, tensão 127 V ou bivolt, prato giratório, função descongelamento, relógio, painel de fácil operação, cor branca e garantia mínima de 12 meses.</w:t>
            </w:r>
          </w:p>
        </w:tc>
        <w:tc>
          <w:tcPr>
            <w:tcW w:w="255" w:type="pct"/>
            <w:tcMar>
              <w:top w:w="40" w:type="dxa"/>
              <w:left w:w="55" w:type="dxa"/>
              <w:bottom w:w="40" w:type="dxa"/>
              <w:right w:w="55" w:type="dxa"/>
            </w:tcMar>
            <w:vAlign w:val="center"/>
          </w:tcPr>
          <w:p w14:paraId="716BAAD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4A8541A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7535B91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R$ 774,93</w:t>
            </w:r>
          </w:p>
        </w:tc>
        <w:tc>
          <w:tcPr>
            <w:tcW w:w="605" w:type="pct"/>
            <w:tcMar>
              <w:top w:w="40" w:type="dxa"/>
              <w:left w:w="55" w:type="dxa"/>
              <w:bottom w:w="40" w:type="dxa"/>
              <w:right w:w="55" w:type="dxa"/>
            </w:tcMar>
            <w:vAlign w:val="center"/>
          </w:tcPr>
          <w:p w14:paraId="290B152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R$ 774,93</w:t>
            </w:r>
          </w:p>
        </w:tc>
      </w:tr>
      <w:tr w:rsidR="00F56293" w:rsidRPr="00F56293" w14:paraId="160DFAE5" w14:textId="77777777" w:rsidTr="00BA5924">
        <w:trPr>
          <w:cantSplit/>
          <w:jc w:val="center"/>
        </w:trPr>
        <w:tc>
          <w:tcPr>
            <w:tcW w:w="223" w:type="pct"/>
            <w:tcMar>
              <w:top w:w="40" w:type="dxa"/>
              <w:left w:w="55" w:type="dxa"/>
              <w:bottom w:w="40" w:type="dxa"/>
              <w:right w:w="55" w:type="dxa"/>
            </w:tcMar>
            <w:vAlign w:val="center"/>
          </w:tcPr>
          <w:p w14:paraId="700494E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20</w:t>
            </w:r>
          </w:p>
        </w:tc>
        <w:tc>
          <w:tcPr>
            <w:tcW w:w="3090" w:type="pct"/>
            <w:tcMar>
              <w:top w:w="40" w:type="dxa"/>
              <w:left w:w="55" w:type="dxa"/>
              <w:bottom w:w="40" w:type="dxa"/>
              <w:right w:w="55" w:type="dxa"/>
            </w:tcMar>
            <w:vAlign w:val="center"/>
          </w:tcPr>
          <w:p w14:paraId="7AD265D2"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Conjunto composto por 1 mesa com dimensões aproximadas de 1,40 m x 0,75 m, tampo e pés em granito, madeira ou material de resistência equivalente, acompanhado de 6 cadeiras estofadas, estrutura firme e acabamento adequado ao uso contínuo; montagem inclusa.</w:t>
            </w:r>
          </w:p>
        </w:tc>
        <w:tc>
          <w:tcPr>
            <w:tcW w:w="255" w:type="pct"/>
            <w:tcMar>
              <w:top w:w="40" w:type="dxa"/>
              <w:left w:w="55" w:type="dxa"/>
              <w:bottom w:w="40" w:type="dxa"/>
              <w:right w:w="55" w:type="dxa"/>
            </w:tcMar>
            <w:vAlign w:val="center"/>
          </w:tcPr>
          <w:p w14:paraId="749910C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2F25033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39F886D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R$ 1.413,33</w:t>
            </w:r>
          </w:p>
        </w:tc>
        <w:tc>
          <w:tcPr>
            <w:tcW w:w="605" w:type="pct"/>
            <w:tcMar>
              <w:top w:w="40" w:type="dxa"/>
              <w:left w:w="55" w:type="dxa"/>
              <w:bottom w:w="40" w:type="dxa"/>
              <w:right w:w="55" w:type="dxa"/>
            </w:tcMar>
            <w:vAlign w:val="center"/>
          </w:tcPr>
          <w:p w14:paraId="0E5961E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R$ 1.413,33</w:t>
            </w:r>
          </w:p>
        </w:tc>
      </w:tr>
      <w:tr w:rsidR="00F56293" w:rsidRPr="00F56293" w14:paraId="48281F58" w14:textId="77777777" w:rsidTr="00BA5924">
        <w:trPr>
          <w:cantSplit/>
          <w:jc w:val="center"/>
        </w:trPr>
        <w:tc>
          <w:tcPr>
            <w:tcW w:w="223" w:type="pct"/>
            <w:tcMar>
              <w:top w:w="40" w:type="dxa"/>
              <w:left w:w="55" w:type="dxa"/>
              <w:bottom w:w="40" w:type="dxa"/>
              <w:right w:w="55" w:type="dxa"/>
            </w:tcMar>
            <w:vAlign w:val="center"/>
          </w:tcPr>
          <w:p w14:paraId="315ECF1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21</w:t>
            </w:r>
          </w:p>
        </w:tc>
        <w:tc>
          <w:tcPr>
            <w:tcW w:w="3090" w:type="pct"/>
            <w:tcMar>
              <w:top w:w="40" w:type="dxa"/>
              <w:left w:w="55" w:type="dxa"/>
              <w:bottom w:w="40" w:type="dxa"/>
              <w:right w:w="55" w:type="dxa"/>
            </w:tcMar>
            <w:vAlign w:val="center"/>
          </w:tcPr>
          <w:p w14:paraId="1D3BDCD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Máquina de lavar roupas automática, nova, com capacidade de 11 ou 12 kg, cesto em inox, painel eletromecânico ou eletrônico de fácil operação, funções de lavagem, enxágue e centrifugação, tensão 127 V ou bivolt, eficiência energética compatível com a regulamentação vigente e garantia mínima de 12 meses.</w:t>
            </w:r>
          </w:p>
        </w:tc>
        <w:tc>
          <w:tcPr>
            <w:tcW w:w="255" w:type="pct"/>
            <w:tcMar>
              <w:top w:w="40" w:type="dxa"/>
              <w:left w:w="55" w:type="dxa"/>
              <w:bottom w:w="40" w:type="dxa"/>
              <w:right w:w="55" w:type="dxa"/>
            </w:tcMar>
            <w:vAlign w:val="center"/>
          </w:tcPr>
          <w:p w14:paraId="1C94912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0A92607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2C8B650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R$ 1.526,30</w:t>
            </w:r>
          </w:p>
        </w:tc>
        <w:tc>
          <w:tcPr>
            <w:tcW w:w="605" w:type="pct"/>
            <w:tcMar>
              <w:top w:w="40" w:type="dxa"/>
              <w:left w:w="55" w:type="dxa"/>
              <w:bottom w:w="40" w:type="dxa"/>
              <w:right w:w="55" w:type="dxa"/>
            </w:tcMar>
            <w:vAlign w:val="center"/>
          </w:tcPr>
          <w:p w14:paraId="7AAFDFC2"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R$ 1.526,30</w:t>
            </w:r>
          </w:p>
        </w:tc>
      </w:tr>
      <w:tr w:rsidR="00F56293" w:rsidRPr="00F56293" w14:paraId="2BD0C9C3" w14:textId="77777777" w:rsidTr="00BA5924">
        <w:trPr>
          <w:cantSplit/>
          <w:jc w:val="center"/>
        </w:trPr>
        <w:tc>
          <w:tcPr>
            <w:tcW w:w="223" w:type="pct"/>
            <w:tcMar>
              <w:top w:w="40" w:type="dxa"/>
              <w:left w:w="55" w:type="dxa"/>
              <w:bottom w:w="40" w:type="dxa"/>
              <w:right w:w="55" w:type="dxa"/>
            </w:tcMar>
            <w:vAlign w:val="center"/>
          </w:tcPr>
          <w:p w14:paraId="4647553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22</w:t>
            </w:r>
          </w:p>
        </w:tc>
        <w:tc>
          <w:tcPr>
            <w:tcW w:w="3090" w:type="pct"/>
            <w:tcMar>
              <w:top w:w="40" w:type="dxa"/>
              <w:left w:w="55" w:type="dxa"/>
              <w:bottom w:w="40" w:type="dxa"/>
              <w:right w:w="55" w:type="dxa"/>
            </w:tcMar>
            <w:vAlign w:val="center"/>
          </w:tcPr>
          <w:p w14:paraId="399C6463"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Aparelho de ar-condicionado Split, capacidade de 12.000 BTU/h, tecnologia inverter, ciclo quente/frio, tensão 220 V, alta eficiência energética, gás refrigerante sem CFC e garantia mínima de 12 meses. Inclui instalação padrão completa por profissional habilitado, com suporte, tubulação de cobre isolada, dreno, interligação elétrica entre unidades, vácuo, testes e acabamento, para distância de até 5 metros entre evaporadora e condensadora. O Município disponibilizará ponto elétrico compatível próximo ao local de instalação.</w:t>
            </w:r>
          </w:p>
        </w:tc>
        <w:tc>
          <w:tcPr>
            <w:tcW w:w="255" w:type="pct"/>
            <w:tcMar>
              <w:top w:w="40" w:type="dxa"/>
              <w:left w:w="55" w:type="dxa"/>
              <w:bottom w:w="40" w:type="dxa"/>
              <w:right w:w="55" w:type="dxa"/>
            </w:tcMar>
            <w:vAlign w:val="center"/>
          </w:tcPr>
          <w:p w14:paraId="3FC4022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D938A5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002F860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R$ 2.117,77</w:t>
            </w:r>
          </w:p>
        </w:tc>
        <w:tc>
          <w:tcPr>
            <w:tcW w:w="605" w:type="pct"/>
            <w:tcMar>
              <w:top w:w="40" w:type="dxa"/>
              <w:left w:w="55" w:type="dxa"/>
              <w:bottom w:w="40" w:type="dxa"/>
              <w:right w:w="55" w:type="dxa"/>
            </w:tcMar>
            <w:vAlign w:val="center"/>
          </w:tcPr>
          <w:p w14:paraId="3A355A2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R$ 4.235,54</w:t>
            </w:r>
          </w:p>
        </w:tc>
      </w:tr>
      <w:tr w:rsidR="00F56293" w:rsidRPr="00F56293" w14:paraId="38A79E01" w14:textId="77777777" w:rsidTr="00BA5924">
        <w:trPr>
          <w:cantSplit/>
          <w:jc w:val="center"/>
        </w:trPr>
        <w:tc>
          <w:tcPr>
            <w:tcW w:w="4395" w:type="pct"/>
            <w:gridSpan w:val="5"/>
            <w:shd w:val="clear" w:color="auto" w:fill="EAF2F8"/>
            <w:tcMar>
              <w:top w:w="40" w:type="dxa"/>
              <w:left w:w="55" w:type="dxa"/>
              <w:bottom w:w="40" w:type="dxa"/>
              <w:right w:w="55" w:type="dxa"/>
            </w:tcMar>
            <w:vAlign w:val="center"/>
          </w:tcPr>
          <w:p w14:paraId="03D9112A"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TOTAL DO BLOCO</w:t>
            </w:r>
          </w:p>
        </w:tc>
        <w:tc>
          <w:tcPr>
            <w:tcW w:w="605" w:type="pct"/>
            <w:shd w:val="clear" w:color="auto" w:fill="EAF2F8"/>
            <w:tcMar>
              <w:top w:w="40" w:type="dxa"/>
              <w:left w:w="55" w:type="dxa"/>
              <w:bottom w:w="40" w:type="dxa"/>
              <w:right w:w="55" w:type="dxa"/>
            </w:tcMar>
            <w:vAlign w:val="center"/>
          </w:tcPr>
          <w:p w14:paraId="39742B23"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R$ 59.990,64</w:t>
            </w:r>
          </w:p>
        </w:tc>
      </w:tr>
    </w:tbl>
    <w:p w14:paraId="1165605C" w14:textId="77777777" w:rsidR="00F56293" w:rsidRPr="00F56293" w:rsidRDefault="00F56293" w:rsidP="00F56293">
      <w:pPr>
        <w:spacing w:after="40" w:line="240" w:lineRule="auto"/>
        <w:rPr>
          <w:rFonts w:ascii="Arial" w:hAnsi="Arial"/>
          <w:sz w:val="19"/>
        </w:rPr>
      </w:pPr>
    </w:p>
    <w:p w14:paraId="792E74A6" w14:textId="77777777" w:rsidR="00F56293" w:rsidRPr="00F56293" w:rsidRDefault="00F56293" w:rsidP="00F56293">
      <w:pPr>
        <w:keepNext/>
        <w:spacing w:before="40" w:after="20" w:line="240" w:lineRule="auto"/>
        <w:rPr>
          <w:rFonts w:ascii="Arial" w:hAnsi="Arial"/>
          <w:sz w:val="19"/>
        </w:rPr>
      </w:pPr>
      <w:r w:rsidRPr="00F56293">
        <w:rPr>
          <w:rFonts w:ascii="Arial" w:eastAsia="Arial" w:hAnsi="Arial"/>
          <w:b/>
          <w:sz w:val="19"/>
        </w:rPr>
        <w:t>BLOCO II - SECRETARIA MUNICIPAL DE SAÚDE / FARMÁCIA MUNICIPAL</w:t>
      </w:r>
    </w:p>
    <w:tbl>
      <w:tblPr>
        <w:tblStyle w:val="Tabelacomgrade"/>
        <w:tblW w:w="5000" w:type="pct"/>
        <w:jc w:val="center"/>
        <w:tblLook w:val="04A0" w:firstRow="1" w:lastRow="0" w:firstColumn="1" w:lastColumn="0" w:noHBand="0" w:noVBand="1"/>
      </w:tblPr>
      <w:tblGrid>
        <w:gridCol w:w="454"/>
        <w:gridCol w:w="6301"/>
        <w:gridCol w:w="520"/>
        <w:gridCol w:w="520"/>
        <w:gridCol w:w="1168"/>
        <w:gridCol w:w="1232"/>
      </w:tblGrid>
      <w:tr w:rsidR="00F56293" w:rsidRPr="00F56293" w14:paraId="1D3829CE" w14:textId="77777777" w:rsidTr="00BA5924">
        <w:trPr>
          <w:cantSplit/>
          <w:tblHeader/>
          <w:jc w:val="center"/>
        </w:trPr>
        <w:tc>
          <w:tcPr>
            <w:tcW w:w="223" w:type="pct"/>
            <w:shd w:val="clear" w:color="auto" w:fill="D9E2F3"/>
            <w:tcMar>
              <w:top w:w="40" w:type="dxa"/>
              <w:left w:w="55" w:type="dxa"/>
              <w:bottom w:w="40" w:type="dxa"/>
              <w:right w:w="55" w:type="dxa"/>
            </w:tcMar>
            <w:vAlign w:val="center"/>
          </w:tcPr>
          <w:p w14:paraId="063DEC3C"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Item</w:t>
            </w:r>
          </w:p>
        </w:tc>
        <w:tc>
          <w:tcPr>
            <w:tcW w:w="3090" w:type="pct"/>
            <w:shd w:val="clear" w:color="auto" w:fill="D9E2F3"/>
            <w:tcMar>
              <w:top w:w="40" w:type="dxa"/>
              <w:left w:w="55" w:type="dxa"/>
              <w:bottom w:w="40" w:type="dxa"/>
              <w:right w:w="55" w:type="dxa"/>
            </w:tcMar>
            <w:vAlign w:val="center"/>
          </w:tcPr>
          <w:p w14:paraId="109C6AE1" w14:textId="77777777" w:rsidR="00F56293" w:rsidRPr="00F56293" w:rsidRDefault="00F56293" w:rsidP="00F56293">
            <w:pPr>
              <w:spacing w:line="221" w:lineRule="auto"/>
              <w:jc w:val="both"/>
              <w:rPr>
                <w:rFonts w:ascii="Arial" w:hAnsi="Arial"/>
                <w:sz w:val="19"/>
              </w:rPr>
            </w:pPr>
            <w:r w:rsidRPr="00F56293">
              <w:rPr>
                <w:rFonts w:ascii="Arial" w:eastAsia="Arial" w:hAnsi="Arial"/>
                <w:b/>
                <w:sz w:val="14"/>
              </w:rPr>
              <w:t>Descrição/especificação mínima</w:t>
            </w:r>
          </w:p>
        </w:tc>
        <w:tc>
          <w:tcPr>
            <w:tcW w:w="255" w:type="pct"/>
            <w:shd w:val="clear" w:color="auto" w:fill="D9E2F3"/>
            <w:tcMar>
              <w:top w:w="40" w:type="dxa"/>
              <w:left w:w="55" w:type="dxa"/>
              <w:bottom w:w="40" w:type="dxa"/>
              <w:right w:w="55" w:type="dxa"/>
            </w:tcMar>
            <w:vAlign w:val="center"/>
          </w:tcPr>
          <w:p w14:paraId="5BBCEC3D"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Un.</w:t>
            </w:r>
          </w:p>
        </w:tc>
        <w:tc>
          <w:tcPr>
            <w:tcW w:w="255" w:type="pct"/>
            <w:shd w:val="clear" w:color="auto" w:fill="D9E2F3"/>
            <w:tcMar>
              <w:top w:w="40" w:type="dxa"/>
              <w:left w:w="55" w:type="dxa"/>
              <w:bottom w:w="40" w:type="dxa"/>
              <w:right w:w="55" w:type="dxa"/>
            </w:tcMar>
            <w:vAlign w:val="center"/>
          </w:tcPr>
          <w:p w14:paraId="79BFCA55"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Qtd.</w:t>
            </w:r>
          </w:p>
        </w:tc>
        <w:tc>
          <w:tcPr>
            <w:tcW w:w="573" w:type="pct"/>
            <w:shd w:val="clear" w:color="auto" w:fill="D9E2F3"/>
            <w:tcMar>
              <w:top w:w="40" w:type="dxa"/>
              <w:left w:w="55" w:type="dxa"/>
              <w:bottom w:w="40" w:type="dxa"/>
              <w:right w:w="55" w:type="dxa"/>
            </w:tcMar>
            <w:vAlign w:val="center"/>
          </w:tcPr>
          <w:p w14:paraId="4DC2077A"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Valor unitário</w:t>
            </w:r>
          </w:p>
        </w:tc>
        <w:tc>
          <w:tcPr>
            <w:tcW w:w="605" w:type="pct"/>
            <w:shd w:val="clear" w:color="auto" w:fill="D9E2F3"/>
            <w:tcMar>
              <w:top w:w="40" w:type="dxa"/>
              <w:left w:w="55" w:type="dxa"/>
              <w:bottom w:w="40" w:type="dxa"/>
              <w:right w:w="55" w:type="dxa"/>
            </w:tcMar>
            <w:vAlign w:val="center"/>
          </w:tcPr>
          <w:p w14:paraId="27A5C30A"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Valor total</w:t>
            </w:r>
          </w:p>
        </w:tc>
      </w:tr>
      <w:tr w:rsidR="00F56293" w:rsidRPr="00F56293" w14:paraId="1EE0701F" w14:textId="77777777" w:rsidTr="00BA5924">
        <w:trPr>
          <w:cantSplit/>
          <w:jc w:val="center"/>
        </w:trPr>
        <w:tc>
          <w:tcPr>
            <w:tcW w:w="223" w:type="pct"/>
            <w:tcMar>
              <w:top w:w="40" w:type="dxa"/>
              <w:left w:w="55" w:type="dxa"/>
              <w:bottom w:w="40" w:type="dxa"/>
              <w:right w:w="55" w:type="dxa"/>
            </w:tcMar>
            <w:vAlign w:val="center"/>
          </w:tcPr>
          <w:p w14:paraId="0EA88F2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23</w:t>
            </w:r>
          </w:p>
        </w:tc>
        <w:tc>
          <w:tcPr>
            <w:tcW w:w="3090" w:type="pct"/>
            <w:tcMar>
              <w:top w:w="40" w:type="dxa"/>
              <w:left w:w="55" w:type="dxa"/>
              <w:bottom w:w="40" w:type="dxa"/>
              <w:right w:w="55" w:type="dxa"/>
            </w:tcMar>
            <w:vAlign w:val="center"/>
          </w:tcPr>
          <w:p w14:paraId="7388209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Computador desktop com processador no mínimo que possua no mínimo 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vídeo, sendo pelo menos 1 digital do tipo HDMI, display PORT ou DVI. Unidade combinada de gravação de disco ótico CD, DVD rom. Teclado USB, ABNT2, 107 teclas com fio e mouse USB, 800 DPI, 2 botões, scroll com fio. Monitor de LED 19 polegadas (widescreen 16:9) (1920 x 1080 a 60Hz), entradas de video HDMI e display PORT, ângulos de visão vertical e horizontal mínimo de 178° .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255" w:type="pct"/>
            <w:tcMar>
              <w:top w:w="40" w:type="dxa"/>
              <w:left w:w="55" w:type="dxa"/>
              <w:bottom w:w="40" w:type="dxa"/>
              <w:right w:w="55" w:type="dxa"/>
            </w:tcMar>
            <w:vAlign w:val="center"/>
          </w:tcPr>
          <w:p w14:paraId="4857D3E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6C69B0B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2DAD4E3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R$ 5.613,00</w:t>
            </w:r>
          </w:p>
        </w:tc>
        <w:tc>
          <w:tcPr>
            <w:tcW w:w="605" w:type="pct"/>
            <w:tcMar>
              <w:top w:w="40" w:type="dxa"/>
              <w:left w:w="55" w:type="dxa"/>
              <w:bottom w:w="40" w:type="dxa"/>
              <w:right w:w="55" w:type="dxa"/>
            </w:tcMar>
            <w:vAlign w:val="center"/>
          </w:tcPr>
          <w:p w14:paraId="6C9EB05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R$ 5.613,00</w:t>
            </w:r>
          </w:p>
        </w:tc>
      </w:tr>
      <w:tr w:rsidR="00F56293" w:rsidRPr="00F56293" w14:paraId="7EBFA246" w14:textId="77777777" w:rsidTr="00BA5924">
        <w:trPr>
          <w:cantSplit/>
          <w:jc w:val="center"/>
        </w:trPr>
        <w:tc>
          <w:tcPr>
            <w:tcW w:w="223" w:type="pct"/>
            <w:tcMar>
              <w:top w:w="40" w:type="dxa"/>
              <w:left w:w="55" w:type="dxa"/>
              <w:bottom w:w="40" w:type="dxa"/>
              <w:right w:w="55" w:type="dxa"/>
            </w:tcMar>
            <w:vAlign w:val="center"/>
          </w:tcPr>
          <w:p w14:paraId="233A1FD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24</w:t>
            </w:r>
          </w:p>
        </w:tc>
        <w:tc>
          <w:tcPr>
            <w:tcW w:w="3090" w:type="pct"/>
            <w:tcMar>
              <w:top w:w="40" w:type="dxa"/>
              <w:left w:w="55" w:type="dxa"/>
              <w:bottom w:w="40" w:type="dxa"/>
              <w:right w:w="55" w:type="dxa"/>
            </w:tcMar>
            <w:vAlign w:val="center"/>
          </w:tcPr>
          <w:p w14:paraId="07E36481"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Armário em aço para armazenamento de materiais da Farmácia Municipal, com altura entre 1,80 m e 2,10 m, largura entre 0,70 m e 1,10 m, profundidade mínima de 0,35 m, 2 portas com fechadura e chaves, 4 prateleiras reguláveis com capacidade mínima de 20 kg cada, pintura eletrostática e tratamento anticorrosivo; montagem inclusa.</w:t>
            </w:r>
          </w:p>
        </w:tc>
        <w:tc>
          <w:tcPr>
            <w:tcW w:w="255" w:type="pct"/>
            <w:tcMar>
              <w:top w:w="40" w:type="dxa"/>
              <w:left w:w="55" w:type="dxa"/>
              <w:bottom w:w="40" w:type="dxa"/>
              <w:right w:w="55" w:type="dxa"/>
            </w:tcMar>
            <w:vAlign w:val="center"/>
          </w:tcPr>
          <w:p w14:paraId="3993589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64BA8DB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04</w:t>
            </w:r>
          </w:p>
        </w:tc>
        <w:tc>
          <w:tcPr>
            <w:tcW w:w="573" w:type="pct"/>
            <w:tcMar>
              <w:top w:w="40" w:type="dxa"/>
              <w:left w:w="55" w:type="dxa"/>
              <w:bottom w:w="40" w:type="dxa"/>
              <w:right w:w="55" w:type="dxa"/>
            </w:tcMar>
            <w:vAlign w:val="center"/>
          </w:tcPr>
          <w:p w14:paraId="63DC99A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R$ 1.228,00</w:t>
            </w:r>
          </w:p>
        </w:tc>
        <w:tc>
          <w:tcPr>
            <w:tcW w:w="605" w:type="pct"/>
            <w:tcMar>
              <w:top w:w="40" w:type="dxa"/>
              <w:left w:w="55" w:type="dxa"/>
              <w:bottom w:w="40" w:type="dxa"/>
              <w:right w:w="55" w:type="dxa"/>
            </w:tcMar>
            <w:vAlign w:val="center"/>
          </w:tcPr>
          <w:p w14:paraId="20FF572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R$ 4.912,00</w:t>
            </w:r>
          </w:p>
        </w:tc>
      </w:tr>
      <w:tr w:rsidR="00F56293" w:rsidRPr="00F56293" w14:paraId="355A38F4" w14:textId="77777777" w:rsidTr="00BA5924">
        <w:trPr>
          <w:cantSplit/>
          <w:jc w:val="center"/>
        </w:trPr>
        <w:tc>
          <w:tcPr>
            <w:tcW w:w="223" w:type="pct"/>
            <w:tcMar>
              <w:top w:w="40" w:type="dxa"/>
              <w:left w:w="55" w:type="dxa"/>
              <w:bottom w:w="40" w:type="dxa"/>
              <w:right w:w="55" w:type="dxa"/>
            </w:tcMar>
            <w:vAlign w:val="center"/>
          </w:tcPr>
          <w:p w14:paraId="18C1443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25</w:t>
            </w:r>
          </w:p>
        </w:tc>
        <w:tc>
          <w:tcPr>
            <w:tcW w:w="3090" w:type="pct"/>
            <w:tcMar>
              <w:top w:w="40" w:type="dxa"/>
              <w:left w:w="55" w:type="dxa"/>
              <w:bottom w:w="40" w:type="dxa"/>
              <w:right w:w="55" w:type="dxa"/>
            </w:tcMar>
            <w:vAlign w:val="center"/>
          </w:tcPr>
          <w:p w14:paraId="49633505"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Arquivo de aço com 4 gavetas, admitida configuração entre 3 e 5 gavetas, próprio para pastas suspensas tamanho A4/ofício, com trilhos telescópicos ou sistema de deslizamento de alta resistência, fechadura e chaves, tratamento anticorrosivo e dispositivo que evite a abertura simultânea de múltiplas gavetas.</w:t>
            </w:r>
          </w:p>
        </w:tc>
        <w:tc>
          <w:tcPr>
            <w:tcW w:w="255" w:type="pct"/>
            <w:tcMar>
              <w:top w:w="40" w:type="dxa"/>
              <w:left w:w="55" w:type="dxa"/>
              <w:bottom w:w="40" w:type="dxa"/>
              <w:right w:w="55" w:type="dxa"/>
            </w:tcMar>
            <w:vAlign w:val="center"/>
          </w:tcPr>
          <w:p w14:paraId="7DF5D362"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ABB5D3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60F5237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R$ 2.332,00</w:t>
            </w:r>
          </w:p>
        </w:tc>
        <w:tc>
          <w:tcPr>
            <w:tcW w:w="605" w:type="pct"/>
            <w:tcMar>
              <w:top w:w="40" w:type="dxa"/>
              <w:left w:w="55" w:type="dxa"/>
              <w:bottom w:w="40" w:type="dxa"/>
              <w:right w:w="55" w:type="dxa"/>
            </w:tcMar>
            <w:vAlign w:val="center"/>
          </w:tcPr>
          <w:p w14:paraId="375E3D16"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R$ 2.332,00</w:t>
            </w:r>
          </w:p>
        </w:tc>
      </w:tr>
      <w:tr w:rsidR="00F56293" w:rsidRPr="00F56293" w14:paraId="024B2256" w14:textId="77777777" w:rsidTr="00BA5924">
        <w:trPr>
          <w:cantSplit/>
          <w:jc w:val="center"/>
        </w:trPr>
        <w:tc>
          <w:tcPr>
            <w:tcW w:w="223" w:type="pct"/>
            <w:tcMar>
              <w:top w:w="40" w:type="dxa"/>
              <w:left w:w="55" w:type="dxa"/>
              <w:bottom w:w="40" w:type="dxa"/>
              <w:right w:w="55" w:type="dxa"/>
            </w:tcMar>
            <w:vAlign w:val="center"/>
          </w:tcPr>
          <w:p w14:paraId="6147B8D0"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26</w:t>
            </w:r>
          </w:p>
        </w:tc>
        <w:tc>
          <w:tcPr>
            <w:tcW w:w="3090" w:type="pct"/>
            <w:tcMar>
              <w:top w:w="40" w:type="dxa"/>
              <w:left w:w="55" w:type="dxa"/>
              <w:bottom w:w="40" w:type="dxa"/>
              <w:right w:w="55" w:type="dxa"/>
            </w:tcMar>
            <w:vAlign w:val="center"/>
          </w:tcPr>
          <w:p w14:paraId="1789EB0B"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No-break para computador e impressora, potência nominal mínima de 1,2 kVA e potência real mínima de 600 W, bateria interna selada, autonomia mínima aproximada de 15 minutos para carga compatível, estabilização automática de tensão, proteção contra sobrecarga e curto-circuito e, no mínimo, 6 tomadas padrão brasileiro; garantia mínima de 12 meses.</w:t>
            </w:r>
          </w:p>
        </w:tc>
        <w:tc>
          <w:tcPr>
            <w:tcW w:w="255" w:type="pct"/>
            <w:tcMar>
              <w:top w:w="40" w:type="dxa"/>
              <w:left w:w="55" w:type="dxa"/>
              <w:bottom w:w="40" w:type="dxa"/>
              <w:right w:w="55" w:type="dxa"/>
            </w:tcMar>
            <w:vAlign w:val="center"/>
          </w:tcPr>
          <w:p w14:paraId="210AB28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270B5D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03</w:t>
            </w:r>
          </w:p>
        </w:tc>
        <w:tc>
          <w:tcPr>
            <w:tcW w:w="573" w:type="pct"/>
            <w:tcMar>
              <w:top w:w="40" w:type="dxa"/>
              <w:left w:w="55" w:type="dxa"/>
              <w:bottom w:w="40" w:type="dxa"/>
              <w:right w:w="55" w:type="dxa"/>
            </w:tcMar>
            <w:vAlign w:val="center"/>
          </w:tcPr>
          <w:p w14:paraId="28FD0B8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R$ 1.299,00</w:t>
            </w:r>
          </w:p>
        </w:tc>
        <w:tc>
          <w:tcPr>
            <w:tcW w:w="605" w:type="pct"/>
            <w:tcMar>
              <w:top w:w="40" w:type="dxa"/>
              <w:left w:w="55" w:type="dxa"/>
              <w:bottom w:w="40" w:type="dxa"/>
              <w:right w:w="55" w:type="dxa"/>
            </w:tcMar>
            <w:vAlign w:val="center"/>
          </w:tcPr>
          <w:p w14:paraId="0EAF9DF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R$ 3.897,00</w:t>
            </w:r>
          </w:p>
        </w:tc>
      </w:tr>
      <w:tr w:rsidR="00F56293" w:rsidRPr="00F56293" w14:paraId="2AD5560F" w14:textId="77777777" w:rsidTr="00BA5924">
        <w:trPr>
          <w:cantSplit/>
          <w:jc w:val="center"/>
        </w:trPr>
        <w:tc>
          <w:tcPr>
            <w:tcW w:w="223" w:type="pct"/>
            <w:tcMar>
              <w:top w:w="40" w:type="dxa"/>
              <w:left w:w="55" w:type="dxa"/>
              <w:bottom w:w="40" w:type="dxa"/>
              <w:right w:w="55" w:type="dxa"/>
            </w:tcMar>
            <w:vAlign w:val="center"/>
          </w:tcPr>
          <w:p w14:paraId="1770F36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27</w:t>
            </w:r>
          </w:p>
        </w:tc>
        <w:tc>
          <w:tcPr>
            <w:tcW w:w="3090" w:type="pct"/>
            <w:tcMar>
              <w:top w:w="40" w:type="dxa"/>
              <w:left w:w="55" w:type="dxa"/>
              <w:bottom w:w="40" w:type="dxa"/>
              <w:right w:w="55" w:type="dxa"/>
            </w:tcMar>
            <w:vAlign w:val="center"/>
          </w:tcPr>
          <w:p w14:paraId="63370FDC"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Estante desmontável em aço ou ferro pintado, aberta no fundo e nas laterais, com estrutura reforçada, altura mínima aproximada de 1,80 m, largura mínima de 0,90 m, profundidade mínima de 0,40 m, no mínimo 5 prateleiras reguláveis e capacidade entre 101 e 200 kg por prateleira, com tratamento anticorrosivo.</w:t>
            </w:r>
          </w:p>
        </w:tc>
        <w:tc>
          <w:tcPr>
            <w:tcW w:w="255" w:type="pct"/>
            <w:tcMar>
              <w:top w:w="40" w:type="dxa"/>
              <w:left w:w="55" w:type="dxa"/>
              <w:bottom w:w="40" w:type="dxa"/>
              <w:right w:w="55" w:type="dxa"/>
            </w:tcMar>
            <w:vAlign w:val="center"/>
          </w:tcPr>
          <w:p w14:paraId="5268606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09476EC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147222A3"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R$ 788,00</w:t>
            </w:r>
          </w:p>
        </w:tc>
        <w:tc>
          <w:tcPr>
            <w:tcW w:w="605" w:type="pct"/>
            <w:tcMar>
              <w:top w:w="40" w:type="dxa"/>
              <w:left w:w="55" w:type="dxa"/>
              <w:bottom w:w="40" w:type="dxa"/>
              <w:right w:w="55" w:type="dxa"/>
            </w:tcMar>
            <w:vAlign w:val="center"/>
          </w:tcPr>
          <w:p w14:paraId="79A7863A"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R$ 788,00</w:t>
            </w:r>
          </w:p>
        </w:tc>
      </w:tr>
      <w:tr w:rsidR="00F56293" w:rsidRPr="00F56293" w14:paraId="019BD2E3" w14:textId="77777777" w:rsidTr="00BA5924">
        <w:trPr>
          <w:cantSplit/>
          <w:jc w:val="center"/>
        </w:trPr>
        <w:tc>
          <w:tcPr>
            <w:tcW w:w="223" w:type="pct"/>
            <w:tcMar>
              <w:top w:w="40" w:type="dxa"/>
              <w:left w:w="55" w:type="dxa"/>
              <w:bottom w:w="40" w:type="dxa"/>
              <w:right w:w="55" w:type="dxa"/>
            </w:tcMar>
            <w:vAlign w:val="center"/>
          </w:tcPr>
          <w:p w14:paraId="55534202"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28</w:t>
            </w:r>
          </w:p>
        </w:tc>
        <w:tc>
          <w:tcPr>
            <w:tcW w:w="3090" w:type="pct"/>
            <w:tcMar>
              <w:top w:w="40" w:type="dxa"/>
              <w:left w:w="55" w:type="dxa"/>
              <w:bottom w:w="40" w:type="dxa"/>
              <w:right w:w="55" w:type="dxa"/>
            </w:tcMar>
            <w:vAlign w:val="center"/>
          </w:tcPr>
          <w:p w14:paraId="76182848"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Balcão de atendimento para organização e dispensação de medicamentos, confeccionado em MDF/MDP de alta resistência, com largura mínima aproximada de 1,20 m, profundidade entre 0,50 m e 0,70 m, altura externa aproximada de 1,00 m a 1,10 m, tampo de atendimento, bancada interna em altura ergonômica, prateleiras ou nichos internos e acabamento lavável; cor a definir; medição final e montagem no local inclusas.</w:t>
            </w:r>
          </w:p>
        </w:tc>
        <w:tc>
          <w:tcPr>
            <w:tcW w:w="255" w:type="pct"/>
            <w:tcMar>
              <w:top w:w="40" w:type="dxa"/>
              <w:left w:w="55" w:type="dxa"/>
              <w:bottom w:w="40" w:type="dxa"/>
              <w:right w:w="55" w:type="dxa"/>
            </w:tcMar>
            <w:vAlign w:val="center"/>
          </w:tcPr>
          <w:p w14:paraId="17CE3F0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E54C68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75514B2F"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R$ 1.581,00</w:t>
            </w:r>
          </w:p>
        </w:tc>
        <w:tc>
          <w:tcPr>
            <w:tcW w:w="605" w:type="pct"/>
            <w:tcMar>
              <w:top w:w="40" w:type="dxa"/>
              <w:left w:w="55" w:type="dxa"/>
              <w:bottom w:w="40" w:type="dxa"/>
              <w:right w:w="55" w:type="dxa"/>
            </w:tcMar>
            <w:vAlign w:val="center"/>
          </w:tcPr>
          <w:p w14:paraId="4ABE4CF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R$ 3.162,00</w:t>
            </w:r>
          </w:p>
        </w:tc>
      </w:tr>
      <w:tr w:rsidR="00F56293" w:rsidRPr="00F56293" w14:paraId="1853182E" w14:textId="77777777" w:rsidTr="00BA5924">
        <w:trPr>
          <w:cantSplit/>
          <w:jc w:val="center"/>
        </w:trPr>
        <w:tc>
          <w:tcPr>
            <w:tcW w:w="223" w:type="pct"/>
            <w:tcMar>
              <w:top w:w="40" w:type="dxa"/>
              <w:left w:w="55" w:type="dxa"/>
              <w:bottom w:w="40" w:type="dxa"/>
              <w:right w:w="55" w:type="dxa"/>
            </w:tcMar>
            <w:vAlign w:val="center"/>
          </w:tcPr>
          <w:p w14:paraId="51F60D8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lastRenderedPageBreak/>
              <w:t>29</w:t>
            </w:r>
          </w:p>
        </w:tc>
        <w:tc>
          <w:tcPr>
            <w:tcW w:w="3090" w:type="pct"/>
            <w:tcMar>
              <w:top w:w="40" w:type="dxa"/>
              <w:left w:w="55" w:type="dxa"/>
              <w:bottom w:w="40" w:type="dxa"/>
              <w:right w:w="55" w:type="dxa"/>
            </w:tcMar>
            <w:vAlign w:val="center"/>
          </w:tcPr>
          <w:p w14:paraId="6772D82D"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Caixa térmica com capacidade superior a 30 litros, preferencialmente entre 35 e 50 litros, isolamento interno em poliuretano, tampa removível com boa vedação, alças para transporte, dreno, rodízios e termômetro digital para monitoramento de temperatura, destinada ao acondicionamento e transporte temporário de substâncias sob temperatura controlada; garantia mínima de 12 meses.</w:t>
            </w:r>
          </w:p>
        </w:tc>
        <w:tc>
          <w:tcPr>
            <w:tcW w:w="255" w:type="pct"/>
            <w:tcMar>
              <w:top w:w="40" w:type="dxa"/>
              <w:left w:w="55" w:type="dxa"/>
              <w:bottom w:w="40" w:type="dxa"/>
              <w:right w:w="55" w:type="dxa"/>
            </w:tcMar>
            <w:vAlign w:val="center"/>
          </w:tcPr>
          <w:p w14:paraId="3BDC289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080EE8F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3F0B8AE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R$ 1.219,00</w:t>
            </w:r>
          </w:p>
        </w:tc>
        <w:tc>
          <w:tcPr>
            <w:tcW w:w="605" w:type="pct"/>
            <w:tcMar>
              <w:top w:w="40" w:type="dxa"/>
              <w:left w:w="55" w:type="dxa"/>
              <w:bottom w:w="40" w:type="dxa"/>
              <w:right w:w="55" w:type="dxa"/>
            </w:tcMar>
            <w:vAlign w:val="center"/>
          </w:tcPr>
          <w:p w14:paraId="38DD2EA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R$ 1.219,00</w:t>
            </w:r>
          </w:p>
        </w:tc>
      </w:tr>
      <w:tr w:rsidR="00F56293" w:rsidRPr="00F56293" w14:paraId="5E00C7B7" w14:textId="77777777" w:rsidTr="00BA5924">
        <w:trPr>
          <w:cantSplit/>
          <w:jc w:val="center"/>
        </w:trPr>
        <w:tc>
          <w:tcPr>
            <w:tcW w:w="223" w:type="pct"/>
            <w:tcMar>
              <w:top w:w="40" w:type="dxa"/>
              <w:left w:w="55" w:type="dxa"/>
              <w:bottom w:w="40" w:type="dxa"/>
              <w:right w:w="55" w:type="dxa"/>
            </w:tcMar>
            <w:vAlign w:val="center"/>
          </w:tcPr>
          <w:p w14:paraId="46D364F1"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30</w:t>
            </w:r>
          </w:p>
        </w:tc>
        <w:tc>
          <w:tcPr>
            <w:tcW w:w="3090" w:type="pct"/>
            <w:tcMar>
              <w:top w:w="40" w:type="dxa"/>
              <w:left w:w="55" w:type="dxa"/>
              <w:bottom w:w="40" w:type="dxa"/>
              <w:right w:w="55" w:type="dxa"/>
            </w:tcMar>
            <w:vAlign w:val="center"/>
          </w:tcPr>
          <w:p w14:paraId="36D44F49"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Termohigrômetro digital portátil, com medição de temperatura interna e externa e umidade relativa, registro de valores máximos e mínimos, visor digital, alimentação por pilha ou bateria e sensor externo com cabo quando necessário; faixa de medição compatível com ambientes de armazenamento de medicamentos e garantia mínima de 12 meses.</w:t>
            </w:r>
          </w:p>
        </w:tc>
        <w:tc>
          <w:tcPr>
            <w:tcW w:w="255" w:type="pct"/>
            <w:tcMar>
              <w:top w:w="40" w:type="dxa"/>
              <w:left w:w="55" w:type="dxa"/>
              <w:bottom w:w="40" w:type="dxa"/>
              <w:right w:w="55" w:type="dxa"/>
            </w:tcMar>
            <w:vAlign w:val="center"/>
          </w:tcPr>
          <w:p w14:paraId="09F2864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81614B4"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42251F1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R$ 215,00</w:t>
            </w:r>
          </w:p>
        </w:tc>
        <w:tc>
          <w:tcPr>
            <w:tcW w:w="605" w:type="pct"/>
            <w:tcMar>
              <w:top w:w="40" w:type="dxa"/>
              <w:left w:w="55" w:type="dxa"/>
              <w:bottom w:w="40" w:type="dxa"/>
              <w:right w:w="55" w:type="dxa"/>
            </w:tcMar>
            <w:vAlign w:val="center"/>
          </w:tcPr>
          <w:p w14:paraId="2526D687"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R$ 430,00</w:t>
            </w:r>
          </w:p>
        </w:tc>
      </w:tr>
      <w:tr w:rsidR="00F56293" w:rsidRPr="00F56293" w14:paraId="43F59267" w14:textId="77777777" w:rsidTr="00BA5924">
        <w:trPr>
          <w:cantSplit/>
          <w:jc w:val="center"/>
        </w:trPr>
        <w:tc>
          <w:tcPr>
            <w:tcW w:w="223" w:type="pct"/>
            <w:tcMar>
              <w:top w:w="40" w:type="dxa"/>
              <w:left w:w="55" w:type="dxa"/>
              <w:bottom w:w="40" w:type="dxa"/>
              <w:right w:w="55" w:type="dxa"/>
            </w:tcMar>
            <w:vAlign w:val="center"/>
          </w:tcPr>
          <w:p w14:paraId="5EFAAD0B"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31</w:t>
            </w:r>
          </w:p>
        </w:tc>
        <w:tc>
          <w:tcPr>
            <w:tcW w:w="3090" w:type="pct"/>
            <w:tcMar>
              <w:top w:w="40" w:type="dxa"/>
              <w:left w:w="55" w:type="dxa"/>
              <w:bottom w:w="40" w:type="dxa"/>
              <w:right w:w="55" w:type="dxa"/>
            </w:tcMar>
            <w:vAlign w:val="center"/>
          </w:tcPr>
          <w:p w14:paraId="51CD589C"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Caixa sanfonada/organizadora em aço, tipo caixa de ferramentas, com acabamento antiferrugem, alça resistente e 5 gavetas ou compartimentos articulados, destinada à organização de ferramentas e materiais de apoio.</w:t>
            </w:r>
          </w:p>
        </w:tc>
        <w:tc>
          <w:tcPr>
            <w:tcW w:w="255" w:type="pct"/>
            <w:tcMar>
              <w:top w:w="40" w:type="dxa"/>
              <w:left w:w="55" w:type="dxa"/>
              <w:bottom w:w="40" w:type="dxa"/>
              <w:right w:w="55" w:type="dxa"/>
            </w:tcMar>
            <w:vAlign w:val="center"/>
          </w:tcPr>
          <w:p w14:paraId="4DCD3BC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557C0D39"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02</w:t>
            </w:r>
          </w:p>
        </w:tc>
        <w:tc>
          <w:tcPr>
            <w:tcW w:w="573" w:type="pct"/>
            <w:tcMar>
              <w:top w:w="40" w:type="dxa"/>
              <w:left w:w="55" w:type="dxa"/>
              <w:bottom w:w="40" w:type="dxa"/>
              <w:right w:w="55" w:type="dxa"/>
            </w:tcMar>
            <w:vAlign w:val="center"/>
          </w:tcPr>
          <w:p w14:paraId="1314372D"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R$ 215,00</w:t>
            </w:r>
          </w:p>
        </w:tc>
        <w:tc>
          <w:tcPr>
            <w:tcW w:w="605" w:type="pct"/>
            <w:tcMar>
              <w:top w:w="40" w:type="dxa"/>
              <w:left w:w="55" w:type="dxa"/>
              <w:bottom w:w="40" w:type="dxa"/>
              <w:right w:w="55" w:type="dxa"/>
            </w:tcMar>
            <w:vAlign w:val="center"/>
          </w:tcPr>
          <w:p w14:paraId="0995694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R$ 430,00</w:t>
            </w:r>
          </w:p>
        </w:tc>
      </w:tr>
      <w:tr w:rsidR="00F56293" w:rsidRPr="00F56293" w14:paraId="72230C9F" w14:textId="77777777" w:rsidTr="00BA5924">
        <w:trPr>
          <w:cantSplit/>
          <w:jc w:val="center"/>
        </w:trPr>
        <w:tc>
          <w:tcPr>
            <w:tcW w:w="223" w:type="pct"/>
            <w:tcMar>
              <w:top w:w="40" w:type="dxa"/>
              <w:left w:w="55" w:type="dxa"/>
              <w:bottom w:w="40" w:type="dxa"/>
              <w:right w:w="55" w:type="dxa"/>
            </w:tcMar>
            <w:vAlign w:val="center"/>
          </w:tcPr>
          <w:p w14:paraId="3EFE54A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32</w:t>
            </w:r>
          </w:p>
        </w:tc>
        <w:tc>
          <w:tcPr>
            <w:tcW w:w="3090" w:type="pct"/>
            <w:tcMar>
              <w:top w:w="40" w:type="dxa"/>
              <w:left w:w="55" w:type="dxa"/>
              <w:bottom w:w="40" w:type="dxa"/>
              <w:right w:w="55" w:type="dxa"/>
            </w:tcMar>
            <w:vAlign w:val="center"/>
          </w:tcPr>
          <w:p w14:paraId="3E037A31" w14:textId="77777777" w:rsidR="00F56293" w:rsidRPr="00F56293" w:rsidRDefault="00F56293" w:rsidP="00F56293">
            <w:pPr>
              <w:spacing w:line="221" w:lineRule="auto"/>
              <w:jc w:val="both"/>
              <w:rPr>
                <w:rFonts w:ascii="Arial" w:hAnsi="Arial"/>
                <w:sz w:val="19"/>
              </w:rPr>
            </w:pPr>
            <w:r w:rsidRPr="00F56293">
              <w:rPr>
                <w:rFonts w:ascii="Arial" w:eastAsia="Arial" w:hAnsi="Arial"/>
                <w:sz w:val="14"/>
              </w:rPr>
              <w:t>Bebedouro/purificador de água refrigerado, novo, com sistema de refrigeração por compressor ou tecnologia equivalente, fornecimento de água natural e gelada, reservatório interno e vazão compatíveis com uso administrativo, elemento filtrante substituível, tensão 127 V ou bivolt, certificação do INMETRO quando aplicável, acessórios para instalação em ponto hidráulico existente e garantia mínima de 12 meses.</w:t>
            </w:r>
          </w:p>
        </w:tc>
        <w:tc>
          <w:tcPr>
            <w:tcW w:w="255" w:type="pct"/>
            <w:tcMar>
              <w:top w:w="40" w:type="dxa"/>
              <w:left w:w="55" w:type="dxa"/>
              <w:bottom w:w="40" w:type="dxa"/>
              <w:right w:w="55" w:type="dxa"/>
            </w:tcMar>
            <w:vAlign w:val="center"/>
          </w:tcPr>
          <w:p w14:paraId="2673819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Und</w:t>
            </w:r>
          </w:p>
        </w:tc>
        <w:tc>
          <w:tcPr>
            <w:tcW w:w="255" w:type="pct"/>
            <w:tcMar>
              <w:top w:w="40" w:type="dxa"/>
              <w:left w:w="55" w:type="dxa"/>
              <w:bottom w:w="40" w:type="dxa"/>
              <w:right w:w="55" w:type="dxa"/>
            </w:tcMar>
            <w:vAlign w:val="center"/>
          </w:tcPr>
          <w:p w14:paraId="38405FBE"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01</w:t>
            </w:r>
          </w:p>
        </w:tc>
        <w:tc>
          <w:tcPr>
            <w:tcW w:w="573" w:type="pct"/>
            <w:tcMar>
              <w:top w:w="40" w:type="dxa"/>
              <w:left w:w="55" w:type="dxa"/>
              <w:bottom w:w="40" w:type="dxa"/>
              <w:right w:w="55" w:type="dxa"/>
            </w:tcMar>
            <w:vAlign w:val="center"/>
          </w:tcPr>
          <w:p w14:paraId="18A5D198"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R$ 1.000,00</w:t>
            </w:r>
          </w:p>
        </w:tc>
        <w:tc>
          <w:tcPr>
            <w:tcW w:w="605" w:type="pct"/>
            <w:tcMar>
              <w:top w:w="40" w:type="dxa"/>
              <w:left w:w="55" w:type="dxa"/>
              <w:bottom w:w="40" w:type="dxa"/>
              <w:right w:w="55" w:type="dxa"/>
            </w:tcMar>
            <w:vAlign w:val="center"/>
          </w:tcPr>
          <w:p w14:paraId="2C667855" w14:textId="77777777" w:rsidR="00F56293" w:rsidRPr="00F56293" w:rsidRDefault="00F56293" w:rsidP="00F56293">
            <w:pPr>
              <w:spacing w:line="221" w:lineRule="auto"/>
              <w:jc w:val="center"/>
              <w:rPr>
                <w:rFonts w:ascii="Arial" w:hAnsi="Arial"/>
                <w:sz w:val="19"/>
              </w:rPr>
            </w:pPr>
            <w:r w:rsidRPr="00F56293">
              <w:rPr>
                <w:rFonts w:ascii="Arial" w:eastAsia="Arial" w:hAnsi="Arial"/>
                <w:sz w:val="15"/>
              </w:rPr>
              <w:t>R$ 1.000,00</w:t>
            </w:r>
          </w:p>
        </w:tc>
      </w:tr>
      <w:tr w:rsidR="00F56293" w:rsidRPr="00F56293" w14:paraId="526538CE" w14:textId="77777777" w:rsidTr="00BA5924">
        <w:trPr>
          <w:cantSplit/>
          <w:jc w:val="center"/>
        </w:trPr>
        <w:tc>
          <w:tcPr>
            <w:tcW w:w="4395" w:type="pct"/>
            <w:gridSpan w:val="5"/>
            <w:shd w:val="clear" w:color="auto" w:fill="EAF2F8"/>
            <w:tcMar>
              <w:top w:w="40" w:type="dxa"/>
              <w:left w:w="55" w:type="dxa"/>
              <w:bottom w:w="40" w:type="dxa"/>
              <w:right w:w="55" w:type="dxa"/>
            </w:tcMar>
            <w:vAlign w:val="center"/>
          </w:tcPr>
          <w:p w14:paraId="45A8355C"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TOTAL DO BLOCO</w:t>
            </w:r>
          </w:p>
        </w:tc>
        <w:tc>
          <w:tcPr>
            <w:tcW w:w="605" w:type="pct"/>
            <w:shd w:val="clear" w:color="auto" w:fill="EAF2F8"/>
            <w:tcMar>
              <w:top w:w="40" w:type="dxa"/>
              <w:left w:w="55" w:type="dxa"/>
              <w:bottom w:w="40" w:type="dxa"/>
              <w:right w:w="55" w:type="dxa"/>
            </w:tcMar>
            <w:vAlign w:val="center"/>
          </w:tcPr>
          <w:p w14:paraId="6113DF2A" w14:textId="77777777" w:rsidR="00F56293" w:rsidRPr="00F56293" w:rsidRDefault="00F56293" w:rsidP="00F56293">
            <w:pPr>
              <w:spacing w:line="221" w:lineRule="auto"/>
              <w:jc w:val="center"/>
              <w:rPr>
                <w:rFonts w:ascii="Arial" w:hAnsi="Arial"/>
                <w:sz w:val="19"/>
              </w:rPr>
            </w:pPr>
            <w:r w:rsidRPr="00F56293">
              <w:rPr>
                <w:rFonts w:ascii="Arial" w:eastAsia="Arial" w:hAnsi="Arial"/>
                <w:b/>
                <w:sz w:val="15"/>
              </w:rPr>
              <w:t>R$ 23.783,00</w:t>
            </w:r>
          </w:p>
        </w:tc>
      </w:tr>
    </w:tbl>
    <w:p w14:paraId="10411BEB" w14:textId="77777777" w:rsidR="00F56293" w:rsidRPr="00F56293" w:rsidRDefault="00F56293" w:rsidP="00F56293">
      <w:pPr>
        <w:spacing w:after="40" w:line="240" w:lineRule="auto"/>
        <w:rPr>
          <w:rFonts w:ascii="Arial" w:hAnsi="Arial"/>
          <w:sz w:val="19"/>
        </w:rPr>
      </w:pPr>
    </w:p>
    <w:p w14:paraId="2CD8BB1F"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1.3.</w:t>
      </w:r>
      <w:r w:rsidRPr="00F56293">
        <w:rPr>
          <w:rFonts w:ascii="Arial" w:eastAsia="Arial" w:hAnsi="Arial"/>
          <w:sz w:val="19"/>
        </w:rPr>
        <w:t xml:space="preserve"> O valor global estimado da contratação é de R$ 83.773,64 (oitenta e três mil, setecentos e setenta e três reais e sessenta e quatro centavos).</w:t>
      </w:r>
    </w:p>
    <w:p w14:paraId="118F694F"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1.4.</w:t>
      </w:r>
      <w:r w:rsidRPr="00F56293">
        <w:rPr>
          <w:rFonts w:ascii="Arial" w:eastAsia="Arial" w:hAnsi="Arial"/>
          <w:sz w:val="19"/>
        </w:rPr>
        <w:t xml:space="preserve"> Os licitantes provisoriamente classificados em primeiro lugar deverão apresentar, quando solicitado pelo Pregoeiro, catálogo, folder, ficha técnica, manual ou documento oficial do fabricante que permita verificar o atendimento das especificações. A documentação deverá indicar de forma clara a marca e o modelo ofertados, admitindo-se diligência para esclarecimentos, sem alteração da proposta.</w:t>
      </w:r>
    </w:p>
    <w:p w14:paraId="45C7B565"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1.5.</w:t>
      </w:r>
      <w:r w:rsidRPr="00F56293">
        <w:rPr>
          <w:rFonts w:ascii="Arial" w:eastAsia="Arial" w:hAnsi="Arial"/>
          <w:sz w:val="19"/>
        </w:rPr>
        <w:t xml:space="preserve"> Eventual divergência entre a descrição resumida cadastrada no sistema eletrônico e as especificações deste Termo de Referência será resolvida pela prevalência deste documento, desde que disponibilizado integralmente aos licitantes.</w:t>
      </w:r>
    </w:p>
    <w:p w14:paraId="1986B84A"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1.6.</w:t>
      </w:r>
      <w:r w:rsidRPr="00F56293">
        <w:rPr>
          <w:rFonts w:ascii="Arial" w:eastAsia="Arial" w:hAnsi="Arial"/>
          <w:sz w:val="19"/>
        </w:rPr>
        <w:t xml:space="preserve"> O objeto é caracterizado como aquisição de bens comuns e não enquadrados como artigos de luxo, pois seus padrões de desempenho e qualidade podem ser objetivamente definidos por especificações usuais de mercado, nos termos da Lei nº 14.133/2021.</w:t>
      </w:r>
    </w:p>
    <w:p w14:paraId="6058A521"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1.7.</w:t>
      </w:r>
      <w:r w:rsidRPr="00F56293">
        <w:rPr>
          <w:rFonts w:ascii="Arial" w:eastAsia="Arial" w:hAnsi="Arial"/>
          <w:sz w:val="19"/>
        </w:rPr>
        <w:t xml:space="preserve"> O fornecimento possui natureza não continuada e será executado por escopo, com entrega dos bens em prazo determinado. A contratação poderá ser formalizada por contrato, nota de empenho, autorização de fornecimento ou instrumento equivalente, conforme a legislação e as condições do edital.</w:t>
      </w:r>
    </w:p>
    <w:p w14:paraId="43C3D04F" w14:textId="77777777" w:rsidR="00F56293" w:rsidRPr="00F56293" w:rsidRDefault="00F56293" w:rsidP="00F56293">
      <w:pPr>
        <w:spacing w:after="40" w:line="240" w:lineRule="auto"/>
        <w:jc w:val="both"/>
        <w:rPr>
          <w:rFonts w:ascii="Arial" w:hAnsi="Arial"/>
          <w:sz w:val="19"/>
        </w:rPr>
      </w:pPr>
    </w:p>
    <w:p w14:paraId="4A1B4110"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2.</w:t>
      </w:r>
      <w:r w:rsidRPr="00F56293">
        <w:rPr>
          <w:rFonts w:ascii="Arial" w:eastAsia="Arial" w:hAnsi="Arial"/>
          <w:b/>
          <w:sz w:val="21"/>
        </w:rPr>
        <w:tab/>
        <w:t>FUNDAMENTAÇÃO DA CONTRATAÇÃO</w:t>
      </w:r>
    </w:p>
    <w:p w14:paraId="129BDEE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2.1.</w:t>
      </w:r>
      <w:r w:rsidRPr="00F56293">
        <w:rPr>
          <w:rFonts w:ascii="Arial" w:eastAsia="Arial" w:hAnsi="Arial"/>
          <w:sz w:val="19"/>
        </w:rPr>
        <w:t xml:space="preserve"> A fundamentação da contratação, a descrição da necessidade e a memória dos quantitativos encontram-se detalhadas no Documento de Formalização de Demanda - DFD e no Estudo Técnico Preliminar - ETP, que integram a fase preparatória do processo.</w:t>
      </w:r>
    </w:p>
    <w:p w14:paraId="00C3007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2.2.</w:t>
      </w:r>
      <w:r w:rsidRPr="00F56293">
        <w:rPr>
          <w:rFonts w:ascii="Arial" w:eastAsia="Arial" w:hAnsi="Arial"/>
          <w:sz w:val="19"/>
        </w:rPr>
        <w:t xml:space="preserve"> A demanda da Secretaria Municipal da Mulher, Pessoa Idosa e Igualdade Racial visa estruturar os ambientes de atendimento e trabalho, fortalecer a gestão e a rede de proteção e defesa dos direitos da mulher e permitir a aplicação dos recursos vinculados à Deliberação nº 15/2025, no limite de R$ 60.000,00 destinado à aquisição de equipamentos e materiais permanentes.</w:t>
      </w:r>
    </w:p>
    <w:p w14:paraId="53F57FB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2.3.</w:t>
      </w:r>
      <w:r w:rsidRPr="00F56293">
        <w:rPr>
          <w:rFonts w:ascii="Arial" w:eastAsia="Arial" w:hAnsi="Arial"/>
          <w:sz w:val="19"/>
        </w:rPr>
        <w:t xml:space="preserve"> A demanda da Farmácia Municipal busca melhorar as condições de armazenamento, organização, controle e dispensação de medicamentos, a segurança dos processos administrativos e sanitários e as condições de trabalho dos profissionais, mediante aplicação dos recursos do IOAF.</w:t>
      </w:r>
    </w:p>
    <w:p w14:paraId="0C3168F3"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2.4.</w:t>
      </w:r>
      <w:r w:rsidRPr="00F56293">
        <w:rPr>
          <w:rFonts w:ascii="Arial" w:eastAsia="Arial" w:hAnsi="Arial"/>
          <w:sz w:val="19"/>
        </w:rPr>
        <w:t xml:space="preserve"> A reunião das demandas em um único processo reduz a duplicidade de atos administrativos, amplia a competitividade, possibilita economia de escala e racionaliza os custos de divulgação, julgamento e contratação, sem impedir a individualização por item, unidade beneficiária, fonte de recursos, empenho, entrega, fiscalização e controle patrimonial.</w:t>
      </w:r>
    </w:p>
    <w:p w14:paraId="5E93EC92" w14:textId="77777777" w:rsidR="00F56293" w:rsidRPr="00F56293" w:rsidRDefault="00F56293" w:rsidP="00F56293">
      <w:pPr>
        <w:spacing w:after="40" w:line="240" w:lineRule="auto"/>
        <w:jc w:val="both"/>
        <w:rPr>
          <w:rFonts w:ascii="Arial" w:hAnsi="Arial"/>
          <w:sz w:val="19"/>
        </w:rPr>
      </w:pPr>
    </w:p>
    <w:p w14:paraId="6BE78304"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3.</w:t>
      </w:r>
      <w:r w:rsidRPr="00F56293">
        <w:rPr>
          <w:rFonts w:ascii="Arial" w:eastAsia="Arial" w:hAnsi="Arial"/>
          <w:b/>
          <w:sz w:val="21"/>
        </w:rPr>
        <w:tab/>
        <w:t>DESCRIÇÃO DA SOLUÇÃO COMO UM TODO</w:t>
      </w:r>
    </w:p>
    <w:p w14:paraId="2B9A1276"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3.1.</w:t>
      </w:r>
      <w:r w:rsidRPr="00F56293">
        <w:rPr>
          <w:rFonts w:ascii="Arial" w:eastAsia="Arial" w:hAnsi="Arial"/>
          <w:sz w:val="19"/>
        </w:rPr>
        <w:t xml:space="preserve"> A solução consiste na aquisição definitiva dos bens descritos neste Termo de Referência, novos, sem uso, reforma ou recondicionamento, acompanhados de todos os acessórios, cabos, componentes, manuais, licenças e documentos necessários ao pleno funcionamento.</w:t>
      </w:r>
    </w:p>
    <w:p w14:paraId="50C302D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3.2.</w:t>
      </w:r>
      <w:r w:rsidRPr="00F56293">
        <w:rPr>
          <w:rFonts w:ascii="Arial" w:eastAsia="Arial" w:hAnsi="Arial"/>
          <w:sz w:val="19"/>
        </w:rPr>
        <w:t xml:space="preserve"> A contratação abrangerá, quando aplicável, transporte, seguro, carga, descarga, movimentação interna, montagem, instalação, configuração, testes operacionais, retirada de embalagens, treinamento básico de uso e assistência técnica durante o período de garantia.</w:t>
      </w:r>
    </w:p>
    <w:p w14:paraId="645016D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lastRenderedPageBreak/>
        <w:t>3.3.</w:t>
      </w:r>
      <w:r w:rsidRPr="00F56293">
        <w:rPr>
          <w:rFonts w:ascii="Arial" w:eastAsia="Arial" w:hAnsi="Arial"/>
          <w:sz w:val="19"/>
        </w:rPr>
        <w:t xml:space="preserve"> Os bens serão processados em um único pregão eletrônico, mas permanecerão individualizados para disputa, adjudicação, empenho, nota fiscal, entrega, recebimento, tombamento e fiscalização, preservando-se a unidade destinatária e a fonte de recursos de cada item.</w:t>
      </w:r>
    </w:p>
    <w:p w14:paraId="6F892D2A"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3.4.</w:t>
      </w:r>
      <w:r w:rsidRPr="00F56293">
        <w:rPr>
          <w:rFonts w:ascii="Arial" w:eastAsia="Arial" w:hAnsi="Arial"/>
          <w:sz w:val="19"/>
        </w:rPr>
        <w:t xml:space="preserve"> A opção pela compra decorre da natureza permanente dos bens e da finalidade vinculada dos recursos recebidos para aquisição de equipamentos. Alternativas como locação, cessão ou compartilhamento não asseguram a incorporação patrimonial, a disponibilidade contínua nem a adequada aplicação do repasse.</w:t>
      </w:r>
    </w:p>
    <w:p w14:paraId="7C969625" w14:textId="77777777" w:rsidR="00F56293" w:rsidRPr="00F56293" w:rsidRDefault="00F56293" w:rsidP="00F56293">
      <w:pPr>
        <w:spacing w:after="40" w:line="240" w:lineRule="auto"/>
        <w:jc w:val="both"/>
        <w:rPr>
          <w:rFonts w:ascii="Arial" w:hAnsi="Arial"/>
          <w:sz w:val="19"/>
        </w:rPr>
      </w:pPr>
    </w:p>
    <w:p w14:paraId="380B0D3E"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4.</w:t>
      </w:r>
      <w:r w:rsidRPr="00F56293">
        <w:rPr>
          <w:rFonts w:ascii="Arial" w:eastAsia="Arial" w:hAnsi="Arial"/>
          <w:b/>
          <w:sz w:val="21"/>
        </w:rPr>
        <w:tab/>
        <w:t>REQUISITOS DA CONTRATAÇÃO</w:t>
      </w:r>
    </w:p>
    <w:p w14:paraId="1B07CA7C"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4.1.</w:t>
      </w:r>
      <w:r w:rsidRPr="00F56293">
        <w:rPr>
          <w:rFonts w:ascii="Arial" w:eastAsia="Arial" w:hAnsi="Arial"/>
          <w:sz w:val="19"/>
        </w:rPr>
        <w:t xml:space="preserve"> Todos os produtos deverão ser novos, de primeiro uso, em linha de produção ou comercialização regular, sem reforma, recondicionamento ou remanufatura, e entregues em embalagem original, salvo mobiliário fabricado ou montado sob medida.</w:t>
      </w:r>
    </w:p>
    <w:p w14:paraId="14EFAB0D"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4.2.</w:t>
      </w:r>
      <w:r w:rsidRPr="00F56293">
        <w:rPr>
          <w:rFonts w:ascii="Arial" w:eastAsia="Arial" w:hAnsi="Arial"/>
          <w:sz w:val="19"/>
        </w:rPr>
        <w:t xml:space="preserve"> Os equipamentos deverão possuir certificações, registros e conformidades obrigatórias para sua categoria, quando aplicáveis, tais como INMETRO, ANATEL, eficiência energética, normas de segurança elétrica e registro sanitário legalmente exigível.</w:t>
      </w:r>
    </w:p>
    <w:p w14:paraId="4981C77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4.3.</w:t>
      </w:r>
      <w:r w:rsidRPr="00F56293">
        <w:rPr>
          <w:rFonts w:ascii="Arial" w:eastAsia="Arial" w:hAnsi="Arial"/>
          <w:sz w:val="19"/>
        </w:rPr>
        <w:t xml:space="preserve"> A marca e o modelo entregues deverão ser idênticos aos constantes da proposta aceita. Não serão admitidas substituições sem prévia autorização da Administração e comprovação de equivalência ou superioridade técnica, mantido o preço contratado.</w:t>
      </w:r>
    </w:p>
    <w:p w14:paraId="12CD4353"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4.4.</w:t>
      </w:r>
      <w:r w:rsidRPr="00F56293">
        <w:rPr>
          <w:rFonts w:ascii="Arial" w:eastAsia="Arial" w:hAnsi="Arial"/>
          <w:sz w:val="19"/>
        </w:rPr>
        <w:t xml:space="preserve"> A garantia mínima será de 12 (doze) meses, contados do recebimento definitivo, ou prazo superior estabelecido na descrição do item ou pelo fabricante. A garantia abrangerá peças, mão de obra, frete, deslocamento e demais custos de reparo ou substituição.</w:t>
      </w:r>
    </w:p>
    <w:p w14:paraId="679C71A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4.5.</w:t>
      </w:r>
      <w:r w:rsidRPr="00F56293">
        <w:rPr>
          <w:rFonts w:ascii="Arial" w:eastAsia="Arial" w:hAnsi="Arial"/>
          <w:sz w:val="19"/>
        </w:rPr>
        <w:t xml:space="preserve"> O transporte, a descarga, a montagem, a instalação e os testes serão de responsabilidade da contratada, que deverá utilizar profissionais, ferramentas, veículos e equipamentos adequados e observar as normas de segurança aplicáveis.</w:t>
      </w:r>
    </w:p>
    <w:p w14:paraId="77C053AD"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4.6.</w:t>
      </w:r>
      <w:r w:rsidRPr="00F56293">
        <w:rPr>
          <w:rFonts w:ascii="Arial" w:eastAsia="Arial" w:hAnsi="Arial"/>
          <w:sz w:val="19"/>
        </w:rPr>
        <w:t xml:space="preserve"> Os bens deverão ser compatíveis com a tensão elétrica indicada na ordem de fornecimento. Antes da entrega de eletrodomésticos e equipamentos, a contratada deverá confirmar a tensão e, quando houver instalação, as condições básicas do local.</w:t>
      </w:r>
    </w:p>
    <w:p w14:paraId="28570F68"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4.7.</w:t>
      </w:r>
      <w:r w:rsidRPr="00F56293">
        <w:rPr>
          <w:rFonts w:ascii="Arial" w:eastAsia="Arial" w:hAnsi="Arial"/>
          <w:sz w:val="19"/>
        </w:rPr>
        <w:t xml:space="preserve"> Os aparelhos de ar-condicionado deverão utilizar gás refrigerante sem CFC, possuir eficiência energética compatível com a regulamentação vigente e ser instalados por profissional qualificado, com materiais, testes e acabamento previstos na descrição do item.</w:t>
      </w:r>
    </w:p>
    <w:p w14:paraId="2EF6D07D"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4.8.</w:t>
      </w:r>
      <w:r w:rsidRPr="00F56293">
        <w:rPr>
          <w:rFonts w:ascii="Arial" w:eastAsia="Arial" w:hAnsi="Arial"/>
          <w:sz w:val="19"/>
        </w:rPr>
        <w:t xml:space="preserve"> As embalagens e resíduos decorrentes da montagem e instalação deverão ser recolhidos e destinados adequadamente. Deverão ser observadas, quando aplicáveis, as obrigações de logística reversa para eletroeletrônicos, pilhas, baterias e componentes.</w:t>
      </w:r>
    </w:p>
    <w:p w14:paraId="4DA91EBB"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Natureza e duração da contratação</w:t>
      </w:r>
    </w:p>
    <w:p w14:paraId="6C0CC52C"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4.9.</w:t>
      </w:r>
      <w:r w:rsidRPr="00F56293">
        <w:rPr>
          <w:rFonts w:ascii="Arial" w:eastAsia="Arial" w:hAnsi="Arial"/>
          <w:sz w:val="19"/>
        </w:rPr>
        <w:t xml:space="preserve"> A aquisição tem natureza de fornecimento não continuado, por escopo. O prazo de vigência do instrumento será de 12 (doze) meses ou até a conclusão integral das obrigações, podendo ser prorrogado apenas nas hipóteses legalmente admitidas.</w:t>
      </w:r>
    </w:p>
    <w:p w14:paraId="40F50FA3"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Subcontratação</w:t>
      </w:r>
    </w:p>
    <w:p w14:paraId="1465B45D"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4.10.</w:t>
      </w:r>
      <w:r w:rsidRPr="00F56293">
        <w:rPr>
          <w:rFonts w:ascii="Arial" w:eastAsia="Arial" w:hAnsi="Arial"/>
          <w:sz w:val="19"/>
        </w:rPr>
        <w:t xml:space="preserve"> É vedada a subcontratação do fornecimento principal. Poderá ser admitida, mediante prévia ciência da Administração, a subcontratação de atividade acessória de montagem ou instalação, especialmente do item 22, permanecendo a contratada integralmente responsável pelos serviços, encargos e resultados.</w:t>
      </w:r>
    </w:p>
    <w:p w14:paraId="1CC50697"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Garantia da contratação</w:t>
      </w:r>
    </w:p>
    <w:p w14:paraId="4D9A882D"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4.11.</w:t>
      </w:r>
      <w:r w:rsidRPr="00F56293">
        <w:rPr>
          <w:rFonts w:ascii="Arial" w:eastAsia="Arial" w:hAnsi="Arial"/>
          <w:sz w:val="19"/>
        </w:rPr>
        <w:t xml:space="preserve"> Não será exigida garantia de execução contratual prevista nos arts. 96 e seguintes da Lei nº 14.133/2021, sem prejuízo da garantia dos produtos e das responsabilidades da contratada.</w:t>
      </w:r>
    </w:p>
    <w:p w14:paraId="3C66FE77" w14:textId="77777777" w:rsidR="00F56293" w:rsidRPr="00F56293" w:rsidRDefault="00F56293" w:rsidP="00F56293">
      <w:pPr>
        <w:spacing w:after="40" w:line="240" w:lineRule="auto"/>
        <w:jc w:val="both"/>
        <w:rPr>
          <w:rFonts w:ascii="Arial" w:hAnsi="Arial"/>
          <w:sz w:val="19"/>
        </w:rPr>
      </w:pPr>
    </w:p>
    <w:p w14:paraId="563CE615"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5.</w:t>
      </w:r>
      <w:r w:rsidRPr="00F56293">
        <w:rPr>
          <w:rFonts w:ascii="Arial" w:eastAsia="Arial" w:hAnsi="Arial"/>
          <w:b/>
          <w:sz w:val="21"/>
        </w:rPr>
        <w:tab/>
        <w:t>MODELO DE EXECUÇÃO DO OBJETO</w:t>
      </w:r>
    </w:p>
    <w:p w14:paraId="79539F13"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Prazo e locais de entrega</w:t>
      </w:r>
    </w:p>
    <w:p w14:paraId="180A87E0"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5.1.</w:t>
      </w:r>
      <w:r w:rsidRPr="00F56293">
        <w:rPr>
          <w:rFonts w:ascii="Arial" w:eastAsia="Arial" w:hAnsi="Arial"/>
          <w:sz w:val="19"/>
        </w:rPr>
        <w:t xml:space="preserve"> Os bens deverão ser entregues no prazo máximo de 15 dias corridos, contado do recebimento da ordem de fornecimento, nota de empenho ou instrumento equivalente, salvo prazo distinto expressamente previsto para item fabricado sob medida ou aceito pela Administração mediante justificativa.</w:t>
      </w:r>
    </w:p>
    <w:p w14:paraId="670B6C7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5.2.</w:t>
      </w:r>
      <w:r w:rsidRPr="00F56293">
        <w:rPr>
          <w:rFonts w:ascii="Arial" w:eastAsia="Arial" w:hAnsi="Arial"/>
          <w:sz w:val="19"/>
        </w:rPr>
        <w:t xml:space="preserve"> Os itens 1 a 22 serão entregues no endereço indicado pela Secretaria Municipal da Mulher, Pessoa Idosa e Igualdade Racial. Os itens 23 a 32 serão entregues na Farmácia Municipal de Goioxim. Os locais completos, horários, responsáveis e tensões elétricas serão informados na ordem de fornecimento.</w:t>
      </w:r>
    </w:p>
    <w:p w14:paraId="3C4D3E7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5.3.</w:t>
      </w:r>
      <w:r w:rsidRPr="00F56293">
        <w:rPr>
          <w:rFonts w:ascii="Arial" w:eastAsia="Arial" w:hAnsi="Arial"/>
          <w:sz w:val="19"/>
        </w:rPr>
        <w:t xml:space="preserve"> A entrega deverá ser previamente agendada. A contratada responderá pelo transporte, seguro, carga, descarga, movimentação até o local indicado, montagem, instalação, configuração e testes, sem custos adicionais.</w:t>
      </w:r>
    </w:p>
    <w:p w14:paraId="7A623345"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lastRenderedPageBreak/>
        <w:t>5.4.</w:t>
      </w:r>
      <w:r w:rsidRPr="00F56293">
        <w:rPr>
          <w:rFonts w:ascii="Arial" w:eastAsia="Arial" w:hAnsi="Arial"/>
          <w:sz w:val="19"/>
        </w:rPr>
        <w:t xml:space="preserve"> Para os itens 18, 22 e 28, a contratada deverá conferir medidas e condições do local antes da instalação ou fabricação final. A visita poderá ocorrer após a contratação, sem alteração do preço, ressalvadas mudanças de escopo formalmente solicitadas pela Administração.</w:t>
      </w:r>
    </w:p>
    <w:p w14:paraId="2455C851"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Instalação e configuração</w:t>
      </w:r>
    </w:p>
    <w:p w14:paraId="09F294C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5.5.</w:t>
      </w:r>
      <w:r w:rsidRPr="00F56293">
        <w:rPr>
          <w:rFonts w:ascii="Arial" w:eastAsia="Arial" w:hAnsi="Arial"/>
          <w:sz w:val="19"/>
        </w:rPr>
        <w:t xml:space="preserve"> No item 22, a instalação padrão compreenderá suporte, tubulação de cobre isolada, dreno, cabo de interligação, acabamento, realização de vácuo, complementação de gás quando necessária e testes, para distância de até 5 metros entre as unidades. O Município disponibilizará ponto elétrico compatível próximo ao local.</w:t>
      </w:r>
    </w:p>
    <w:p w14:paraId="3A428FD4"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5.6.</w:t>
      </w:r>
      <w:r w:rsidRPr="00F56293">
        <w:rPr>
          <w:rFonts w:ascii="Arial" w:eastAsia="Arial" w:hAnsi="Arial"/>
          <w:sz w:val="19"/>
        </w:rPr>
        <w:t xml:space="preserve"> No item 18, a instalação compreenderá a montagem do balcão e a conexão da cuba aos pontos hidráulico e de esgoto existentes. No item 28, estarão incluídas a medição final, a fabricação conforme as dimensões confirmadas e a montagem completa no local.</w:t>
      </w:r>
    </w:p>
    <w:p w14:paraId="2694835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5.7.</w:t>
      </w:r>
      <w:r w:rsidRPr="00F56293">
        <w:rPr>
          <w:rFonts w:ascii="Arial" w:eastAsia="Arial" w:hAnsi="Arial"/>
          <w:sz w:val="19"/>
        </w:rPr>
        <w:t xml:space="preserve"> Os equipamentos de informática deverão ser entregues configurados, com sistema operacional original ativado, drivers instalados, atualizações essenciais aplicadas e teste básico de funcionamento realizado na presença do fiscal.</w:t>
      </w:r>
    </w:p>
    <w:p w14:paraId="2A7EA952"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Recebimento e substituição</w:t>
      </w:r>
    </w:p>
    <w:p w14:paraId="5832820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5.8.</w:t>
      </w:r>
      <w:r w:rsidRPr="00F56293">
        <w:rPr>
          <w:rFonts w:ascii="Arial" w:eastAsia="Arial" w:hAnsi="Arial"/>
          <w:sz w:val="19"/>
        </w:rPr>
        <w:t xml:space="preserve"> O recebimento provisório ocorrerá no ato da entrega, mediante conferência quantitativa, verificação da integridade das embalagens e registro de ressalvas, sem representar aceitação definitiva.</w:t>
      </w:r>
    </w:p>
    <w:p w14:paraId="24B3658B"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5.9.</w:t>
      </w:r>
      <w:r w:rsidRPr="00F56293">
        <w:rPr>
          <w:rFonts w:ascii="Arial" w:eastAsia="Arial" w:hAnsi="Arial"/>
          <w:sz w:val="19"/>
        </w:rPr>
        <w:t xml:space="preserve"> O recebimento definitivo ocorrerá em até 10 (dez) dias úteis após o recebimento provisório, mediante verificação das especificações, marca e modelo, montagem, instalação, funcionamento, documentos de garantia e demais condições.</w:t>
      </w:r>
    </w:p>
    <w:p w14:paraId="114B49E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5.10.</w:t>
      </w:r>
      <w:r w:rsidRPr="00F56293">
        <w:rPr>
          <w:rFonts w:ascii="Arial" w:eastAsia="Arial" w:hAnsi="Arial"/>
          <w:sz w:val="19"/>
        </w:rPr>
        <w:t xml:space="preserve"> Os bens rejeitados, no todo ou em parte, deverão ser retirados e substituídos no prazo máximo de 10 (dez) dias corridos da notificação, às expensas da contratada, sem prejuízo das sanções cabíveis.</w:t>
      </w:r>
    </w:p>
    <w:p w14:paraId="105F1CE8"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5.11.</w:t>
      </w:r>
      <w:r w:rsidRPr="00F56293">
        <w:rPr>
          <w:rFonts w:ascii="Arial" w:eastAsia="Arial" w:hAnsi="Arial"/>
          <w:sz w:val="19"/>
        </w:rPr>
        <w:t xml:space="preserve"> O recebimento provisório ou definitivo não exclui a responsabilidade da contratada por vícios ocultos, defeitos, danos, desconformidades, garantia e segurança dos produtos.</w:t>
      </w:r>
    </w:p>
    <w:p w14:paraId="2BE498AB"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Garantia e assistência técnica</w:t>
      </w:r>
    </w:p>
    <w:p w14:paraId="7BC1AE4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5.12.</w:t>
      </w:r>
      <w:r w:rsidRPr="00F56293">
        <w:rPr>
          <w:rFonts w:ascii="Arial" w:eastAsia="Arial" w:hAnsi="Arial"/>
          <w:sz w:val="19"/>
        </w:rPr>
        <w:t xml:space="preserve"> Durante o período de garantia, a contratada deverá reparar ou substituir o bem defeituoso sem custos para o Município. O atendimento inicial deverá ocorrer em prazo compatível com a natureza do produto, contado da notificação formal.</w:t>
      </w:r>
    </w:p>
    <w:p w14:paraId="50482260"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5.13.</w:t>
      </w:r>
      <w:r w:rsidRPr="00F56293">
        <w:rPr>
          <w:rFonts w:ascii="Arial" w:eastAsia="Arial" w:hAnsi="Arial"/>
          <w:sz w:val="19"/>
        </w:rPr>
        <w:t xml:space="preserve"> Quando o reparo não puder ser concluído em prazo razoável, a contratada deverá disponibilizar bem equivalente ou promover a substituição definitiva, assegurando a continuidade das atividades da unidade beneficiária.</w:t>
      </w:r>
    </w:p>
    <w:p w14:paraId="7A5BA074" w14:textId="77777777" w:rsidR="00F56293" w:rsidRPr="00F56293" w:rsidRDefault="00F56293" w:rsidP="00F56293">
      <w:pPr>
        <w:spacing w:after="40" w:line="240" w:lineRule="auto"/>
        <w:jc w:val="both"/>
        <w:rPr>
          <w:rFonts w:ascii="Arial" w:hAnsi="Arial"/>
          <w:sz w:val="19"/>
        </w:rPr>
      </w:pPr>
    </w:p>
    <w:p w14:paraId="28276B57"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6.</w:t>
      </w:r>
      <w:r w:rsidRPr="00F56293">
        <w:rPr>
          <w:rFonts w:ascii="Arial" w:eastAsia="Arial" w:hAnsi="Arial"/>
          <w:b/>
          <w:sz w:val="21"/>
        </w:rPr>
        <w:tab/>
        <w:t>MODELO DE GESTÃO DO CONTRATO</w:t>
      </w:r>
    </w:p>
    <w:p w14:paraId="0B4DC35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6.1.</w:t>
      </w:r>
      <w:r w:rsidRPr="00F56293">
        <w:rPr>
          <w:rFonts w:ascii="Arial" w:eastAsia="Arial" w:hAnsi="Arial"/>
          <w:sz w:val="19"/>
        </w:rPr>
        <w:t xml:space="preserve"> O contrato ou instrumento equivalente deverá ser executado fielmente pelas partes, de acordo com as cláusulas pactuadas, este Termo de Referência, o edital, a proposta e a Lei nº 14.133/2021, respondendo cada parte pelas consequências da inexecução total ou parcial.</w:t>
      </w:r>
    </w:p>
    <w:p w14:paraId="414BDF8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6.2.</w:t>
      </w:r>
      <w:r w:rsidRPr="00F56293">
        <w:rPr>
          <w:rFonts w:ascii="Arial" w:eastAsia="Arial" w:hAnsi="Arial"/>
          <w:sz w:val="19"/>
        </w:rPr>
        <w:t xml:space="preserve"> As comunicações entre a Administração e a contratada deverão ser realizadas por escrito, admitidos ofício, correio eletrônico, sistema eletrônico ou outro meio que permita comprovar o envio e o recebimento.</w:t>
      </w:r>
    </w:p>
    <w:p w14:paraId="16CB5913"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6.3.</w:t>
      </w:r>
      <w:r w:rsidRPr="00F56293">
        <w:rPr>
          <w:rFonts w:ascii="Arial" w:eastAsia="Arial" w:hAnsi="Arial"/>
          <w:sz w:val="19"/>
        </w:rPr>
        <w:t xml:space="preserve"> A Administração poderá convocar representante da contratada para reunião inicial, esclarecimento de obrigações, programação de entregas, apresentação do plano de fiscalização e adoção de providências imediatas.</w:t>
      </w:r>
    </w:p>
    <w:p w14:paraId="1224DA43"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Fiscalização</w:t>
      </w:r>
    </w:p>
    <w:p w14:paraId="2AD60433"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6.4.</w:t>
      </w:r>
      <w:r w:rsidRPr="00F56293">
        <w:rPr>
          <w:rFonts w:ascii="Arial" w:eastAsia="Arial" w:hAnsi="Arial"/>
          <w:sz w:val="19"/>
        </w:rPr>
        <w:t xml:space="preserve"> A execução será acompanhada e fiscalizada por servidores formalmente designados. Para o Bloco I, indica-se a servidora Ângela Fabiane Cagnini, Assistente Social, sem prejuízo do ato formal. Para o Bloco II, a Secretaria Municipal de Saúde indicará fiscal, preferencialmente com participação do profissional farmacêutico responsável pelo recebimento técnico.</w:t>
      </w:r>
    </w:p>
    <w:p w14:paraId="6F6BD36B"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6.5.</w:t>
      </w:r>
      <w:r w:rsidRPr="00F56293">
        <w:rPr>
          <w:rFonts w:ascii="Arial" w:eastAsia="Arial" w:hAnsi="Arial"/>
          <w:sz w:val="19"/>
        </w:rPr>
        <w:t xml:space="preserve"> O fiscal deverá conferir quantidade, marca, modelo, características, instalação, funcionamento, garantia, nota fiscal, fonte de recursos, local de entrega e tombamento, registrando as ocorrências e determinando a correção de falhas dentro de sua competência.</w:t>
      </w:r>
    </w:p>
    <w:p w14:paraId="169AA73C"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6.6.</w:t>
      </w:r>
      <w:r w:rsidRPr="00F56293">
        <w:rPr>
          <w:rFonts w:ascii="Arial" w:eastAsia="Arial" w:hAnsi="Arial"/>
          <w:sz w:val="19"/>
        </w:rPr>
        <w:t xml:space="preserve"> O fiscal administrativo verificará a manutenção das condições de habilitação, a regularidade dos documentos fiscais, o empenho, a liquidação, os pagamentos, as garantias, as glosas e a necessidade de apostilamento ou alteração contratual.</w:t>
      </w:r>
    </w:p>
    <w:p w14:paraId="460E69E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6.7.</w:t>
      </w:r>
      <w:r w:rsidRPr="00F56293">
        <w:rPr>
          <w:rFonts w:ascii="Arial" w:eastAsia="Arial" w:hAnsi="Arial"/>
          <w:sz w:val="19"/>
        </w:rPr>
        <w:t xml:space="preserve"> Os recebimentos, empenhos, notas fiscais e tombamentos dos dois blocos serão individualizados, ainda que um mesmo fornecedor seja vencedor de itens destinados a unidades distintas.</w:t>
      </w:r>
    </w:p>
    <w:p w14:paraId="3201E391"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Gestão do contrato</w:t>
      </w:r>
    </w:p>
    <w:p w14:paraId="0D83F5F0"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6.8.</w:t>
      </w:r>
      <w:r w:rsidRPr="00F56293">
        <w:rPr>
          <w:rFonts w:ascii="Arial" w:eastAsia="Arial" w:hAnsi="Arial"/>
          <w:sz w:val="19"/>
        </w:rPr>
        <w:t xml:space="preserve"> O gestor de cada bloco será o Secretário da respectiva pasta ou servidor formalmente designado, cabendo-lhe coordenar o acompanhamento, manter o histórico da execução, controlar prazos, comunicações, ocorrências, garantias e providências necessárias ao encerramento.</w:t>
      </w:r>
    </w:p>
    <w:p w14:paraId="1A7EBDE0"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lastRenderedPageBreak/>
        <w:t>6.9.</w:t>
      </w:r>
      <w:r w:rsidRPr="00F56293">
        <w:rPr>
          <w:rFonts w:ascii="Arial" w:eastAsia="Arial" w:hAnsi="Arial"/>
          <w:sz w:val="19"/>
        </w:rPr>
        <w:t xml:space="preserve"> O gestor acompanhará os registros dos fiscais, a manutenção das condições de habilitação, os riscos que possam afetar a execução e as providências para eventual aplicação de sanções, alteração ou extinção do instrumento.</w:t>
      </w:r>
    </w:p>
    <w:p w14:paraId="0B46EB02"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6.10.</w:t>
      </w:r>
      <w:r w:rsidRPr="00F56293">
        <w:rPr>
          <w:rFonts w:ascii="Arial" w:eastAsia="Arial" w:hAnsi="Arial"/>
          <w:sz w:val="19"/>
        </w:rPr>
        <w:t xml:space="preserve"> Ao final, o gestor elaborará relatório sobre a consecução dos resultados pretendidos, o desempenho da contratada, as ocorrências relevantes e as oportunidades de aperfeiçoamento das futuras contratações.</w:t>
      </w:r>
    </w:p>
    <w:p w14:paraId="3AB25AC8" w14:textId="77777777" w:rsidR="00F56293" w:rsidRPr="00F56293" w:rsidRDefault="00F56293" w:rsidP="00F56293">
      <w:pPr>
        <w:spacing w:after="40" w:line="240" w:lineRule="auto"/>
        <w:jc w:val="both"/>
        <w:rPr>
          <w:rFonts w:ascii="Arial" w:hAnsi="Arial"/>
          <w:sz w:val="19"/>
        </w:rPr>
      </w:pPr>
    </w:p>
    <w:p w14:paraId="67518731"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7.</w:t>
      </w:r>
      <w:r w:rsidRPr="00F56293">
        <w:rPr>
          <w:rFonts w:ascii="Arial" w:eastAsia="Arial" w:hAnsi="Arial"/>
          <w:b/>
          <w:sz w:val="21"/>
        </w:rPr>
        <w:tab/>
        <w:t>CRITÉRIOS DE MEDIÇÃO E DE PAGAMENTO</w:t>
      </w:r>
    </w:p>
    <w:p w14:paraId="3DBC492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7.1.</w:t>
      </w:r>
      <w:r w:rsidRPr="00F56293">
        <w:rPr>
          <w:rFonts w:ascii="Arial" w:eastAsia="Arial" w:hAnsi="Arial"/>
          <w:sz w:val="19"/>
        </w:rPr>
        <w:t xml:space="preserve"> A medição corresponderá às unidades efetivamente entregues, montadas, instaladas, configuradas, testadas e definitivamente aceitas, observados os valores unitários adjudicados.</w:t>
      </w:r>
    </w:p>
    <w:p w14:paraId="7B4F3BA6"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Nota fiscal</w:t>
      </w:r>
    </w:p>
    <w:p w14:paraId="29B0516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7.2.</w:t>
      </w:r>
      <w:r w:rsidRPr="00F56293">
        <w:rPr>
          <w:rFonts w:ascii="Arial" w:eastAsia="Arial" w:hAnsi="Arial"/>
          <w:sz w:val="19"/>
        </w:rPr>
        <w:t xml:space="preserve"> A nota fiscal deverá ser emitida em nome do Município de Goioxim, conforme os dados constantes da nota de empenho, e indicar o processo, o item, a marca e o modelo, a quantidade, a ordem de fornecimento, o empenho e a unidade beneficiária.</w:t>
      </w:r>
    </w:p>
    <w:p w14:paraId="6C2EDCAA"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7.3.</w:t>
      </w:r>
      <w:r w:rsidRPr="00F56293">
        <w:rPr>
          <w:rFonts w:ascii="Arial" w:eastAsia="Arial" w:hAnsi="Arial"/>
          <w:sz w:val="19"/>
        </w:rPr>
        <w:t xml:space="preserve"> Quando determinado pela Administração, os itens pertencentes a blocos ou fontes de recursos distintos deverão constar de notas fiscais separadas, para assegurar a correta liquidação e prestação de contas.</w:t>
      </w:r>
    </w:p>
    <w:p w14:paraId="5CD44B36"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7.4.</w:t>
      </w:r>
      <w:r w:rsidRPr="00F56293">
        <w:rPr>
          <w:rFonts w:ascii="Arial" w:eastAsia="Arial" w:hAnsi="Arial"/>
          <w:sz w:val="19"/>
        </w:rPr>
        <w:t xml:space="preserve"> Deverão constar os dados bancários para pagamento e as informações tributárias exigidas, inclusive o destaque das retenções ou a fundamentação legal da não incidência, quando aplicável.</w:t>
      </w:r>
    </w:p>
    <w:p w14:paraId="57562E5B"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Liquidação</w:t>
      </w:r>
    </w:p>
    <w:p w14:paraId="203D4DCD"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7.5.</w:t>
      </w:r>
      <w:r w:rsidRPr="00F56293">
        <w:rPr>
          <w:rFonts w:ascii="Arial" w:eastAsia="Arial" w:hAnsi="Arial"/>
          <w:sz w:val="19"/>
        </w:rPr>
        <w:t xml:space="preserve"> Após o recebimento definitivo e a apresentação da nota fiscal regular, o setor competente realizará a liquidação da despesa, verificando o cumprimento das condições contratuais e a manutenção da regularidade exigida.</w:t>
      </w:r>
    </w:p>
    <w:p w14:paraId="6ADE64CC"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7.6.</w:t>
      </w:r>
      <w:r w:rsidRPr="00F56293">
        <w:rPr>
          <w:rFonts w:ascii="Arial" w:eastAsia="Arial" w:hAnsi="Arial"/>
          <w:sz w:val="19"/>
        </w:rPr>
        <w:t xml:space="preserve"> Havendo erro, divergência ou pendência na nota fiscal, na documentação ou no objeto, a liquidação e o prazo de pagamento ficarão suspensos até a regularização, sem ônus para a Administração.</w:t>
      </w:r>
    </w:p>
    <w:p w14:paraId="70CDD035"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Prazo e forma de pagamento</w:t>
      </w:r>
    </w:p>
    <w:p w14:paraId="22B962E3"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7.7.</w:t>
      </w:r>
      <w:r w:rsidRPr="00F56293">
        <w:rPr>
          <w:rFonts w:ascii="Arial" w:eastAsia="Arial" w:hAnsi="Arial"/>
          <w:sz w:val="19"/>
        </w:rPr>
        <w:t xml:space="preserve"> O pagamento será efetuado em até 30 (trinta) dias após o recebimento definitivo, a liquidação da despesa e a apresentação da documentação regular, por ordem bancária na conta indicada pela contratada.</w:t>
      </w:r>
    </w:p>
    <w:p w14:paraId="3D136C04"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7.8.</w:t>
      </w:r>
      <w:r w:rsidRPr="00F56293">
        <w:rPr>
          <w:rFonts w:ascii="Arial" w:eastAsia="Arial" w:hAnsi="Arial"/>
          <w:sz w:val="19"/>
        </w:rPr>
        <w:t xml:space="preserve"> Serão efetuadas as retenções tributárias legalmente aplicáveis, inclusive IRRF e demais tributos incidentes, conforme a natureza do fornecimento e dos serviços acessórios de instalação.</w:t>
      </w:r>
    </w:p>
    <w:p w14:paraId="2D23AF38"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7.9.</w:t>
      </w:r>
      <w:r w:rsidRPr="00F56293">
        <w:rPr>
          <w:rFonts w:ascii="Arial" w:eastAsia="Arial" w:hAnsi="Arial"/>
          <w:sz w:val="19"/>
        </w:rPr>
        <w:t xml:space="preserve"> Não haverá pagamento antecipado. O pagamento não implica aceitação de vícios ocultos nem libera a contratada das obrigações de garantia, reparação e substituição.</w:t>
      </w:r>
    </w:p>
    <w:p w14:paraId="4D05C20C" w14:textId="77777777" w:rsidR="00F56293" w:rsidRPr="00F56293" w:rsidRDefault="00F56293" w:rsidP="00F56293">
      <w:pPr>
        <w:spacing w:after="40" w:line="240" w:lineRule="auto"/>
        <w:jc w:val="both"/>
        <w:rPr>
          <w:rFonts w:ascii="Arial" w:hAnsi="Arial"/>
          <w:sz w:val="19"/>
        </w:rPr>
      </w:pPr>
    </w:p>
    <w:p w14:paraId="70F223DE"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8.</w:t>
      </w:r>
      <w:r w:rsidRPr="00F56293">
        <w:rPr>
          <w:rFonts w:ascii="Arial" w:eastAsia="Arial" w:hAnsi="Arial"/>
          <w:b/>
          <w:sz w:val="21"/>
        </w:rPr>
        <w:tab/>
        <w:t>FORMA E CRITÉRIOS DE SELEÇÃO DO FORNECEDOR</w:t>
      </w:r>
    </w:p>
    <w:p w14:paraId="1456EFDD"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Forma de seleção e critério de julgamento da proposta</w:t>
      </w:r>
    </w:p>
    <w:p w14:paraId="663CC0A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8.1.</w:t>
      </w:r>
      <w:r w:rsidRPr="00F56293">
        <w:rPr>
          <w:rFonts w:ascii="Arial" w:eastAsia="Arial" w:hAnsi="Arial"/>
          <w:sz w:val="19"/>
        </w:rPr>
        <w:t xml:space="preserve"> O fornecedor será selecionado mediante licitação na modalidade PREGÃO ELETRÔNICO, com critério de julgamento de MENOR PREÇO POR ITEM, por se tratar de bens comuns e divisíveis, conforme demonstrado no Estudo Técnico Preliminar.</w:t>
      </w:r>
    </w:p>
    <w:p w14:paraId="43B6EE67"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8.2.</w:t>
      </w:r>
      <w:r w:rsidRPr="00F56293">
        <w:rPr>
          <w:rFonts w:ascii="Arial" w:eastAsia="Arial" w:hAnsi="Arial"/>
          <w:sz w:val="19"/>
        </w:rPr>
        <w:t xml:space="preserve"> Todos os 32 itens serão destinados exclusivamente a microempresas e empresas de pequeno porte, inclusive MEI quando compatível com o objeto, pois o valor estimado individual de cada item é inferior a R$ 80.000,00, ressalvadas as hipóteses legais de afastamento previstas na Lei Complementar nº 123/2006, que deverão ser justificadas no processo.</w:t>
      </w:r>
    </w:p>
    <w:p w14:paraId="5BE4C04E"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b/>
          <w:sz w:val="19"/>
        </w:rPr>
        <w:t>8.3.</w:t>
      </w:r>
      <w:r w:rsidRPr="00F56293">
        <w:rPr>
          <w:rFonts w:ascii="Arial" w:eastAsia="Arial" w:hAnsi="Arial"/>
          <w:sz w:val="19"/>
        </w:rPr>
        <w:t xml:space="preserve"> A proposta deverá indicar marca e modelo, valor unitário e total, prazo de entrega, garantia e declaração de que o preço contempla todos os custos. Será aceita a proposta que atender às especificações e apresentar preço compatível com o estimado, após eventual negociação.</w:t>
      </w:r>
    </w:p>
    <w:p w14:paraId="71B256D6" w14:textId="77777777" w:rsidR="00F56293" w:rsidRPr="00F56293" w:rsidRDefault="00F56293" w:rsidP="00F56293">
      <w:pPr>
        <w:spacing w:after="40" w:line="240" w:lineRule="auto"/>
        <w:jc w:val="both"/>
        <w:rPr>
          <w:rFonts w:ascii="Arial" w:hAnsi="Arial"/>
          <w:sz w:val="19"/>
        </w:rPr>
      </w:pPr>
    </w:p>
    <w:p w14:paraId="61BA3C29"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Exigências de habilitação</w:t>
      </w:r>
    </w:p>
    <w:p w14:paraId="40A2EACE"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8.4.</w:t>
      </w:r>
      <w:r w:rsidRPr="00F56293">
        <w:rPr>
          <w:rFonts w:ascii="Arial" w:eastAsia="Arial" w:hAnsi="Arial"/>
          <w:sz w:val="19"/>
        </w:rPr>
        <w:t xml:space="preserve"> Para fins de habilitação, o licitante deverá comprovar os requisitos jurídicos, fiscais, sociais, trabalhistas, econômico-financeiros e técnicos previstos na Lei nº 14.133/2021 e no edital, observada a proporcionalidade em relação ao objeto.</w:t>
      </w:r>
    </w:p>
    <w:p w14:paraId="4516A89E" w14:textId="77777777" w:rsidR="00F56293" w:rsidRPr="00F56293" w:rsidRDefault="00F56293" w:rsidP="00F56293">
      <w:pPr>
        <w:keepNext/>
        <w:spacing w:before="60" w:after="20" w:line="240" w:lineRule="auto"/>
        <w:rPr>
          <w:rFonts w:ascii="Arial" w:eastAsia="Arial" w:hAnsi="Arial"/>
          <w:b/>
          <w:sz w:val="19"/>
        </w:rPr>
      </w:pPr>
    </w:p>
    <w:p w14:paraId="114F8FB1"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8.5. Habilitação jurídica</w:t>
      </w:r>
    </w:p>
    <w:p w14:paraId="3448280F" w14:textId="77777777" w:rsidR="00F56293" w:rsidRPr="00F56293" w:rsidRDefault="00F56293" w:rsidP="00F56293">
      <w:pPr>
        <w:spacing w:after="40" w:line="240" w:lineRule="auto"/>
        <w:ind w:left="708"/>
        <w:jc w:val="both"/>
        <w:rPr>
          <w:rFonts w:ascii="Arial" w:eastAsia="Times New Roman" w:hAnsi="Arial" w:cs="Arial"/>
          <w:sz w:val="20"/>
          <w:szCs w:val="20"/>
        </w:rPr>
      </w:pPr>
      <w:r w:rsidRPr="00F56293">
        <w:rPr>
          <w:rFonts w:ascii="Arial" w:eastAsia="Times New Roman" w:hAnsi="Arial" w:cs="Arial"/>
          <w:sz w:val="20"/>
          <w:szCs w:val="20"/>
        </w:rPr>
        <w:t xml:space="preserve">a) Ato Constitutivo, Estatuto ou Contrato Social em vigor, devidamente registrado em se tratando de sociedades comerciais, e acompanhado, no caso de sociedades por ações, dos documentos de eleição de seus atuais administradores; </w:t>
      </w:r>
    </w:p>
    <w:p w14:paraId="4F35881D" w14:textId="77777777" w:rsidR="00F56293" w:rsidRPr="00F56293" w:rsidRDefault="00F56293" w:rsidP="00F56293">
      <w:pPr>
        <w:spacing w:after="40" w:line="240" w:lineRule="auto"/>
        <w:ind w:left="708"/>
        <w:jc w:val="both"/>
        <w:rPr>
          <w:rFonts w:ascii="Arial" w:eastAsia="Times New Roman" w:hAnsi="Arial" w:cs="Arial"/>
          <w:sz w:val="20"/>
          <w:szCs w:val="20"/>
        </w:rPr>
      </w:pPr>
      <w:r w:rsidRPr="00F56293">
        <w:rPr>
          <w:rFonts w:ascii="Arial" w:eastAsia="Times New Roman" w:hAnsi="Arial" w:cs="Arial"/>
          <w:sz w:val="20"/>
          <w:szCs w:val="20"/>
        </w:rPr>
        <w:t>b) Registro comercial, para empresa individual;</w:t>
      </w:r>
    </w:p>
    <w:p w14:paraId="53B39102" w14:textId="77777777" w:rsidR="00F56293" w:rsidRPr="00F56293" w:rsidRDefault="00F56293" w:rsidP="00F56293">
      <w:pPr>
        <w:spacing w:after="40" w:line="240" w:lineRule="auto"/>
        <w:ind w:left="708"/>
        <w:jc w:val="both"/>
        <w:rPr>
          <w:rFonts w:ascii="Arial" w:eastAsia="Times New Roman" w:hAnsi="Arial" w:cs="Arial"/>
          <w:sz w:val="20"/>
          <w:szCs w:val="20"/>
        </w:rPr>
      </w:pPr>
      <w:r w:rsidRPr="00F56293">
        <w:rPr>
          <w:rFonts w:ascii="Arial" w:eastAsia="Times New Roman" w:hAnsi="Arial" w:cs="Arial"/>
          <w:sz w:val="20"/>
          <w:szCs w:val="20"/>
        </w:rPr>
        <w:lastRenderedPageBreak/>
        <w:t xml:space="preserve">c) Inscrição do ato constitutivo, no caso de sociedades civis, acompanhada de prova do registro de ata de eleição da diretoria em exercício (Registro Civil das pessoas Jurídicas) de investidura ou nomeação da diretoria em exercício; </w:t>
      </w:r>
    </w:p>
    <w:p w14:paraId="2ACED6B7" w14:textId="77777777" w:rsidR="00F56293" w:rsidRPr="00F56293" w:rsidRDefault="00F56293" w:rsidP="00F56293">
      <w:pPr>
        <w:spacing w:after="40" w:line="240" w:lineRule="auto"/>
        <w:ind w:left="708"/>
        <w:jc w:val="both"/>
        <w:rPr>
          <w:rFonts w:ascii="Arial" w:eastAsia="Times New Roman" w:hAnsi="Arial" w:cs="Arial"/>
          <w:sz w:val="20"/>
          <w:szCs w:val="20"/>
        </w:rPr>
      </w:pPr>
      <w:r w:rsidRPr="00F56293">
        <w:rPr>
          <w:rFonts w:ascii="Arial" w:eastAsia="Times New Roman" w:hAnsi="Arial" w:cs="Arial"/>
          <w:sz w:val="20"/>
          <w:szCs w:val="20"/>
        </w:rPr>
        <w:t xml:space="preserve">d) Decreto de autorização, devidamente publicado, em se tratando de empresa ou sociedade estrangeira em funcionamento no País, e ato de registro ou autorização para funcionamento expedido pelo órgão competente, quando a atividade assim o exigir; </w:t>
      </w:r>
    </w:p>
    <w:p w14:paraId="5C0FEDEA" w14:textId="77777777" w:rsidR="00F56293" w:rsidRPr="00F56293" w:rsidRDefault="00F56293" w:rsidP="00F56293">
      <w:pPr>
        <w:spacing w:after="40" w:line="240" w:lineRule="auto"/>
        <w:ind w:left="708"/>
        <w:jc w:val="both"/>
        <w:rPr>
          <w:rFonts w:ascii="Arial" w:eastAsia="Times New Roman" w:hAnsi="Arial" w:cs="Arial"/>
          <w:sz w:val="20"/>
          <w:szCs w:val="20"/>
        </w:rPr>
      </w:pPr>
      <w:r w:rsidRPr="00F56293">
        <w:rPr>
          <w:rFonts w:ascii="Arial" w:eastAsia="Times New Roman" w:hAnsi="Arial" w:cs="Arial"/>
          <w:sz w:val="20"/>
          <w:szCs w:val="20"/>
        </w:rPr>
        <w:t>e) Certificado da Condição de Microempreendedor Individual – CCMEI.</w:t>
      </w:r>
    </w:p>
    <w:p w14:paraId="6A271621" w14:textId="77777777" w:rsidR="00F56293" w:rsidRPr="00F56293" w:rsidRDefault="00F56293" w:rsidP="00F56293">
      <w:pPr>
        <w:spacing w:after="40" w:line="240" w:lineRule="auto"/>
        <w:jc w:val="both"/>
        <w:rPr>
          <w:rFonts w:ascii="Arial" w:eastAsia="Arial" w:hAnsi="Arial"/>
          <w:sz w:val="19"/>
        </w:rPr>
      </w:pPr>
    </w:p>
    <w:p w14:paraId="7888CDF2" w14:textId="77777777" w:rsidR="00F56293" w:rsidRPr="00F56293" w:rsidRDefault="00F56293" w:rsidP="00F56293">
      <w:pPr>
        <w:keepNext/>
        <w:spacing w:before="80" w:after="20" w:line="240" w:lineRule="auto"/>
        <w:rPr>
          <w:rFonts w:ascii="Arial" w:hAnsi="Arial" w:cs="Arial"/>
          <w:sz w:val="20"/>
          <w:szCs w:val="20"/>
        </w:rPr>
      </w:pPr>
      <w:r w:rsidRPr="00F56293">
        <w:rPr>
          <w:rFonts w:ascii="Arial" w:hAnsi="Arial" w:cs="Arial"/>
          <w:b/>
          <w:sz w:val="20"/>
          <w:szCs w:val="20"/>
        </w:rPr>
        <w:t>8.6. Para comprovação da regularidade fiscal, social e trabalhista:</w:t>
      </w:r>
    </w:p>
    <w:p w14:paraId="3351B493"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a) Prova de inscrição no Cadastro Nacional de Pessoa Jurídica (CNPJ), retirado via internet no máximo 90 (noventa) dias antes da data de abertura deste certame, de acordo com a Instrução Normativa da RFB nº 2119, de 06 de dezembro de 2022; </w:t>
      </w:r>
    </w:p>
    <w:p w14:paraId="60894863"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b) Prova de regularidade fiscal perante a Fazenda Nacional (Federal), mediante a apresentação de certidão expedida conjuntamente pela Secretaria da Receita Federal do Brasil (RFB) e pela Procuradoria-Geral da Fazenda Nacional (PGFN), referente a todos os créditos tributários federais e à Dívida Ativa da União (DAU) por elas administrados, inclusive os créditos tributários relativos às contribuições sociais previstas de acordo com a Portaria Conjunta RFB/PGFn nº 1751, de 02 de outubro de 2014; </w:t>
      </w:r>
    </w:p>
    <w:p w14:paraId="0DAAE7C4"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c) Prova de regularidade perante a Fazenda Estadual, mediante apresentação de Certidão de Regularidade Fiscal, expedida pela Secretaria de Estado da Fazenda, do domicílio ou sede do proponente, ou outra equivalente, na forma da lei; </w:t>
      </w:r>
    </w:p>
    <w:p w14:paraId="708A0FF5"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d) Prova de regularidade perante a Fazenda Municipal, mediante apresentação de Certidão de Regularidade Fiscal, expedida pela Secretaria Municipal da Fazenda, do domicílio ou sede do proponente, ou outra equivalente, na forma da lei; </w:t>
      </w:r>
    </w:p>
    <w:p w14:paraId="7B932E53"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e) Prova de regularidade relativa ao Fundo de Garantia por Tempo de Serviço ( FGT S), demonstrando situação regular no cumprimento dos encargos sociais instituídos por lei, sendo que esta poderá estar atestada pelos órgãos expedidores. </w:t>
      </w:r>
    </w:p>
    <w:p w14:paraId="58651DF6" w14:textId="77777777" w:rsidR="00F56293" w:rsidRPr="00F56293" w:rsidRDefault="00F56293" w:rsidP="00F56293">
      <w:pPr>
        <w:keepNext/>
        <w:spacing w:before="80" w:after="20" w:line="240" w:lineRule="auto"/>
        <w:ind w:left="708"/>
        <w:jc w:val="both"/>
        <w:rPr>
          <w:rFonts w:ascii="Arial" w:hAnsi="Arial" w:cs="Arial"/>
          <w:sz w:val="20"/>
          <w:szCs w:val="20"/>
        </w:rPr>
      </w:pPr>
      <w:r w:rsidRPr="00F56293">
        <w:rPr>
          <w:rFonts w:ascii="Arial" w:hAnsi="Arial" w:cs="Arial"/>
          <w:sz w:val="20"/>
          <w:szCs w:val="20"/>
        </w:rPr>
        <w:t xml:space="preserve">f) Prova de regularidade perante a Justiça do Trabalho, mediante a apresentação de Certidão Negativa de Débitos Trabalhistas, emitida pela Justiça do Trabalho (www.tst.jus.br/certidao), em cumprimento à Lei nº 12.440/2011 e ao Ato CGJT nº 1, de 21 de janeiro de 2022. </w:t>
      </w:r>
    </w:p>
    <w:p w14:paraId="3A3B514A"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w:t>
      </w:r>
    </w:p>
    <w:p w14:paraId="10AA6571" w14:textId="77777777" w:rsidR="00F56293" w:rsidRPr="00F56293" w:rsidRDefault="00F56293" w:rsidP="00F56293">
      <w:pPr>
        <w:spacing w:after="40" w:line="240" w:lineRule="auto"/>
        <w:jc w:val="both"/>
        <w:rPr>
          <w:rFonts w:ascii="Arial" w:eastAsia="Arial" w:hAnsi="Arial"/>
          <w:sz w:val="19"/>
        </w:rPr>
      </w:pPr>
    </w:p>
    <w:p w14:paraId="7402668E" w14:textId="77777777" w:rsidR="00F56293" w:rsidRPr="00F56293" w:rsidRDefault="00F56293" w:rsidP="00F56293">
      <w:pPr>
        <w:keepNext/>
        <w:spacing w:before="80" w:after="20"/>
        <w:jc w:val="both"/>
        <w:rPr>
          <w:rFonts w:ascii="Arial" w:eastAsia="Times New Roman" w:hAnsi="Arial" w:cs="Arial"/>
          <w:sz w:val="20"/>
          <w:szCs w:val="20"/>
        </w:rPr>
      </w:pPr>
      <w:r w:rsidRPr="00F56293">
        <w:rPr>
          <w:rFonts w:ascii="Arial" w:eastAsia="Times New Roman" w:hAnsi="Arial" w:cs="Arial"/>
          <w:b/>
          <w:sz w:val="20"/>
          <w:szCs w:val="20"/>
        </w:rPr>
        <w:t>8.7. Qualificação econômico-financeira</w:t>
      </w:r>
    </w:p>
    <w:p w14:paraId="1B2552DE" w14:textId="77777777" w:rsidR="00F56293" w:rsidRPr="00F56293" w:rsidRDefault="00F56293" w:rsidP="00F56293">
      <w:pPr>
        <w:keepNext/>
        <w:spacing w:before="80" w:after="20"/>
        <w:rPr>
          <w:rFonts w:ascii="Arial" w:eastAsia="Times New Roman" w:hAnsi="Arial" w:cs="Arial"/>
          <w:sz w:val="20"/>
          <w:szCs w:val="20"/>
        </w:rPr>
      </w:pPr>
      <w:r w:rsidRPr="00F56293">
        <w:rPr>
          <w:rFonts w:ascii="Arial" w:eastAsia="Times New Roman" w:hAnsi="Arial" w:cs="Arial"/>
          <w:sz w:val="20"/>
          <w:szCs w:val="20"/>
        </w:rPr>
        <w:t xml:space="preserve">8.7.1. Fica DISPENSADA a comprovação de exigências de qualificação econômica financeira, conforme o disposto no art. 37, XXI, da Constituição Federal, por entender que o objeto não é complexo e não demanda de tais exigências para sua correta execução, assim como orienta a AGU (Advocacia Geral da União) em suas minutas padronizadas: </w:t>
      </w:r>
    </w:p>
    <w:p w14:paraId="01E8DD1A" w14:textId="77777777" w:rsidR="00F56293" w:rsidRPr="00F56293" w:rsidRDefault="00F56293" w:rsidP="00F56293">
      <w:pPr>
        <w:keepNext/>
        <w:spacing w:before="80" w:after="20"/>
        <w:ind w:left="2268"/>
        <w:jc w:val="both"/>
        <w:rPr>
          <w:rFonts w:ascii="Arial" w:eastAsia="Times New Roman" w:hAnsi="Arial" w:cs="Arial"/>
          <w:i/>
          <w:iCs/>
          <w:sz w:val="20"/>
          <w:szCs w:val="20"/>
        </w:rPr>
      </w:pPr>
      <w:r w:rsidRPr="00F56293">
        <w:rPr>
          <w:rFonts w:ascii="Arial" w:eastAsia="Times New Roman" w:hAnsi="Arial" w:cs="Arial"/>
          <w:i/>
          <w:iCs/>
          <w:sz w:val="20"/>
          <w:szCs w:val="20"/>
        </w:rPr>
        <w:t xml:space="preserve">A Administração deve examinar, diante do caso concreto, se o objeto da contratação demanda a exigência de todos os requisitos de habilitação apresentados neste modelo, levando-se em consideração o vulto e/ou a complexidade e a essencialidade do objeto, bem como os riscos decorrentes de sua paralisação em função da eventual incapacidade econômica da contratada em suportar os deveres contratuais, excluindo-se o que entender excessivo. Nesse sentido, a exigência pode restringir-se a alguns itens, como, por exemplo, somente aos itens não exclusivos a microempresa e empresas de pequeno porte, ou mesmo não ser exigida para nenhum deles, caso em que deve ser suprimida do edital. a exigência de qualificação técnica e econômica nas circunstâncias previstas no art. </w:t>
      </w:r>
      <w:r w:rsidRPr="00F56293">
        <w:rPr>
          <w:rFonts w:ascii="Arial" w:eastAsia="Times New Roman" w:hAnsi="Arial" w:cs="Arial"/>
          <w:i/>
          <w:iCs/>
          <w:sz w:val="20"/>
          <w:szCs w:val="20"/>
        </w:rPr>
        <w:lastRenderedPageBreak/>
        <w:t>70, III da Lei n.º 14.133, de 2021, deve ser excepcional e justificada, à luz do art. 37, XXI, da Constituição Federal. [Orientação – AGU - Advocacia Geral da União].</w:t>
      </w:r>
    </w:p>
    <w:p w14:paraId="5D76E8BD" w14:textId="77777777" w:rsidR="00F56293" w:rsidRPr="00F56293" w:rsidRDefault="00F56293" w:rsidP="00F56293">
      <w:pPr>
        <w:keepNext/>
        <w:spacing w:before="60" w:after="20" w:line="240" w:lineRule="auto"/>
        <w:rPr>
          <w:rFonts w:ascii="Arial" w:eastAsia="Arial" w:hAnsi="Arial"/>
          <w:b/>
          <w:sz w:val="19"/>
        </w:rPr>
      </w:pPr>
    </w:p>
    <w:p w14:paraId="35CB80A4" w14:textId="77777777" w:rsidR="00F56293" w:rsidRPr="00F56293" w:rsidRDefault="00F56293" w:rsidP="00F56293">
      <w:pPr>
        <w:keepNext/>
        <w:spacing w:before="60" w:after="20" w:line="240" w:lineRule="auto"/>
        <w:rPr>
          <w:rFonts w:ascii="Arial" w:hAnsi="Arial"/>
          <w:sz w:val="19"/>
        </w:rPr>
      </w:pPr>
      <w:r w:rsidRPr="00F56293">
        <w:rPr>
          <w:rFonts w:ascii="Arial" w:eastAsia="Arial" w:hAnsi="Arial"/>
          <w:b/>
          <w:sz w:val="19"/>
        </w:rPr>
        <w:t>Qualificação técnica e documentação dos produtos</w:t>
      </w:r>
    </w:p>
    <w:p w14:paraId="5B12E639"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8.8.</w:t>
      </w:r>
      <w:r w:rsidRPr="00F56293">
        <w:rPr>
          <w:rFonts w:ascii="Arial" w:eastAsia="Arial" w:hAnsi="Arial"/>
          <w:sz w:val="19"/>
        </w:rPr>
        <w:t xml:space="preserve"> A qualificação técnica, quando exigida, será comprovada por atestado de fornecimento de bens compatíveis com a categoria ou complexidade dos itens em que o licitante participar, sem exigências desproporcionais ou restritivas.</w:t>
      </w:r>
    </w:p>
    <w:p w14:paraId="7F16FFF4" w14:textId="77777777" w:rsidR="00F56293" w:rsidRPr="00F56293" w:rsidRDefault="00F56293" w:rsidP="00F56293">
      <w:pPr>
        <w:spacing w:after="40" w:line="240" w:lineRule="auto"/>
        <w:jc w:val="both"/>
        <w:rPr>
          <w:rFonts w:ascii="Arial" w:eastAsia="Arial" w:hAnsi="Arial"/>
          <w:b/>
          <w:sz w:val="19"/>
        </w:rPr>
      </w:pPr>
    </w:p>
    <w:p w14:paraId="30663F62"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8.9.</w:t>
      </w:r>
      <w:r w:rsidRPr="00F56293">
        <w:rPr>
          <w:rFonts w:ascii="Arial" w:eastAsia="Arial" w:hAnsi="Arial"/>
          <w:sz w:val="19"/>
        </w:rPr>
        <w:t xml:space="preserve"> Após a fase de lances, o Pregoeiro poderá solicitar proposta ajustada e catálogos, folders, fichas técnicas ou páginas oficiais do fabricante. O prazo será fixado no sistema e poderá ser prorrogado mediante justificativa, preservada a isonomia.</w:t>
      </w:r>
    </w:p>
    <w:p w14:paraId="5D9A634C"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8.10.</w:t>
      </w:r>
      <w:r w:rsidRPr="00F56293">
        <w:rPr>
          <w:rFonts w:ascii="Arial" w:eastAsia="Arial" w:hAnsi="Arial"/>
          <w:sz w:val="19"/>
        </w:rPr>
        <w:t xml:space="preserve"> A documentação técnica deverá demonstrar objetivamente o atendimento. A ausência de informação poderá ser esclarecida por diligência, desde que não resulte em substituição da marca ou do modelo nem em alteração substancial da proposta.</w:t>
      </w:r>
    </w:p>
    <w:p w14:paraId="06E04C81"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9.</w:t>
      </w:r>
      <w:r w:rsidRPr="00F56293">
        <w:rPr>
          <w:rFonts w:ascii="Arial" w:eastAsia="Arial" w:hAnsi="Arial"/>
          <w:b/>
          <w:sz w:val="21"/>
        </w:rPr>
        <w:tab/>
        <w:t>ESPECIFICAÇÕES E ESTIMATIVAS DO VALOR DA CONTRATAÇÃO</w:t>
      </w:r>
    </w:p>
    <w:p w14:paraId="65E3A7EF"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9.1.</w:t>
      </w:r>
      <w:r w:rsidRPr="00F56293">
        <w:rPr>
          <w:rFonts w:ascii="Arial" w:eastAsia="Arial" w:hAnsi="Arial"/>
          <w:sz w:val="19"/>
        </w:rPr>
        <w:t xml:space="preserve"> As especificações, quantidades e preços unitários constam das tabelas do item 1 deste Termo de Referência e foram formados com base no Termo de Pesquisa de Preços juntado ao processo.</w:t>
      </w:r>
    </w:p>
    <w:p w14:paraId="69AE6911"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9.2.</w:t>
      </w:r>
      <w:r w:rsidRPr="00F56293">
        <w:rPr>
          <w:rFonts w:ascii="Arial" w:eastAsia="Arial" w:hAnsi="Arial"/>
          <w:sz w:val="19"/>
        </w:rPr>
        <w:t xml:space="preserve"> Os valores estimados constituem parâmetro de aceitabilidade e não obrigam a Administração à contratação integral quando houver impedimento orçamentário, inadequação técnica, preço final não vantajoso ou necessidade de revogação ou anulação devidamente motivada.</w:t>
      </w:r>
    </w:p>
    <w:p w14:paraId="6301AAEF" w14:textId="77777777" w:rsidR="00F56293" w:rsidRPr="00F56293" w:rsidRDefault="00F56293" w:rsidP="00F56293">
      <w:pPr>
        <w:keepNext/>
        <w:spacing w:before="100" w:after="40" w:line="240" w:lineRule="auto"/>
        <w:rPr>
          <w:rFonts w:ascii="Arial" w:hAnsi="Arial"/>
          <w:sz w:val="19"/>
        </w:rPr>
      </w:pPr>
      <w:r w:rsidRPr="00F56293">
        <w:rPr>
          <w:rFonts w:ascii="Arial" w:eastAsia="Arial" w:hAnsi="Arial"/>
          <w:b/>
          <w:sz w:val="21"/>
        </w:rPr>
        <w:t>10.</w:t>
      </w:r>
      <w:r w:rsidRPr="00F56293">
        <w:rPr>
          <w:rFonts w:ascii="Arial" w:eastAsia="Arial" w:hAnsi="Arial"/>
          <w:b/>
          <w:sz w:val="21"/>
        </w:rPr>
        <w:tab/>
        <w:t>ADEQUAÇÃO ORÇAMENTÁRIA</w:t>
      </w:r>
    </w:p>
    <w:p w14:paraId="52077308"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10.1.</w:t>
      </w:r>
      <w:r w:rsidRPr="00F56293">
        <w:rPr>
          <w:rFonts w:ascii="Arial" w:eastAsia="Arial" w:hAnsi="Arial"/>
          <w:sz w:val="19"/>
        </w:rPr>
        <w:t xml:space="preserve"> As despesas decorrentes da contratação correrão por conta das dotações orçamentárias indicadas no parecer contábil, observadas a origem vinculada dos recursos, a natureza de equipamentos e material permanente e a individualização dos empenhos por unidade e item.</w:t>
      </w:r>
    </w:p>
    <w:p w14:paraId="02D4DC71" w14:textId="77777777" w:rsidR="00F56293" w:rsidRPr="00F56293" w:rsidRDefault="00F56293" w:rsidP="00F56293">
      <w:pPr>
        <w:spacing w:after="40" w:line="240" w:lineRule="auto"/>
        <w:jc w:val="both"/>
        <w:rPr>
          <w:rFonts w:ascii="Arial" w:eastAsia="Arial" w:hAnsi="Arial"/>
          <w:b/>
          <w:sz w:val="19"/>
        </w:rPr>
      </w:pPr>
    </w:p>
    <w:tbl>
      <w:tblPr>
        <w:tblW w:w="5000" w:type="pct"/>
        <w:tblCellMar>
          <w:top w:w="12" w:type="dxa"/>
          <w:left w:w="12" w:type="dxa"/>
          <w:bottom w:w="12" w:type="dxa"/>
          <w:right w:w="12" w:type="dxa"/>
        </w:tblCellMar>
        <w:tblLook w:val="0000" w:firstRow="0" w:lastRow="0" w:firstColumn="0" w:lastColumn="0" w:noHBand="0" w:noVBand="0"/>
      </w:tblPr>
      <w:tblGrid>
        <w:gridCol w:w="1019"/>
        <w:gridCol w:w="1020"/>
        <w:gridCol w:w="3466"/>
        <w:gridCol w:w="1020"/>
        <w:gridCol w:w="1835"/>
        <w:gridCol w:w="1835"/>
      </w:tblGrid>
      <w:tr w:rsidR="00F56293" w:rsidRPr="00F56293" w14:paraId="5DABCC28" w14:textId="77777777" w:rsidTr="00BA5924">
        <w:tc>
          <w:tcPr>
            <w:tcW w:w="5000" w:type="pct"/>
            <w:gridSpan w:val="6"/>
            <w:tcBorders>
              <w:top w:val="single" w:sz="4" w:space="0" w:color="000000"/>
              <w:left w:val="single" w:sz="4" w:space="0" w:color="000000"/>
              <w:bottom w:val="single" w:sz="4" w:space="0" w:color="000000"/>
              <w:right w:val="single" w:sz="4" w:space="0" w:color="000000"/>
            </w:tcBorders>
            <w:shd w:val="clear" w:color="auto" w:fill="FFFFFF"/>
          </w:tcPr>
          <w:p w14:paraId="3B19890F" w14:textId="77777777" w:rsidR="00F56293" w:rsidRPr="00F56293" w:rsidRDefault="00F56293" w:rsidP="00F56293">
            <w:pPr>
              <w:spacing w:after="40" w:line="240" w:lineRule="auto"/>
              <w:jc w:val="center"/>
              <w:rPr>
                <w:rFonts w:ascii="Arial" w:eastAsia="Arial" w:hAnsi="Arial"/>
                <w:b/>
                <w:bCs/>
                <w:sz w:val="19"/>
              </w:rPr>
            </w:pPr>
            <w:r w:rsidRPr="00F56293">
              <w:rPr>
                <w:rFonts w:ascii="Arial" w:eastAsia="Arial" w:hAnsi="Arial"/>
                <w:b/>
                <w:bCs/>
                <w:sz w:val="19"/>
              </w:rPr>
              <w:t>Dotações</w:t>
            </w:r>
          </w:p>
        </w:tc>
      </w:tr>
      <w:tr w:rsidR="00F56293" w:rsidRPr="00F56293" w14:paraId="36B33781" w14:textId="77777777" w:rsidTr="00BA5924">
        <w:tc>
          <w:tcPr>
            <w:tcW w:w="500" w:type="pct"/>
            <w:tcBorders>
              <w:top w:val="single" w:sz="4" w:space="0" w:color="000000"/>
              <w:left w:val="single" w:sz="4" w:space="0" w:color="000000"/>
              <w:bottom w:val="single" w:sz="4" w:space="0" w:color="000000"/>
              <w:right w:val="single" w:sz="4" w:space="0" w:color="000000"/>
            </w:tcBorders>
            <w:shd w:val="clear" w:color="auto" w:fill="C0C0C0"/>
          </w:tcPr>
          <w:p w14:paraId="22C404DB" w14:textId="77777777" w:rsidR="00F56293" w:rsidRPr="00F56293" w:rsidRDefault="00F56293" w:rsidP="00F56293">
            <w:pPr>
              <w:spacing w:after="40" w:line="240" w:lineRule="auto"/>
              <w:jc w:val="center"/>
              <w:rPr>
                <w:rFonts w:ascii="Arial" w:eastAsia="Arial" w:hAnsi="Arial"/>
                <w:b/>
                <w:bCs/>
                <w:sz w:val="19"/>
                <w:lang w:val="x-none"/>
              </w:rPr>
            </w:pPr>
            <w:r w:rsidRPr="00F56293">
              <w:rPr>
                <w:rFonts w:ascii="Arial" w:eastAsia="Arial" w:hAnsi="Arial"/>
                <w:b/>
                <w:bCs/>
                <w:sz w:val="19"/>
                <w:lang w:val="x-none"/>
              </w:rPr>
              <w:t>Exercício da despesa</w:t>
            </w:r>
          </w:p>
        </w:tc>
        <w:tc>
          <w:tcPr>
            <w:tcW w:w="500" w:type="pct"/>
            <w:tcBorders>
              <w:top w:val="single" w:sz="4" w:space="0" w:color="000000"/>
              <w:left w:val="single" w:sz="4" w:space="0" w:color="000000"/>
              <w:bottom w:val="single" w:sz="4" w:space="0" w:color="000000"/>
              <w:right w:val="single" w:sz="4" w:space="0" w:color="000000"/>
            </w:tcBorders>
            <w:shd w:val="clear" w:color="auto" w:fill="C0C0C0"/>
          </w:tcPr>
          <w:p w14:paraId="54FB15BB" w14:textId="77777777" w:rsidR="00F56293" w:rsidRPr="00F56293" w:rsidRDefault="00F56293" w:rsidP="00F56293">
            <w:pPr>
              <w:spacing w:after="40" w:line="240" w:lineRule="auto"/>
              <w:jc w:val="center"/>
              <w:rPr>
                <w:rFonts w:ascii="Arial" w:eastAsia="Arial" w:hAnsi="Arial"/>
                <w:b/>
                <w:bCs/>
                <w:sz w:val="19"/>
                <w:lang w:val="x-none"/>
              </w:rPr>
            </w:pPr>
            <w:r w:rsidRPr="00F56293">
              <w:rPr>
                <w:rFonts w:ascii="Arial" w:eastAsia="Arial" w:hAnsi="Arial"/>
                <w:b/>
                <w:bCs/>
                <w:sz w:val="19"/>
                <w:lang w:val="x-none"/>
              </w:rPr>
              <w:t>Conta da despesa</w:t>
            </w:r>
          </w:p>
        </w:tc>
        <w:tc>
          <w:tcPr>
            <w:tcW w:w="1700" w:type="pct"/>
            <w:tcBorders>
              <w:top w:val="single" w:sz="4" w:space="0" w:color="000000"/>
              <w:left w:val="single" w:sz="4" w:space="0" w:color="000000"/>
              <w:bottom w:val="single" w:sz="4" w:space="0" w:color="000000"/>
              <w:right w:val="single" w:sz="4" w:space="0" w:color="000000"/>
            </w:tcBorders>
            <w:shd w:val="clear" w:color="auto" w:fill="C0C0C0"/>
          </w:tcPr>
          <w:p w14:paraId="3F7D8E69" w14:textId="77777777" w:rsidR="00F56293" w:rsidRPr="00F56293" w:rsidRDefault="00F56293" w:rsidP="00F56293">
            <w:pPr>
              <w:spacing w:after="40" w:line="240" w:lineRule="auto"/>
              <w:jc w:val="center"/>
              <w:rPr>
                <w:rFonts w:ascii="Arial" w:eastAsia="Arial" w:hAnsi="Arial"/>
                <w:b/>
                <w:bCs/>
                <w:sz w:val="19"/>
              </w:rPr>
            </w:pPr>
            <w:r w:rsidRPr="00F56293">
              <w:rPr>
                <w:rFonts w:ascii="Arial" w:eastAsia="Arial" w:hAnsi="Arial"/>
                <w:b/>
                <w:bCs/>
                <w:sz w:val="19"/>
              </w:rPr>
              <w:t>Funcional programática</w:t>
            </w:r>
          </w:p>
        </w:tc>
        <w:tc>
          <w:tcPr>
            <w:tcW w:w="500" w:type="pct"/>
            <w:tcBorders>
              <w:top w:val="single" w:sz="4" w:space="0" w:color="000000"/>
              <w:left w:val="single" w:sz="4" w:space="0" w:color="000000"/>
              <w:bottom w:val="single" w:sz="4" w:space="0" w:color="000000"/>
              <w:right w:val="single" w:sz="4" w:space="0" w:color="000000"/>
            </w:tcBorders>
            <w:shd w:val="clear" w:color="auto" w:fill="C0C0C0"/>
          </w:tcPr>
          <w:p w14:paraId="4ECD2610" w14:textId="77777777" w:rsidR="00F56293" w:rsidRPr="00F56293" w:rsidRDefault="00F56293" w:rsidP="00F56293">
            <w:pPr>
              <w:spacing w:after="40" w:line="240" w:lineRule="auto"/>
              <w:jc w:val="center"/>
              <w:rPr>
                <w:rFonts w:ascii="Arial" w:eastAsia="Arial" w:hAnsi="Arial"/>
                <w:b/>
                <w:bCs/>
                <w:sz w:val="19"/>
              </w:rPr>
            </w:pPr>
            <w:r w:rsidRPr="00F56293">
              <w:rPr>
                <w:rFonts w:ascii="Arial" w:eastAsia="Arial" w:hAnsi="Arial"/>
                <w:b/>
                <w:bCs/>
                <w:sz w:val="19"/>
              </w:rPr>
              <w:t>Fonte de recurso</w:t>
            </w:r>
          </w:p>
        </w:tc>
        <w:tc>
          <w:tcPr>
            <w:tcW w:w="900" w:type="pct"/>
            <w:tcBorders>
              <w:top w:val="single" w:sz="4" w:space="0" w:color="000000"/>
              <w:left w:val="single" w:sz="4" w:space="0" w:color="000000"/>
              <w:bottom w:val="single" w:sz="4" w:space="0" w:color="000000"/>
              <w:right w:val="single" w:sz="4" w:space="0" w:color="000000"/>
            </w:tcBorders>
            <w:shd w:val="clear" w:color="auto" w:fill="C0C0C0"/>
          </w:tcPr>
          <w:p w14:paraId="2F3A1E70" w14:textId="77777777" w:rsidR="00F56293" w:rsidRPr="00F56293" w:rsidRDefault="00F56293" w:rsidP="00F56293">
            <w:pPr>
              <w:spacing w:after="40" w:line="240" w:lineRule="auto"/>
              <w:jc w:val="center"/>
              <w:rPr>
                <w:rFonts w:ascii="Arial" w:eastAsia="Arial" w:hAnsi="Arial"/>
                <w:b/>
                <w:bCs/>
                <w:sz w:val="19"/>
              </w:rPr>
            </w:pPr>
            <w:r w:rsidRPr="00F56293">
              <w:rPr>
                <w:rFonts w:ascii="Arial" w:eastAsia="Arial" w:hAnsi="Arial"/>
                <w:b/>
                <w:bCs/>
                <w:sz w:val="19"/>
              </w:rPr>
              <w:t>Natureza da despesa</w:t>
            </w:r>
          </w:p>
        </w:tc>
        <w:tc>
          <w:tcPr>
            <w:tcW w:w="900" w:type="pct"/>
            <w:tcBorders>
              <w:top w:val="single" w:sz="4" w:space="0" w:color="000000"/>
              <w:left w:val="single" w:sz="4" w:space="0" w:color="000000"/>
              <w:bottom w:val="single" w:sz="4" w:space="0" w:color="000000"/>
              <w:right w:val="single" w:sz="4" w:space="0" w:color="000000"/>
            </w:tcBorders>
            <w:shd w:val="clear" w:color="auto" w:fill="C0C0C0"/>
          </w:tcPr>
          <w:p w14:paraId="63AE745E" w14:textId="77777777" w:rsidR="00F56293" w:rsidRPr="00F56293" w:rsidRDefault="00F56293" w:rsidP="00F56293">
            <w:pPr>
              <w:spacing w:after="40" w:line="240" w:lineRule="auto"/>
              <w:jc w:val="center"/>
              <w:rPr>
                <w:rFonts w:ascii="Arial" w:eastAsia="Arial" w:hAnsi="Arial"/>
                <w:b/>
                <w:bCs/>
                <w:sz w:val="19"/>
              </w:rPr>
            </w:pPr>
            <w:r w:rsidRPr="00F56293">
              <w:rPr>
                <w:rFonts w:ascii="Arial" w:eastAsia="Arial" w:hAnsi="Arial"/>
                <w:b/>
                <w:bCs/>
                <w:sz w:val="19"/>
              </w:rPr>
              <w:t>Grupo da fonte</w:t>
            </w:r>
          </w:p>
        </w:tc>
      </w:tr>
      <w:tr w:rsidR="00F56293" w:rsidRPr="00F56293" w14:paraId="185211B7" w14:textId="77777777" w:rsidTr="00BA5924">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14652549"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2026</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075417B2"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1086</w:t>
            </w:r>
          </w:p>
        </w:tc>
        <w:tc>
          <w:tcPr>
            <w:tcW w:w="1700" w:type="pct"/>
            <w:tcBorders>
              <w:top w:val="single" w:sz="4" w:space="0" w:color="000000"/>
              <w:left w:val="single" w:sz="4" w:space="0" w:color="000000"/>
              <w:bottom w:val="single" w:sz="4" w:space="0" w:color="000000"/>
              <w:right w:val="single" w:sz="4" w:space="0" w:color="000000"/>
            </w:tcBorders>
            <w:shd w:val="clear" w:color="auto" w:fill="FFFFFF"/>
          </w:tcPr>
          <w:p w14:paraId="401DC7A7"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10.003.10.301.0010.2052</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51813027"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341</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642123E1"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4.4.90.52.00.00</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666A552A"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Do Exercício</w:t>
            </w:r>
          </w:p>
        </w:tc>
      </w:tr>
      <w:tr w:rsidR="00F56293" w:rsidRPr="00F56293" w14:paraId="288A178A" w14:textId="77777777" w:rsidTr="00BA5924">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1F7E4AB6"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2026</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4B04E88E"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1210</w:t>
            </w:r>
          </w:p>
        </w:tc>
        <w:tc>
          <w:tcPr>
            <w:tcW w:w="1700" w:type="pct"/>
            <w:tcBorders>
              <w:top w:val="single" w:sz="4" w:space="0" w:color="000000"/>
              <w:left w:val="single" w:sz="4" w:space="0" w:color="000000"/>
              <w:bottom w:val="single" w:sz="4" w:space="0" w:color="000000"/>
              <w:right w:val="single" w:sz="4" w:space="0" w:color="000000"/>
            </w:tcBorders>
            <w:shd w:val="clear" w:color="auto" w:fill="FFFFFF"/>
          </w:tcPr>
          <w:p w14:paraId="165A7185"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10.003.10.303.0010.2025</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26C1BE4E"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490</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71AE78A5"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4.4.90.52.00.00</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4D5748A1"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Do Exercício</w:t>
            </w:r>
          </w:p>
        </w:tc>
      </w:tr>
      <w:tr w:rsidR="00F56293" w:rsidRPr="00F56293" w14:paraId="21520F43" w14:textId="77777777" w:rsidTr="00BA5924">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54B5D4CF"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2026</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5EB1F492" w14:textId="77777777" w:rsidR="00F56293" w:rsidRPr="00F56293" w:rsidRDefault="00F56293" w:rsidP="00F56293">
            <w:pPr>
              <w:spacing w:after="40" w:line="240" w:lineRule="auto"/>
              <w:jc w:val="both"/>
              <w:rPr>
                <w:rFonts w:ascii="Arial" w:eastAsia="Arial" w:hAnsi="Arial"/>
                <w:b/>
                <w:sz w:val="19"/>
                <w:lang w:val="x-none"/>
              </w:rPr>
            </w:pPr>
            <w:r w:rsidRPr="00F56293">
              <w:rPr>
                <w:rFonts w:ascii="Arial" w:eastAsia="Arial" w:hAnsi="Arial"/>
                <w:b/>
                <w:sz w:val="19"/>
                <w:lang w:val="x-none"/>
              </w:rPr>
              <w:t>1609</w:t>
            </w:r>
          </w:p>
        </w:tc>
        <w:tc>
          <w:tcPr>
            <w:tcW w:w="1700" w:type="pct"/>
            <w:tcBorders>
              <w:top w:val="single" w:sz="4" w:space="0" w:color="000000"/>
              <w:left w:val="single" w:sz="4" w:space="0" w:color="000000"/>
              <w:bottom w:val="single" w:sz="4" w:space="0" w:color="000000"/>
              <w:right w:val="single" w:sz="4" w:space="0" w:color="000000"/>
            </w:tcBorders>
            <w:shd w:val="clear" w:color="auto" w:fill="FFFFFF"/>
          </w:tcPr>
          <w:p w14:paraId="6C006A0A"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12.001.08.245.0012.2054</w:t>
            </w:r>
          </w:p>
        </w:tc>
        <w:tc>
          <w:tcPr>
            <w:tcW w:w="500" w:type="pct"/>
            <w:tcBorders>
              <w:top w:val="single" w:sz="4" w:space="0" w:color="000000"/>
              <w:left w:val="single" w:sz="4" w:space="0" w:color="000000"/>
              <w:bottom w:val="single" w:sz="4" w:space="0" w:color="000000"/>
              <w:right w:val="single" w:sz="4" w:space="0" w:color="000000"/>
            </w:tcBorders>
            <w:shd w:val="clear" w:color="auto" w:fill="FFFFFF"/>
          </w:tcPr>
          <w:p w14:paraId="66F0FC23"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840</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4605CA51"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4.4.90.52.00.00</w:t>
            </w:r>
          </w:p>
        </w:tc>
        <w:tc>
          <w:tcPr>
            <w:tcW w:w="900" w:type="pct"/>
            <w:tcBorders>
              <w:top w:val="single" w:sz="4" w:space="0" w:color="000000"/>
              <w:left w:val="single" w:sz="4" w:space="0" w:color="000000"/>
              <w:bottom w:val="single" w:sz="4" w:space="0" w:color="000000"/>
              <w:right w:val="single" w:sz="4" w:space="0" w:color="000000"/>
            </w:tcBorders>
            <w:shd w:val="clear" w:color="auto" w:fill="FFFFFF"/>
          </w:tcPr>
          <w:p w14:paraId="672F6C13" w14:textId="77777777" w:rsidR="00F56293" w:rsidRPr="00F56293" w:rsidRDefault="00F56293" w:rsidP="00F56293">
            <w:pPr>
              <w:spacing w:after="40" w:line="240" w:lineRule="auto"/>
              <w:jc w:val="both"/>
              <w:rPr>
                <w:rFonts w:ascii="Arial" w:eastAsia="Arial" w:hAnsi="Arial"/>
                <w:sz w:val="19"/>
              </w:rPr>
            </w:pPr>
            <w:r w:rsidRPr="00F56293">
              <w:rPr>
                <w:rFonts w:ascii="Arial" w:eastAsia="Arial" w:hAnsi="Arial"/>
                <w:sz w:val="19"/>
              </w:rPr>
              <w:t>Do Exercício</w:t>
            </w:r>
          </w:p>
        </w:tc>
      </w:tr>
    </w:tbl>
    <w:p w14:paraId="64204891" w14:textId="77777777" w:rsidR="00F56293" w:rsidRPr="00F56293" w:rsidRDefault="00F56293" w:rsidP="00F56293">
      <w:pPr>
        <w:spacing w:after="40" w:line="240" w:lineRule="auto"/>
        <w:jc w:val="both"/>
        <w:rPr>
          <w:rFonts w:ascii="Arial" w:eastAsia="Arial" w:hAnsi="Arial"/>
          <w:b/>
          <w:sz w:val="19"/>
        </w:rPr>
      </w:pPr>
    </w:p>
    <w:p w14:paraId="458CCA9A"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10.2.</w:t>
      </w:r>
      <w:r w:rsidRPr="00F56293">
        <w:rPr>
          <w:rFonts w:ascii="Arial" w:eastAsia="Arial" w:hAnsi="Arial"/>
          <w:sz w:val="19"/>
        </w:rPr>
        <w:t xml:space="preserve"> O Bloco I utilizará até R$ 59.990,64 dos R$ 60.000,00 disponibilizados pela iniciativa “Estruturação da Gestão e da Rede de Proteção e Defesa de Direitos da Mulher - CAPITAL”, Deliberação nº 15/2025. O saldo remanescente será tratado de acordo com as regras do repasse.</w:t>
      </w:r>
    </w:p>
    <w:p w14:paraId="45454D50"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10.3.</w:t>
      </w:r>
      <w:r w:rsidRPr="00F56293">
        <w:rPr>
          <w:rFonts w:ascii="Arial" w:eastAsia="Arial" w:hAnsi="Arial"/>
          <w:sz w:val="19"/>
        </w:rPr>
        <w:t xml:space="preserve"> O Bloco II será custeado com recursos do Incentivo à Organização da Assistência Farmacêutica - IOAF, devendo a Secretaria Municipal de Saúde observar as condições de aplicação, prestação de contas e controle próprias do incentivo.</w:t>
      </w:r>
    </w:p>
    <w:p w14:paraId="0EB3C7F6" w14:textId="77777777" w:rsidR="00F56293" w:rsidRPr="00F56293" w:rsidRDefault="00F56293" w:rsidP="00F56293">
      <w:pPr>
        <w:spacing w:after="40" w:line="240" w:lineRule="auto"/>
        <w:jc w:val="both"/>
        <w:rPr>
          <w:rFonts w:ascii="Arial" w:hAnsi="Arial"/>
          <w:sz w:val="19"/>
        </w:rPr>
      </w:pPr>
      <w:r w:rsidRPr="00F56293">
        <w:rPr>
          <w:rFonts w:ascii="Arial" w:eastAsia="Arial" w:hAnsi="Arial"/>
          <w:b/>
          <w:sz w:val="19"/>
        </w:rPr>
        <w:t>10.4.</w:t>
      </w:r>
      <w:r w:rsidRPr="00F56293">
        <w:rPr>
          <w:rFonts w:ascii="Arial" w:eastAsia="Arial" w:hAnsi="Arial"/>
          <w:sz w:val="19"/>
        </w:rPr>
        <w:t xml:space="preserve"> Caso a contratação ou parte de sua execução ocorra em exercício posterior, as despesas dependerão da existência de créditos orçamentários e financeiros correspondentes e da manutenção da validade dos recursos vinculados.</w:t>
      </w:r>
    </w:p>
    <w:p w14:paraId="220AF04D" w14:textId="77777777" w:rsidR="00F56293" w:rsidRPr="00F56293" w:rsidRDefault="00F56293" w:rsidP="00F56293">
      <w:pPr>
        <w:spacing w:after="40" w:line="240" w:lineRule="auto"/>
        <w:rPr>
          <w:rFonts w:ascii="Arial" w:hAnsi="Arial"/>
          <w:sz w:val="19"/>
        </w:rPr>
      </w:pPr>
    </w:p>
    <w:p w14:paraId="18B17BD6" w14:textId="77777777" w:rsidR="00F56293" w:rsidRPr="00F56293" w:rsidRDefault="00F56293" w:rsidP="00F56293">
      <w:pPr>
        <w:numPr>
          <w:ilvl w:val="0"/>
          <w:numId w:val="38"/>
        </w:numPr>
        <w:spacing w:after="40" w:line="240" w:lineRule="auto"/>
        <w:contextualSpacing/>
        <w:rPr>
          <w:rFonts w:ascii="Arial" w:hAnsi="Arial"/>
          <w:b/>
          <w:bCs/>
          <w:sz w:val="19"/>
        </w:rPr>
      </w:pPr>
      <w:r w:rsidRPr="00F56293">
        <w:rPr>
          <w:rFonts w:ascii="Arial" w:hAnsi="Arial"/>
          <w:b/>
          <w:bCs/>
          <w:sz w:val="19"/>
        </w:rPr>
        <w:t>Datado e assinado digitalmente;</w:t>
      </w:r>
    </w:p>
    <w:p w14:paraId="06794C12" w14:textId="6BE88D9E" w:rsidR="00F56293" w:rsidRDefault="00F56293">
      <w:pPr>
        <w:rPr>
          <w:rFonts w:ascii="Times New Roman" w:eastAsia="MS Mincho" w:hAnsi="Times New Roman" w:cs="Times New Roman"/>
          <w:sz w:val="20"/>
          <w:szCs w:val="20"/>
        </w:rPr>
      </w:pPr>
    </w:p>
    <w:p w14:paraId="5BCFB971" w14:textId="77777777" w:rsidR="00415C94" w:rsidRDefault="00415C94">
      <w:pPr>
        <w:rPr>
          <w:rFonts w:ascii="Times New Roman" w:eastAsia="MS Mincho" w:hAnsi="Times New Roman" w:cs="Times New Roman"/>
          <w:sz w:val="20"/>
          <w:szCs w:val="20"/>
        </w:rPr>
      </w:pPr>
    </w:p>
    <w:p w14:paraId="16EEE1C7" w14:textId="77777777" w:rsidR="002D501F" w:rsidRPr="00415C94" w:rsidRDefault="002D501F" w:rsidP="003D1C73">
      <w:pPr>
        <w:spacing w:after="0" w:line="240" w:lineRule="auto"/>
        <w:jc w:val="both"/>
        <w:rPr>
          <w:rFonts w:ascii="Times New Roman" w:eastAsia="MS Mincho" w:hAnsi="Times New Roman" w:cs="Times New Roman"/>
          <w:sz w:val="20"/>
          <w:szCs w:val="20"/>
        </w:rPr>
      </w:pPr>
    </w:p>
    <w:bookmarkEnd w:id="19"/>
    <w:p w14:paraId="74BCD06A" w14:textId="77777777" w:rsidR="002D501F" w:rsidRPr="00415C94" w:rsidRDefault="002D501F" w:rsidP="003D1C73">
      <w:pPr>
        <w:keepNext/>
        <w:pageBreakBefore/>
        <w:spacing w:after="0" w:line="240" w:lineRule="auto"/>
        <w:jc w:val="center"/>
        <w:rPr>
          <w:rFonts w:ascii="Times New Roman" w:hAnsi="Times New Roman" w:cs="Times New Roman"/>
          <w:b/>
          <w:bCs/>
          <w:sz w:val="20"/>
          <w:szCs w:val="20"/>
        </w:rPr>
      </w:pPr>
      <w:r w:rsidRPr="00415C94">
        <w:rPr>
          <w:rFonts w:ascii="Times New Roman" w:hAnsi="Times New Roman" w:cs="Times New Roman"/>
          <w:b/>
          <w:bCs/>
          <w:sz w:val="20"/>
          <w:szCs w:val="20"/>
        </w:rPr>
        <w:lastRenderedPageBreak/>
        <w:t>ANEXO II – MODELO DE PROPOSTA</w:t>
      </w:r>
    </w:p>
    <w:p w14:paraId="0A9473FD" w14:textId="77777777" w:rsidR="002D501F" w:rsidRPr="00415C94" w:rsidRDefault="002D501F" w:rsidP="003D1C73">
      <w:pPr>
        <w:spacing w:after="0" w:line="240" w:lineRule="auto"/>
        <w:jc w:val="center"/>
        <w:rPr>
          <w:rFonts w:ascii="Times New Roman" w:hAnsi="Times New Roman" w:cs="Times New Roman"/>
          <w:sz w:val="20"/>
          <w:szCs w:val="20"/>
        </w:rPr>
      </w:pPr>
      <w:r w:rsidRPr="00415C94">
        <w:rPr>
          <w:rFonts w:ascii="Times New Roman" w:hAnsi="Times New Roman" w:cs="Times New Roman"/>
          <w:sz w:val="20"/>
          <w:szCs w:val="20"/>
        </w:rPr>
        <w:t>(Preferencialmente em papel timbrado da empresa).</w:t>
      </w:r>
    </w:p>
    <w:p w14:paraId="7C325F96" w14:textId="77777777" w:rsidR="002D501F" w:rsidRPr="00415C94" w:rsidRDefault="002D501F"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t>Ao</w:t>
      </w:r>
    </w:p>
    <w:p w14:paraId="338A03EA" w14:textId="77777777" w:rsidR="002D501F" w:rsidRPr="00415C94" w:rsidRDefault="002D501F"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t xml:space="preserve">Pregoeiro </w:t>
      </w:r>
    </w:p>
    <w:p w14:paraId="50C4FCC0" w14:textId="77777777" w:rsidR="002D501F" w:rsidRPr="00415C94" w:rsidRDefault="002D501F"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t>Município de Goioxim-PR</w:t>
      </w:r>
    </w:p>
    <w:p w14:paraId="30213C4D" w14:textId="77777777" w:rsidR="002D501F" w:rsidRPr="00415C94" w:rsidRDefault="002D501F" w:rsidP="003D1C73">
      <w:pPr>
        <w:spacing w:after="0" w:line="240" w:lineRule="auto"/>
        <w:jc w:val="center"/>
        <w:rPr>
          <w:rFonts w:ascii="Times New Roman" w:hAnsi="Times New Roman" w:cs="Times New Roman"/>
          <w:b/>
          <w:sz w:val="20"/>
          <w:szCs w:val="20"/>
        </w:rPr>
      </w:pPr>
      <w:r w:rsidRPr="00415C94">
        <w:rPr>
          <w:rFonts w:ascii="Times New Roman" w:hAnsi="Times New Roman" w:cs="Times New Roman"/>
          <w:b/>
          <w:sz w:val="20"/>
          <w:szCs w:val="20"/>
        </w:rPr>
        <w:t>PROPOSTA DE PREÇOS</w:t>
      </w:r>
    </w:p>
    <w:p w14:paraId="061314B1" w14:textId="77777777" w:rsidR="002D501F" w:rsidRPr="00415C94" w:rsidRDefault="002D501F" w:rsidP="003D1C73">
      <w:pPr>
        <w:spacing w:after="0" w:line="240" w:lineRule="auto"/>
        <w:rPr>
          <w:rFonts w:ascii="Times New Roman" w:hAnsi="Times New Roman" w:cs="Times New Roman"/>
          <w:b/>
          <w:sz w:val="20"/>
          <w:szCs w:val="20"/>
        </w:rPr>
      </w:pPr>
    </w:p>
    <w:p w14:paraId="250D7F0D" w14:textId="77777777" w:rsidR="002D501F" w:rsidRPr="00415C94" w:rsidRDefault="002D501F"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b/>
          <w:sz w:val="20"/>
          <w:szCs w:val="20"/>
        </w:rPr>
        <w:t xml:space="preserve">IDENTIFICAÇÃO DO PROPONENTE: Razão </w:t>
      </w:r>
      <w:r w:rsidRPr="00415C94">
        <w:rPr>
          <w:rFonts w:ascii="Times New Roman" w:hAnsi="Times New Roman" w:cs="Times New Roman"/>
          <w:sz w:val="20"/>
          <w:szCs w:val="20"/>
        </w:rPr>
        <w:t>social da licitante, número de inscrição junto CNPJ/MF, endereço completo, telefone e endereço eletrônico (e-mail) para contato, número da conta corrente, agência e respectivo Banco</w:t>
      </w:r>
      <w:r w:rsidRPr="00415C94">
        <w:rPr>
          <w:rFonts w:ascii="Times New Roman" w:hAnsi="Times New Roman" w:cs="Times New Roman"/>
          <w:b/>
          <w:sz w:val="20"/>
          <w:szCs w:val="20"/>
        </w:rPr>
        <w:t>.</w:t>
      </w:r>
    </w:p>
    <w:p w14:paraId="11CFEAC5" w14:textId="77777777" w:rsidR="002D501F" w:rsidRPr="00415C94" w:rsidRDefault="002D501F"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b/>
          <w:sz w:val="20"/>
          <w:szCs w:val="20"/>
        </w:rPr>
        <w:t xml:space="preserve">IDENTIFICAÇÃO DO REPRESENTANTE LEGAL: </w:t>
      </w:r>
      <w:r w:rsidRPr="00415C94">
        <w:rPr>
          <w:rFonts w:ascii="Times New Roman" w:hAnsi="Times New Roman" w:cs="Times New Roman"/>
          <w:sz w:val="20"/>
          <w:szCs w:val="20"/>
        </w:rPr>
        <w:t>Dados do responsável que assinará o instrumento Contratual, compreendendo: Nome, CPF, RG, estado civil, profissão, endereço completo.</w:t>
      </w:r>
    </w:p>
    <w:p w14:paraId="706E4142" w14:textId="77777777" w:rsidR="00953FAC" w:rsidRPr="00415C94" w:rsidRDefault="00953FAC" w:rsidP="003D1C73">
      <w:pPr>
        <w:spacing w:after="0" w:line="240" w:lineRule="auto"/>
        <w:jc w:val="both"/>
        <w:rPr>
          <w:rFonts w:ascii="Times New Roman" w:hAnsi="Times New Roman" w:cs="Times New Roman"/>
          <w:b/>
          <w:sz w:val="20"/>
          <w:szCs w:val="20"/>
        </w:rPr>
      </w:pPr>
    </w:p>
    <w:p w14:paraId="50CA7BEF" w14:textId="77777777" w:rsidR="00A77E4A" w:rsidRPr="00415C94" w:rsidRDefault="00A77E4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Prezados Srs. </w:t>
      </w:r>
    </w:p>
    <w:p w14:paraId="03015C84" w14:textId="77777777" w:rsidR="00A77E4A" w:rsidRPr="00415C94" w:rsidRDefault="00A77E4A" w:rsidP="003D1C73">
      <w:pPr>
        <w:spacing w:after="0" w:line="240" w:lineRule="auto"/>
        <w:jc w:val="both"/>
        <w:rPr>
          <w:rFonts w:ascii="Times New Roman" w:hAnsi="Times New Roman" w:cs="Times New Roman"/>
          <w:sz w:val="20"/>
          <w:szCs w:val="20"/>
        </w:rPr>
      </w:pPr>
    </w:p>
    <w:p w14:paraId="6646DB83" w14:textId="77777777" w:rsidR="000D64AA" w:rsidRPr="00415C94" w:rsidRDefault="00A77E4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A empresa acima qualificada vem respeitosamente apresentar ao Município de Goioxim sua proposta para os itens abaixo relacionados, no valor total de R$ __________ (____________________________________), conforme segue:</w:t>
      </w:r>
    </w:p>
    <w:p w14:paraId="47602D33" w14:textId="77777777" w:rsidR="00A77E4A" w:rsidRPr="00415C94" w:rsidRDefault="000D64AA" w:rsidP="003D1C73">
      <w:pPr>
        <w:spacing w:after="0" w:line="240" w:lineRule="auto"/>
        <w:jc w:val="both"/>
        <w:rPr>
          <w:rFonts w:ascii="Times New Roman" w:hAnsi="Times New Roman" w:cs="Times New Roman"/>
          <w:b/>
          <w:sz w:val="20"/>
          <w:szCs w:val="20"/>
        </w:rPr>
      </w:pPr>
      <w:r w:rsidRPr="00415C94">
        <w:rPr>
          <w:rFonts w:ascii="Times New Roman" w:hAnsi="Times New Roman" w:cs="Times New Roman"/>
          <w:sz w:val="20"/>
          <w:szCs w:val="20"/>
        </w:rPr>
        <w:t>Os preços incluem todos os custos diretos e indiretos, inclusive tributos, frete, entrega, montagem, instalação, configuração, garantia e demais encargos necessários ao fornecimento integral.</w:t>
      </w:r>
    </w:p>
    <w:p w14:paraId="4FB2CAA1" w14:textId="77777777" w:rsidR="00A77E4A" w:rsidRPr="00415C94" w:rsidRDefault="00A77E4A" w:rsidP="003D1C73">
      <w:pPr>
        <w:spacing w:after="0" w:line="240" w:lineRule="auto"/>
        <w:jc w:val="both"/>
        <w:rPr>
          <w:rFonts w:ascii="Times New Roman" w:hAnsi="Times New Roman" w:cs="Times New Roman"/>
          <w:b/>
          <w:sz w:val="20"/>
          <w:szCs w:val="20"/>
        </w:rPr>
      </w:pPr>
    </w:p>
    <w:p w14:paraId="191458CF" w14:textId="77777777" w:rsidR="00A77E4A" w:rsidRPr="00415C94" w:rsidRDefault="00A77E4A" w:rsidP="003D1C73">
      <w:pPr>
        <w:spacing w:after="0" w:line="240" w:lineRule="auto"/>
        <w:jc w:val="both"/>
        <w:rPr>
          <w:rFonts w:ascii="Times New Roman" w:hAnsi="Times New Roman" w:cs="Times New Roman"/>
          <w:sz w:val="20"/>
          <w:szCs w:val="20"/>
        </w:rPr>
      </w:pPr>
    </w:p>
    <w:tbl>
      <w:tblPr>
        <w:tblW w:w="5000" w:type="pct"/>
        <w:tblCellMar>
          <w:left w:w="70" w:type="dxa"/>
          <w:right w:w="70" w:type="dxa"/>
        </w:tblCellMar>
        <w:tblLook w:val="04A0" w:firstRow="1" w:lastRow="0" w:firstColumn="1" w:lastColumn="0" w:noHBand="0" w:noVBand="1"/>
      </w:tblPr>
      <w:tblGrid>
        <w:gridCol w:w="774"/>
        <w:gridCol w:w="4373"/>
        <w:gridCol w:w="901"/>
        <w:gridCol w:w="1623"/>
        <w:gridCol w:w="2524"/>
      </w:tblGrid>
      <w:tr w:rsidR="00A77E4A" w:rsidRPr="00415C94" w14:paraId="78A90530" w14:textId="77777777" w:rsidTr="00A77E4A">
        <w:trPr>
          <w:trHeight w:val="300"/>
        </w:trPr>
        <w:tc>
          <w:tcPr>
            <w:tcW w:w="379" w:type="pct"/>
            <w:tcBorders>
              <w:top w:val="single" w:sz="4" w:space="0" w:color="auto"/>
              <w:left w:val="single" w:sz="4" w:space="0" w:color="auto"/>
              <w:bottom w:val="single" w:sz="4" w:space="0" w:color="auto"/>
              <w:right w:val="single" w:sz="4" w:space="0" w:color="auto"/>
            </w:tcBorders>
            <w:noWrap/>
            <w:vAlign w:val="center"/>
            <w:hideMark/>
          </w:tcPr>
          <w:p w14:paraId="3C9FBA44" w14:textId="77777777" w:rsidR="00A77E4A" w:rsidRPr="00415C94" w:rsidRDefault="00A77E4A" w:rsidP="003D1C73">
            <w:pPr>
              <w:spacing w:after="0" w:line="240" w:lineRule="auto"/>
              <w:jc w:val="center"/>
              <w:rPr>
                <w:rFonts w:ascii="Times New Roman" w:eastAsia="Times New Roman" w:hAnsi="Times New Roman" w:cs="Times New Roman"/>
                <w:b/>
                <w:bCs/>
                <w:sz w:val="20"/>
                <w:szCs w:val="20"/>
              </w:rPr>
            </w:pPr>
            <w:r w:rsidRPr="00415C94">
              <w:rPr>
                <w:rFonts w:ascii="Times New Roman" w:eastAsia="Times New Roman" w:hAnsi="Times New Roman" w:cs="Times New Roman"/>
                <w:b/>
                <w:bCs/>
                <w:sz w:val="20"/>
                <w:szCs w:val="20"/>
              </w:rPr>
              <w:t>ITEM</w:t>
            </w:r>
          </w:p>
        </w:tc>
        <w:tc>
          <w:tcPr>
            <w:tcW w:w="2144" w:type="pct"/>
            <w:tcBorders>
              <w:top w:val="single" w:sz="4" w:space="0" w:color="auto"/>
              <w:left w:val="nil"/>
              <w:bottom w:val="single" w:sz="4" w:space="0" w:color="auto"/>
              <w:right w:val="single" w:sz="4" w:space="0" w:color="auto"/>
            </w:tcBorders>
            <w:vAlign w:val="center"/>
            <w:hideMark/>
          </w:tcPr>
          <w:p w14:paraId="56B99DF7" w14:textId="77777777" w:rsidR="00A77E4A" w:rsidRPr="00415C94" w:rsidRDefault="00A77E4A" w:rsidP="003D1C73">
            <w:pPr>
              <w:spacing w:after="0" w:line="240" w:lineRule="auto"/>
              <w:jc w:val="center"/>
              <w:rPr>
                <w:rFonts w:ascii="Times New Roman" w:eastAsia="Times New Roman" w:hAnsi="Times New Roman" w:cs="Times New Roman"/>
                <w:b/>
                <w:bCs/>
                <w:sz w:val="20"/>
                <w:szCs w:val="20"/>
              </w:rPr>
            </w:pPr>
            <w:r w:rsidRPr="00415C94">
              <w:rPr>
                <w:rFonts w:ascii="Times New Roman" w:eastAsia="Times New Roman" w:hAnsi="Times New Roman" w:cs="Times New Roman"/>
                <w:b/>
                <w:bCs/>
                <w:sz w:val="20"/>
                <w:szCs w:val="20"/>
              </w:rPr>
              <w:t>DESCRIÇÃO, MARCA E MODELO</w:t>
            </w:r>
          </w:p>
        </w:tc>
        <w:tc>
          <w:tcPr>
            <w:tcW w:w="442" w:type="pct"/>
            <w:tcBorders>
              <w:top w:val="single" w:sz="4" w:space="0" w:color="auto"/>
              <w:left w:val="nil"/>
              <w:bottom w:val="single" w:sz="4" w:space="0" w:color="auto"/>
              <w:right w:val="single" w:sz="4" w:space="0" w:color="auto"/>
            </w:tcBorders>
            <w:noWrap/>
            <w:vAlign w:val="center"/>
            <w:hideMark/>
          </w:tcPr>
          <w:p w14:paraId="29EDEFB6" w14:textId="77777777" w:rsidR="00A77E4A" w:rsidRPr="00415C94" w:rsidRDefault="00A77E4A" w:rsidP="003D1C73">
            <w:pPr>
              <w:spacing w:after="0" w:line="240" w:lineRule="auto"/>
              <w:jc w:val="center"/>
              <w:rPr>
                <w:rFonts w:ascii="Times New Roman" w:eastAsia="Times New Roman" w:hAnsi="Times New Roman" w:cs="Times New Roman"/>
                <w:b/>
                <w:bCs/>
                <w:sz w:val="20"/>
                <w:szCs w:val="20"/>
              </w:rPr>
            </w:pPr>
            <w:r w:rsidRPr="00415C94">
              <w:rPr>
                <w:rFonts w:ascii="Times New Roman" w:eastAsia="Times New Roman" w:hAnsi="Times New Roman" w:cs="Times New Roman"/>
                <w:b/>
                <w:bCs/>
                <w:sz w:val="20"/>
                <w:szCs w:val="20"/>
              </w:rPr>
              <w:t>QTD.</w:t>
            </w:r>
          </w:p>
        </w:tc>
        <w:tc>
          <w:tcPr>
            <w:tcW w:w="796" w:type="pct"/>
            <w:tcBorders>
              <w:top w:val="single" w:sz="4" w:space="0" w:color="auto"/>
              <w:left w:val="nil"/>
              <w:bottom w:val="single" w:sz="4" w:space="0" w:color="auto"/>
              <w:right w:val="single" w:sz="4" w:space="0" w:color="auto"/>
            </w:tcBorders>
            <w:vAlign w:val="center"/>
            <w:hideMark/>
          </w:tcPr>
          <w:p w14:paraId="2811F0EF" w14:textId="77777777" w:rsidR="00A77E4A" w:rsidRPr="00415C94" w:rsidRDefault="00A77E4A" w:rsidP="003D1C73">
            <w:pPr>
              <w:spacing w:after="0" w:line="240" w:lineRule="auto"/>
              <w:jc w:val="center"/>
              <w:rPr>
                <w:rFonts w:ascii="Times New Roman" w:eastAsia="Times New Roman" w:hAnsi="Times New Roman" w:cs="Times New Roman"/>
                <w:b/>
                <w:bCs/>
                <w:sz w:val="20"/>
                <w:szCs w:val="20"/>
              </w:rPr>
            </w:pPr>
            <w:r w:rsidRPr="00415C94">
              <w:rPr>
                <w:rFonts w:ascii="Times New Roman" w:eastAsia="Times New Roman" w:hAnsi="Times New Roman" w:cs="Times New Roman"/>
                <w:b/>
                <w:bCs/>
                <w:sz w:val="20"/>
                <w:szCs w:val="20"/>
              </w:rPr>
              <w:t>VALOR UNITÁRIO</w:t>
            </w:r>
          </w:p>
        </w:tc>
        <w:tc>
          <w:tcPr>
            <w:tcW w:w="1238" w:type="pct"/>
            <w:tcBorders>
              <w:top w:val="single" w:sz="4" w:space="0" w:color="auto"/>
              <w:left w:val="nil"/>
              <w:bottom w:val="single" w:sz="4" w:space="0" w:color="auto"/>
              <w:right w:val="single" w:sz="4" w:space="0" w:color="auto"/>
            </w:tcBorders>
            <w:vAlign w:val="center"/>
            <w:hideMark/>
          </w:tcPr>
          <w:p w14:paraId="5354D62B" w14:textId="77777777" w:rsidR="00A77E4A" w:rsidRPr="00415C94" w:rsidRDefault="00A77E4A" w:rsidP="003D1C73">
            <w:pPr>
              <w:spacing w:after="0" w:line="240" w:lineRule="auto"/>
              <w:jc w:val="center"/>
              <w:rPr>
                <w:rFonts w:ascii="Times New Roman" w:eastAsia="Times New Roman" w:hAnsi="Times New Roman" w:cs="Times New Roman"/>
                <w:b/>
                <w:bCs/>
                <w:sz w:val="20"/>
                <w:szCs w:val="20"/>
              </w:rPr>
            </w:pPr>
            <w:r w:rsidRPr="00415C94">
              <w:rPr>
                <w:rFonts w:ascii="Times New Roman" w:eastAsia="Times New Roman" w:hAnsi="Times New Roman" w:cs="Times New Roman"/>
                <w:b/>
                <w:bCs/>
                <w:sz w:val="20"/>
                <w:szCs w:val="20"/>
              </w:rPr>
              <w:t>VALOR TOTAL</w:t>
            </w:r>
          </w:p>
        </w:tc>
      </w:tr>
      <w:tr w:rsidR="00A77E4A" w:rsidRPr="00415C94" w14:paraId="5D54E355" w14:textId="77777777" w:rsidTr="00A77E4A">
        <w:trPr>
          <w:trHeight w:val="382"/>
        </w:trPr>
        <w:tc>
          <w:tcPr>
            <w:tcW w:w="379" w:type="pct"/>
            <w:tcBorders>
              <w:top w:val="nil"/>
              <w:left w:val="single" w:sz="4" w:space="0" w:color="auto"/>
              <w:bottom w:val="single" w:sz="4" w:space="0" w:color="auto"/>
              <w:right w:val="single" w:sz="4" w:space="0" w:color="auto"/>
            </w:tcBorders>
            <w:noWrap/>
            <w:vAlign w:val="bottom"/>
            <w:hideMark/>
          </w:tcPr>
          <w:p w14:paraId="0738ECEA" w14:textId="77777777" w:rsidR="00A77E4A" w:rsidRPr="00415C94" w:rsidRDefault="00A77E4A" w:rsidP="003D1C73">
            <w:pPr>
              <w:spacing w:after="0" w:line="240" w:lineRule="auto"/>
              <w:jc w:val="center"/>
              <w:rPr>
                <w:rFonts w:ascii="Times New Roman" w:eastAsia="Times New Roman" w:hAnsi="Times New Roman" w:cs="Times New Roman"/>
                <w:sz w:val="20"/>
                <w:szCs w:val="20"/>
              </w:rPr>
            </w:pPr>
          </w:p>
        </w:tc>
        <w:tc>
          <w:tcPr>
            <w:tcW w:w="2144" w:type="pct"/>
            <w:tcBorders>
              <w:top w:val="nil"/>
              <w:left w:val="nil"/>
              <w:bottom w:val="single" w:sz="4" w:space="0" w:color="auto"/>
              <w:right w:val="single" w:sz="4" w:space="0" w:color="auto"/>
            </w:tcBorders>
            <w:hideMark/>
          </w:tcPr>
          <w:p w14:paraId="2DE584D5" w14:textId="77777777" w:rsidR="00A77E4A" w:rsidRPr="00415C94" w:rsidRDefault="00A77E4A" w:rsidP="003D1C73">
            <w:pPr>
              <w:spacing w:after="0" w:line="240" w:lineRule="auto"/>
              <w:jc w:val="center"/>
              <w:rPr>
                <w:rFonts w:ascii="Times New Roman" w:eastAsia="Times New Roman" w:hAnsi="Times New Roman" w:cs="Times New Roman"/>
                <w:sz w:val="20"/>
                <w:szCs w:val="20"/>
              </w:rPr>
            </w:pPr>
          </w:p>
        </w:tc>
        <w:tc>
          <w:tcPr>
            <w:tcW w:w="442" w:type="pct"/>
            <w:tcBorders>
              <w:top w:val="nil"/>
              <w:left w:val="nil"/>
              <w:bottom w:val="single" w:sz="4" w:space="0" w:color="auto"/>
              <w:right w:val="single" w:sz="4" w:space="0" w:color="auto"/>
            </w:tcBorders>
            <w:noWrap/>
            <w:vAlign w:val="bottom"/>
            <w:hideMark/>
          </w:tcPr>
          <w:p w14:paraId="59259F37" w14:textId="77777777" w:rsidR="00A77E4A" w:rsidRPr="00415C94" w:rsidRDefault="00A77E4A" w:rsidP="003D1C73">
            <w:pPr>
              <w:spacing w:after="0" w:line="240" w:lineRule="auto"/>
              <w:jc w:val="center"/>
              <w:rPr>
                <w:rFonts w:ascii="Times New Roman" w:eastAsia="Times New Roman" w:hAnsi="Times New Roman" w:cs="Times New Roman"/>
                <w:sz w:val="20"/>
                <w:szCs w:val="20"/>
              </w:rPr>
            </w:pPr>
          </w:p>
        </w:tc>
        <w:tc>
          <w:tcPr>
            <w:tcW w:w="796" w:type="pct"/>
            <w:tcBorders>
              <w:top w:val="nil"/>
              <w:left w:val="nil"/>
              <w:bottom w:val="single" w:sz="4" w:space="0" w:color="auto"/>
              <w:right w:val="single" w:sz="4" w:space="0" w:color="auto"/>
            </w:tcBorders>
            <w:noWrap/>
            <w:vAlign w:val="bottom"/>
            <w:hideMark/>
          </w:tcPr>
          <w:p w14:paraId="1359F7E5" w14:textId="77777777" w:rsidR="00A77E4A" w:rsidRPr="00415C94" w:rsidRDefault="00A77E4A" w:rsidP="003D1C73">
            <w:pPr>
              <w:spacing w:after="0" w:line="240" w:lineRule="auto"/>
              <w:jc w:val="center"/>
              <w:rPr>
                <w:rFonts w:ascii="Times New Roman" w:eastAsia="Times New Roman" w:hAnsi="Times New Roman" w:cs="Times New Roman"/>
                <w:sz w:val="20"/>
                <w:szCs w:val="20"/>
              </w:rPr>
            </w:pPr>
          </w:p>
        </w:tc>
        <w:tc>
          <w:tcPr>
            <w:tcW w:w="1238" w:type="pct"/>
            <w:tcBorders>
              <w:top w:val="nil"/>
              <w:left w:val="nil"/>
              <w:bottom w:val="single" w:sz="4" w:space="0" w:color="auto"/>
              <w:right w:val="single" w:sz="4" w:space="0" w:color="auto"/>
            </w:tcBorders>
            <w:noWrap/>
            <w:vAlign w:val="bottom"/>
            <w:hideMark/>
          </w:tcPr>
          <w:p w14:paraId="7D87C9C7" w14:textId="77777777" w:rsidR="00A77E4A" w:rsidRPr="00415C94" w:rsidRDefault="00A77E4A" w:rsidP="003D1C73">
            <w:pPr>
              <w:spacing w:after="0" w:line="240" w:lineRule="auto"/>
              <w:jc w:val="center"/>
              <w:rPr>
                <w:rFonts w:ascii="Times New Roman" w:eastAsia="Times New Roman" w:hAnsi="Times New Roman" w:cs="Times New Roman"/>
                <w:sz w:val="20"/>
                <w:szCs w:val="20"/>
              </w:rPr>
            </w:pPr>
          </w:p>
        </w:tc>
      </w:tr>
    </w:tbl>
    <w:p w14:paraId="1CA22074" w14:textId="77777777" w:rsidR="00A77E4A" w:rsidRPr="00415C94" w:rsidRDefault="00A77E4A" w:rsidP="003D1C73">
      <w:pPr>
        <w:spacing w:after="0" w:line="240" w:lineRule="auto"/>
        <w:rPr>
          <w:rFonts w:ascii="Times New Roman" w:hAnsi="Times New Roman" w:cs="Times New Roman"/>
          <w:b/>
          <w:sz w:val="20"/>
          <w:szCs w:val="20"/>
        </w:rPr>
      </w:pPr>
    </w:p>
    <w:p w14:paraId="12C3BD30" w14:textId="77777777" w:rsidR="00953FAC" w:rsidRPr="00415C94" w:rsidRDefault="00A77E4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VALIDADE DA PROPOSTA: 90 (noventa) dias.</w:t>
      </w:r>
    </w:p>
    <w:p w14:paraId="7A3D9301" w14:textId="77777777" w:rsidR="00953FAC" w:rsidRPr="00415C94" w:rsidRDefault="00953FAC" w:rsidP="003D1C73">
      <w:pPr>
        <w:spacing w:after="0" w:line="240" w:lineRule="auto"/>
        <w:jc w:val="both"/>
        <w:rPr>
          <w:rFonts w:ascii="Times New Roman" w:hAnsi="Times New Roman" w:cs="Times New Roman"/>
          <w:sz w:val="20"/>
          <w:szCs w:val="20"/>
        </w:rPr>
      </w:pPr>
    </w:p>
    <w:p w14:paraId="273D92E3" w14:textId="77777777" w:rsidR="00A77E4A" w:rsidRPr="00415C94" w:rsidRDefault="00A77E4A" w:rsidP="003D1C73">
      <w:pPr>
        <w:spacing w:after="0" w:line="240" w:lineRule="auto"/>
        <w:jc w:val="center"/>
        <w:rPr>
          <w:rFonts w:ascii="Times New Roman" w:eastAsia="Times New Roman" w:hAnsi="Times New Roman" w:cs="Times New Roman"/>
          <w:caps/>
          <w:sz w:val="20"/>
          <w:szCs w:val="20"/>
        </w:rPr>
      </w:pPr>
      <w:r w:rsidRPr="00415C94">
        <w:rPr>
          <w:rFonts w:ascii="Times New Roman" w:eastAsia="Times New Roman" w:hAnsi="Times New Roman" w:cs="Times New Roman"/>
          <w:caps/>
          <w:sz w:val="20"/>
          <w:szCs w:val="20"/>
        </w:rPr>
        <w:t xml:space="preserve">(Identificação e assinatura do responsável legal ou Procurador, neste caso encaminhar procuração) </w:t>
      </w:r>
    </w:p>
    <w:p w14:paraId="0038DC52" w14:textId="77777777" w:rsidR="00A77E4A" w:rsidRPr="00415C94" w:rsidRDefault="00A77E4A" w:rsidP="003D1C73">
      <w:pPr>
        <w:spacing w:after="0" w:line="240" w:lineRule="auto"/>
        <w:rPr>
          <w:rFonts w:ascii="Times New Roman" w:eastAsia="Times New Roman" w:hAnsi="Times New Roman" w:cs="Times New Roman"/>
          <w:caps/>
          <w:sz w:val="20"/>
          <w:szCs w:val="20"/>
        </w:rPr>
      </w:pPr>
      <w:r w:rsidRPr="00415C94">
        <w:rPr>
          <w:rFonts w:ascii="Times New Roman" w:eastAsia="Times New Roman" w:hAnsi="Times New Roman" w:cs="Times New Roman"/>
          <w:caps/>
          <w:sz w:val="20"/>
          <w:szCs w:val="20"/>
        </w:rPr>
        <w:br w:type="page"/>
      </w:r>
    </w:p>
    <w:p w14:paraId="2068DEB4" w14:textId="77777777" w:rsidR="002D501F" w:rsidRPr="00415C94" w:rsidRDefault="002D501F" w:rsidP="003D1C73">
      <w:pPr>
        <w:spacing w:after="0" w:line="240" w:lineRule="auto"/>
        <w:jc w:val="center"/>
        <w:rPr>
          <w:rFonts w:ascii="Times New Roman" w:eastAsia="MS Mincho" w:hAnsi="Times New Roman" w:cs="Times New Roman"/>
          <w:b/>
          <w:sz w:val="20"/>
          <w:szCs w:val="20"/>
        </w:rPr>
      </w:pPr>
    </w:p>
    <w:p w14:paraId="7234599C" w14:textId="77777777" w:rsidR="002D501F" w:rsidRPr="00415C94" w:rsidRDefault="002D501F" w:rsidP="003D1C73">
      <w:pPr>
        <w:spacing w:after="0" w:line="240" w:lineRule="auto"/>
        <w:jc w:val="center"/>
        <w:rPr>
          <w:rFonts w:ascii="Times New Roman" w:hAnsi="Times New Roman" w:cs="Times New Roman"/>
          <w:b/>
          <w:bCs/>
          <w:sz w:val="20"/>
          <w:szCs w:val="20"/>
        </w:rPr>
      </w:pPr>
      <w:r w:rsidRPr="00415C94">
        <w:rPr>
          <w:rFonts w:ascii="Times New Roman" w:hAnsi="Times New Roman" w:cs="Times New Roman"/>
          <w:b/>
          <w:bCs/>
          <w:sz w:val="20"/>
          <w:szCs w:val="20"/>
        </w:rPr>
        <w:t>ANEXO III - MINUTA DE CONTRATO</w:t>
      </w:r>
    </w:p>
    <w:p w14:paraId="5D5EA311" w14:textId="77777777" w:rsidR="002D501F" w:rsidRPr="00415C94" w:rsidRDefault="002D501F" w:rsidP="003D1C73">
      <w:pPr>
        <w:spacing w:after="0" w:line="240" w:lineRule="auto"/>
        <w:rPr>
          <w:rFonts w:ascii="Times New Roman" w:hAnsi="Times New Roman" w:cs="Times New Roman"/>
          <w:b/>
          <w:bCs/>
          <w:sz w:val="20"/>
          <w:szCs w:val="20"/>
        </w:rPr>
      </w:pPr>
      <w:bookmarkStart w:id="20" w:name="_Hlk158194581"/>
    </w:p>
    <w:p w14:paraId="12A2A483" w14:textId="77777777" w:rsidR="00A77E4A" w:rsidRPr="00415C94" w:rsidRDefault="00A77E4A" w:rsidP="003D1C73">
      <w:pPr>
        <w:spacing w:after="0" w:line="240" w:lineRule="auto"/>
        <w:rPr>
          <w:rFonts w:ascii="Times New Roman" w:hAnsi="Times New Roman" w:cs="Times New Roman"/>
          <w:b/>
          <w:bCs/>
          <w:sz w:val="20"/>
          <w:szCs w:val="20"/>
        </w:rPr>
      </w:pPr>
      <w:r w:rsidRPr="00415C94">
        <w:rPr>
          <w:rFonts w:ascii="Times New Roman" w:hAnsi="Times New Roman" w:cs="Times New Roman"/>
          <w:b/>
          <w:bCs/>
          <w:sz w:val="20"/>
          <w:szCs w:val="20"/>
        </w:rPr>
        <w:t>CONTRATO  N° 00/</w:t>
      </w:r>
      <w:r w:rsidR="003D1C73" w:rsidRPr="00415C94">
        <w:rPr>
          <w:rFonts w:ascii="Times New Roman" w:hAnsi="Times New Roman" w:cs="Times New Roman"/>
          <w:b/>
          <w:bCs/>
          <w:sz w:val="20"/>
          <w:szCs w:val="20"/>
        </w:rPr>
        <w:t>2026</w:t>
      </w:r>
    </w:p>
    <w:p w14:paraId="048DE732" w14:textId="77777777" w:rsidR="00A77E4A" w:rsidRPr="00415C94" w:rsidRDefault="00A77E4A" w:rsidP="003D1C73">
      <w:pPr>
        <w:spacing w:after="0" w:line="240" w:lineRule="auto"/>
        <w:rPr>
          <w:rFonts w:ascii="Times New Roman" w:hAnsi="Times New Roman" w:cs="Times New Roman"/>
          <w:b/>
          <w:bCs/>
          <w:sz w:val="20"/>
          <w:szCs w:val="20"/>
        </w:rPr>
      </w:pPr>
      <w:r w:rsidRPr="00415C94">
        <w:rPr>
          <w:rFonts w:ascii="Times New Roman" w:hAnsi="Times New Roman" w:cs="Times New Roman"/>
          <w:b/>
          <w:bCs/>
          <w:sz w:val="20"/>
          <w:szCs w:val="20"/>
        </w:rPr>
        <w:t>PROCESSO Nº 67/2026</w:t>
      </w:r>
    </w:p>
    <w:p w14:paraId="52EB2614" w14:textId="77777777" w:rsidR="00A77E4A" w:rsidRPr="00415C94" w:rsidRDefault="00A77E4A" w:rsidP="003D1C73">
      <w:pPr>
        <w:spacing w:after="0" w:line="240" w:lineRule="auto"/>
        <w:rPr>
          <w:rFonts w:ascii="Times New Roman" w:hAnsi="Times New Roman" w:cs="Times New Roman"/>
          <w:b/>
          <w:bCs/>
          <w:sz w:val="20"/>
          <w:szCs w:val="20"/>
        </w:rPr>
      </w:pPr>
    </w:p>
    <w:p w14:paraId="2220C0F5" w14:textId="77777777" w:rsidR="00A77E4A" w:rsidRPr="00415C94" w:rsidRDefault="00A77E4A" w:rsidP="003D1C73">
      <w:pPr>
        <w:spacing w:after="0" w:line="240" w:lineRule="auto"/>
        <w:rPr>
          <w:rFonts w:ascii="Times New Roman" w:hAnsi="Times New Roman" w:cs="Times New Roman"/>
          <w:b/>
          <w:sz w:val="20"/>
          <w:szCs w:val="20"/>
        </w:rPr>
      </w:pPr>
    </w:p>
    <w:p w14:paraId="5D973BDD" w14:textId="77777777" w:rsidR="002D501F" w:rsidRPr="00415C94" w:rsidRDefault="002D501F" w:rsidP="003D1C73">
      <w:pPr>
        <w:spacing w:after="0" w:line="240" w:lineRule="auto"/>
        <w:jc w:val="both"/>
        <w:rPr>
          <w:rFonts w:ascii="Times New Roman" w:eastAsia="Arial" w:hAnsi="Times New Roman" w:cs="Times New Roman"/>
          <w:sz w:val="20"/>
          <w:szCs w:val="20"/>
        </w:rPr>
      </w:pPr>
      <w:r w:rsidRPr="00415C94">
        <w:rPr>
          <w:rFonts w:ascii="Times New Roman" w:hAnsi="Times New Roman" w:cs="Times New Roman"/>
          <w:sz w:val="20"/>
          <w:szCs w:val="20"/>
        </w:rPr>
        <w:t>O MUNICÍPIO DE GOIOXIM, Estado do Paraná, com sede na Rua Laurindo Cordeiro de Souza, 184, Centro, Goioxim/PR, inscrito no CNPJ sob o nº 01.607.627/0001-78, neste ato representado pelo Prefeito Municipal, doravante denominado CONTRATANTE, e, de outro lado, a empresa ____________________, inscrita no CNPJ sob o nº ____________________, com sede à ____________________, neste ato representada por ____________________, CPF nº ____________________, doravante denominada CONTRATADA, em observância às disposições da Lei nº 14.133, de 1º de abril de 2021, do Decreto Municipal nº 002/2024 e demais legislação aplicável, resolvem celebrar o presente Termo de Contrato, decorrente do PREGÃO ELETRÔNICO Nº 27/2026, mediante as cláusulas e condições a seguir enunciadas.</w:t>
      </w:r>
    </w:p>
    <w:p w14:paraId="0DE0645B" w14:textId="77777777" w:rsidR="00404C06" w:rsidRPr="00415C94" w:rsidRDefault="00404C06" w:rsidP="003D1C73">
      <w:pPr>
        <w:spacing w:after="0" w:line="240" w:lineRule="auto"/>
        <w:jc w:val="both"/>
        <w:rPr>
          <w:rFonts w:ascii="Times New Roman" w:eastAsia="Arial" w:hAnsi="Times New Roman" w:cs="Times New Roman"/>
          <w:b/>
          <w:bCs/>
          <w:sz w:val="20"/>
          <w:szCs w:val="20"/>
        </w:rPr>
      </w:pPr>
    </w:p>
    <w:bookmarkEnd w:id="20"/>
    <w:p w14:paraId="7476AD14" w14:textId="77777777" w:rsidR="0012468B" w:rsidRPr="00415C94" w:rsidRDefault="0012468B" w:rsidP="003D1C73">
      <w:pPr>
        <w:spacing w:after="0" w:line="240" w:lineRule="auto"/>
        <w:contextualSpacing/>
        <w:jc w:val="both"/>
        <w:rPr>
          <w:rFonts w:ascii="Times New Roman" w:eastAsia="MS Mincho" w:hAnsi="Times New Roman" w:cs="Times New Roman"/>
          <w:b/>
          <w:color w:val="000000"/>
          <w:sz w:val="20"/>
          <w:szCs w:val="20"/>
        </w:rPr>
      </w:pPr>
      <w:r w:rsidRPr="00415C94">
        <w:rPr>
          <w:rFonts w:ascii="Times New Roman" w:eastAsia="Cambria" w:hAnsi="Times New Roman" w:cs="Times New Roman"/>
          <w:b/>
          <w:color w:val="000000"/>
          <w:sz w:val="20"/>
          <w:szCs w:val="20"/>
        </w:rPr>
        <w:t>CLÁUSULA PRIMEIRA – OBJETO</w:t>
      </w:r>
    </w:p>
    <w:p w14:paraId="07DAD70C" w14:textId="77777777" w:rsidR="0012468B" w:rsidRPr="00415C94" w:rsidRDefault="0012468B" w:rsidP="003D1C73">
      <w:pPr>
        <w:numPr>
          <w:ilvl w:val="1"/>
          <w:numId w:val="17"/>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objeto do presente Termo de Contrato é a aquisição de equipamentos, móveis, eletrodomésticos, materiais permanentes e itens de tecnologia destinados à estruturação e ao aprimoramento das atividades da Secretaria Municipal da Mulher, Pessoa Idosa e Igualdade Racial e da Secretaria Municipal de Saúde - Farmácia Municipal de Goioxim, relativamente aos itens adjudicados à CONTRATADA, conforme especificações e quantitativos estabelecidos no Termo de Referência, anexo do Edital.</w:t>
      </w:r>
    </w:p>
    <w:p w14:paraId="7178A7B8" w14:textId="77777777" w:rsidR="0012468B" w:rsidRPr="00415C94" w:rsidRDefault="0012468B" w:rsidP="003D1C73">
      <w:pPr>
        <w:numPr>
          <w:ilvl w:val="1"/>
          <w:numId w:val="17"/>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Discriminação do objeto:</w:t>
      </w:r>
    </w:p>
    <w:tbl>
      <w:tblPr>
        <w:tblW w:w="9645" w:type="dxa"/>
        <w:tblLayout w:type="fixed"/>
        <w:tblLook w:val="04A0" w:firstRow="1" w:lastRow="0" w:firstColumn="1" w:lastColumn="0" w:noHBand="0" w:noVBand="1"/>
      </w:tblPr>
      <w:tblGrid>
        <w:gridCol w:w="851"/>
        <w:gridCol w:w="2127"/>
        <w:gridCol w:w="1135"/>
        <w:gridCol w:w="1446"/>
        <w:gridCol w:w="1559"/>
        <w:gridCol w:w="1280"/>
        <w:gridCol w:w="1247"/>
      </w:tblGrid>
      <w:tr w:rsidR="0012468B" w:rsidRPr="00415C94" w14:paraId="20829AB3" w14:textId="77777777" w:rsidTr="0012468B">
        <w:tc>
          <w:tcPr>
            <w:tcW w:w="851" w:type="dxa"/>
            <w:tcBorders>
              <w:top w:val="single" w:sz="4" w:space="0" w:color="000000"/>
              <w:left w:val="single" w:sz="4" w:space="0" w:color="000000"/>
              <w:bottom w:val="single" w:sz="4" w:space="0" w:color="000000"/>
              <w:right w:val="single" w:sz="4" w:space="0" w:color="000000"/>
            </w:tcBorders>
            <w:vAlign w:val="center"/>
            <w:hideMark/>
          </w:tcPr>
          <w:p w14:paraId="3CC73F2C" w14:textId="77777777" w:rsidR="0012468B" w:rsidRPr="00415C94" w:rsidRDefault="0012468B" w:rsidP="003D1C73">
            <w:pPr>
              <w:widowControl w:val="0"/>
              <w:spacing w:after="0" w:line="240" w:lineRule="auto"/>
              <w:jc w:val="center"/>
              <w:rPr>
                <w:rFonts w:ascii="Times New Roman" w:eastAsia="Arial" w:hAnsi="Times New Roman" w:cs="Times New Roman"/>
                <w:b/>
                <w:bCs/>
                <w:color w:val="000000"/>
                <w:sz w:val="20"/>
                <w:szCs w:val="20"/>
                <w:lang w:eastAsia="en-US"/>
              </w:rPr>
            </w:pPr>
            <w:r w:rsidRPr="00415C94">
              <w:rPr>
                <w:rFonts w:ascii="Times New Roman" w:eastAsia="Arial" w:hAnsi="Times New Roman" w:cs="Times New Roman"/>
                <w:b/>
                <w:bCs/>
                <w:color w:val="000000"/>
                <w:sz w:val="20"/>
                <w:szCs w:val="20"/>
                <w:lang w:eastAsia="en-US"/>
              </w:rPr>
              <w:t>ITEM</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2CF423E"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r w:rsidRPr="00415C94">
              <w:rPr>
                <w:rFonts w:ascii="Times New Roman" w:eastAsia="Arial" w:hAnsi="Times New Roman" w:cs="Times New Roman"/>
                <w:b/>
                <w:bCs/>
                <w:color w:val="000000"/>
                <w:sz w:val="20"/>
                <w:szCs w:val="20"/>
                <w:lang w:eastAsia="en-US"/>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2D1466"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r w:rsidRPr="00415C94">
              <w:rPr>
                <w:rFonts w:ascii="Times New Roman" w:eastAsia="Arial" w:hAnsi="Times New Roman" w:cs="Times New Roman"/>
                <w:b/>
                <w:bCs/>
                <w:color w:val="000000"/>
                <w:sz w:val="20"/>
                <w:szCs w:val="20"/>
                <w:lang w:eastAsia="en-US"/>
              </w:rPr>
              <w:t>MARCA/MODELO</w:t>
            </w:r>
          </w:p>
        </w:tc>
        <w:tc>
          <w:tcPr>
            <w:tcW w:w="1445" w:type="dxa"/>
            <w:tcBorders>
              <w:top w:val="single" w:sz="4" w:space="0" w:color="000000"/>
              <w:left w:val="single" w:sz="4" w:space="0" w:color="000000"/>
              <w:bottom w:val="single" w:sz="4" w:space="0" w:color="000000"/>
              <w:right w:val="single" w:sz="4" w:space="0" w:color="000000"/>
            </w:tcBorders>
            <w:vAlign w:val="center"/>
            <w:hideMark/>
          </w:tcPr>
          <w:p w14:paraId="707458A8"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r w:rsidRPr="00415C94">
              <w:rPr>
                <w:rFonts w:ascii="Times New Roman" w:eastAsia="Arial" w:hAnsi="Times New Roman" w:cs="Times New Roman"/>
                <w:b/>
                <w:bCs/>
                <w:color w:val="000000"/>
                <w:sz w:val="20"/>
                <w:szCs w:val="20"/>
                <w:lang w:eastAsia="en-US"/>
              </w:rPr>
              <w:t>UNIDADE</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3A7A0970" w14:textId="77777777" w:rsidR="0012468B" w:rsidRPr="00415C94" w:rsidRDefault="0012468B" w:rsidP="003D1C73">
            <w:pPr>
              <w:widowControl w:val="0"/>
              <w:spacing w:after="0" w:line="240" w:lineRule="auto"/>
              <w:jc w:val="center"/>
              <w:rPr>
                <w:rFonts w:ascii="Times New Roman" w:eastAsia="Arial" w:hAnsi="Times New Roman" w:cs="Times New Roman"/>
                <w:b/>
                <w:bCs/>
                <w:color w:val="000000"/>
                <w:sz w:val="20"/>
                <w:szCs w:val="20"/>
                <w:lang w:eastAsia="en-US"/>
              </w:rPr>
            </w:pPr>
            <w:r w:rsidRPr="00415C94">
              <w:rPr>
                <w:rFonts w:ascii="Times New Roman" w:eastAsia="Arial" w:hAnsi="Times New Roman" w:cs="Times New Roman"/>
                <w:b/>
                <w:bCs/>
                <w:color w:val="000000"/>
                <w:sz w:val="20"/>
                <w:szCs w:val="20"/>
                <w:lang w:eastAsia="en-US"/>
              </w:rPr>
              <w:t>QUANTIDADE</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76C8D072" w14:textId="77777777" w:rsidR="0012468B" w:rsidRPr="00415C94" w:rsidRDefault="0012468B" w:rsidP="003D1C73">
            <w:pPr>
              <w:widowControl w:val="0"/>
              <w:spacing w:after="0" w:line="240" w:lineRule="auto"/>
              <w:jc w:val="center"/>
              <w:rPr>
                <w:rFonts w:ascii="Times New Roman" w:eastAsia="Arial" w:hAnsi="Times New Roman" w:cs="Times New Roman"/>
                <w:b/>
                <w:bCs/>
                <w:color w:val="000000"/>
                <w:sz w:val="20"/>
                <w:szCs w:val="20"/>
                <w:lang w:eastAsia="en-US"/>
              </w:rPr>
            </w:pPr>
            <w:r w:rsidRPr="00415C94">
              <w:rPr>
                <w:rFonts w:ascii="Times New Roman" w:eastAsia="Arial" w:hAnsi="Times New Roman" w:cs="Times New Roman"/>
                <w:b/>
                <w:bCs/>
                <w:color w:val="000000"/>
                <w:sz w:val="20"/>
                <w:szCs w:val="20"/>
                <w:lang w:eastAsia="en-US"/>
              </w:rPr>
              <w:t>VALOR UNITÁRIO</w:t>
            </w:r>
          </w:p>
        </w:tc>
        <w:tc>
          <w:tcPr>
            <w:tcW w:w="1246" w:type="dxa"/>
            <w:tcBorders>
              <w:top w:val="single" w:sz="4" w:space="0" w:color="000000"/>
              <w:left w:val="single" w:sz="4" w:space="0" w:color="000000"/>
              <w:bottom w:val="single" w:sz="4" w:space="0" w:color="000000"/>
              <w:right w:val="single" w:sz="4" w:space="0" w:color="000000"/>
            </w:tcBorders>
            <w:vAlign w:val="center"/>
            <w:hideMark/>
          </w:tcPr>
          <w:p w14:paraId="10F19F8D" w14:textId="77777777" w:rsidR="0012468B" w:rsidRPr="00415C94" w:rsidRDefault="0012468B" w:rsidP="003D1C73">
            <w:pPr>
              <w:widowControl w:val="0"/>
              <w:spacing w:after="0" w:line="240" w:lineRule="auto"/>
              <w:jc w:val="center"/>
              <w:rPr>
                <w:rFonts w:ascii="Times New Roman" w:eastAsia="Arial" w:hAnsi="Times New Roman" w:cs="Times New Roman"/>
                <w:b/>
                <w:bCs/>
                <w:color w:val="000000"/>
                <w:sz w:val="20"/>
                <w:szCs w:val="20"/>
                <w:lang w:eastAsia="en-US"/>
              </w:rPr>
            </w:pPr>
            <w:r w:rsidRPr="00415C94">
              <w:rPr>
                <w:rFonts w:ascii="Times New Roman" w:eastAsia="Arial" w:hAnsi="Times New Roman" w:cs="Times New Roman"/>
                <w:b/>
                <w:bCs/>
                <w:color w:val="000000"/>
                <w:sz w:val="20"/>
                <w:szCs w:val="20"/>
                <w:lang w:eastAsia="en-US"/>
              </w:rPr>
              <w:t>VALOR TOTAL</w:t>
            </w:r>
          </w:p>
        </w:tc>
      </w:tr>
      <w:tr w:rsidR="0012468B" w:rsidRPr="00415C94" w14:paraId="4C366C1D" w14:textId="77777777" w:rsidTr="0012468B">
        <w:tc>
          <w:tcPr>
            <w:tcW w:w="851" w:type="dxa"/>
            <w:tcBorders>
              <w:top w:val="single" w:sz="4" w:space="0" w:color="000000"/>
              <w:left w:val="single" w:sz="4" w:space="0" w:color="000000"/>
              <w:bottom w:val="single" w:sz="4" w:space="0" w:color="000000"/>
              <w:right w:val="single" w:sz="4" w:space="0" w:color="000000"/>
            </w:tcBorders>
            <w:hideMark/>
          </w:tcPr>
          <w:p w14:paraId="4D757A87"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r w:rsidRPr="00415C94">
              <w:rPr>
                <w:rFonts w:ascii="Times New Roman" w:eastAsia="Arial" w:hAnsi="Times New Roman" w:cs="Times New Roman"/>
                <w:color w:val="000000"/>
                <w:sz w:val="20"/>
                <w:szCs w:val="20"/>
                <w:lang w:eastAsia="en-US"/>
              </w:rPr>
              <w:t>...</w:t>
            </w:r>
          </w:p>
        </w:tc>
        <w:tc>
          <w:tcPr>
            <w:tcW w:w="2126" w:type="dxa"/>
            <w:tcBorders>
              <w:top w:val="single" w:sz="4" w:space="0" w:color="000000"/>
              <w:left w:val="single" w:sz="4" w:space="0" w:color="000000"/>
              <w:bottom w:val="single" w:sz="4" w:space="0" w:color="000000"/>
              <w:right w:val="single" w:sz="4" w:space="0" w:color="000000"/>
            </w:tcBorders>
          </w:tcPr>
          <w:p w14:paraId="2EEA5B0B"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14:paraId="6FB39234"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445" w:type="dxa"/>
            <w:tcBorders>
              <w:top w:val="single" w:sz="4" w:space="0" w:color="000000"/>
              <w:left w:val="single" w:sz="4" w:space="0" w:color="000000"/>
              <w:bottom w:val="single" w:sz="4" w:space="0" w:color="000000"/>
              <w:right w:val="single" w:sz="4" w:space="0" w:color="000000"/>
            </w:tcBorders>
          </w:tcPr>
          <w:p w14:paraId="56FCD398"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558" w:type="dxa"/>
            <w:tcBorders>
              <w:top w:val="single" w:sz="4" w:space="0" w:color="000000"/>
              <w:left w:val="single" w:sz="4" w:space="0" w:color="000000"/>
              <w:bottom w:val="single" w:sz="4" w:space="0" w:color="000000"/>
              <w:right w:val="single" w:sz="4" w:space="0" w:color="000000"/>
            </w:tcBorders>
          </w:tcPr>
          <w:p w14:paraId="3C4E4E0D"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279" w:type="dxa"/>
            <w:tcBorders>
              <w:top w:val="single" w:sz="4" w:space="0" w:color="000000"/>
              <w:left w:val="single" w:sz="4" w:space="0" w:color="000000"/>
              <w:bottom w:val="single" w:sz="4" w:space="0" w:color="000000"/>
              <w:right w:val="single" w:sz="4" w:space="0" w:color="000000"/>
            </w:tcBorders>
          </w:tcPr>
          <w:p w14:paraId="23152EC7"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246" w:type="dxa"/>
            <w:tcBorders>
              <w:top w:val="single" w:sz="4" w:space="0" w:color="000000"/>
              <w:left w:val="single" w:sz="4" w:space="0" w:color="000000"/>
              <w:bottom w:val="single" w:sz="4" w:space="0" w:color="000000"/>
              <w:right w:val="single" w:sz="4" w:space="0" w:color="000000"/>
            </w:tcBorders>
          </w:tcPr>
          <w:p w14:paraId="7EB04AE7"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r>
      <w:tr w:rsidR="0012468B" w:rsidRPr="00415C94" w14:paraId="3B4ED3E7" w14:textId="77777777" w:rsidTr="0012468B">
        <w:tc>
          <w:tcPr>
            <w:tcW w:w="851" w:type="dxa"/>
            <w:tcBorders>
              <w:top w:val="single" w:sz="4" w:space="0" w:color="000000"/>
              <w:left w:val="single" w:sz="4" w:space="0" w:color="000000"/>
              <w:bottom w:val="single" w:sz="4" w:space="0" w:color="000000"/>
              <w:right w:val="single" w:sz="4" w:space="0" w:color="000000"/>
            </w:tcBorders>
            <w:hideMark/>
          </w:tcPr>
          <w:p w14:paraId="5EDE7976"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r w:rsidRPr="00415C94">
              <w:rPr>
                <w:rFonts w:ascii="Times New Roman" w:eastAsia="Arial" w:hAnsi="Times New Roman" w:cs="Times New Roman"/>
                <w:color w:val="000000"/>
                <w:sz w:val="20"/>
                <w:szCs w:val="20"/>
                <w:lang w:eastAsia="en-US"/>
              </w:rPr>
              <w:t>...</w:t>
            </w:r>
          </w:p>
        </w:tc>
        <w:tc>
          <w:tcPr>
            <w:tcW w:w="2126" w:type="dxa"/>
            <w:tcBorders>
              <w:top w:val="single" w:sz="4" w:space="0" w:color="000000"/>
              <w:left w:val="single" w:sz="4" w:space="0" w:color="000000"/>
              <w:bottom w:val="single" w:sz="4" w:space="0" w:color="000000"/>
              <w:right w:val="single" w:sz="4" w:space="0" w:color="000000"/>
            </w:tcBorders>
          </w:tcPr>
          <w:p w14:paraId="17E69769"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134" w:type="dxa"/>
            <w:tcBorders>
              <w:top w:val="single" w:sz="4" w:space="0" w:color="000000"/>
              <w:left w:val="single" w:sz="4" w:space="0" w:color="000000"/>
              <w:bottom w:val="single" w:sz="4" w:space="0" w:color="000000"/>
              <w:right w:val="single" w:sz="4" w:space="0" w:color="000000"/>
            </w:tcBorders>
          </w:tcPr>
          <w:p w14:paraId="044B4E12"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445" w:type="dxa"/>
            <w:tcBorders>
              <w:top w:val="single" w:sz="4" w:space="0" w:color="000000"/>
              <w:left w:val="single" w:sz="4" w:space="0" w:color="000000"/>
              <w:bottom w:val="single" w:sz="4" w:space="0" w:color="000000"/>
              <w:right w:val="single" w:sz="4" w:space="0" w:color="000000"/>
            </w:tcBorders>
          </w:tcPr>
          <w:p w14:paraId="57FEC17C"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558" w:type="dxa"/>
            <w:tcBorders>
              <w:top w:val="single" w:sz="4" w:space="0" w:color="000000"/>
              <w:left w:val="single" w:sz="4" w:space="0" w:color="000000"/>
              <w:bottom w:val="single" w:sz="4" w:space="0" w:color="000000"/>
              <w:right w:val="single" w:sz="4" w:space="0" w:color="000000"/>
            </w:tcBorders>
          </w:tcPr>
          <w:p w14:paraId="63518DAF"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279" w:type="dxa"/>
            <w:tcBorders>
              <w:top w:val="single" w:sz="4" w:space="0" w:color="000000"/>
              <w:left w:val="single" w:sz="4" w:space="0" w:color="000000"/>
              <w:bottom w:val="single" w:sz="4" w:space="0" w:color="000000"/>
              <w:right w:val="single" w:sz="4" w:space="0" w:color="000000"/>
            </w:tcBorders>
          </w:tcPr>
          <w:p w14:paraId="4AB55208"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c>
          <w:tcPr>
            <w:tcW w:w="1246" w:type="dxa"/>
            <w:tcBorders>
              <w:top w:val="single" w:sz="4" w:space="0" w:color="000000"/>
              <w:left w:val="single" w:sz="4" w:space="0" w:color="000000"/>
              <w:bottom w:val="single" w:sz="4" w:space="0" w:color="000000"/>
              <w:right w:val="single" w:sz="4" w:space="0" w:color="000000"/>
            </w:tcBorders>
          </w:tcPr>
          <w:p w14:paraId="2918E67B" w14:textId="77777777" w:rsidR="0012468B" w:rsidRPr="00415C94" w:rsidRDefault="0012468B" w:rsidP="003D1C73">
            <w:pPr>
              <w:widowControl w:val="0"/>
              <w:spacing w:after="0" w:line="240" w:lineRule="auto"/>
              <w:jc w:val="center"/>
              <w:rPr>
                <w:rFonts w:ascii="Times New Roman" w:eastAsia="Arial" w:hAnsi="Times New Roman" w:cs="Times New Roman"/>
                <w:color w:val="000000"/>
                <w:sz w:val="20"/>
                <w:szCs w:val="20"/>
                <w:lang w:eastAsia="en-US"/>
              </w:rPr>
            </w:pPr>
          </w:p>
        </w:tc>
      </w:tr>
    </w:tbl>
    <w:p w14:paraId="5A2408E0" w14:textId="77777777" w:rsidR="0012468B" w:rsidRPr="00415C94" w:rsidRDefault="0012468B" w:rsidP="003D1C73">
      <w:pPr>
        <w:numPr>
          <w:ilvl w:val="1"/>
          <w:numId w:val="18"/>
        </w:numPr>
        <w:spacing w:after="0" w:line="240" w:lineRule="auto"/>
        <w:ind w:left="0" w:firstLine="0"/>
        <w:jc w:val="both"/>
        <w:rPr>
          <w:rFonts w:ascii="Times New Roman" w:eastAsia="MS Mincho" w:hAnsi="Times New Roman" w:cs="Times New Roman"/>
          <w:color w:val="000000"/>
          <w:sz w:val="20"/>
          <w:szCs w:val="20"/>
        </w:rPr>
      </w:pPr>
      <w:r w:rsidRPr="00415C94">
        <w:rPr>
          <w:rFonts w:ascii="Times New Roman" w:eastAsia="Cambria" w:hAnsi="Times New Roman" w:cs="Times New Roman"/>
          <w:color w:val="000000"/>
          <w:sz w:val="20"/>
          <w:szCs w:val="20"/>
        </w:rPr>
        <w:t>Vinculam esta contratação, independentemente de transcrição:</w:t>
      </w:r>
    </w:p>
    <w:p w14:paraId="33756FEA" w14:textId="77777777" w:rsidR="0012468B" w:rsidRPr="00415C94" w:rsidRDefault="0012468B" w:rsidP="003D1C73">
      <w:pPr>
        <w:numPr>
          <w:ilvl w:val="2"/>
          <w:numId w:val="18"/>
        </w:numPr>
        <w:spacing w:after="0" w:line="240" w:lineRule="auto"/>
        <w:ind w:left="709"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Termo de Referência;</w:t>
      </w:r>
    </w:p>
    <w:p w14:paraId="3B53251F" w14:textId="77777777" w:rsidR="0012468B" w:rsidRPr="00415C94" w:rsidRDefault="0012468B" w:rsidP="003D1C73">
      <w:pPr>
        <w:numPr>
          <w:ilvl w:val="2"/>
          <w:numId w:val="18"/>
        </w:numPr>
        <w:spacing w:after="0" w:line="240" w:lineRule="auto"/>
        <w:ind w:left="709"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Edital da Licitação;</w:t>
      </w:r>
    </w:p>
    <w:p w14:paraId="7FC3EA2E" w14:textId="77777777" w:rsidR="0012468B" w:rsidRPr="00415C94" w:rsidRDefault="0012468B" w:rsidP="003D1C73">
      <w:pPr>
        <w:numPr>
          <w:ilvl w:val="2"/>
          <w:numId w:val="18"/>
        </w:numPr>
        <w:spacing w:after="0" w:line="240" w:lineRule="auto"/>
        <w:ind w:left="709"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A Proposta do contratado;</w:t>
      </w:r>
    </w:p>
    <w:p w14:paraId="19FBD156" w14:textId="77777777" w:rsidR="0012468B" w:rsidRPr="00415C94" w:rsidRDefault="0012468B" w:rsidP="003D1C73">
      <w:pPr>
        <w:numPr>
          <w:ilvl w:val="2"/>
          <w:numId w:val="18"/>
        </w:numPr>
        <w:spacing w:after="0" w:line="240" w:lineRule="auto"/>
        <w:ind w:left="709"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Eventuais anexos dos documentos supracitados.</w:t>
      </w:r>
    </w:p>
    <w:p w14:paraId="6C9A95FF"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SEGUNDA – VIGÊNCIA E PRORROGAÇÃO</w:t>
      </w:r>
    </w:p>
    <w:p w14:paraId="01795BF7" w14:textId="77777777" w:rsidR="0012468B" w:rsidRPr="00415C94" w:rsidRDefault="0012468B" w:rsidP="003D1C73">
      <w:pPr>
        <w:numPr>
          <w:ilvl w:val="1"/>
          <w:numId w:val="19"/>
        </w:numPr>
        <w:spacing w:after="0" w:line="240" w:lineRule="auto"/>
        <w:ind w:left="0" w:firstLine="0"/>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O prazo de vigência da contratação será de 12 (doze) meses, contado da assinatura do instrumento, na forma do art. 105 da Lei nº 14.133, de 2021.</w:t>
      </w:r>
    </w:p>
    <w:p w14:paraId="27C9BDD1" w14:textId="77777777" w:rsidR="0012468B" w:rsidRPr="00415C94" w:rsidRDefault="0012468B" w:rsidP="003D1C73">
      <w:pPr>
        <w:numPr>
          <w:ilvl w:val="1"/>
          <w:numId w:val="19"/>
        </w:numPr>
        <w:spacing w:after="0" w:line="240" w:lineRule="auto"/>
        <w:ind w:left="0" w:firstLine="0"/>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0183BF6A"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TERCEIRA – MODELOS DE EXECUÇÃO E GESTÃO CONTRATUAIS</w:t>
      </w:r>
    </w:p>
    <w:p w14:paraId="3653053C" w14:textId="77777777" w:rsidR="0012468B" w:rsidRPr="00415C94" w:rsidRDefault="0012468B" w:rsidP="003D1C73">
      <w:pPr>
        <w:numPr>
          <w:ilvl w:val="1"/>
          <w:numId w:val="20"/>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29FCA814"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QUARTA – SUBCONTRATAÇÃO</w:t>
      </w:r>
    </w:p>
    <w:p w14:paraId="5CC8C35B" w14:textId="77777777" w:rsidR="0012468B" w:rsidRPr="00415C94" w:rsidRDefault="0012468B" w:rsidP="003D1C73">
      <w:pPr>
        <w:numPr>
          <w:ilvl w:val="1"/>
          <w:numId w:val="21"/>
        </w:numPr>
        <w:spacing w:after="0" w:line="240" w:lineRule="auto"/>
        <w:ind w:left="0" w:firstLine="0"/>
        <w:contextualSpacing/>
        <w:jc w:val="both"/>
        <w:rPr>
          <w:rFonts w:ascii="Times New Roman" w:eastAsia="Cambria" w:hAnsi="Times New Roman" w:cs="Times New Roman"/>
          <w:b/>
          <w:color w:val="000000"/>
          <w:sz w:val="20"/>
          <w:szCs w:val="20"/>
        </w:rPr>
      </w:pPr>
      <w:bookmarkStart w:id="21" w:name="_Hlk182220156"/>
      <w:r w:rsidRPr="00415C94">
        <w:rPr>
          <w:rFonts w:ascii="Times New Roman" w:eastAsia="Cambria" w:hAnsi="Times New Roman" w:cs="Times New Roman"/>
          <w:color w:val="000000"/>
          <w:sz w:val="20"/>
          <w:szCs w:val="20"/>
        </w:rPr>
        <w:t>As regras sobre a subcontratação do objeto são aquelas estabelecidas no Termo de Referência, anexo a este Contrato</w:t>
      </w:r>
      <w:bookmarkEnd w:id="21"/>
      <w:r w:rsidRPr="00415C94">
        <w:rPr>
          <w:rFonts w:ascii="Times New Roman" w:eastAsia="Cambria" w:hAnsi="Times New Roman" w:cs="Times New Roman"/>
          <w:color w:val="000000"/>
          <w:sz w:val="20"/>
          <w:szCs w:val="20"/>
        </w:rPr>
        <w:t>.</w:t>
      </w:r>
    </w:p>
    <w:p w14:paraId="1CFB6DD3"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QUINTA – PREÇO</w:t>
      </w:r>
    </w:p>
    <w:p w14:paraId="74B1037A" w14:textId="77777777" w:rsidR="0012468B" w:rsidRPr="00415C94" w:rsidRDefault="0012468B" w:rsidP="003D1C73">
      <w:pPr>
        <w:numPr>
          <w:ilvl w:val="1"/>
          <w:numId w:val="22"/>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valor total do presente Termo de Contrato é de R$ __________ (____________________________________).</w:t>
      </w:r>
    </w:p>
    <w:p w14:paraId="45DF58A1" w14:textId="77777777" w:rsidR="0012468B" w:rsidRPr="00415C94" w:rsidRDefault="0012468B" w:rsidP="003D1C73">
      <w:pPr>
        <w:numPr>
          <w:ilvl w:val="1"/>
          <w:numId w:val="22"/>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457F554" w14:textId="77777777" w:rsidR="0012468B" w:rsidRPr="00415C94" w:rsidRDefault="0012468B" w:rsidP="003D1C73">
      <w:pPr>
        <w:numPr>
          <w:ilvl w:val="1"/>
          <w:numId w:val="22"/>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valor contratual corresponde aos itens e quantitativos adjudicados à CONTRATADA, e os pagamentos dependerão do fornecimento, da instalação quando aplicável e do recebimento definitivo pela Administração.</w:t>
      </w:r>
    </w:p>
    <w:p w14:paraId="5D6B4D03"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SEXTA - PAGAMENTO</w:t>
      </w:r>
    </w:p>
    <w:p w14:paraId="78766073" w14:textId="77777777" w:rsidR="0012468B" w:rsidRPr="00415C94" w:rsidRDefault="0012468B" w:rsidP="003D1C73">
      <w:pPr>
        <w:numPr>
          <w:ilvl w:val="1"/>
          <w:numId w:val="23"/>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 xml:space="preserve">O prazo para pagamento </w:t>
      </w:r>
      <w:r w:rsidRPr="00415C94">
        <w:rPr>
          <w:rFonts w:ascii="Times New Roman" w:eastAsia="Cambria" w:hAnsi="Times New Roman" w:cs="Times New Roman"/>
          <w:color w:val="000000"/>
          <w:sz w:val="20"/>
          <w:szCs w:val="20"/>
          <w:lang w:eastAsia="en-US"/>
        </w:rPr>
        <w:t>ao contratado</w:t>
      </w:r>
      <w:r w:rsidRPr="00415C94">
        <w:rPr>
          <w:rFonts w:ascii="Times New Roman" w:eastAsia="Cambria" w:hAnsi="Times New Roman" w:cs="Times New Roman"/>
          <w:color w:val="000000"/>
          <w:sz w:val="20"/>
          <w:szCs w:val="20"/>
        </w:rPr>
        <w:t xml:space="preserve"> e demais condições a ele referentes encontram-se definidos no Termo de Referência, anexo a este Contrato.</w:t>
      </w:r>
    </w:p>
    <w:p w14:paraId="705F1F59"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SÉTIMA – REAJUSTE</w:t>
      </w:r>
    </w:p>
    <w:p w14:paraId="0C42980A" w14:textId="77777777" w:rsidR="0012468B" w:rsidRPr="00415C94" w:rsidRDefault="0012468B" w:rsidP="003D1C73">
      <w:pPr>
        <w:numPr>
          <w:ilvl w:val="1"/>
          <w:numId w:val="24"/>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As regras acerca do reajuste do valor contratual são aquelas definidas no Termo de Referência, anexo a este Contrato.</w:t>
      </w:r>
    </w:p>
    <w:p w14:paraId="71CF711A"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OITAVA - OBRIGAÇÕES DO CONTRATANTE</w:t>
      </w:r>
    </w:p>
    <w:p w14:paraId="3E32D880" w14:textId="77777777" w:rsidR="0012468B" w:rsidRPr="00415C94" w:rsidRDefault="0012468B" w:rsidP="003D1C73">
      <w:pPr>
        <w:numPr>
          <w:ilvl w:val="1"/>
          <w:numId w:val="25"/>
        </w:numPr>
        <w:tabs>
          <w:tab w:val="left" w:pos="0"/>
        </w:tabs>
        <w:spacing w:after="0" w:line="240" w:lineRule="auto"/>
        <w:ind w:left="0" w:firstLine="0"/>
        <w:jc w:val="both"/>
        <w:rPr>
          <w:rFonts w:ascii="Times New Roman" w:eastAsia="Cambria" w:hAnsi="Times New Roman" w:cs="Times New Roman"/>
          <w:b/>
          <w:bCs/>
          <w:color w:val="000000"/>
          <w:sz w:val="20"/>
          <w:szCs w:val="20"/>
        </w:rPr>
      </w:pPr>
      <w:r w:rsidRPr="00415C94">
        <w:rPr>
          <w:rFonts w:ascii="Times New Roman" w:eastAsia="Cambria" w:hAnsi="Times New Roman" w:cs="Times New Roman"/>
          <w:color w:val="000000"/>
          <w:sz w:val="20"/>
          <w:szCs w:val="20"/>
        </w:rPr>
        <w:lastRenderedPageBreak/>
        <w:t>São obrigações do CONTRATANTE:</w:t>
      </w:r>
    </w:p>
    <w:p w14:paraId="3FA86943" w14:textId="77777777" w:rsidR="0012468B" w:rsidRPr="00415C94" w:rsidRDefault="0012468B" w:rsidP="003D1C73">
      <w:pPr>
        <w:numPr>
          <w:ilvl w:val="1"/>
          <w:numId w:val="25"/>
        </w:numPr>
        <w:tabs>
          <w:tab w:val="left" w:pos="709"/>
        </w:tabs>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Exigir o cumprimento de todas as obrigações assumidas pelo Contratado, de acordo com o contrato e seus anexos;</w:t>
      </w:r>
    </w:p>
    <w:p w14:paraId="3ADB031C" w14:textId="77777777" w:rsidR="0012468B" w:rsidRPr="00415C94" w:rsidRDefault="0012468B" w:rsidP="003D1C73">
      <w:pPr>
        <w:numPr>
          <w:ilvl w:val="1"/>
          <w:numId w:val="25"/>
        </w:numPr>
        <w:tabs>
          <w:tab w:val="left" w:pos="709"/>
        </w:tabs>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Receber o objeto no prazo e condições estabelecidas no Termo de Referência;</w:t>
      </w:r>
    </w:p>
    <w:p w14:paraId="7F1325DB" w14:textId="77777777" w:rsidR="0012468B" w:rsidRPr="00415C94" w:rsidRDefault="0012468B" w:rsidP="003D1C73">
      <w:pPr>
        <w:numPr>
          <w:ilvl w:val="1"/>
          <w:numId w:val="25"/>
        </w:numPr>
        <w:tabs>
          <w:tab w:val="left" w:pos="709"/>
        </w:tabs>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1CA036DA" w14:textId="77777777" w:rsidR="0012468B" w:rsidRPr="00415C94" w:rsidRDefault="0012468B" w:rsidP="003D1C73">
      <w:pPr>
        <w:numPr>
          <w:ilvl w:val="1"/>
          <w:numId w:val="25"/>
        </w:numPr>
        <w:tabs>
          <w:tab w:val="left" w:pos="709"/>
        </w:tabs>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Acompanhar e fiscalizar a execução do contrato e o cumprimento das obrigações pelo Contratado;</w:t>
      </w:r>
    </w:p>
    <w:p w14:paraId="4964F913"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41B42A5D"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 xml:space="preserve">Aplicar ao Contratado as sanções previstas na lei e neste Contrato; </w:t>
      </w:r>
    </w:p>
    <w:p w14:paraId="37CA112B"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Cientificar o órgão de representação judicial para adoção das medidas cabíveis quando do descumprimento de obrigações pelo Contratado;</w:t>
      </w:r>
    </w:p>
    <w:p w14:paraId="5E01813A"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C76968"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b/>
          <w:bCs/>
          <w:color w:val="000000"/>
          <w:sz w:val="20"/>
          <w:szCs w:val="20"/>
        </w:rPr>
      </w:pPr>
      <w:r w:rsidRPr="00415C94">
        <w:rPr>
          <w:rFonts w:ascii="Times New Roman" w:eastAsia="Cambria" w:hAnsi="Times New Roman" w:cs="Times New Roman"/>
          <w:color w:val="000000"/>
          <w:sz w:val="20"/>
          <w:szCs w:val="20"/>
        </w:rPr>
        <w:t xml:space="preserve"> A Administração terá o prazo de 30 (trinta) dias, a contar da data do protocolo do requerimento para decidir, admitida a prorrogação motivada, por igual período. </w:t>
      </w:r>
    </w:p>
    <w:p w14:paraId="4F23A4BB"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Responder eventuais pedidos de reestabelecimento do equilíbrio econômico-financeiro feitos pelo contratado no prazo máximo de 30 (trinta) dias.</w:t>
      </w:r>
    </w:p>
    <w:p w14:paraId="25736DC8"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bookmarkStart w:id="22" w:name="_Hlk114499841"/>
      <w:bookmarkEnd w:id="22"/>
      <w:r w:rsidRPr="00415C94">
        <w:rPr>
          <w:rFonts w:ascii="Times New Roman" w:eastAsia="Cambria" w:hAnsi="Times New Roman" w:cs="Times New Roman"/>
          <w:color w:val="000000"/>
          <w:sz w:val="20"/>
          <w:szCs w:val="20"/>
        </w:rPr>
        <w:t>Notificar os emitentes das garantias (quando for o caso), quanto ao início de processo administrativo para apuração de descumprimento de cláusulas contratuais.</w:t>
      </w:r>
    </w:p>
    <w:p w14:paraId="58474EF2" w14:textId="77777777" w:rsidR="0012468B" w:rsidRPr="00415C94" w:rsidRDefault="0012468B" w:rsidP="003D1C73">
      <w:pPr>
        <w:numPr>
          <w:ilvl w:val="1"/>
          <w:numId w:val="25"/>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AC8A15" w14:textId="77777777" w:rsidR="0012468B" w:rsidRPr="00415C94" w:rsidRDefault="0012468B" w:rsidP="003D1C73">
      <w:pPr>
        <w:keepNext/>
        <w:keepLines/>
        <w:tabs>
          <w:tab w:val="left" w:pos="0"/>
          <w:tab w:val="left" w:pos="567"/>
        </w:tabs>
        <w:spacing w:after="0" w:line="240" w:lineRule="auto"/>
        <w:jc w:val="both"/>
        <w:outlineLvl w:val="0"/>
        <w:rPr>
          <w:rFonts w:ascii="Times New Roman" w:eastAsia="MS Gothic" w:hAnsi="Times New Roman" w:cs="Times New Roman"/>
          <w:b/>
          <w:bCs/>
          <w:color w:val="000000"/>
          <w:sz w:val="20"/>
          <w:szCs w:val="20"/>
        </w:rPr>
      </w:pPr>
      <w:r w:rsidRPr="00415C94">
        <w:rPr>
          <w:rFonts w:ascii="Times New Roman" w:eastAsia="MS Gothic" w:hAnsi="Times New Roman" w:cs="Times New Roman"/>
          <w:b/>
          <w:bCs/>
          <w:color w:val="000000"/>
          <w:sz w:val="20"/>
          <w:szCs w:val="20"/>
        </w:rPr>
        <w:t>CLÁUSULA NONA – OBRIGAÇÕES DO CONTRATADO</w:t>
      </w:r>
    </w:p>
    <w:p w14:paraId="703A1E3E"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 além das previstas no termo de referência:</w:t>
      </w:r>
    </w:p>
    <w:p w14:paraId="00A72FD5"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Atender às determinações regulares emitidas pelo fiscal ou gestor do contrato ou autoridade superior e prestar todo esclarecimento ou informação por eles solicitados;</w:t>
      </w:r>
    </w:p>
    <w:p w14:paraId="28E2A2DF"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Manter, durante toda a execução, a estrutura operacional localizada em raio máximo de 200 km da sede do Município de Goioxim/PR, nos termos do Termo de Referência, comunicando previamente qualquer alteração e comprovando a continuidade do atendimento territorial.</w:t>
      </w:r>
    </w:p>
    <w:p w14:paraId="198F0A19"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F833232"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29607A"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bookmarkStart w:id="23" w:name="_Hlk161061200"/>
      <w:r w:rsidRPr="00415C94">
        <w:rPr>
          <w:rFonts w:ascii="Times New Roman" w:eastAsia="Cambria" w:hAnsi="Times New Roman" w:cs="Times New Roman"/>
          <w:color w:val="000000"/>
          <w:sz w:val="20"/>
          <w:szCs w:val="20"/>
        </w:rPr>
        <w:t>Quando não for possível a verificação da regularidade junto aos órgãos responsáveis, o contratado deverá entregar ao setor responsável pela fiscalização do contrato, junto com a Nota Fiscal para fins de pagamento, os seguintes documentos:</w:t>
      </w:r>
    </w:p>
    <w:p w14:paraId="5966DBE8" w14:textId="77777777" w:rsidR="0012468B" w:rsidRPr="00415C94" w:rsidRDefault="0012468B" w:rsidP="003D1C73">
      <w:pPr>
        <w:numPr>
          <w:ilvl w:val="2"/>
          <w:numId w:val="27"/>
        </w:numPr>
        <w:spacing w:after="0" w:line="240" w:lineRule="auto"/>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prova de regularidade relativa à Seguridade Social;</w:t>
      </w:r>
    </w:p>
    <w:p w14:paraId="5A0F4296" w14:textId="77777777" w:rsidR="0012468B" w:rsidRPr="00415C94" w:rsidRDefault="0012468B" w:rsidP="003D1C73">
      <w:pPr>
        <w:numPr>
          <w:ilvl w:val="2"/>
          <w:numId w:val="27"/>
        </w:numPr>
        <w:spacing w:after="0" w:line="240" w:lineRule="auto"/>
        <w:ind w:left="284"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certidão conjunta relativa aos tributos federais e à Dívida Ativa da União;</w:t>
      </w:r>
    </w:p>
    <w:p w14:paraId="167A5AD9" w14:textId="77777777" w:rsidR="0012468B" w:rsidRPr="00415C94" w:rsidRDefault="0012468B" w:rsidP="003D1C73">
      <w:pPr>
        <w:numPr>
          <w:ilvl w:val="2"/>
          <w:numId w:val="27"/>
        </w:numPr>
        <w:spacing w:after="0" w:line="240" w:lineRule="auto"/>
        <w:ind w:left="284"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certidões que comprovem a regularidade perante a Fazenda Estadual ou Distrital do domicílio ou sede do contratado;</w:t>
      </w:r>
    </w:p>
    <w:p w14:paraId="6EFBEEF3" w14:textId="77777777" w:rsidR="0012468B" w:rsidRPr="00415C94" w:rsidRDefault="0012468B" w:rsidP="003D1C73">
      <w:pPr>
        <w:numPr>
          <w:ilvl w:val="2"/>
          <w:numId w:val="27"/>
        </w:numPr>
        <w:spacing w:after="0" w:line="240" w:lineRule="auto"/>
        <w:ind w:left="284"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Certidão de Regularidade do FGTS – CRF;</w:t>
      </w:r>
    </w:p>
    <w:p w14:paraId="520AE25A" w14:textId="77777777" w:rsidR="0012468B" w:rsidRPr="00415C94" w:rsidRDefault="0012468B" w:rsidP="003D1C73">
      <w:pPr>
        <w:numPr>
          <w:ilvl w:val="2"/>
          <w:numId w:val="27"/>
        </w:numPr>
        <w:spacing w:after="0" w:line="240" w:lineRule="auto"/>
        <w:ind w:left="284"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Certidão Negativa de Débitos Trabalhistas – CNDT;</w:t>
      </w:r>
      <w:bookmarkEnd w:id="23"/>
    </w:p>
    <w:p w14:paraId="069A7D20"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FBEF3B6"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Comunicar ao Fiscal do contrato, no prazo de 24 (vinte e quatro) horas, qualquer ocorrência anormal ou acidente que se verifique no local da execução do objeto contratual;</w:t>
      </w:r>
    </w:p>
    <w:p w14:paraId="0B988B13"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761C186A"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lastRenderedPageBreak/>
        <w:t>Manter durante toda a vigência do contrato, em compatibilidade com as obrigações assumidas, todas as condições exigidas para habilitação na licitação;</w:t>
      </w:r>
    </w:p>
    <w:p w14:paraId="2EE18369"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14:paraId="1C7B1203"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Comprovar a reserva de cargos a que se refere a cláusula acima, no prazo fixado pelo fiscal do contrato, com a indicação dos empregados que preencheram as referidas vagas;</w:t>
      </w:r>
    </w:p>
    <w:p w14:paraId="386EBFC7"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Guardar sigilo sobre todas as informações obtidas em decorrência do cumprimento do contrato;</w:t>
      </w:r>
    </w:p>
    <w:p w14:paraId="0BC00219"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01D3386"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Cumprir, além dos postulados legais vigentes de âmbito federal, estadual ou municipal, as normas de segurança do contratante;</w:t>
      </w:r>
    </w:p>
    <w:p w14:paraId="5B4E8F98"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Entregar o objeto acompanhado do manual do usuário, com uma versão em português, e da relação da rede de assistência técnica autorizada (quando for o caso);</w:t>
      </w:r>
    </w:p>
    <w:p w14:paraId="6FE793FB"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Responsabilizar-se pelos vícios e danos decorrentes do objeto, de acordo com o Código de Defesa do Consumidor;</w:t>
      </w:r>
    </w:p>
    <w:p w14:paraId="2224F541" w14:textId="77777777" w:rsidR="0012468B" w:rsidRPr="00415C94" w:rsidRDefault="0012468B" w:rsidP="003D1C73">
      <w:pPr>
        <w:numPr>
          <w:ilvl w:val="1"/>
          <w:numId w:val="26"/>
        </w:numPr>
        <w:spacing w:after="0" w:line="240" w:lineRule="auto"/>
        <w:ind w:left="0" w:firstLine="0"/>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Comunicar ao contratante, no prazo máximo de 24 (vinte e quatro) horas que antecede a data da entrega, os motivos que impossibilitem o cumprimento do prazo previsto, com a devida comprovação;</w:t>
      </w:r>
    </w:p>
    <w:p w14:paraId="7EE175D5"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 GARANTIA DE EXECUÇÃO</w:t>
      </w:r>
    </w:p>
    <w:p w14:paraId="2A726790" w14:textId="77777777" w:rsidR="0012468B" w:rsidRPr="00415C94" w:rsidRDefault="0012468B" w:rsidP="003D1C73">
      <w:pPr>
        <w:numPr>
          <w:ilvl w:val="1"/>
          <w:numId w:val="28"/>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Não haverá exigência de garantia contratual da execução.</w:t>
      </w:r>
    </w:p>
    <w:p w14:paraId="01FBCA78"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bookmarkStart w:id="24" w:name="_Hlk163197309"/>
      <w:r w:rsidRPr="00415C94">
        <w:rPr>
          <w:rFonts w:ascii="Times New Roman" w:eastAsia="Cambria" w:hAnsi="Times New Roman" w:cs="Times New Roman"/>
          <w:b/>
          <w:color w:val="000000"/>
          <w:sz w:val="20"/>
          <w:szCs w:val="20"/>
        </w:rPr>
        <w:t>CLÁUSULA DÉCIMA PRIMEIRA – INFRAÇÕES E SANÇÕES ADMINISTRATIVAS</w:t>
      </w:r>
    </w:p>
    <w:bookmarkEnd w:id="24"/>
    <w:p w14:paraId="33931830" w14:textId="77777777" w:rsidR="0012468B" w:rsidRPr="00415C94" w:rsidRDefault="0012468B" w:rsidP="003D1C73">
      <w:pPr>
        <w:numPr>
          <w:ilvl w:val="1"/>
          <w:numId w:val="29"/>
        </w:numPr>
        <w:spacing w:after="0" w:line="240" w:lineRule="auto"/>
        <w:jc w:val="both"/>
        <w:rPr>
          <w:rFonts w:ascii="Times New Roman" w:eastAsia="MS Mincho" w:hAnsi="Times New Roman" w:cs="Times New Roman"/>
          <w:color w:val="000000"/>
          <w:sz w:val="20"/>
          <w:szCs w:val="20"/>
        </w:rPr>
      </w:pPr>
      <w:r w:rsidRPr="00415C94">
        <w:rPr>
          <w:rFonts w:ascii="Times New Roman" w:eastAsia="MS Mincho" w:hAnsi="Times New Roman" w:cs="Times New Roman"/>
          <w:color w:val="000000"/>
          <w:sz w:val="20"/>
          <w:szCs w:val="20"/>
        </w:rPr>
        <w:t>As regras acerca de infrações e sanções administrativas referentes à execução do contrato são aquelas definidas no Termo de Referência, anexo a este Contrato.</w:t>
      </w:r>
    </w:p>
    <w:p w14:paraId="2D13C4EE"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SEGUNDA – DA EXTINÇÃO CONTRATUAL</w:t>
      </w:r>
    </w:p>
    <w:p w14:paraId="6A76A09F" w14:textId="77777777" w:rsidR="0012468B" w:rsidRPr="00415C94" w:rsidRDefault="0012468B" w:rsidP="003D1C73">
      <w:pPr>
        <w:numPr>
          <w:ilvl w:val="1"/>
          <w:numId w:val="30"/>
        </w:numPr>
        <w:spacing w:after="0" w:line="240" w:lineRule="auto"/>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O contrato se extingue quando cumpridas as obrigações de ambas as partes, ainda que isso ocorra antes do prazo estipulado para tanto.</w:t>
      </w:r>
    </w:p>
    <w:p w14:paraId="63FCDC82" w14:textId="77777777" w:rsidR="0012468B" w:rsidRPr="00415C94" w:rsidRDefault="0012468B" w:rsidP="003D1C73">
      <w:pPr>
        <w:numPr>
          <w:ilvl w:val="1"/>
          <w:numId w:val="30"/>
        </w:numPr>
        <w:spacing w:after="0" w:line="240" w:lineRule="auto"/>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76A464E1" w14:textId="77777777" w:rsidR="0012468B" w:rsidRPr="00415C94" w:rsidRDefault="0012468B" w:rsidP="003D1C73">
      <w:pPr>
        <w:numPr>
          <w:ilvl w:val="1"/>
          <w:numId w:val="30"/>
        </w:numPr>
        <w:spacing w:after="0" w:line="240" w:lineRule="auto"/>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Quando a não conclusão do contrato referida no item anterior decorrer de culpa do contratado:</w:t>
      </w:r>
    </w:p>
    <w:p w14:paraId="1BBEFD08" w14:textId="77777777" w:rsidR="0012468B" w:rsidRPr="00415C94" w:rsidRDefault="0012468B" w:rsidP="003D1C73">
      <w:pPr>
        <w:numPr>
          <w:ilvl w:val="0"/>
          <w:numId w:val="31"/>
        </w:numPr>
        <w:tabs>
          <w:tab w:val="left" w:pos="1276"/>
        </w:tabs>
        <w:suppressAutoHyphens/>
        <w:spacing w:after="0" w:line="240" w:lineRule="auto"/>
        <w:ind w:left="851" w:firstLine="0"/>
        <w:contextualSpacing/>
        <w:jc w:val="both"/>
        <w:rPr>
          <w:rFonts w:ascii="Times New Roman" w:eastAsia="Arial" w:hAnsi="Times New Roman" w:cs="Times New Roman"/>
          <w:color w:val="000000"/>
          <w:sz w:val="20"/>
          <w:szCs w:val="20"/>
        </w:rPr>
      </w:pPr>
      <w:r w:rsidRPr="00415C94">
        <w:rPr>
          <w:rFonts w:ascii="Times New Roman" w:eastAsia="Arial" w:hAnsi="Times New Roman" w:cs="Times New Roman"/>
          <w:color w:val="000000"/>
          <w:sz w:val="20"/>
          <w:szCs w:val="20"/>
        </w:rPr>
        <w:t xml:space="preserve">ficará ele constituído em mora, sendo-lhe aplicáveis as respectivas sanções administrativas; e </w:t>
      </w:r>
    </w:p>
    <w:p w14:paraId="08FDE7F6" w14:textId="77777777" w:rsidR="0012468B" w:rsidRPr="00415C94" w:rsidRDefault="0012468B" w:rsidP="003D1C73">
      <w:pPr>
        <w:numPr>
          <w:ilvl w:val="0"/>
          <w:numId w:val="31"/>
        </w:numPr>
        <w:tabs>
          <w:tab w:val="left" w:pos="1276"/>
        </w:tabs>
        <w:suppressAutoHyphens/>
        <w:spacing w:after="0" w:line="240" w:lineRule="auto"/>
        <w:ind w:left="851" w:firstLine="0"/>
        <w:contextualSpacing/>
        <w:jc w:val="both"/>
        <w:rPr>
          <w:rFonts w:ascii="Times New Roman" w:eastAsia="Arial" w:hAnsi="Times New Roman" w:cs="Times New Roman"/>
          <w:color w:val="000000"/>
          <w:sz w:val="20"/>
          <w:szCs w:val="20"/>
        </w:rPr>
      </w:pPr>
      <w:r w:rsidRPr="00415C94">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0FB889DC" w14:textId="77777777" w:rsidR="0012468B" w:rsidRPr="00415C94" w:rsidRDefault="0012468B" w:rsidP="003D1C73">
      <w:pPr>
        <w:numPr>
          <w:ilvl w:val="1"/>
          <w:numId w:val="30"/>
        </w:numPr>
        <w:spacing w:after="0" w:line="240" w:lineRule="auto"/>
        <w:contextualSpacing/>
        <w:jc w:val="both"/>
        <w:rPr>
          <w:rFonts w:ascii="Times New Roman" w:eastAsia="MS Mincho" w:hAnsi="Times New Roman" w:cs="Times New Roman"/>
          <w:bCs/>
          <w:color w:val="000000"/>
          <w:sz w:val="20"/>
          <w:szCs w:val="20"/>
        </w:rPr>
      </w:pPr>
      <w:r w:rsidRPr="00415C94">
        <w:rPr>
          <w:rFonts w:ascii="Times New Roman" w:eastAsia="Cambria" w:hAnsi="Times New Roman" w:cs="Times New Roman"/>
          <w:color w:val="000000"/>
          <w:sz w:val="20"/>
          <w:szCs w:val="20"/>
        </w:rPr>
        <w:t xml:space="preserve">O contrato pode ser extinto antes de cumpridas as obrigações nele estipuladas, ou antes do prazo nele fixado, por algum dos motivos previstos no </w:t>
      </w:r>
      <w:hyperlink r:id="rId16" w:anchor="art137" w:history="1">
        <w:r w:rsidRPr="00415C94">
          <w:rPr>
            <w:rFonts w:ascii="Times New Roman" w:eastAsia="Cambria" w:hAnsi="Times New Roman" w:cs="Times New Roman"/>
            <w:color w:val="000000"/>
            <w:sz w:val="20"/>
            <w:szCs w:val="20"/>
            <w:u w:val="single"/>
          </w:rPr>
          <w:t>artigo 137 da Lei nº 14.133/21</w:t>
        </w:r>
      </w:hyperlink>
      <w:r w:rsidRPr="00415C94">
        <w:rPr>
          <w:rFonts w:ascii="Times New Roman" w:eastAsia="Cambria" w:hAnsi="Times New Roman" w:cs="Times New Roman"/>
          <w:color w:val="000000"/>
          <w:sz w:val="20"/>
          <w:szCs w:val="20"/>
        </w:rPr>
        <w:t>, bem como amigavelmente, assegurados o contraditório e a ampla defesa.</w:t>
      </w:r>
    </w:p>
    <w:p w14:paraId="358D66F5" w14:textId="77777777" w:rsidR="0012468B" w:rsidRPr="00415C94" w:rsidRDefault="0012468B" w:rsidP="003D1C73">
      <w:pPr>
        <w:numPr>
          <w:ilvl w:val="2"/>
          <w:numId w:val="30"/>
        </w:numPr>
        <w:spacing w:after="0" w:line="240" w:lineRule="auto"/>
        <w:ind w:left="1276"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 xml:space="preserve">Nesta hipótese, aplicam-se também os </w:t>
      </w:r>
      <w:hyperlink r:id="rId17" w:anchor="art138" w:history="1">
        <w:r w:rsidRPr="00415C94">
          <w:rPr>
            <w:rFonts w:ascii="Times New Roman" w:eastAsia="Cambria" w:hAnsi="Times New Roman" w:cs="Times New Roman"/>
            <w:color w:val="000000"/>
            <w:sz w:val="20"/>
            <w:szCs w:val="20"/>
            <w:u w:val="single"/>
          </w:rPr>
          <w:t>artigos 138 e 139</w:t>
        </w:r>
      </w:hyperlink>
      <w:r w:rsidRPr="00415C94">
        <w:rPr>
          <w:rFonts w:ascii="Times New Roman" w:eastAsia="Cambria" w:hAnsi="Times New Roman" w:cs="Times New Roman"/>
          <w:color w:val="000000"/>
          <w:sz w:val="20"/>
          <w:szCs w:val="20"/>
        </w:rPr>
        <w:t xml:space="preserve"> da mesma Lei.</w:t>
      </w:r>
    </w:p>
    <w:p w14:paraId="0CB39B06" w14:textId="77777777" w:rsidR="0012468B" w:rsidRPr="00415C94" w:rsidRDefault="0012468B" w:rsidP="003D1C73">
      <w:pPr>
        <w:numPr>
          <w:ilvl w:val="2"/>
          <w:numId w:val="30"/>
        </w:numPr>
        <w:spacing w:after="0" w:line="240" w:lineRule="auto"/>
        <w:ind w:left="1276"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A alteração social ou a modificação da finalidade ou da estrutura da empresa não ensejará a rescisão se não restringir sua capacidade de concluir o contrato.</w:t>
      </w:r>
    </w:p>
    <w:p w14:paraId="614EFCBC" w14:textId="77777777" w:rsidR="0012468B" w:rsidRPr="00415C94" w:rsidRDefault="0012468B" w:rsidP="003D1C73">
      <w:pPr>
        <w:numPr>
          <w:ilvl w:val="2"/>
          <w:numId w:val="30"/>
        </w:numPr>
        <w:spacing w:after="0" w:line="240" w:lineRule="auto"/>
        <w:ind w:left="1276"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Se a operação implicar mudança da pessoa jurídica contratada, deverá ser formalizado termo aditivo para alteração subjetiva.</w:t>
      </w:r>
    </w:p>
    <w:p w14:paraId="2E42A40C" w14:textId="77777777" w:rsidR="0012468B" w:rsidRPr="00415C94" w:rsidRDefault="0012468B" w:rsidP="003D1C73">
      <w:pPr>
        <w:numPr>
          <w:ilvl w:val="1"/>
          <w:numId w:val="30"/>
        </w:numPr>
        <w:spacing w:after="0" w:line="240" w:lineRule="auto"/>
        <w:ind w:hanging="9"/>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O termo de rescisão, sempre que possível, será precedido:</w:t>
      </w:r>
    </w:p>
    <w:p w14:paraId="4D9C1B7A" w14:textId="77777777" w:rsidR="0012468B" w:rsidRPr="00415C94" w:rsidRDefault="0012468B" w:rsidP="003D1C73">
      <w:pPr>
        <w:numPr>
          <w:ilvl w:val="2"/>
          <w:numId w:val="30"/>
        </w:numPr>
        <w:spacing w:after="0" w:line="240" w:lineRule="auto"/>
        <w:ind w:left="1418"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Balanço dos eventos contratuais já cumpridos ou parcialmente cumpridos;</w:t>
      </w:r>
    </w:p>
    <w:p w14:paraId="78D6FD38" w14:textId="77777777" w:rsidR="0012468B" w:rsidRPr="00415C94" w:rsidRDefault="0012468B" w:rsidP="003D1C73">
      <w:pPr>
        <w:numPr>
          <w:ilvl w:val="2"/>
          <w:numId w:val="30"/>
        </w:numPr>
        <w:spacing w:after="0" w:line="240" w:lineRule="auto"/>
        <w:ind w:left="1418"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Relação dos pagamentos já efetuados e ainda devidos;</w:t>
      </w:r>
    </w:p>
    <w:p w14:paraId="6ABD4EBE" w14:textId="77777777" w:rsidR="0012468B" w:rsidRPr="00415C94" w:rsidRDefault="0012468B" w:rsidP="003D1C73">
      <w:pPr>
        <w:numPr>
          <w:ilvl w:val="2"/>
          <w:numId w:val="30"/>
        </w:numPr>
        <w:spacing w:after="0" w:line="240" w:lineRule="auto"/>
        <w:ind w:left="1418" w:hanging="567"/>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Indenizações e multas.</w:t>
      </w:r>
    </w:p>
    <w:p w14:paraId="7B82C389" w14:textId="77777777" w:rsidR="0012468B" w:rsidRPr="00415C94" w:rsidRDefault="0012468B" w:rsidP="003D1C73">
      <w:pPr>
        <w:numPr>
          <w:ilvl w:val="1"/>
          <w:numId w:val="30"/>
        </w:numPr>
        <w:spacing w:after="0" w:line="240" w:lineRule="auto"/>
        <w:ind w:hanging="9"/>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A extinção do contrato não configura óbice para o reconhecimento do desequilíbrio econômico-financeiro, hipótese em que será concedida indenização por meio de termo.</w:t>
      </w:r>
    </w:p>
    <w:p w14:paraId="629449EA" w14:textId="77777777" w:rsidR="0012468B" w:rsidRPr="00415C94" w:rsidRDefault="0012468B" w:rsidP="003D1C73">
      <w:pPr>
        <w:numPr>
          <w:ilvl w:val="1"/>
          <w:numId w:val="30"/>
        </w:numPr>
        <w:spacing w:after="0" w:line="240" w:lineRule="auto"/>
        <w:ind w:hanging="9"/>
        <w:contextualSpacing/>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DE48C9E" w14:textId="77777777" w:rsidR="0012468B" w:rsidRPr="00415C94" w:rsidRDefault="0012468B" w:rsidP="003D1C73">
      <w:pPr>
        <w:keepNext/>
        <w:keepLines/>
        <w:tabs>
          <w:tab w:val="left" w:pos="0"/>
          <w:tab w:val="left" w:pos="567"/>
        </w:tabs>
        <w:spacing w:after="0" w:line="240" w:lineRule="auto"/>
        <w:jc w:val="both"/>
        <w:outlineLvl w:val="0"/>
        <w:rPr>
          <w:rFonts w:ascii="Times New Roman" w:eastAsia="MS Gothic" w:hAnsi="Times New Roman" w:cs="Times New Roman"/>
          <w:b/>
          <w:bCs/>
          <w:color w:val="000000"/>
          <w:sz w:val="20"/>
          <w:szCs w:val="20"/>
        </w:rPr>
      </w:pPr>
      <w:r w:rsidRPr="00415C94">
        <w:rPr>
          <w:rFonts w:ascii="Times New Roman" w:eastAsia="MS Gothic" w:hAnsi="Times New Roman" w:cs="Times New Roman"/>
          <w:b/>
          <w:bCs/>
          <w:color w:val="000000"/>
          <w:sz w:val="20"/>
          <w:szCs w:val="20"/>
        </w:rPr>
        <w:t>CLÁUSULA DÉCIMA TERCEIRA – ALTERAÇÕES</w:t>
      </w:r>
    </w:p>
    <w:p w14:paraId="73F377D7" w14:textId="77777777" w:rsidR="0012468B" w:rsidRPr="00415C94" w:rsidRDefault="0012468B" w:rsidP="003D1C73">
      <w:pPr>
        <w:numPr>
          <w:ilvl w:val="1"/>
          <w:numId w:val="32"/>
        </w:numPr>
        <w:spacing w:after="0" w:line="240" w:lineRule="auto"/>
        <w:ind w:left="0" w:firstLine="0"/>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Eventuais alterações contratuais reger-se-ão pela disciplina dos arts. 124 e seguintes da Lei nº 14.133, de 2021.</w:t>
      </w:r>
    </w:p>
    <w:p w14:paraId="5E49696A" w14:textId="77777777" w:rsidR="0012468B" w:rsidRPr="00415C94" w:rsidRDefault="0012468B" w:rsidP="003D1C73">
      <w:pPr>
        <w:numPr>
          <w:ilvl w:val="1"/>
          <w:numId w:val="32"/>
        </w:numPr>
        <w:spacing w:after="0" w:line="240" w:lineRule="auto"/>
        <w:ind w:left="0" w:firstLine="0"/>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15E0084" w14:textId="77777777" w:rsidR="0012468B" w:rsidRPr="00415C94" w:rsidRDefault="0012468B" w:rsidP="003D1C73">
      <w:pPr>
        <w:numPr>
          <w:ilvl w:val="1"/>
          <w:numId w:val="32"/>
        </w:numPr>
        <w:spacing w:after="0" w:line="240" w:lineRule="auto"/>
        <w:ind w:left="0" w:firstLine="0"/>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46AF34" w14:textId="77777777" w:rsidR="0012468B" w:rsidRPr="00415C94" w:rsidRDefault="0012468B" w:rsidP="003D1C73">
      <w:pPr>
        <w:numPr>
          <w:ilvl w:val="1"/>
          <w:numId w:val="32"/>
        </w:numPr>
        <w:spacing w:after="0" w:line="240" w:lineRule="auto"/>
        <w:ind w:left="0" w:firstLine="0"/>
        <w:jc w:val="both"/>
        <w:rPr>
          <w:rFonts w:ascii="Times New Roman" w:eastAsia="Cambria" w:hAnsi="Times New Roman" w:cs="Times New Roman"/>
          <w:bCs/>
          <w:color w:val="000000"/>
          <w:sz w:val="20"/>
          <w:szCs w:val="20"/>
        </w:rPr>
      </w:pPr>
      <w:r w:rsidRPr="00415C94">
        <w:rPr>
          <w:rFonts w:ascii="Times New Roman" w:eastAsia="Cambria" w:hAnsi="Times New Roman" w:cs="Times New Roman"/>
          <w:color w:val="000000"/>
          <w:sz w:val="20"/>
          <w:szCs w:val="20"/>
        </w:rPr>
        <w:t>Registros que não caracterizam alteração do contrato podem ser realizados por simples apostila, dispensada a celebração de termo aditivo, na forma do art. 136 da Lei nº 14.133, de 2021.</w:t>
      </w:r>
    </w:p>
    <w:p w14:paraId="08BC4346"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QUARTA – DOTAÇÃO ORÇAMENTÁRIA</w:t>
      </w:r>
    </w:p>
    <w:p w14:paraId="396D7EB1" w14:textId="77777777" w:rsidR="0012468B" w:rsidRPr="00415C94" w:rsidRDefault="0012468B" w:rsidP="003D1C73">
      <w:pPr>
        <w:numPr>
          <w:ilvl w:val="0"/>
          <w:numId w:val="32"/>
        </w:numPr>
        <w:spacing w:after="0" w:line="240" w:lineRule="auto"/>
        <w:contextualSpacing/>
        <w:jc w:val="both"/>
        <w:rPr>
          <w:rFonts w:ascii="Times New Roman" w:eastAsia="Cambria" w:hAnsi="Times New Roman" w:cs="Times New Roman"/>
          <w:vanish/>
          <w:color w:val="000000"/>
          <w:sz w:val="20"/>
          <w:szCs w:val="20"/>
        </w:rPr>
      </w:pPr>
    </w:p>
    <w:p w14:paraId="38A210DC" w14:textId="77777777" w:rsidR="0012468B" w:rsidRPr="00415C94" w:rsidRDefault="0012468B" w:rsidP="003D1C73">
      <w:pPr>
        <w:numPr>
          <w:ilvl w:val="1"/>
          <w:numId w:val="32"/>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 xml:space="preserve">As despesas decorrentes desta contratação estão programadas em dotação orçamentária própria, prevista no orçamento do Município, para o exercício de </w:t>
      </w:r>
      <w:r w:rsidRPr="00415C94">
        <w:rPr>
          <w:rFonts w:ascii="Times New Roman" w:eastAsia="Cambria" w:hAnsi="Times New Roman" w:cs="Times New Roman"/>
          <w:color w:val="000000"/>
          <w:sz w:val="20"/>
          <w:szCs w:val="20"/>
        </w:rPr>
        <w:fldChar w:fldCharType="begin">
          <w:ffData>
            <w:name w:val="Texto74"/>
            <w:enabled/>
            <w:calcOnExit w:val="0"/>
            <w:textInput/>
          </w:ffData>
        </w:fldChar>
      </w:r>
      <w:r w:rsidRPr="00415C94">
        <w:rPr>
          <w:rFonts w:ascii="Times New Roman" w:eastAsia="Cambria" w:hAnsi="Times New Roman" w:cs="Times New Roman"/>
          <w:color w:val="000000"/>
          <w:sz w:val="20"/>
          <w:szCs w:val="20"/>
        </w:rPr>
        <w:instrText xml:space="preserve"> FORMTEXT </w:instrText>
      </w:r>
      <w:r w:rsidRPr="00415C94">
        <w:rPr>
          <w:rFonts w:ascii="Times New Roman" w:eastAsia="Cambria" w:hAnsi="Times New Roman" w:cs="Times New Roman"/>
          <w:color w:val="000000"/>
          <w:sz w:val="20"/>
          <w:szCs w:val="20"/>
        </w:rPr>
      </w:r>
      <w:r w:rsidRPr="00415C94">
        <w:rPr>
          <w:rFonts w:ascii="Times New Roman" w:eastAsia="Cambria" w:hAnsi="Times New Roman" w:cs="Times New Roman"/>
          <w:color w:val="000000"/>
          <w:sz w:val="20"/>
          <w:szCs w:val="20"/>
        </w:rPr>
        <w:fldChar w:fldCharType="separate"/>
      </w:r>
      <w:r w:rsidR="003D1C73" w:rsidRPr="00415C94">
        <w:rPr>
          <w:rFonts w:ascii="Times New Roman" w:eastAsia="Cambria" w:hAnsi="Times New Roman" w:cs="Times New Roman"/>
          <w:color w:val="000000"/>
          <w:sz w:val="20"/>
          <w:szCs w:val="20"/>
        </w:rPr>
        <w:t>2026</w:t>
      </w:r>
      <w:r w:rsidRPr="00415C94">
        <w:rPr>
          <w:rFonts w:ascii="Times New Roman" w:eastAsia="Cambria" w:hAnsi="Times New Roman" w:cs="Times New Roman"/>
          <w:color w:val="000000"/>
          <w:sz w:val="20"/>
          <w:szCs w:val="20"/>
        </w:rPr>
        <w:fldChar w:fldCharType="end"/>
      </w:r>
      <w:r w:rsidRPr="00415C94">
        <w:rPr>
          <w:rFonts w:ascii="Times New Roman" w:eastAsia="Cambria" w:hAnsi="Times New Roman" w:cs="Times New Roman"/>
          <w:color w:val="000000"/>
          <w:sz w:val="20"/>
          <w:szCs w:val="20"/>
        </w:rPr>
        <w:t>, na dotação abaixo discriminada:</w:t>
      </w:r>
    </w:p>
    <w:tbl>
      <w:tblPr>
        <w:tblStyle w:val="Tabelacomgrade1"/>
        <w:tblW w:w="0" w:type="auto"/>
        <w:tblInd w:w="0" w:type="dxa"/>
        <w:tblLayout w:type="fixed"/>
        <w:tblLook w:val="04A0" w:firstRow="1" w:lastRow="0" w:firstColumn="1" w:lastColumn="0" w:noHBand="0" w:noVBand="1"/>
      </w:tblPr>
      <w:tblGrid>
        <w:gridCol w:w="2551"/>
        <w:gridCol w:w="2948"/>
        <w:gridCol w:w="3118"/>
        <w:gridCol w:w="2551"/>
      </w:tblGrid>
      <w:tr w:rsidR="009827A0" w:rsidRPr="00415C94" w14:paraId="1E817AE8" w14:textId="77777777">
        <w:tc>
          <w:tcPr>
            <w:tcW w:w="2551" w:type="dxa"/>
          </w:tcPr>
          <w:p w14:paraId="3C6DA97B" w14:textId="77777777" w:rsidR="009827A0" w:rsidRPr="00415C94" w:rsidRDefault="00BE6D93">
            <w:pPr>
              <w:jc w:val="center"/>
            </w:pPr>
            <w:r w:rsidRPr="00415C94">
              <w:rPr>
                <w:b/>
              </w:rPr>
              <w:t>EXERCÍCIO</w:t>
            </w:r>
          </w:p>
        </w:tc>
        <w:tc>
          <w:tcPr>
            <w:tcW w:w="2551" w:type="dxa"/>
          </w:tcPr>
          <w:p w14:paraId="560B9A31" w14:textId="77777777" w:rsidR="009827A0" w:rsidRPr="00415C94" w:rsidRDefault="00BE6D93">
            <w:pPr>
              <w:jc w:val="center"/>
            </w:pPr>
            <w:r w:rsidRPr="00415C94">
              <w:rPr>
                <w:b/>
              </w:rPr>
              <w:t>UNIDADE/BLOCO</w:t>
            </w:r>
          </w:p>
        </w:tc>
        <w:tc>
          <w:tcPr>
            <w:tcW w:w="2551" w:type="dxa"/>
          </w:tcPr>
          <w:p w14:paraId="162720B8" w14:textId="77777777" w:rsidR="009827A0" w:rsidRPr="00415C94" w:rsidRDefault="00BE6D93">
            <w:pPr>
              <w:jc w:val="center"/>
            </w:pPr>
            <w:r w:rsidRPr="00415C94">
              <w:rPr>
                <w:b/>
              </w:rPr>
              <w:t>FONTE DE RECURSO</w:t>
            </w:r>
          </w:p>
        </w:tc>
        <w:tc>
          <w:tcPr>
            <w:tcW w:w="2551" w:type="dxa"/>
          </w:tcPr>
          <w:p w14:paraId="761F014A" w14:textId="77777777" w:rsidR="009827A0" w:rsidRPr="00415C94" w:rsidRDefault="00BE6D93">
            <w:pPr>
              <w:jc w:val="center"/>
            </w:pPr>
            <w:r w:rsidRPr="00415C94">
              <w:rPr>
                <w:b/>
              </w:rPr>
              <w:t>NATUREZA DA DESPESA</w:t>
            </w:r>
          </w:p>
        </w:tc>
      </w:tr>
      <w:tr w:rsidR="009827A0" w:rsidRPr="00415C94" w14:paraId="73040C98" w14:textId="77777777">
        <w:tc>
          <w:tcPr>
            <w:tcW w:w="1020" w:type="dxa"/>
          </w:tcPr>
          <w:p w14:paraId="6854D60B" w14:textId="77777777" w:rsidR="009827A0" w:rsidRPr="00415C94" w:rsidRDefault="00BE6D93">
            <w:pPr>
              <w:jc w:val="center"/>
            </w:pPr>
            <w:r w:rsidRPr="00415C94">
              <w:t>2026</w:t>
            </w:r>
          </w:p>
        </w:tc>
        <w:tc>
          <w:tcPr>
            <w:tcW w:w="2948" w:type="dxa"/>
          </w:tcPr>
          <w:p w14:paraId="19A453F1" w14:textId="77777777" w:rsidR="009827A0" w:rsidRPr="00415C94" w:rsidRDefault="00BE6D93">
            <w:pPr>
              <w:jc w:val="center"/>
            </w:pPr>
            <w:r w:rsidRPr="00415C94">
              <w:t>Secretaria Municipal da Mulher, Pessoa Idosa e Igualdade Racial</w:t>
            </w:r>
          </w:p>
        </w:tc>
        <w:tc>
          <w:tcPr>
            <w:tcW w:w="3118" w:type="dxa"/>
          </w:tcPr>
          <w:p w14:paraId="50350643" w14:textId="77777777" w:rsidR="009827A0" w:rsidRPr="00415C94" w:rsidRDefault="00BE6D93">
            <w:pPr>
              <w:jc w:val="center"/>
            </w:pPr>
            <w:r w:rsidRPr="00415C94">
              <w:t>Deliberação nº 15/2025 - CAPITAL</w:t>
            </w:r>
          </w:p>
        </w:tc>
        <w:tc>
          <w:tcPr>
            <w:tcW w:w="1701" w:type="dxa"/>
          </w:tcPr>
          <w:p w14:paraId="1D3E1DA5" w14:textId="77777777" w:rsidR="009827A0" w:rsidRPr="00415C94" w:rsidRDefault="00BE6D93">
            <w:pPr>
              <w:jc w:val="center"/>
            </w:pPr>
            <w:r w:rsidRPr="00415C94">
              <w:t>4.4.90.52.00.00</w:t>
            </w:r>
          </w:p>
        </w:tc>
      </w:tr>
      <w:tr w:rsidR="009827A0" w:rsidRPr="00415C94" w14:paraId="13D427AC" w14:textId="77777777">
        <w:tc>
          <w:tcPr>
            <w:tcW w:w="1020" w:type="dxa"/>
          </w:tcPr>
          <w:p w14:paraId="7D641242" w14:textId="77777777" w:rsidR="009827A0" w:rsidRPr="00415C94" w:rsidRDefault="00BE6D93">
            <w:pPr>
              <w:jc w:val="center"/>
            </w:pPr>
            <w:r w:rsidRPr="00415C94">
              <w:t>2026</w:t>
            </w:r>
          </w:p>
        </w:tc>
        <w:tc>
          <w:tcPr>
            <w:tcW w:w="2948" w:type="dxa"/>
          </w:tcPr>
          <w:p w14:paraId="031D75AD" w14:textId="77777777" w:rsidR="009827A0" w:rsidRPr="00415C94" w:rsidRDefault="00BE6D93">
            <w:pPr>
              <w:jc w:val="center"/>
            </w:pPr>
            <w:r w:rsidRPr="00415C94">
              <w:t>Secretaria Municipal de Saúde - Farmácia Municipal</w:t>
            </w:r>
          </w:p>
        </w:tc>
        <w:tc>
          <w:tcPr>
            <w:tcW w:w="3118" w:type="dxa"/>
          </w:tcPr>
          <w:p w14:paraId="1C381F87" w14:textId="77777777" w:rsidR="009827A0" w:rsidRPr="00415C94" w:rsidRDefault="00BE6D93">
            <w:pPr>
              <w:jc w:val="center"/>
            </w:pPr>
            <w:r w:rsidRPr="00415C94">
              <w:t>Incentivo à Organização da Assistência Farmacêutica - IOAF</w:t>
            </w:r>
          </w:p>
        </w:tc>
        <w:tc>
          <w:tcPr>
            <w:tcW w:w="1701" w:type="dxa"/>
          </w:tcPr>
          <w:p w14:paraId="301E41EF" w14:textId="77777777" w:rsidR="009827A0" w:rsidRPr="00415C94" w:rsidRDefault="00BE6D93">
            <w:pPr>
              <w:jc w:val="center"/>
            </w:pPr>
            <w:r w:rsidRPr="00415C94">
              <w:t>4.4.90.52.00.00</w:t>
            </w:r>
          </w:p>
        </w:tc>
      </w:tr>
    </w:tbl>
    <w:p w14:paraId="4D02ADA7" w14:textId="77777777" w:rsidR="0012468B" w:rsidRPr="00415C94" w:rsidRDefault="0012468B" w:rsidP="003D1C73">
      <w:pPr>
        <w:numPr>
          <w:ilvl w:val="1"/>
          <w:numId w:val="32"/>
        </w:numPr>
        <w:spacing w:after="0" w:line="240" w:lineRule="auto"/>
        <w:ind w:left="0" w:firstLine="0"/>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color w:val="000000"/>
          <w:sz w:val="20"/>
          <w:szCs w:val="20"/>
        </w:rPr>
        <w:t>A dotação relativa aos exercícios financeiros subsequentes será indicada após aprovação da Lei Orçamentária respectiva e liberação dos créditos correspondentes, mediante apostilamento.</w:t>
      </w:r>
    </w:p>
    <w:p w14:paraId="7ACCB409"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QUINTA – DOS CASOS OMISSOS</w:t>
      </w:r>
    </w:p>
    <w:p w14:paraId="1A23AB58" w14:textId="77777777" w:rsidR="0012468B" w:rsidRPr="00415C94" w:rsidRDefault="0012468B" w:rsidP="003D1C73">
      <w:pPr>
        <w:numPr>
          <w:ilvl w:val="0"/>
          <w:numId w:val="33"/>
        </w:numPr>
        <w:spacing w:after="0" w:line="240" w:lineRule="auto"/>
        <w:contextualSpacing/>
        <w:jc w:val="both"/>
        <w:rPr>
          <w:rFonts w:ascii="Times New Roman" w:eastAsia="Cambria" w:hAnsi="Times New Roman" w:cs="Times New Roman"/>
          <w:vanish/>
          <w:color w:val="000000"/>
          <w:sz w:val="20"/>
          <w:szCs w:val="20"/>
        </w:rPr>
      </w:pPr>
    </w:p>
    <w:p w14:paraId="6570FC00" w14:textId="77777777" w:rsidR="0012468B" w:rsidRPr="00415C94" w:rsidRDefault="0012468B" w:rsidP="003D1C73">
      <w:pPr>
        <w:numPr>
          <w:ilvl w:val="0"/>
          <w:numId w:val="33"/>
        </w:numPr>
        <w:spacing w:after="0" w:line="240" w:lineRule="auto"/>
        <w:contextualSpacing/>
        <w:jc w:val="both"/>
        <w:rPr>
          <w:rFonts w:ascii="Times New Roman" w:eastAsia="Cambria" w:hAnsi="Times New Roman" w:cs="Times New Roman"/>
          <w:vanish/>
          <w:color w:val="000000"/>
          <w:sz w:val="20"/>
          <w:szCs w:val="20"/>
        </w:rPr>
      </w:pPr>
    </w:p>
    <w:p w14:paraId="3A806C35" w14:textId="77777777" w:rsidR="0012468B" w:rsidRPr="00415C94" w:rsidRDefault="0012468B" w:rsidP="003D1C73">
      <w:pPr>
        <w:numPr>
          <w:ilvl w:val="1"/>
          <w:numId w:val="33"/>
        </w:numPr>
        <w:spacing w:after="0" w:line="240" w:lineRule="auto"/>
        <w:contextualSpacing/>
        <w:jc w:val="both"/>
        <w:rPr>
          <w:rFonts w:ascii="Times New Roman" w:eastAsia="Cambria" w:hAnsi="Times New Roman" w:cs="Times New Roman"/>
          <w:vanish/>
          <w:color w:val="000000"/>
          <w:sz w:val="20"/>
          <w:szCs w:val="20"/>
        </w:rPr>
      </w:pPr>
    </w:p>
    <w:p w14:paraId="6BC40FC8" w14:textId="77777777" w:rsidR="0012468B" w:rsidRPr="00415C94" w:rsidRDefault="0012468B" w:rsidP="003D1C73">
      <w:pPr>
        <w:numPr>
          <w:ilvl w:val="0"/>
          <w:numId w:val="34"/>
        </w:numPr>
        <w:spacing w:after="0" w:line="240" w:lineRule="auto"/>
        <w:contextualSpacing/>
        <w:jc w:val="both"/>
        <w:rPr>
          <w:rFonts w:ascii="Times New Roman" w:eastAsia="Cambria" w:hAnsi="Times New Roman" w:cs="Times New Roman"/>
          <w:vanish/>
          <w:color w:val="000000"/>
          <w:sz w:val="20"/>
          <w:szCs w:val="20"/>
        </w:rPr>
      </w:pPr>
    </w:p>
    <w:p w14:paraId="5B9E6663" w14:textId="77777777" w:rsidR="0012468B" w:rsidRPr="00415C94" w:rsidRDefault="0012468B" w:rsidP="003D1C73">
      <w:pPr>
        <w:numPr>
          <w:ilvl w:val="0"/>
          <w:numId w:val="34"/>
        </w:numPr>
        <w:spacing w:after="0" w:line="240" w:lineRule="auto"/>
        <w:contextualSpacing/>
        <w:jc w:val="both"/>
        <w:rPr>
          <w:rFonts w:ascii="Times New Roman" w:eastAsia="Cambria" w:hAnsi="Times New Roman" w:cs="Times New Roman"/>
          <w:vanish/>
          <w:color w:val="000000"/>
          <w:sz w:val="20"/>
          <w:szCs w:val="20"/>
        </w:rPr>
      </w:pPr>
    </w:p>
    <w:p w14:paraId="66CAD22F" w14:textId="77777777" w:rsidR="0012468B" w:rsidRPr="00415C94" w:rsidRDefault="0012468B" w:rsidP="003D1C73">
      <w:pPr>
        <w:numPr>
          <w:ilvl w:val="1"/>
          <w:numId w:val="34"/>
        </w:numPr>
        <w:spacing w:after="0" w:line="240" w:lineRule="auto"/>
        <w:ind w:left="0" w:firstLine="0"/>
        <w:contextualSpacing/>
        <w:jc w:val="both"/>
        <w:rPr>
          <w:rFonts w:ascii="Times New Roman" w:eastAsia="Cambria" w:hAnsi="Times New Roman" w:cs="Times New Roman"/>
          <w:vanish/>
          <w:color w:val="000000"/>
          <w:sz w:val="20"/>
          <w:szCs w:val="20"/>
        </w:rPr>
      </w:pPr>
      <w:r w:rsidRPr="00415C94">
        <w:rPr>
          <w:rFonts w:ascii="Times New Roman" w:eastAsia="Cambria" w:hAnsi="Times New Roman" w:cs="Times New Roman"/>
          <w:color w:val="000000"/>
          <w:sz w:val="20"/>
          <w:szCs w:val="20"/>
        </w:rPr>
        <w:t xml:space="preserve">Os casos omissos serão decididos pelo contratante, segundo as disposições contidas na </w:t>
      </w:r>
      <w:hyperlink r:id="rId18" w:history="1">
        <w:r w:rsidRPr="00415C94">
          <w:rPr>
            <w:rFonts w:ascii="Times New Roman" w:eastAsia="Cambria" w:hAnsi="Times New Roman" w:cs="Times New Roman"/>
            <w:color w:val="000000"/>
            <w:sz w:val="20"/>
            <w:szCs w:val="20"/>
            <w:u w:val="single"/>
          </w:rPr>
          <w:t>Lei nº 14.133, de 2021</w:t>
        </w:r>
      </w:hyperlink>
      <w:r w:rsidRPr="00415C94">
        <w:rPr>
          <w:rFonts w:ascii="Times New Roman" w:eastAsia="Cambria" w:hAnsi="Times New Roman" w:cs="Times New Roman"/>
          <w:color w:val="000000"/>
          <w:sz w:val="20"/>
          <w:szCs w:val="20"/>
        </w:rPr>
        <w:t xml:space="preserve">, e demais normas federais aplicáveis e, subsidiariamente, segundo as disposições contidas na </w:t>
      </w:r>
      <w:hyperlink r:id="rId19" w:history="1">
        <w:r w:rsidRPr="00415C94">
          <w:rPr>
            <w:rFonts w:ascii="Times New Roman" w:eastAsia="Cambria" w:hAnsi="Times New Roman" w:cs="Times New Roman"/>
            <w:color w:val="000000"/>
            <w:sz w:val="20"/>
            <w:szCs w:val="20"/>
            <w:u w:val="single"/>
          </w:rPr>
          <w:t>Lei nº 8.078, de 1990 – Código de Defesa do Consumidor</w:t>
        </w:r>
      </w:hyperlink>
      <w:r w:rsidRPr="00415C94">
        <w:rPr>
          <w:rFonts w:ascii="Times New Roman" w:eastAsia="Cambria" w:hAnsi="Times New Roman" w:cs="Times New Roman"/>
          <w:color w:val="000000"/>
          <w:sz w:val="20"/>
          <w:szCs w:val="20"/>
        </w:rPr>
        <w:t xml:space="preserve"> – e normas e princípios gerais dos contratos.</w:t>
      </w:r>
    </w:p>
    <w:p w14:paraId="0DEE3656" w14:textId="77777777" w:rsidR="0012468B" w:rsidRPr="00415C94" w:rsidRDefault="0012468B" w:rsidP="003D1C73">
      <w:pPr>
        <w:spacing w:after="0" w:line="240" w:lineRule="auto"/>
        <w:jc w:val="both"/>
        <w:rPr>
          <w:rFonts w:ascii="Times New Roman" w:eastAsia="MS Mincho" w:hAnsi="Times New Roman" w:cs="Times New Roman"/>
          <w:b/>
          <w:color w:val="000000"/>
          <w:sz w:val="20"/>
          <w:szCs w:val="20"/>
        </w:rPr>
      </w:pPr>
    </w:p>
    <w:p w14:paraId="06A72BE1"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SEXTA – PUBLICAÇÃO</w:t>
      </w:r>
    </w:p>
    <w:p w14:paraId="564B17C6" w14:textId="77777777" w:rsidR="0012468B" w:rsidRPr="00415C94" w:rsidRDefault="0012468B" w:rsidP="003D1C73">
      <w:pPr>
        <w:numPr>
          <w:ilvl w:val="1"/>
          <w:numId w:val="35"/>
        </w:numPr>
        <w:spacing w:after="0" w:line="240" w:lineRule="auto"/>
        <w:ind w:left="0" w:firstLine="0"/>
        <w:contextualSpacing/>
        <w:jc w:val="both"/>
        <w:rPr>
          <w:rFonts w:ascii="Times New Roman" w:eastAsia="Cambria" w:hAnsi="Times New Roman" w:cs="Times New Roman"/>
          <w:color w:val="000000"/>
          <w:sz w:val="20"/>
          <w:szCs w:val="20"/>
        </w:rPr>
      </w:pPr>
      <w:r w:rsidRPr="00415C94">
        <w:rPr>
          <w:rFonts w:ascii="Times New Roman" w:eastAsia="Cambria" w:hAnsi="Times New Roman" w:cs="Times New Roman"/>
          <w:color w:val="000000"/>
          <w:sz w:val="20"/>
          <w:szCs w:val="20"/>
        </w:rPr>
        <w:t xml:space="preserve">Incumbirá ao contratante divulgar o presente instrumento no Portal Nacional de Contratações Públicas (PNCP), na forma prevista no </w:t>
      </w:r>
      <w:hyperlink r:id="rId20" w:anchor="art94" w:history="1">
        <w:r w:rsidRPr="00415C94">
          <w:rPr>
            <w:rFonts w:ascii="Times New Roman" w:eastAsia="Cambria" w:hAnsi="Times New Roman" w:cs="Times New Roman"/>
            <w:color w:val="000000"/>
            <w:sz w:val="20"/>
            <w:szCs w:val="20"/>
            <w:u w:val="single"/>
          </w:rPr>
          <w:t>art. 94 da Lei 14.133, de 2021</w:t>
        </w:r>
      </w:hyperlink>
      <w:r w:rsidRPr="00415C94">
        <w:rPr>
          <w:rFonts w:ascii="Times New Roman" w:eastAsia="Cambria" w:hAnsi="Times New Roman" w:cs="Times New Roman"/>
          <w:color w:val="000000"/>
          <w:sz w:val="20"/>
          <w:szCs w:val="20"/>
        </w:rPr>
        <w:t>, bem como no respectivo sítio oficial na Internet, em atenção ao Art. 91, caput, da Lei nº 14.133, de 2021.</w:t>
      </w:r>
    </w:p>
    <w:p w14:paraId="19DBFA3F" w14:textId="77777777" w:rsidR="0012468B" w:rsidRPr="00415C94" w:rsidRDefault="0012468B" w:rsidP="003D1C73">
      <w:pPr>
        <w:spacing w:after="0" w:line="240" w:lineRule="auto"/>
        <w:contextualSpacing/>
        <w:jc w:val="both"/>
        <w:rPr>
          <w:rFonts w:ascii="Times New Roman" w:eastAsia="Cambria" w:hAnsi="Times New Roman" w:cs="Times New Roman"/>
          <w:b/>
          <w:color w:val="000000"/>
          <w:sz w:val="20"/>
          <w:szCs w:val="20"/>
        </w:rPr>
      </w:pPr>
      <w:r w:rsidRPr="00415C94">
        <w:rPr>
          <w:rFonts w:ascii="Times New Roman" w:eastAsia="Cambria" w:hAnsi="Times New Roman" w:cs="Times New Roman"/>
          <w:b/>
          <w:color w:val="000000"/>
          <w:sz w:val="20"/>
          <w:szCs w:val="20"/>
        </w:rPr>
        <w:t>CLÁUSULA DÉCIMA SÉTIMA – FORO</w:t>
      </w:r>
    </w:p>
    <w:p w14:paraId="271C0B45" w14:textId="77777777" w:rsidR="0012468B" w:rsidRPr="00415C94" w:rsidRDefault="0012468B" w:rsidP="003D1C73">
      <w:pPr>
        <w:numPr>
          <w:ilvl w:val="1"/>
          <w:numId w:val="36"/>
        </w:numPr>
        <w:spacing w:after="0" w:line="240" w:lineRule="auto"/>
        <w:ind w:left="0" w:firstLine="0"/>
        <w:contextualSpacing/>
        <w:jc w:val="both"/>
        <w:rPr>
          <w:rFonts w:ascii="Times New Roman" w:eastAsia="Cambria" w:hAnsi="Times New Roman" w:cs="Times New Roman"/>
          <w:color w:val="000000"/>
          <w:sz w:val="20"/>
          <w:szCs w:val="20"/>
          <w:u w:val="single"/>
        </w:rPr>
      </w:pPr>
      <w:r w:rsidRPr="00415C94">
        <w:rPr>
          <w:rFonts w:ascii="Times New Roman" w:eastAsia="Cambria" w:hAnsi="Times New Roman" w:cs="Times New Roman"/>
          <w:color w:val="000000"/>
          <w:sz w:val="20"/>
          <w:szCs w:val="20"/>
        </w:rPr>
        <w:t xml:space="preserve">É eleito o Foro da Comarca de Cantagalo-PR, para dirimir os litígios que decorrerem da execução deste Termo de Contrato que não puderem ser compostos pela conciliação, conforme </w:t>
      </w:r>
      <w:hyperlink r:id="rId21" w:anchor="art92§1" w:history="1">
        <w:r w:rsidRPr="00415C94">
          <w:rPr>
            <w:rFonts w:ascii="Times New Roman" w:eastAsia="Cambria" w:hAnsi="Times New Roman" w:cs="Times New Roman"/>
            <w:color w:val="000000"/>
            <w:sz w:val="20"/>
            <w:szCs w:val="20"/>
            <w:u w:val="single"/>
          </w:rPr>
          <w:t>art. 92, §1º, da Lei nº 14.133/21.</w:t>
        </w:r>
      </w:hyperlink>
    </w:p>
    <w:p w14:paraId="79E91B5F" w14:textId="77777777" w:rsidR="00A77E4A" w:rsidRPr="00415C94" w:rsidRDefault="00A77E4A" w:rsidP="003D1C73">
      <w:pPr>
        <w:spacing w:after="0" w:line="240" w:lineRule="auto"/>
        <w:rPr>
          <w:rFonts w:ascii="Times New Roman" w:hAnsi="Times New Roman" w:cs="Times New Roman"/>
          <w:sz w:val="20"/>
          <w:szCs w:val="20"/>
        </w:rPr>
      </w:pPr>
    </w:p>
    <w:p w14:paraId="7ECC0C63" w14:textId="77777777" w:rsidR="00A77E4A" w:rsidRPr="00415C94" w:rsidRDefault="00A77E4A" w:rsidP="003D1C73">
      <w:pPr>
        <w:spacing w:after="0" w:line="240" w:lineRule="auto"/>
        <w:rPr>
          <w:rFonts w:ascii="Times New Roman" w:hAnsi="Times New Roman" w:cs="Times New Roman"/>
          <w:sz w:val="20"/>
          <w:szCs w:val="20"/>
        </w:rPr>
      </w:pPr>
    </w:p>
    <w:p w14:paraId="75041BFC" w14:textId="77777777" w:rsidR="00A7532A" w:rsidRPr="00415C94" w:rsidRDefault="00A77E4A"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t>Datado e Assinado digitalmente por Eder dos Santos como contratante, por ................... como contratado, e por ................... e ...................... como testemunhas:</w:t>
      </w:r>
    </w:p>
    <w:p w14:paraId="39B293A6" w14:textId="77777777" w:rsidR="00A7532A" w:rsidRPr="00415C94" w:rsidRDefault="00A7532A"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br w:type="page"/>
      </w:r>
    </w:p>
    <w:p w14:paraId="12D71FF3" w14:textId="77777777" w:rsidR="00A77E4A" w:rsidRPr="00415C94" w:rsidRDefault="00A7532A"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lastRenderedPageBreak/>
        <w:t>ANEXO IV - DECLARAÇÃO UNIFICADA (papel timbrado do licitante)</w:t>
      </w:r>
    </w:p>
    <w:p w14:paraId="61F15C2E" w14:textId="77777777" w:rsidR="00A7532A" w:rsidRPr="00415C94" w:rsidRDefault="00A7532A" w:rsidP="003D1C73">
      <w:pPr>
        <w:spacing w:after="0" w:line="240" w:lineRule="auto"/>
        <w:rPr>
          <w:rFonts w:ascii="Times New Roman" w:hAnsi="Times New Roman" w:cs="Times New Roman"/>
          <w:sz w:val="20"/>
          <w:szCs w:val="20"/>
        </w:rPr>
      </w:pPr>
    </w:p>
    <w:p w14:paraId="036A45AE" w14:textId="77777777" w:rsidR="00A7532A" w:rsidRPr="00415C94" w:rsidRDefault="00A7532A" w:rsidP="003D1C73">
      <w:pPr>
        <w:spacing w:after="0" w:line="240" w:lineRule="auto"/>
        <w:rPr>
          <w:rFonts w:ascii="Times New Roman" w:hAnsi="Times New Roman" w:cs="Times New Roman"/>
          <w:sz w:val="20"/>
          <w:szCs w:val="20"/>
        </w:rPr>
      </w:pPr>
      <w:r w:rsidRPr="00415C94">
        <w:rPr>
          <w:rFonts w:ascii="Times New Roman" w:hAnsi="Times New Roman" w:cs="Times New Roman"/>
          <w:sz w:val="20"/>
          <w:szCs w:val="20"/>
        </w:rPr>
        <w:t>Ao Município</w:t>
      </w:r>
    </w:p>
    <w:p w14:paraId="1EFFC615" w14:textId="77777777" w:rsidR="00A7532A" w:rsidRPr="00415C94" w:rsidRDefault="00A7532A" w:rsidP="003D1C73">
      <w:pPr>
        <w:spacing w:after="0" w:line="240" w:lineRule="auto"/>
        <w:rPr>
          <w:rFonts w:ascii="Times New Roman" w:hAnsi="Times New Roman" w:cs="Times New Roman"/>
          <w:sz w:val="20"/>
          <w:szCs w:val="20"/>
        </w:rPr>
      </w:pPr>
    </w:p>
    <w:p w14:paraId="555ECB00"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Pelo presente instrumento, a empresa ____________________, inscrita no CNPJ sob o nº ____________________, por intermédio de seu representante legal, declara, sob as penas da lei: ( ) que cumpre os requisitos estabelecidos no art. 3º da Lei Complementar nº 123, de 14 de dezembro de 2006, e que, nos termos do art. 4º, § 2º, da Lei nº 14.133, de 2021, no ano-calendário de 2026 ainda não celebrou contratos com a Administração Pública cujos valores somados extrapolem a receita bruta máxima admitida para fins de enquadramento como empresa de pequeno porte, estando apta a usufruir do tratamento favorecido previsto nos arts. 42 a 49 da referida Lei Complementar.</w:t>
      </w:r>
    </w:p>
    <w:p w14:paraId="309EA1C2" w14:textId="77777777" w:rsidR="00A7532A" w:rsidRPr="00415C94" w:rsidRDefault="00A7532A" w:rsidP="003D1C73">
      <w:pPr>
        <w:spacing w:after="0" w:line="240" w:lineRule="auto"/>
        <w:jc w:val="both"/>
        <w:rPr>
          <w:rFonts w:ascii="Times New Roman" w:hAnsi="Times New Roman" w:cs="Times New Roman"/>
          <w:sz w:val="20"/>
          <w:szCs w:val="20"/>
        </w:rPr>
      </w:pPr>
    </w:p>
    <w:p w14:paraId="50B05263"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*Marcar este item caso se enquadre na situação de microempresa ou empresa de pequeno porte. </w:t>
      </w:r>
    </w:p>
    <w:p w14:paraId="175581AD" w14:textId="77777777" w:rsidR="00A7532A" w:rsidRPr="00415C94" w:rsidRDefault="00A7532A" w:rsidP="003D1C73">
      <w:pPr>
        <w:spacing w:after="0" w:line="240" w:lineRule="auto"/>
        <w:jc w:val="both"/>
        <w:rPr>
          <w:rFonts w:ascii="Times New Roman" w:hAnsi="Times New Roman" w:cs="Times New Roman"/>
          <w:sz w:val="20"/>
          <w:szCs w:val="20"/>
        </w:rPr>
      </w:pPr>
    </w:p>
    <w:p w14:paraId="465C77EE"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1) Declara, nos termos do art. 67, inciso VI, da Lei nº 14.133, de 2021, que tomou conhecimento de todas as informações e das condições necessárias ao cumprimento das obrigações objeto do Pregão Eletrônico nº 27/2026;</w:t>
      </w:r>
    </w:p>
    <w:p w14:paraId="6471B422" w14:textId="77777777" w:rsidR="00A7532A" w:rsidRPr="00415C94" w:rsidRDefault="00A7532A" w:rsidP="003D1C73">
      <w:pPr>
        <w:spacing w:after="0" w:line="240" w:lineRule="auto"/>
        <w:jc w:val="both"/>
        <w:rPr>
          <w:rFonts w:ascii="Times New Roman" w:hAnsi="Times New Roman" w:cs="Times New Roman"/>
          <w:sz w:val="20"/>
          <w:szCs w:val="20"/>
        </w:rPr>
      </w:pPr>
    </w:p>
    <w:p w14:paraId="791871E9"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2) Declara, sob as penas da lei, que atende aos requisitos de habilitação previstos no Edital;</w:t>
      </w:r>
    </w:p>
    <w:p w14:paraId="39D6F79F" w14:textId="77777777" w:rsidR="00A7532A" w:rsidRPr="00415C94" w:rsidRDefault="00A7532A" w:rsidP="003D1C73">
      <w:pPr>
        <w:spacing w:after="0" w:line="240" w:lineRule="auto"/>
        <w:jc w:val="both"/>
        <w:rPr>
          <w:rFonts w:ascii="Times New Roman" w:hAnsi="Times New Roman" w:cs="Times New Roman"/>
          <w:sz w:val="20"/>
          <w:szCs w:val="20"/>
        </w:rPr>
      </w:pPr>
    </w:p>
    <w:p w14:paraId="06E671E5"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3) Declara, nos termos do art. 63, § 1º, da Lei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1AC1D94" w14:textId="77777777" w:rsidR="00A7532A" w:rsidRPr="00415C94" w:rsidRDefault="00A7532A" w:rsidP="003D1C73">
      <w:pPr>
        <w:spacing w:after="0" w:line="240" w:lineRule="auto"/>
        <w:jc w:val="both"/>
        <w:rPr>
          <w:rFonts w:ascii="Times New Roman" w:hAnsi="Times New Roman" w:cs="Times New Roman"/>
          <w:sz w:val="20"/>
          <w:szCs w:val="20"/>
        </w:rPr>
      </w:pPr>
    </w:p>
    <w:p w14:paraId="52F7AA3B"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 xml:space="preserve">4) Declara, para os fins do disposto no inciso XXXIII do art. 7º da Constituição Federal, que não emprega menores de dezoito anos em trabalho noturno, perigoso ou insalubre e nem menores de dezesseis anos, em qualquer trabalho, salvo na condição de aprendiz, a partir de quatorze anos; </w:t>
      </w:r>
    </w:p>
    <w:p w14:paraId="024A6FC1" w14:textId="77777777" w:rsidR="00A7532A" w:rsidRPr="00415C94" w:rsidRDefault="00A7532A" w:rsidP="003D1C73">
      <w:pPr>
        <w:spacing w:after="0" w:line="240" w:lineRule="auto"/>
        <w:jc w:val="both"/>
        <w:rPr>
          <w:rFonts w:ascii="Times New Roman" w:hAnsi="Times New Roman" w:cs="Times New Roman"/>
          <w:sz w:val="20"/>
          <w:szCs w:val="20"/>
        </w:rPr>
      </w:pPr>
    </w:p>
    <w:p w14:paraId="7CADFC2D"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5) Declara que não possui em seu quadro societário ou de empregados servidor ou dirigente da Prefeitura de Goioxim/PR ou responsável pela licitação, nos termos do art. 9º, § 1º, da Lei nº 14.133, de 2021;</w:t>
      </w:r>
    </w:p>
    <w:p w14:paraId="39B04BFA" w14:textId="77777777" w:rsidR="00A7532A" w:rsidRPr="00415C94" w:rsidRDefault="00A7532A" w:rsidP="003D1C73">
      <w:pPr>
        <w:spacing w:after="0" w:line="240" w:lineRule="auto"/>
        <w:jc w:val="both"/>
        <w:rPr>
          <w:rFonts w:ascii="Times New Roman" w:hAnsi="Times New Roman" w:cs="Times New Roman"/>
          <w:sz w:val="20"/>
          <w:szCs w:val="20"/>
        </w:rPr>
      </w:pPr>
    </w:p>
    <w:p w14:paraId="3B5F8984"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6) Declara que não possui vínculo de natureza técnica, comercial, econômica, financeira, trabalhista ou civil com dirigente da Prefeitura de Goioxim ou com agente público que desempenhe função na licitação ou atue na fiscalização ou na gestão do contrato, e que não é cônjuge, companheiro ou parente em linha reta, colateral ou por afinidade, até o terceiro grau, nos termos do art. 14, inciso IV, da Lei nº 14.133, de 2021;</w:t>
      </w:r>
    </w:p>
    <w:p w14:paraId="5B2B62AB"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7) Declara que o responsável pela assinatura do instrumento contratual é o(a) Sr.(a) ____________________, CPF nº ____________________, e-mail ____________________ e telefone ____________________, ocupante do cargo de ____________________ na empresa. Se procurador, será apresentada a respectiva procuração;</w:t>
      </w:r>
    </w:p>
    <w:p w14:paraId="2A753288" w14:textId="77777777" w:rsidR="00F742C3"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8) Declara que as comunicações futuras referentes a este processo licitatório, inclusive requisições de compra, notas de empenho, notificações e citações, poderão ser realizadas pelo e-mail ____________________, reconhecendo-se sua validade jurídica para todos os fins.</w:t>
      </w:r>
    </w:p>
    <w:p w14:paraId="6D206146" w14:textId="77777777" w:rsidR="00F742C3"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9) Declara que, caso seja adjudicatária, comprovará, antes da contratação, a disponibilidade e manutenção de estrutura operacional situada em raio máximo de 200 km da sede do Município de Goioxim/PR, conforme as condições do Edital e do Termo de Referência.</w:t>
      </w:r>
    </w:p>
    <w:p w14:paraId="0E409A6B" w14:textId="77777777" w:rsidR="00F742C3"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Local e data.</w:t>
      </w:r>
    </w:p>
    <w:p w14:paraId="5F70A235" w14:textId="77777777" w:rsidR="00F742C3" w:rsidRPr="00415C94" w:rsidRDefault="00F742C3" w:rsidP="003D1C73">
      <w:pPr>
        <w:spacing w:after="0" w:line="240" w:lineRule="auto"/>
        <w:jc w:val="both"/>
        <w:rPr>
          <w:rFonts w:ascii="Times New Roman" w:hAnsi="Times New Roman" w:cs="Times New Roman"/>
          <w:sz w:val="20"/>
          <w:szCs w:val="20"/>
        </w:rPr>
      </w:pPr>
    </w:p>
    <w:p w14:paraId="7F0BB2F3" w14:textId="77777777" w:rsidR="00A7532A" w:rsidRPr="00415C94" w:rsidRDefault="00A7532A" w:rsidP="003D1C73">
      <w:pPr>
        <w:spacing w:after="0" w:line="240" w:lineRule="auto"/>
        <w:jc w:val="both"/>
        <w:rPr>
          <w:rFonts w:ascii="Times New Roman" w:hAnsi="Times New Roman" w:cs="Times New Roman"/>
          <w:sz w:val="20"/>
          <w:szCs w:val="20"/>
        </w:rPr>
      </w:pPr>
      <w:r w:rsidRPr="00415C94">
        <w:rPr>
          <w:rFonts w:ascii="Times New Roman" w:hAnsi="Times New Roman" w:cs="Times New Roman"/>
          <w:sz w:val="20"/>
          <w:szCs w:val="20"/>
        </w:rPr>
        <w:t>(Identificação e assinatura do responsável legal ou procurador; neste caso, encaminhar procuração.)</w:t>
      </w:r>
    </w:p>
    <w:sectPr w:rsidR="00A7532A" w:rsidRPr="00415C94" w:rsidSect="00D7534A">
      <w:headerReference w:type="even" r:id="rId22"/>
      <w:headerReference w:type="default" r:id="rId23"/>
      <w:footerReference w:type="even" r:id="rId24"/>
      <w:footerReference w:type="default" r:id="rId25"/>
      <w:headerReference w:type="first" r:id="rId26"/>
      <w:footerReference w:type="first" r:id="rId27"/>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70917" w14:textId="77777777" w:rsidR="00BE6D93" w:rsidRDefault="00BE6D93" w:rsidP="0001536E">
      <w:pPr>
        <w:spacing w:after="0" w:line="240" w:lineRule="auto"/>
      </w:pPr>
      <w:r>
        <w:separator/>
      </w:r>
    </w:p>
  </w:endnote>
  <w:endnote w:type="continuationSeparator" w:id="0">
    <w:p w14:paraId="679088CA" w14:textId="77777777" w:rsidR="00BE6D93" w:rsidRDefault="00BE6D93"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9C85A" w14:textId="77777777" w:rsidR="009827A0" w:rsidRDefault="009827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37F34" w14:textId="77777777" w:rsidR="008E1032" w:rsidRDefault="008E1032">
    <w:pPr>
      <w:pStyle w:val="Rodap"/>
      <w:rPr>
        <w:noProof/>
        <w:lang w:eastAsia="pt-BR"/>
      </w:rPr>
    </w:pPr>
  </w:p>
  <w:p w14:paraId="53D39F58"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94C84F" w14:textId="77777777" w:rsidR="008E1032" w:rsidRDefault="008E103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40635" w14:textId="77777777" w:rsidR="009827A0" w:rsidRDefault="00982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1525A" w14:textId="77777777" w:rsidR="00BE6D93" w:rsidRDefault="00BE6D93" w:rsidP="0001536E">
      <w:pPr>
        <w:spacing w:after="0" w:line="240" w:lineRule="auto"/>
      </w:pPr>
      <w:r>
        <w:separator/>
      </w:r>
    </w:p>
  </w:footnote>
  <w:footnote w:type="continuationSeparator" w:id="0">
    <w:p w14:paraId="6B8ED54D" w14:textId="77777777" w:rsidR="00BE6D93" w:rsidRDefault="00BE6D93"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003D" w14:textId="77777777" w:rsidR="009827A0" w:rsidRDefault="009827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6DD9E"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5D1C" w14:textId="77777777" w:rsidR="009827A0" w:rsidRDefault="00982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0F195E21"/>
    <w:multiLevelType w:val="multilevel"/>
    <w:tmpl w:val="C4C8C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74C37"/>
    <w:multiLevelType w:val="multilevel"/>
    <w:tmpl w:val="489CE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42358"/>
    <w:multiLevelType w:val="multilevel"/>
    <w:tmpl w:val="C70EE910"/>
    <w:lvl w:ilvl="0">
      <w:start w:val="17"/>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B787A8C"/>
    <w:multiLevelType w:val="multilevel"/>
    <w:tmpl w:val="061A8406"/>
    <w:lvl w:ilvl="0">
      <w:start w:val="9"/>
      <w:numFmt w:val="decimal"/>
      <w:lvlText w:val="%1"/>
      <w:lvlJc w:val="left"/>
      <w:pPr>
        <w:ind w:left="502" w:hanging="360"/>
      </w:pPr>
    </w:lvl>
    <w:lvl w:ilvl="1">
      <w:start w:val="1"/>
      <w:numFmt w:val="decimal"/>
      <w:lvlText w:val="%1.%2"/>
      <w:lvlJc w:val="left"/>
      <w:pPr>
        <w:ind w:left="1211" w:hanging="360"/>
      </w:pPr>
      <w:rPr>
        <w:b w:val="0"/>
        <w:i w:val="0"/>
      </w:rPr>
    </w:lvl>
    <w:lvl w:ilvl="2">
      <w:start w:val="1"/>
      <w:numFmt w:val="lowerRoman"/>
      <w:lvlText w:val="%3."/>
      <w:lvlJc w:val="left"/>
      <w:pPr>
        <w:ind w:left="1997" w:hanging="720"/>
      </w:pPr>
      <w:rPr>
        <w:rFonts w:ascii="Arial" w:eastAsia="Arial" w:hAnsi="Arial" w:cs="Arial"/>
      </w:rPr>
    </w:lvl>
    <w:lvl w:ilvl="3">
      <w:start w:val="1"/>
      <w:numFmt w:val="decimal"/>
      <w:lvlText w:val="(%4)"/>
      <w:lvlJc w:val="left"/>
      <w:pPr>
        <w:ind w:left="1800" w:hanging="720"/>
      </w:pPr>
      <w:rPr>
        <w:rFonts w:ascii="Arial" w:eastAsia="Arial" w:hAnsi="Arial" w:cs="Arial"/>
      </w:r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3" w15:restartNumberingAfterBreak="0">
    <w:nsid w:val="1D336C6D"/>
    <w:multiLevelType w:val="multilevel"/>
    <w:tmpl w:val="A53ED6EA"/>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Zero"/>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4"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3862CA"/>
    <w:multiLevelType w:val="multilevel"/>
    <w:tmpl w:val="592EBD8E"/>
    <w:lvl w:ilvl="0">
      <w:start w:val="16"/>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AD9143B"/>
    <w:multiLevelType w:val="multilevel"/>
    <w:tmpl w:val="73EA4726"/>
    <w:lvl w:ilvl="0">
      <w:start w:val="13"/>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BC14259"/>
    <w:multiLevelType w:val="multilevel"/>
    <w:tmpl w:val="3DC0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B9322B"/>
    <w:multiLevelType w:val="multilevel"/>
    <w:tmpl w:val="B42A4C4E"/>
    <w:lvl w:ilvl="0">
      <w:start w:val="11"/>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30E62CE"/>
    <w:multiLevelType w:val="multilevel"/>
    <w:tmpl w:val="9D2C362C"/>
    <w:lvl w:ilvl="0">
      <w:start w:val="19"/>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8C46ACE"/>
    <w:multiLevelType w:val="multilevel"/>
    <w:tmpl w:val="3B1ADE5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9535CB3"/>
    <w:multiLevelType w:val="multilevel"/>
    <w:tmpl w:val="24C63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0C7852"/>
    <w:multiLevelType w:val="multilevel"/>
    <w:tmpl w:val="AA46E6E2"/>
    <w:lvl w:ilvl="0">
      <w:start w:val="9"/>
      <w:numFmt w:val="decimal"/>
      <w:lvlText w:val="%1."/>
      <w:lvlJc w:val="left"/>
      <w:pPr>
        <w:ind w:left="504" w:hanging="504"/>
      </w:pPr>
      <w:rPr>
        <w:i/>
        <w:color w:val="FF0000"/>
      </w:rPr>
    </w:lvl>
    <w:lvl w:ilvl="1">
      <w:start w:val="5"/>
      <w:numFmt w:val="decimal"/>
      <w:lvlText w:val="%1.%2."/>
      <w:lvlJc w:val="left"/>
      <w:pPr>
        <w:ind w:left="504" w:hanging="504"/>
      </w:pPr>
      <w:rPr>
        <w:i/>
        <w:color w:val="FF0000"/>
      </w:rPr>
    </w:lvl>
    <w:lvl w:ilvl="2">
      <w:start w:val="1"/>
      <w:numFmt w:val="decimal"/>
      <w:lvlText w:val="%1.%2.%3."/>
      <w:lvlJc w:val="left"/>
      <w:pPr>
        <w:ind w:left="720" w:hanging="720"/>
      </w:pPr>
      <w:rPr>
        <w:i w:val="0"/>
        <w:iCs/>
        <w:color w:val="000000" w:themeColor="text1"/>
      </w:rPr>
    </w:lvl>
    <w:lvl w:ilvl="3">
      <w:start w:val="1"/>
      <w:numFmt w:val="decimal"/>
      <w:lvlText w:val="%1.%2.%3.%4."/>
      <w:lvlJc w:val="left"/>
      <w:pPr>
        <w:ind w:left="720" w:hanging="720"/>
      </w:pPr>
      <w:rPr>
        <w:i/>
        <w:color w:val="FF0000"/>
      </w:rPr>
    </w:lvl>
    <w:lvl w:ilvl="4">
      <w:start w:val="1"/>
      <w:numFmt w:val="decimal"/>
      <w:lvlText w:val="%1.%2.%3.%4.%5."/>
      <w:lvlJc w:val="left"/>
      <w:pPr>
        <w:ind w:left="1080" w:hanging="1080"/>
      </w:pPr>
      <w:rPr>
        <w:i/>
        <w:color w:val="FF0000"/>
      </w:rPr>
    </w:lvl>
    <w:lvl w:ilvl="5">
      <w:start w:val="1"/>
      <w:numFmt w:val="decimal"/>
      <w:lvlText w:val="%1.%2.%3.%4.%5.%6."/>
      <w:lvlJc w:val="left"/>
      <w:pPr>
        <w:ind w:left="1080" w:hanging="1080"/>
      </w:pPr>
      <w:rPr>
        <w:i/>
        <w:color w:val="FF0000"/>
      </w:rPr>
    </w:lvl>
    <w:lvl w:ilvl="6">
      <w:start w:val="1"/>
      <w:numFmt w:val="decimal"/>
      <w:lvlText w:val="%1.%2.%3.%4.%5.%6.%7."/>
      <w:lvlJc w:val="left"/>
      <w:pPr>
        <w:ind w:left="1440" w:hanging="1440"/>
      </w:pPr>
      <w:rPr>
        <w:i/>
        <w:color w:val="FF0000"/>
      </w:rPr>
    </w:lvl>
    <w:lvl w:ilvl="7">
      <w:start w:val="1"/>
      <w:numFmt w:val="decimal"/>
      <w:lvlText w:val="%1.%2.%3.%4.%5.%6.%7.%8."/>
      <w:lvlJc w:val="left"/>
      <w:pPr>
        <w:ind w:left="1440" w:hanging="1440"/>
      </w:pPr>
      <w:rPr>
        <w:i/>
        <w:color w:val="FF0000"/>
      </w:rPr>
    </w:lvl>
    <w:lvl w:ilvl="8">
      <w:start w:val="1"/>
      <w:numFmt w:val="decimal"/>
      <w:lvlText w:val="%1.%2.%3.%4.%5.%6.%7.%8.%9."/>
      <w:lvlJc w:val="left"/>
      <w:pPr>
        <w:ind w:left="1800" w:hanging="1800"/>
      </w:pPr>
      <w:rPr>
        <w:i/>
        <w:color w:val="FF0000"/>
      </w:rPr>
    </w:lvl>
  </w:abstractNum>
  <w:abstractNum w:abstractNumId="25" w15:restartNumberingAfterBreak="0">
    <w:nsid w:val="43426F92"/>
    <w:multiLevelType w:val="multilevel"/>
    <w:tmpl w:val="FF52A0E2"/>
    <w:lvl w:ilvl="0">
      <w:start w:val="1"/>
      <w:numFmt w:val="decimal"/>
      <w:lvlText w:val="%1."/>
      <w:lvlJc w:val="left"/>
      <w:pPr>
        <w:ind w:left="720" w:hanging="360"/>
      </w:pPr>
    </w:lvl>
    <w:lvl w:ilvl="1">
      <w:start w:val="1"/>
      <w:numFmt w:val="decimal"/>
      <w:isLgl/>
      <w:lvlText w:val="%1.%2."/>
      <w:lvlJc w:val="left"/>
      <w:pPr>
        <w:ind w:left="1211" w:hanging="360"/>
      </w:pPr>
      <w:rPr>
        <w:b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46A32385"/>
    <w:multiLevelType w:val="multilevel"/>
    <w:tmpl w:val="B42A4C4E"/>
    <w:lvl w:ilvl="0">
      <w:start w:val="10"/>
      <w:numFmt w:val="decimal"/>
      <w:lvlText w:val="%1."/>
      <w:lvlJc w:val="left"/>
      <w:pPr>
        <w:ind w:left="444" w:hanging="444"/>
      </w:pPr>
      <w:rPr>
        <w:b w:val="0"/>
      </w:rPr>
    </w:lvl>
    <w:lvl w:ilvl="1">
      <w:start w:val="1"/>
      <w:numFmt w:val="decimal"/>
      <w:lvlText w:val="%1.%2."/>
      <w:lvlJc w:val="left"/>
      <w:pPr>
        <w:ind w:left="444" w:hanging="444"/>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Zero"/>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7" w15:restartNumberingAfterBreak="0">
    <w:nsid w:val="47BE103E"/>
    <w:multiLevelType w:val="multilevel"/>
    <w:tmpl w:val="B9F81450"/>
    <w:lvl w:ilvl="0">
      <w:start w:val="7"/>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15:restartNumberingAfterBreak="0">
    <w:nsid w:val="4BF96285"/>
    <w:multiLevelType w:val="multilevel"/>
    <w:tmpl w:val="A1BC5166"/>
    <w:lvl w:ilvl="0">
      <w:start w:val="1"/>
      <w:numFmt w:val="decimal"/>
      <w:lvlText w:val="%1"/>
      <w:lvlJc w:val="left"/>
      <w:pPr>
        <w:ind w:left="360" w:hanging="360"/>
      </w:pPr>
    </w:lvl>
    <w:lvl w:ilvl="1">
      <w:start w:val="3"/>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4692" w:hanging="720"/>
      </w:pPr>
    </w:lvl>
    <w:lvl w:ilvl="5">
      <w:start w:val="1"/>
      <w:numFmt w:val="decimal"/>
      <w:lvlText w:val="%1.%2.%3.%4.%5.%6"/>
      <w:lvlJc w:val="left"/>
      <w:pPr>
        <w:ind w:left="6045" w:hanging="1080"/>
      </w:pPr>
    </w:lvl>
    <w:lvl w:ilvl="6">
      <w:start w:val="1"/>
      <w:numFmt w:val="decimal"/>
      <w:lvlText w:val="%1.%2.%3.%4.%5.%6.%7"/>
      <w:lvlJc w:val="left"/>
      <w:pPr>
        <w:ind w:left="7038" w:hanging="1080"/>
      </w:pPr>
    </w:lvl>
    <w:lvl w:ilvl="7">
      <w:start w:val="1"/>
      <w:numFmt w:val="decimal"/>
      <w:lvlText w:val="%1.%2.%3.%4.%5.%6.%7.%8"/>
      <w:lvlJc w:val="left"/>
      <w:pPr>
        <w:ind w:left="8391" w:hanging="1440"/>
      </w:pPr>
    </w:lvl>
    <w:lvl w:ilvl="8">
      <w:start w:val="1"/>
      <w:numFmt w:val="decimal"/>
      <w:lvlText w:val="%1.%2.%3.%4.%5.%6.%7.%8.%9"/>
      <w:lvlJc w:val="left"/>
      <w:pPr>
        <w:ind w:left="9384" w:hanging="144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AB444E"/>
    <w:multiLevelType w:val="multilevel"/>
    <w:tmpl w:val="6366B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3C0A3F"/>
    <w:multiLevelType w:val="multilevel"/>
    <w:tmpl w:val="F45626D8"/>
    <w:lvl w:ilvl="0">
      <w:start w:val="4"/>
      <w:numFmt w:val="decimal"/>
      <w:lvlText w:val="%1"/>
      <w:lvlJc w:val="left"/>
      <w:pPr>
        <w:ind w:left="360" w:hanging="360"/>
      </w:pPr>
    </w:lvl>
    <w:lvl w:ilvl="1">
      <w:start w:val="1"/>
      <w:numFmt w:val="decimal"/>
      <w:lvlText w:val="%1.%2"/>
      <w:lvlJc w:val="left"/>
      <w:pPr>
        <w:ind w:left="644"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5A8866CB"/>
    <w:multiLevelType w:val="multilevel"/>
    <w:tmpl w:val="06A66EC2"/>
    <w:lvl w:ilvl="0">
      <w:start w:val="1"/>
      <w:numFmt w:val="decimal"/>
      <w:lvlText w:val="%1."/>
      <w:lvlJc w:val="left"/>
      <w:pPr>
        <w:ind w:left="0" w:firstLine="0"/>
      </w:pPr>
    </w:lvl>
    <w:lvl w:ilvl="1">
      <w:start w:val="1"/>
      <w:numFmt w:val="decimal"/>
      <w:lvlText w:val="%1.%2."/>
      <w:lvlJc w:val="left"/>
      <w:pPr>
        <w:ind w:left="0" w:firstLine="0"/>
      </w:pPr>
      <w:rPr>
        <w:b w:val="0"/>
      </w:rPr>
    </w:lvl>
    <w:lvl w:ilvl="2">
      <w:start w:val="1"/>
      <w:numFmt w:val="decimal"/>
      <w:lvlText w:val="%1.%2.%3."/>
      <w:lvlJc w:val="left"/>
      <w:pPr>
        <w:ind w:left="170" w:firstLine="0"/>
      </w:pPr>
      <w:rPr>
        <w:b w:val="0"/>
      </w:rPr>
    </w:lvl>
    <w:lvl w:ilvl="3">
      <w:start w:val="1"/>
      <w:numFmt w:val="decimal"/>
      <w:lvlText w:val="%1.%2.%3.%4."/>
      <w:lvlJc w:val="left"/>
      <w:pPr>
        <w:ind w:left="340" w:firstLine="0"/>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EF2CA5"/>
    <w:multiLevelType w:val="multilevel"/>
    <w:tmpl w:val="AF54DFCC"/>
    <w:lvl w:ilvl="0">
      <w:start w:val="6"/>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4" w15:restartNumberingAfterBreak="0">
    <w:nsid w:val="5C7821F4"/>
    <w:multiLevelType w:val="hybridMultilevel"/>
    <w:tmpl w:val="8196E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E6E6A55"/>
    <w:multiLevelType w:val="multilevel"/>
    <w:tmpl w:val="5F42F38E"/>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61B0677A"/>
    <w:multiLevelType w:val="multilevel"/>
    <w:tmpl w:val="EE92F478"/>
    <w:lvl w:ilvl="0">
      <w:start w:val="5"/>
      <w:numFmt w:val="decimal"/>
      <w:lvlText w:val="%1."/>
      <w:lvlJc w:val="left"/>
      <w:pPr>
        <w:ind w:left="360" w:hanging="360"/>
      </w:pPr>
      <w:rPr>
        <w:color w:val="000000" w:themeColor="text1"/>
      </w:rPr>
    </w:lvl>
    <w:lvl w:ilvl="1">
      <w:start w:val="1"/>
      <w:numFmt w:val="decimal"/>
      <w:lvlText w:val="%1.%2."/>
      <w:lvlJc w:val="left"/>
      <w:pPr>
        <w:ind w:left="360" w:hanging="360"/>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Zero"/>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800" w:hanging="1800"/>
      </w:pPr>
      <w:rPr>
        <w:color w:val="000000" w:themeColor="text1"/>
      </w:rPr>
    </w:lvl>
  </w:abstractNum>
  <w:abstractNum w:abstractNumId="37" w15:restartNumberingAfterBreak="0">
    <w:nsid w:val="62A21EC9"/>
    <w:multiLevelType w:val="multilevel"/>
    <w:tmpl w:val="5B66C02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689662B"/>
    <w:multiLevelType w:val="multilevel"/>
    <w:tmpl w:val="AA109AA8"/>
    <w:lvl w:ilvl="0">
      <w:start w:val="13"/>
      <w:numFmt w:val="decimal"/>
      <w:lvlText w:val="%1."/>
      <w:lvlJc w:val="left"/>
      <w:pPr>
        <w:ind w:left="444" w:hanging="444"/>
      </w:pPr>
    </w:lvl>
    <w:lvl w:ilvl="1">
      <w:start w:val="1"/>
      <w:numFmt w:val="decimal"/>
      <w:lvlText w:val="%1.%2."/>
      <w:lvlJc w:val="left"/>
      <w:pPr>
        <w:ind w:left="444" w:hanging="444"/>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9B1716"/>
    <w:multiLevelType w:val="multilevel"/>
    <w:tmpl w:val="EC2E5BD2"/>
    <w:lvl w:ilvl="0">
      <w:start w:val="3"/>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1" w15:restartNumberingAfterBreak="0">
    <w:nsid w:val="78633D6F"/>
    <w:multiLevelType w:val="hybridMultilevel"/>
    <w:tmpl w:val="27AA0F8C"/>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42" w15:restartNumberingAfterBreak="0">
    <w:nsid w:val="798418B5"/>
    <w:multiLevelType w:val="multilevel"/>
    <w:tmpl w:val="EE328294"/>
    <w:lvl w:ilvl="0">
      <w:start w:val="12"/>
      <w:numFmt w:val="decimal"/>
      <w:lvlText w:val="%1."/>
      <w:lvlJc w:val="left"/>
      <w:pPr>
        <w:ind w:left="444" w:hanging="444"/>
      </w:pPr>
    </w:lvl>
    <w:lvl w:ilvl="1">
      <w:start w:val="1"/>
      <w:numFmt w:val="decimal"/>
      <w:lvlText w:val="%1.%2."/>
      <w:lvlJc w:val="left"/>
      <w:pPr>
        <w:ind w:left="444" w:hanging="444"/>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0789457">
    <w:abstractNumId w:val="8"/>
  </w:num>
  <w:num w:numId="2" w16cid:durableId="1940748678">
    <w:abstractNumId w:val="14"/>
  </w:num>
  <w:num w:numId="3" w16cid:durableId="2144349884">
    <w:abstractNumId w:val="0"/>
  </w:num>
  <w:num w:numId="4" w16cid:durableId="433332204">
    <w:abstractNumId w:val="43"/>
  </w:num>
  <w:num w:numId="5" w16cid:durableId="897475888">
    <w:abstractNumId w:val="23"/>
  </w:num>
  <w:num w:numId="6" w16cid:durableId="1453018562">
    <w:abstractNumId w:val="20"/>
  </w:num>
  <w:num w:numId="7" w16cid:durableId="1315912311">
    <w:abstractNumId w:val="29"/>
  </w:num>
  <w:num w:numId="8" w16cid:durableId="2118718607">
    <w:abstractNumId w:val="39"/>
  </w:num>
  <w:num w:numId="9" w16cid:durableId="1047679331">
    <w:abstractNumId w:val="41"/>
  </w:num>
  <w:num w:numId="10" w16cid:durableId="307637380">
    <w:abstractNumId w:val="37"/>
  </w:num>
  <w:num w:numId="11" w16cid:durableId="1420709434">
    <w:abstractNumId w:val="17"/>
  </w:num>
  <w:num w:numId="12" w16cid:durableId="2056419330">
    <w:abstractNumId w:val="30"/>
  </w:num>
  <w:num w:numId="13" w16cid:durableId="75637288">
    <w:abstractNumId w:val="22"/>
  </w:num>
  <w:num w:numId="14" w16cid:durableId="2099596399">
    <w:abstractNumId w:val="10"/>
  </w:num>
  <w:num w:numId="15" w16cid:durableId="640380892">
    <w:abstractNumId w:val="9"/>
  </w:num>
  <w:num w:numId="16" w16cid:durableId="1110785776">
    <w:abstractNumId w:val="19"/>
  </w:num>
  <w:num w:numId="17" w16cid:durableId="5922063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3844878">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750373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43084272">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8146065">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687522">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8797667">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7848131">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5853566">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5429358">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184278">
    <w:abstractNumId w:val="24"/>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3533109">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4693609">
    <w:abstractNumId w:val="1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063814">
    <w:abstractNumId w:val="4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35401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44368812">
    <w:abstractNumId w:val="3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4885149">
    <w:abstractNumId w:val="1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4022266">
    <w:abstractNumId w:val="3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6366604">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6141001">
    <w:abstractNumId w:val="1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616373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6891150">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C6C"/>
    <w:rsid w:val="00003CA5"/>
    <w:rsid w:val="00006BFF"/>
    <w:rsid w:val="0001536E"/>
    <w:rsid w:val="0001649F"/>
    <w:rsid w:val="0003024E"/>
    <w:rsid w:val="0003165D"/>
    <w:rsid w:val="00034D5F"/>
    <w:rsid w:val="00041047"/>
    <w:rsid w:val="00045984"/>
    <w:rsid w:val="0005495D"/>
    <w:rsid w:val="000609A2"/>
    <w:rsid w:val="0006149D"/>
    <w:rsid w:val="0006199C"/>
    <w:rsid w:val="00062F3F"/>
    <w:rsid w:val="00080BFC"/>
    <w:rsid w:val="00082D8E"/>
    <w:rsid w:val="0008416F"/>
    <w:rsid w:val="0008671A"/>
    <w:rsid w:val="000915CC"/>
    <w:rsid w:val="0009413E"/>
    <w:rsid w:val="00094F86"/>
    <w:rsid w:val="00097255"/>
    <w:rsid w:val="000B0F26"/>
    <w:rsid w:val="000B12D7"/>
    <w:rsid w:val="000B595A"/>
    <w:rsid w:val="000B65CF"/>
    <w:rsid w:val="000C11C3"/>
    <w:rsid w:val="000C28D4"/>
    <w:rsid w:val="000C6829"/>
    <w:rsid w:val="000D09A4"/>
    <w:rsid w:val="000D1175"/>
    <w:rsid w:val="000D64AA"/>
    <w:rsid w:val="000D6C7E"/>
    <w:rsid w:val="000D6C8E"/>
    <w:rsid w:val="000E1509"/>
    <w:rsid w:val="000E2F89"/>
    <w:rsid w:val="000E5A9B"/>
    <w:rsid w:val="000E5BFC"/>
    <w:rsid w:val="000E61CD"/>
    <w:rsid w:val="000E7BD3"/>
    <w:rsid w:val="000F3CCF"/>
    <w:rsid w:val="00101254"/>
    <w:rsid w:val="0010386E"/>
    <w:rsid w:val="001076FF"/>
    <w:rsid w:val="001105BF"/>
    <w:rsid w:val="00114E25"/>
    <w:rsid w:val="0012468B"/>
    <w:rsid w:val="00124872"/>
    <w:rsid w:val="00130EEE"/>
    <w:rsid w:val="001317E1"/>
    <w:rsid w:val="0013398E"/>
    <w:rsid w:val="001347A3"/>
    <w:rsid w:val="0014234D"/>
    <w:rsid w:val="00142E15"/>
    <w:rsid w:val="00144092"/>
    <w:rsid w:val="0015462B"/>
    <w:rsid w:val="0015770B"/>
    <w:rsid w:val="00160763"/>
    <w:rsid w:val="00162481"/>
    <w:rsid w:val="00171498"/>
    <w:rsid w:val="001744DB"/>
    <w:rsid w:val="00175D24"/>
    <w:rsid w:val="001817F6"/>
    <w:rsid w:val="001829E0"/>
    <w:rsid w:val="00183904"/>
    <w:rsid w:val="001907BA"/>
    <w:rsid w:val="00196A5E"/>
    <w:rsid w:val="001A2014"/>
    <w:rsid w:val="001A588B"/>
    <w:rsid w:val="001B080A"/>
    <w:rsid w:val="001B2A06"/>
    <w:rsid w:val="001B6FD5"/>
    <w:rsid w:val="001B74E2"/>
    <w:rsid w:val="001C1DED"/>
    <w:rsid w:val="001C21CB"/>
    <w:rsid w:val="001C7FC9"/>
    <w:rsid w:val="001D00B3"/>
    <w:rsid w:val="001D1976"/>
    <w:rsid w:val="001D2438"/>
    <w:rsid w:val="001D2BFE"/>
    <w:rsid w:val="001D4A90"/>
    <w:rsid w:val="001D570E"/>
    <w:rsid w:val="001E616B"/>
    <w:rsid w:val="001E6798"/>
    <w:rsid w:val="001F72FB"/>
    <w:rsid w:val="002002C4"/>
    <w:rsid w:val="00207DD9"/>
    <w:rsid w:val="002165B7"/>
    <w:rsid w:val="00216C83"/>
    <w:rsid w:val="0021734E"/>
    <w:rsid w:val="002175FA"/>
    <w:rsid w:val="00224904"/>
    <w:rsid w:val="00225D46"/>
    <w:rsid w:val="00230289"/>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2134"/>
    <w:rsid w:val="002B1E5D"/>
    <w:rsid w:val="002B536A"/>
    <w:rsid w:val="002B5439"/>
    <w:rsid w:val="002B75BA"/>
    <w:rsid w:val="002C1D4A"/>
    <w:rsid w:val="002C5130"/>
    <w:rsid w:val="002D2661"/>
    <w:rsid w:val="002D46CC"/>
    <w:rsid w:val="002D501F"/>
    <w:rsid w:val="002D7F3B"/>
    <w:rsid w:val="002E021C"/>
    <w:rsid w:val="002E138A"/>
    <w:rsid w:val="002E1805"/>
    <w:rsid w:val="002E593D"/>
    <w:rsid w:val="002F06F0"/>
    <w:rsid w:val="002F27AC"/>
    <w:rsid w:val="003029DB"/>
    <w:rsid w:val="003053F0"/>
    <w:rsid w:val="00306AB1"/>
    <w:rsid w:val="003106E2"/>
    <w:rsid w:val="00312001"/>
    <w:rsid w:val="0032071C"/>
    <w:rsid w:val="00325B04"/>
    <w:rsid w:val="00332C1F"/>
    <w:rsid w:val="003377B4"/>
    <w:rsid w:val="00340536"/>
    <w:rsid w:val="00340ED2"/>
    <w:rsid w:val="003539BC"/>
    <w:rsid w:val="003634BB"/>
    <w:rsid w:val="003712D4"/>
    <w:rsid w:val="0037211B"/>
    <w:rsid w:val="0037382C"/>
    <w:rsid w:val="00374616"/>
    <w:rsid w:val="003746F9"/>
    <w:rsid w:val="00375158"/>
    <w:rsid w:val="00375EEC"/>
    <w:rsid w:val="00380144"/>
    <w:rsid w:val="003863DD"/>
    <w:rsid w:val="00386C5E"/>
    <w:rsid w:val="00394AB1"/>
    <w:rsid w:val="00395D50"/>
    <w:rsid w:val="003A04BF"/>
    <w:rsid w:val="003A3330"/>
    <w:rsid w:val="003A3DEA"/>
    <w:rsid w:val="003A6AE1"/>
    <w:rsid w:val="003B0A5F"/>
    <w:rsid w:val="003B25C4"/>
    <w:rsid w:val="003C12A2"/>
    <w:rsid w:val="003C25F6"/>
    <w:rsid w:val="003C42C6"/>
    <w:rsid w:val="003C4A54"/>
    <w:rsid w:val="003C5504"/>
    <w:rsid w:val="003C683F"/>
    <w:rsid w:val="003D0E2A"/>
    <w:rsid w:val="003D1C73"/>
    <w:rsid w:val="003D5041"/>
    <w:rsid w:val="003D66B2"/>
    <w:rsid w:val="003E05D1"/>
    <w:rsid w:val="003E560A"/>
    <w:rsid w:val="003F2799"/>
    <w:rsid w:val="00400B62"/>
    <w:rsid w:val="00404C06"/>
    <w:rsid w:val="00404D30"/>
    <w:rsid w:val="00413CAB"/>
    <w:rsid w:val="00415C94"/>
    <w:rsid w:val="00415D7B"/>
    <w:rsid w:val="00416158"/>
    <w:rsid w:val="0041711E"/>
    <w:rsid w:val="0041731F"/>
    <w:rsid w:val="004204F3"/>
    <w:rsid w:val="004212B1"/>
    <w:rsid w:val="00423902"/>
    <w:rsid w:val="00426116"/>
    <w:rsid w:val="00426ECE"/>
    <w:rsid w:val="00432DF0"/>
    <w:rsid w:val="00436F11"/>
    <w:rsid w:val="00443246"/>
    <w:rsid w:val="00450B9B"/>
    <w:rsid w:val="004510A8"/>
    <w:rsid w:val="00460420"/>
    <w:rsid w:val="004623E3"/>
    <w:rsid w:val="00471B84"/>
    <w:rsid w:val="004772A2"/>
    <w:rsid w:val="004802A8"/>
    <w:rsid w:val="004807EA"/>
    <w:rsid w:val="00481672"/>
    <w:rsid w:val="00490140"/>
    <w:rsid w:val="00496850"/>
    <w:rsid w:val="004A4E57"/>
    <w:rsid w:val="004A4F0D"/>
    <w:rsid w:val="004A5355"/>
    <w:rsid w:val="004A63BA"/>
    <w:rsid w:val="004A7CF7"/>
    <w:rsid w:val="004B010F"/>
    <w:rsid w:val="004B26D3"/>
    <w:rsid w:val="004B2EA2"/>
    <w:rsid w:val="004B37FC"/>
    <w:rsid w:val="004B467E"/>
    <w:rsid w:val="004B72F9"/>
    <w:rsid w:val="004C497B"/>
    <w:rsid w:val="004C4F61"/>
    <w:rsid w:val="004C54F3"/>
    <w:rsid w:val="004D2145"/>
    <w:rsid w:val="004D37F6"/>
    <w:rsid w:val="004D3AE8"/>
    <w:rsid w:val="004E03D0"/>
    <w:rsid w:val="004E497E"/>
    <w:rsid w:val="004F725C"/>
    <w:rsid w:val="0050192F"/>
    <w:rsid w:val="00502B3B"/>
    <w:rsid w:val="005045C3"/>
    <w:rsid w:val="00511781"/>
    <w:rsid w:val="00513BD1"/>
    <w:rsid w:val="00517A48"/>
    <w:rsid w:val="0052758A"/>
    <w:rsid w:val="005303A5"/>
    <w:rsid w:val="00530765"/>
    <w:rsid w:val="005318E1"/>
    <w:rsid w:val="005407C8"/>
    <w:rsid w:val="0054268D"/>
    <w:rsid w:val="0054318E"/>
    <w:rsid w:val="005432AA"/>
    <w:rsid w:val="005610FE"/>
    <w:rsid w:val="00565502"/>
    <w:rsid w:val="00566DB7"/>
    <w:rsid w:val="00570B0A"/>
    <w:rsid w:val="005719F2"/>
    <w:rsid w:val="00572102"/>
    <w:rsid w:val="005734E0"/>
    <w:rsid w:val="00574CE1"/>
    <w:rsid w:val="00585C84"/>
    <w:rsid w:val="0059044C"/>
    <w:rsid w:val="00593E04"/>
    <w:rsid w:val="00593E8D"/>
    <w:rsid w:val="00595727"/>
    <w:rsid w:val="00595883"/>
    <w:rsid w:val="00596C74"/>
    <w:rsid w:val="005978FE"/>
    <w:rsid w:val="005A17F3"/>
    <w:rsid w:val="005A630A"/>
    <w:rsid w:val="005A7465"/>
    <w:rsid w:val="005B079F"/>
    <w:rsid w:val="005B10AB"/>
    <w:rsid w:val="005B5D02"/>
    <w:rsid w:val="005C0DF9"/>
    <w:rsid w:val="005C52C6"/>
    <w:rsid w:val="005C7CBE"/>
    <w:rsid w:val="005D31C0"/>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77C0"/>
    <w:rsid w:val="006212EA"/>
    <w:rsid w:val="0062262E"/>
    <w:rsid w:val="00622F75"/>
    <w:rsid w:val="0062408B"/>
    <w:rsid w:val="006265A1"/>
    <w:rsid w:val="00630E7E"/>
    <w:rsid w:val="00632F48"/>
    <w:rsid w:val="00634844"/>
    <w:rsid w:val="006364D8"/>
    <w:rsid w:val="006404C3"/>
    <w:rsid w:val="006453B2"/>
    <w:rsid w:val="00645A36"/>
    <w:rsid w:val="006502D1"/>
    <w:rsid w:val="006524C0"/>
    <w:rsid w:val="0065310E"/>
    <w:rsid w:val="00660B29"/>
    <w:rsid w:val="00664816"/>
    <w:rsid w:val="00671289"/>
    <w:rsid w:val="00672D9F"/>
    <w:rsid w:val="006768E5"/>
    <w:rsid w:val="00677363"/>
    <w:rsid w:val="006779B6"/>
    <w:rsid w:val="00683495"/>
    <w:rsid w:val="00687200"/>
    <w:rsid w:val="006924B2"/>
    <w:rsid w:val="006934A2"/>
    <w:rsid w:val="00696BEF"/>
    <w:rsid w:val="006A1D06"/>
    <w:rsid w:val="006A2EFD"/>
    <w:rsid w:val="006A5D25"/>
    <w:rsid w:val="006A6693"/>
    <w:rsid w:val="006B1FF6"/>
    <w:rsid w:val="006B3661"/>
    <w:rsid w:val="006B5AD6"/>
    <w:rsid w:val="006C3786"/>
    <w:rsid w:val="006D5DDB"/>
    <w:rsid w:val="006D675F"/>
    <w:rsid w:val="006D7B9A"/>
    <w:rsid w:val="006E030A"/>
    <w:rsid w:val="006E1905"/>
    <w:rsid w:val="006E6138"/>
    <w:rsid w:val="006E6226"/>
    <w:rsid w:val="006E6608"/>
    <w:rsid w:val="006E78BE"/>
    <w:rsid w:val="006F63C7"/>
    <w:rsid w:val="00701585"/>
    <w:rsid w:val="0070305C"/>
    <w:rsid w:val="007043FA"/>
    <w:rsid w:val="007048E3"/>
    <w:rsid w:val="00710C6C"/>
    <w:rsid w:val="00710D9A"/>
    <w:rsid w:val="00710E2D"/>
    <w:rsid w:val="007118F4"/>
    <w:rsid w:val="00712753"/>
    <w:rsid w:val="00715165"/>
    <w:rsid w:val="007204A9"/>
    <w:rsid w:val="0072386E"/>
    <w:rsid w:val="007248F4"/>
    <w:rsid w:val="007278BC"/>
    <w:rsid w:val="00736EC7"/>
    <w:rsid w:val="0074686A"/>
    <w:rsid w:val="00750B74"/>
    <w:rsid w:val="00752115"/>
    <w:rsid w:val="00752125"/>
    <w:rsid w:val="007528CA"/>
    <w:rsid w:val="00752971"/>
    <w:rsid w:val="00760289"/>
    <w:rsid w:val="00760520"/>
    <w:rsid w:val="0076187D"/>
    <w:rsid w:val="00766B55"/>
    <w:rsid w:val="00771EA2"/>
    <w:rsid w:val="00773406"/>
    <w:rsid w:val="00774E37"/>
    <w:rsid w:val="007803EF"/>
    <w:rsid w:val="00780A5B"/>
    <w:rsid w:val="00781F50"/>
    <w:rsid w:val="00783834"/>
    <w:rsid w:val="007A1BFB"/>
    <w:rsid w:val="007A3C1D"/>
    <w:rsid w:val="007A42C0"/>
    <w:rsid w:val="007A4F3F"/>
    <w:rsid w:val="007A546A"/>
    <w:rsid w:val="007B0DC2"/>
    <w:rsid w:val="007B2F2D"/>
    <w:rsid w:val="007B49E0"/>
    <w:rsid w:val="007B5AFF"/>
    <w:rsid w:val="007C29D2"/>
    <w:rsid w:val="007C451D"/>
    <w:rsid w:val="007C4B8F"/>
    <w:rsid w:val="007C7F23"/>
    <w:rsid w:val="007D2A5A"/>
    <w:rsid w:val="007E4718"/>
    <w:rsid w:val="007F05C9"/>
    <w:rsid w:val="007F0EB8"/>
    <w:rsid w:val="007F3205"/>
    <w:rsid w:val="007F37A1"/>
    <w:rsid w:val="007F50C8"/>
    <w:rsid w:val="00807DAE"/>
    <w:rsid w:val="00810048"/>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71359"/>
    <w:rsid w:val="008805B5"/>
    <w:rsid w:val="00885C55"/>
    <w:rsid w:val="00886685"/>
    <w:rsid w:val="00887D4E"/>
    <w:rsid w:val="0089136B"/>
    <w:rsid w:val="0089417E"/>
    <w:rsid w:val="008952D0"/>
    <w:rsid w:val="008953A2"/>
    <w:rsid w:val="0089558E"/>
    <w:rsid w:val="00895FB9"/>
    <w:rsid w:val="008A09A2"/>
    <w:rsid w:val="008A24D6"/>
    <w:rsid w:val="008A3D74"/>
    <w:rsid w:val="008A4B08"/>
    <w:rsid w:val="008B7C28"/>
    <w:rsid w:val="008C38A6"/>
    <w:rsid w:val="008C714E"/>
    <w:rsid w:val="008D0D4F"/>
    <w:rsid w:val="008D4219"/>
    <w:rsid w:val="008D6211"/>
    <w:rsid w:val="008D6E54"/>
    <w:rsid w:val="008E1032"/>
    <w:rsid w:val="008E116B"/>
    <w:rsid w:val="008E1F9A"/>
    <w:rsid w:val="008E267A"/>
    <w:rsid w:val="008E74B9"/>
    <w:rsid w:val="008E74FA"/>
    <w:rsid w:val="008F1D52"/>
    <w:rsid w:val="008F637E"/>
    <w:rsid w:val="00901463"/>
    <w:rsid w:val="009020B1"/>
    <w:rsid w:val="00902B06"/>
    <w:rsid w:val="00902CC3"/>
    <w:rsid w:val="00906417"/>
    <w:rsid w:val="00906BD6"/>
    <w:rsid w:val="00907577"/>
    <w:rsid w:val="00910A85"/>
    <w:rsid w:val="009111EB"/>
    <w:rsid w:val="00914564"/>
    <w:rsid w:val="009167FE"/>
    <w:rsid w:val="00916A47"/>
    <w:rsid w:val="009201AA"/>
    <w:rsid w:val="00920913"/>
    <w:rsid w:val="00922012"/>
    <w:rsid w:val="0092295F"/>
    <w:rsid w:val="00932673"/>
    <w:rsid w:val="00933D83"/>
    <w:rsid w:val="00934455"/>
    <w:rsid w:val="00935F75"/>
    <w:rsid w:val="00936B80"/>
    <w:rsid w:val="00942E15"/>
    <w:rsid w:val="00943A00"/>
    <w:rsid w:val="00950EC6"/>
    <w:rsid w:val="00952DEC"/>
    <w:rsid w:val="00953DF3"/>
    <w:rsid w:val="00953FAC"/>
    <w:rsid w:val="009567DF"/>
    <w:rsid w:val="0095728A"/>
    <w:rsid w:val="0096099B"/>
    <w:rsid w:val="00965C13"/>
    <w:rsid w:val="0096720E"/>
    <w:rsid w:val="00972D1C"/>
    <w:rsid w:val="00973140"/>
    <w:rsid w:val="00976103"/>
    <w:rsid w:val="009811BF"/>
    <w:rsid w:val="009827A0"/>
    <w:rsid w:val="00982A2F"/>
    <w:rsid w:val="00987AC6"/>
    <w:rsid w:val="009912A6"/>
    <w:rsid w:val="00994D47"/>
    <w:rsid w:val="009A021D"/>
    <w:rsid w:val="009A1B5A"/>
    <w:rsid w:val="009A2B8F"/>
    <w:rsid w:val="009A48EC"/>
    <w:rsid w:val="009A4FD5"/>
    <w:rsid w:val="009A563A"/>
    <w:rsid w:val="009B7095"/>
    <w:rsid w:val="009C0E40"/>
    <w:rsid w:val="009C41FD"/>
    <w:rsid w:val="009C50CD"/>
    <w:rsid w:val="009C5774"/>
    <w:rsid w:val="009C760C"/>
    <w:rsid w:val="009D14F5"/>
    <w:rsid w:val="009D1DA6"/>
    <w:rsid w:val="009D2E3A"/>
    <w:rsid w:val="009D70DE"/>
    <w:rsid w:val="009D752E"/>
    <w:rsid w:val="009E1141"/>
    <w:rsid w:val="009E13FB"/>
    <w:rsid w:val="009E2324"/>
    <w:rsid w:val="009E7AA3"/>
    <w:rsid w:val="00A106C2"/>
    <w:rsid w:val="00A15908"/>
    <w:rsid w:val="00A3469E"/>
    <w:rsid w:val="00A34BD0"/>
    <w:rsid w:val="00A373CB"/>
    <w:rsid w:val="00A42610"/>
    <w:rsid w:val="00A46AE5"/>
    <w:rsid w:val="00A46C56"/>
    <w:rsid w:val="00A56BE0"/>
    <w:rsid w:val="00A5700E"/>
    <w:rsid w:val="00A720ED"/>
    <w:rsid w:val="00A7244A"/>
    <w:rsid w:val="00A7532A"/>
    <w:rsid w:val="00A77E4A"/>
    <w:rsid w:val="00A81F2C"/>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21FC3"/>
    <w:rsid w:val="00B22469"/>
    <w:rsid w:val="00B24F05"/>
    <w:rsid w:val="00B264AD"/>
    <w:rsid w:val="00B3559F"/>
    <w:rsid w:val="00B36068"/>
    <w:rsid w:val="00B40231"/>
    <w:rsid w:val="00B4433A"/>
    <w:rsid w:val="00B52126"/>
    <w:rsid w:val="00B54BE9"/>
    <w:rsid w:val="00B6089A"/>
    <w:rsid w:val="00B610FB"/>
    <w:rsid w:val="00B61521"/>
    <w:rsid w:val="00B63FDB"/>
    <w:rsid w:val="00B67278"/>
    <w:rsid w:val="00B721D7"/>
    <w:rsid w:val="00B736F7"/>
    <w:rsid w:val="00B74541"/>
    <w:rsid w:val="00B74C2C"/>
    <w:rsid w:val="00B75DC3"/>
    <w:rsid w:val="00B813B8"/>
    <w:rsid w:val="00B81A76"/>
    <w:rsid w:val="00BA0BEA"/>
    <w:rsid w:val="00BA2A7B"/>
    <w:rsid w:val="00BB1A71"/>
    <w:rsid w:val="00BB20F5"/>
    <w:rsid w:val="00BB2835"/>
    <w:rsid w:val="00BB35CE"/>
    <w:rsid w:val="00BB5CBD"/>
    <w:rsid w:val="00BB61A5"/>
    <w:rsid w:val="00BB6C78"/>
    <w:rsid w:val="00BB72F6"/>
    <w:rsid w:val="00BD2255"/>
    <w:rsid w:val="00BD23D8"/>
    <w:rsid w:val="00BD59BA"/>
    <w:rsid w:val="00BD7928"/>
    <w:rsid w:val="00BE09C4"/>
    <w:rsid w:val="00BE115E"/>
    <w:rsid w:val="00BE6D93"/>
    <w:rsid w:val="00BF2842"/>
    <w:rsid w:val="00BF3C80"/>
    <w:rsid w:val="00BF64C2"/>
    <w:rsid w:val="00C002E9"/>
    <w:rsid w:val="00C152EA"/>
    <w:rsid w:val="00C1767E"/>
    <w:rsid w:val="00C2091F"/>
    <w:rsid w:val="00C251CC"/>
    <w:rsid w:val="00C252C0"/>
    <w:rsid w:val="00C252E6"/>
    <w:rsid w:val="00C25643"/>
    <w:rsid w:val="00C26059"/>
    <w:rsid w:val="00C304C1"/>
    <w:rsid w:val="00C45B6B"/>
    <w:rsid w:val="00C579B9"/>
    <w:rsid w:val="00C61CFD"/>
    <w:rsid w:val="00C63872"/>
    <w:rsid w:val="00C72163"/>
    <w:rsid w:val="00C72D66"/>
    <w:rsid w:val="00C83182"/>
    <w:rsid w:val="00C92A06"/>
    <w:rsid w:val="00C92FE7"/>
    <w:rsid w:val="00C9592E"/>
    <w:rsid w:val="00CA5198"/>
    <w:rsid w:val="00CA6233"/>
    <w:rsid w:val="00CA647A"/>
    <w:rsid w:val="00CB0749"/>
    <w:rsid w:val="00CC0125"/>
    <w:rsid w:val="00CC0965"/>
    <w:rsid w:val="00CC19DF"/>
    <w:rsid w:val="00CC5FBF"/>
    <w:rsid w:val="00CD0911"/>
    <w:rsid w:val="00CD2726"/>
    <w:rsid w:val="00CD311E"/>
    <w:rsid w:val="00CD3C34"/>
    <w:rsid w:val="00CD4856"/>
    <w:rsid w:val="00CD4E19"/>
    <w:rsid w:val="00CE6BFC"/>
    <w:rsid w:val="00CF4376"/>
    <w:rsid w:val="00CF6841"/>
    <w:rsid w:val="00D014DF"/>
    <w:rsid w:val="00D04441"/>
    <w:rsid w:val="00D11810"/>
    <w:rsid w:val="00D14BFB"/>
    <w:rsid w:val="00D17386"/>
    <w:rsid w:val="00D22C4A"/>
    <w:rsid w:val="00D23F9B"/>
    <w:rsid w:val="00D24886"/>
    <w:rsid w:val="00D25C9D"/>
    <w:rsid w:val="00D32B17"/>
    <w:rsid w:val="00D32BBC"/>
    <w:rsid w:val="00D338D8"/>
    <w:rsid w:val="00D36A7F"/>
    <w:rsid w:val="00D374C9"/>
    <w:rsid w:val="00D40A3B"/>
    <w:rsid w:val="00D427B7"/>
    <w:rsid w:val="00D45255"/>
    <w:rsid w:val="00D46926"/>
    <w:rsid w:val="00D51069"/>
    <w:rsid w:val="00D51D13"/>
    <w:rsid w:val="00D56D3D"/>
    <w:rsid w:val="00D57691"/>
    <w:rsid w:val="00D620CC"/>
    <w:rsid w:val="00D624D9"/>
    <w:rsid w:val="00D6462A"/>
    <w:rsid w:val="00D72B80"/>
    <w:rsid w:val="00D7534A"/>
    <w:rsid w:val="00D76B00"/>
    <w:rsid w:val="00D81CB0"/>
    <w:rsid w:val="00D91069"/>
    <w:rsid w:val="00D92162"/>
    <w:rsid w:val="00DA1113"/>
    <w:rsid w:val="00DA49E0"/>
    <w:rsid w:val="00DA59F4"/>
    <w:rsid w:val="00DB48C6"/>
    <w:rsid w:val="00DB5E83"/>
    <w:rsid w:val="00DB78A2"/>
    <w:rsid w:val="00DC6C43"/>
    <w:rsid w:val="00DD0720"/>
    <w:rsid w:val="00DD3ED0"/>
    <w:rsid w:val="00DD6613"/>
    <w:rsid w:val="00DD6C1E"/>
    <w:rsid w:val="00DE1074"/>
    <w:rsid w:val="00DE1084"/>
    <w:rsid w:val="00DE1D79"/>
    <w:rsid w:val="00DE58D5"/>
    <w:rsid w:val="00DF289C"/>
    <w:rsid w:val="00DF3CB8"/>
    <w:rsid w:val="00DF5FA3"/>
    <w:rsid w:val="00E00023"/>
    <w:rsid w:val="00E015FA"/>
    <w:rsid w:val="00E032B2"/>
    <w:rsid w:val="00E03674"/>
    <w:rsid w:val="00E05161"/>
    <w:rsid w:val="00E0555F"/>
    <w:rsid w:val="00E3233E"/>
    <w:rsid w:val="00E35298"/>
    <w:rsid w:val="00E379C3"/>
    <w:rsid w:val="00E42786"/>
    <w:rsid w:val="00E5176B"/>
    <w:rsid w:val="00E52C25"/>
    <w:rsid w:val="00E5354B"/>
    <w:rsid w:val="00E543A3"/>
    <w:rsid w:val="00E555E0"/>
    <w:rsid w:val="00E55C2A"/>
    <w:rsid w:val="00E57CAE"/>
    <w:rsid w:val="00E602AF"/>
    <w:rsid w:val="00E6223D"/>
    <w:rsid w:val="00E63647"/>
    <w:rsid w:val="00E6393C"/>
    <w:rsid w:val="00E642D2"/>
    <w:rsid w:val="00E64DEA"/>
    <w:rsid w:val="00E66757"/>
    <w:rsid w:val="00E66875"/>
    <w:rsid w:val="00E67ECE"/>
    <w:rsid w:val="00E705CC"/>
    <w:rsid w:val="00E73584"/>
    <w:rsid w:val="00E73826"/>
    <w:rsid w:val="00E76A84"/>
    <w:rsid w:val="00E80F1D"/>
    <w:rsid w:val="00E81A22"/>
    <w:rsid w:val="00E83EBB"/>
    <w:rsid w:val="00E90574"/>
    <w:rsid w:val="00E9204D"/>
    <w:rsid w:val="00E937C1"/>
    <w:rsid w:val="00E958F0"/>
    <w:rsid w:val="00EA0A3D"/>
    <w:rsid w:val="00EA6B8D"/>
    <w:rsid w:val="00EB2826"/>
    <w:rsid w:val="00EB7F22"/>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14EA"/>
    <w:rsid w:val="00F25119"/>
    <w:rsid w:val="00F31014"/>
    <w:rsid w:val="00F34C84"/>
    <w:rsid w:val="00F3549A"/>
    <w:rsid w:val="00F363CB"/>
    <w:rsid w:val="00F417F3"/>
    <w:rsid w:val="00F456F3"/>
    <w:rsid w:val="00F5177F"/>
    <w:rsid w:val="00F5487B"/>
    <w:rsid w:val="00F54FF1"/>
    <w:rsid w:val="00F56293"/>
    <w:rsid w:val="00F64B04"/>
    <w:rsid w:val="00F7053E"/>
    <w:rsid w:val="00F742C3"/>
    <w:rsid w:val="00F75402"/>
    <w:rsid w:val="00F848A0"/>
    <w:rsid w:val="00F87BD0"/>
    <w:rsid w:val="00F93616"/>
    <w:rsid w:val="00FA195A"/>
    <w:rsid w:val="00FA1DB7"/>
    <w:rsid w:val="00FA26D3"/>
    <w:rsid w:val="00FB08DA"/>
    <w:rsid w:val="00FB158D"/>
    <w:rsid w:val="00FB384F"/>
    <w:rsid w:val="00FB5D16"/>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2CEC7"/>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34"/>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501F"/>
    <w:pPr>
      <w:tabs>
        <w:tab w:val="left" w:pos="567"/>
      </w:tabs>
      <w:spacing w:before="6" w:after="6"/>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501F"/>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2"/>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2"/>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1"/>
      </w:numPr>
      <w:tabs>
        <w:tab w:val="clear" w:pos="2160"/>
      </w:tabs>
      <w:spacing w:before="120" w:after="120"/>
      <w:ind w:left="284" w:firstLine="0"/>
      <w:jc w:val="both"/>
    </w:pPr>
    <w:rPr>
      <w:rFonts w:ascii="Arial" w:eastAsia="Times New Roman" w:hAnsi="Arial" w:cs="Arial"/>
      <w:color w:val="FF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FF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1"/>
      </w:numPr>
    </w:pPr>
    <w:rPr>
      <w:i/>
      <w:iCs/>
      <w:color w:val="FF0000"/>
    </w:rPr>
  </w:style>
  <w:style w:type="character" w:customStyle="1" w:styleId="Nvel2-RedChar">
    <w:name w:val="Nível 2 -Red Char"/>
    <w:basedOn w:val="Nivel2Char"/>
    <w:link w:val="Nvel2-Red"/>
    <w:rsid w:val="002D501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3"/>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4"/>
      </w:numPr>
    </w:pPr>
  </w:style>
  <w:style w:type="numbering" w:customStyle="1" w:styleId="Estilo3">
    <w:name w:val="Estilo3"/>
    <w:uiPriority w:val="99"/>
    <w:rsid w:val="002D501F"/>
    <w:pPr>
      <w:numPr>
        <w:numId w:val="5"/>
      </w:numPr>
    </w:pPr>
  </w:style>
  <w:style w:type="numbering" w:customStyle="1" w:styleId="Estilo4">
    <w:name w:val="Estilo4"/>
    <w:uiPriority w:val="99"/>
    <w:rsid w:val="002D501F"/>
    <w:pPr>
      <w:numPr>
        <w:numId w:val="6"/>
      </w:numPr>
    </w:pPr>
  </w:style>
  <w:style w:type="numbering" w:customStyle="1" w:styleId="Estilo5">
    <w:name w:val="Estilo5"/>
    <w:uiPriority w:val="99"/>
    <w:rsid w:val="002D501F"/>
    <w:pPr>
      <w:numPr>
        <w:numId w:val="7"/>
      </w:numPr>
    </w:pPr>
  </w:style>
  <w:style w:type="numbering" w:customStyle="1" w:styleId="Estilo6">
    <w:name w:val="Estilo6"/>
    <w:uiPriority w:val="99"/>
    <w:rsid w:val="002D501F"/>
    <w:pPr>
      <w:numPr>
        <w:numId w:val="8"/>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color w:val="FF0000"/>
    </w:rPr>
  </w:style>
  <w:style w:type="paragraph" w:customStyle="1" w:styleId="Nvel4-R">
    <w:name w:val="Nível 4-R"/>
    <w:basedOn w:val="Nivel4"/>
    <w:link w:val="Nvel4-RChar"/>
    <w:qFormat/>
    <w:rsid w:val="002D501F"/>
    <w:pPr>
      <w:numPr>
        <w:numId w:val="1"/>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 w:type="table" w:customStyle="1" w:styleId="Tabelacomgrade1">
    <w:name w:val="Tabela com grade1"/>
    <w:basedOn w:val="Tabelanormal"/>
    <w:next w:val="Tabelacomgrade"/>
    <w:uiPriority w:val="59"/>
    <w:rsid w:val="0012468B"/>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110058087">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38831061">
      <w:bodyDiv w:val="1"/>
      <w:marLeft w:val="0"/>
      <w:marRight w:val="0"/>
      <w:marTop w:val="0"/>
      <w:marBottom w:val="0"/>
      <w:divBdr>
        <w:top w:val="none" w:sz="0" w:space="0" w:color="auto"/>
        <w:left w:val="none" w:sz="0" w:space="0" w:color="auto"/>
        <w:bottom w:val="none" w:sz="0" w:space="0" w:color="auto"/>
        <w:right w:val="none" w:sz="0" w:space="0" w:color="auto"/>
      </w:divBdr>
    </w:div>
    <w:div w:id="287591119">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62754623">
      <w:bodyDiv w:val="1"/>
      <w:marLeft w:val="0"/>
      <w:marRight w:val="0"/>
      <w:marTop w:val="0"/>
      <w:marBottom w:val="0"/>
      <w:divBdr>
        <w:top w:val="none" w:sz="0" w:space="0" w:color="auto"/>
        <w:left w:val="none" w:sz="0" w:space="0" w:color="auto"/>
        <w:bottom w:val="none" w:sz="0" w:space="0" w:color="auto"/>
        <w:right w:val="none" w:sz="0" w:space="0" w:color="auto"/>
      </w:divBdr>
    </w:div>
    <w:div w:id="370955116">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22607321">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85363693">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32840142">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89858300">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1051558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92953809">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067413623">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299535740">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03159398">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8464695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licitagoioxim@yahoo.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diariomunicipal.com.br/am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26</Pages>
  <Words>15563</Words>
  <Characters>84043</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Minuta de Edital - Equipamentos Secretaria da Mulher e Farmácia Municipal</vt:lpstr>
    </vt:vector>
  </TitlesOfParts>
  <Company/>
  <LinksUpToDate>false</LinksUpToDate>
  <CharactersWithSpaces>99408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 Equipamentos Secretaria da Mulher e Farmácia Municipal</dc:title>
  <dc:subject>Pregão eletrônico - menor preço por item - participação exclusiva ME/EPP</dc:subject>
  <dc:creator>jhonaton</dc:creator>
  <cp:keywords>Goioxim; pregão eletrônico; equipamentos; móveis; Farmácia Municipal; Secretaria da Mulher</cp:keywords>
  <dc:description>Minuta ajustada com base no DFD, ETP, Termo de Pesquisa de Preços e Termo de Referência.</dc:description>
  <cp:lastModifiedBy>2026</cp:lastModifiedBy>
  <cp:revision>75</cp:revision>
  <cp:lastPrinted>2026-08-03T17:49:00Z</cp:lastPrinted>
  <dcterms:created xsi:type="dcterms:W3CDTF">2024-03-11T17:33:00Z</dcterms:created>
  <dcterms:modified xsi:type="dcterms:W3CDTF">2026-08-03T17:49:00Z</dcterms:modified>
</cp:coreProperties>
</file>