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F3FC89" w14:textId="5886DE90" w:rsidR="005D361B" w:rsidRPr="00844C60" w:rsidRDefault="00996E4D" w:rsidP="00844C60">
      <w:pPr>
        <w:jc w:val="center"/>
        <w:rPr>
          <w:b/>
          <w:bCs/>
          <w:u w:val="single"/>
        </w:rPr>
      </w:pPr>
      <w:r w:rsidRPr="00844C60">
        <w:rPr>
          <w:b/>
          <w:bCs/>
          <w:u w:val="single"/>
        </w:rPr>
        <w:t>MEMORIAL DESCRITI</w:t>
      </w:r>
      <w:r w:rsidR="00844C60" w:rsidRPr="00844C60">
        <w:rPr>
          <w:b/>
          <w:bCs/>
          <w:u w:val="single"/>
        </w:rPr>
        <w:t>V</w:t>
      </w:r>
      <w:r w:rsidRPr="00844C60">
        <w:rPr>
          <w:b/>
          <w:bCs/>
          <w:u w:val="single"/>
        </w:rPr>
        <w:t>O PARA ILUMINAÇÃO</w:t>
      </w:r>
    </w:p>
    <w:p w14:paraId="1472522B" w14:textId="77777777" w:rsidR="00996E4D" w:rsidRDefault="00996E4D"/>
    <w:p w14:paraId="1D7C370B" w14:textId="4158707F" w:rsidR="00996E4D" w:rsidRDefault="00996E4D" w:rsidP="00996E4D">
      <w:pPr>
        <w:pStyle w:val="PargrafodaLista"/>
        <w:numPr>
          <w:ilvl w:val="1"/>
          <w:numId w:val="1"/>
        </w:numPr>
      </w:pPr>
      <w:r w:rsidRPr="00996E4D">
        <w:rPr>
          <w:b/>
          <w:bCs/>
          <w:u w:val="single"/>
        </w:rPr>
        <w:t>ILUMINAÇÃO</w:t>
      </w:r>
      <w:r>
        <w:t xml:space="preserve"> </w:t>
      </w:r>
    </w:p>
    <w:p w14:paraId="6DC361BD" w14:textId="22379BCB" w:rsidR="00996E4D" w:rsidRDefault="00996E4D" w:rsidP="00844C60">
      <w:pPr>
        <w:jc w:val="both"/>
      </w:pPr>
      <w:r>
        <w:t>O sistema de iluminação foi dimensionado de acordo com os níveis de iluminamento recomendados pela ABNT. A iluminação nos postes metálico ornamental em coluna continua circular será dada através de LUM</w:t>
      </w:r>
      <w:r w:rsidR="007555F3">
        <w:t>I</w:t>
      </w:r>
      <w:r>
        <w:t xml:space="preserve">NARIAS </w:t>
      </w:r>
      <w:r w:rsidR="00F00E19">
        <w:t>LEDs</w:t>
      </w:r>
      <w:r>
        <w:t xml:space="preserve"> de 100W, enquanto nos postes metálicos será dada pelas luminárias LED circulares de 50W E 100W  neles presentes. As luminárias devem ter a seguinte especificação: </w:t>
      </w:r>
      <w:r>
        <w:sym w:font="Symbol" w:char="F0B7"/>
      </w:r>
      <w:r>
        <w:t xml:space="preserve"> Luminária modular de </w:t>
      </w:r>
      <w:r w:rsidR="007555F3">
        <w:t>5</w:t>
      </w:r>
      <w:r>
        <w:t xml:space="preserve">0w </w:t>
      </w:r>
      <w:r w:rsidR="007555F3">
        <w:t xml:space="preserve"> 100W </w:t>
      </w:r>
      <w:r>
        <w:t xml:space="preserve">para iluminação pública a led (diodo emissor de luz) com as seguintes características: confeccionada em liga de alumínio injetado a alta pressão sae-305/306 ou extrusado, acabamento com pintura eletrostática especial para áreas salinas resistente a maresia na cor cinza claro, juntas ou guarnições de </w:t>
      </w:r>
      <w:r w:rsidR="00F00E19">
        <w:t>vedação</w:t>
      </w:r>
      <w:r>
        <w:t xml:space="preserve"> deverão ser em silicone 200°c para garantir o grau de proteção ao longo de sua vida útil, identificação indelével feita através de placa de alumínio rebitado ao corpo,</w:t>
      </w:r>
      <w:r w:rsidR="00F00E19">
        <w:t xml:space="preserve"> </w:t>
      </w:r>
      <w:r>
        <w:t xml:space="preserve">grau de proteção mínimo ip-66, construção robusta resistente a vibrações severas e ação do vento, resistente a impacto mecânico ik08. Sistema de fixação ao braço para tubo 48,3 mm à ø60,3mm através de parafusos em aço inoxidável, manutenção </w:t>
      </w:r>
      <w:r w:rsidR="00F00E19">
        <w:t>dos componentes</w:t>
      </w:r>
      <w:r>
        <w:t xml:space="preserve"> módulo/driver feita através da tampa superior fixada ao corpo por meio de fecho de pressão ou parafusos em aço inoxidável. Led branco, </w:t>
      </w:r>
      <w:proofErr w:type="spellStart"/>
      <w:r>
        <w:t>lightingclass</w:t>
      </w:r>
      <w:proofErr w:type="spellEnd"/>
      <w:r>
        <w:t xml:space="preserve">, testados de acordo com a </w:t>
      </w:r>
      <w:proofErr w:type="spellStart"/>
      <w:r>
        <w:t>iesna</w:t>
      </w:r>
      <w:proofErr w:type="spellEnd"/>
      <w:r>
        <w:t xml:space="preserve"> lm80-08 (</w:t>
      </w:r>
      <w:proofErr w:type="spellStart"/>
      <w:r>
        <w:t>measuring</w:t>
      </w:r>
      <w:proofErr w:type="spellEnd"/>
      <w:r>
        <w:t xml:space="preserve"> </w:t>
      </w:r>
      <w:proofErr w:type="spellStart"/>
      <w:r>
        <w:t>lumen</w:t>
      </w:r>
      <w:proofErr w:type="spellEnd"/>
      <w:r>
        <w:t xml:space="preserve"> </w:t>
      </w:r>
      <w:proofErr w:type="spellStart"/>
      <w:r>
        <w:t>maintenance</w:t>
      </w:r>
      <w:proofErr w:type="spellEnd"/>
      <w:r>
        <w:t xml:space="preserve"> off led light </w:t>
      </w:r>
      <w:proofErr w:type="spellStart"/>
      <w:r>
        <w:t>sources</w:t>
      </w:r>
      <w:proofErr w:type="spellEnd"/>
      <w:r>
        <w:t xml:space="preserve">), temperatura de cor entre 5000k ± 500k; potência máxima  w (±10%); eficiência mínima do conjunto de 100 lumens/watts com laudo comprobatório; mínimo 23.000 lumens; índice de reprodução de cor 70 ou maior; classificação quanto à distribuição de intensidade luminosa (item 4 3 3 da </w:t>
      </w:r>
      <w:proofErr w:type="spellStart"/>
      <w:r>
        <w:t>nbr</w:t>
      </w:r>
      <w:proofErr w:type="spellEnd"/>
      <w:r>
        <w:t xml:space="preserve"> 5101:2012) como limitada (</w:t>
      </w:r>
      <w:proofErr w:type="spellStart"/>
      <w:r>
        <w:t>cut</w:t>
      </w:r>
      <w:proofErr w:type="spellEnd"/>
      <w:r>
        <w:t>-off) ou totalmente limitada (</w:t>
      </w:r>
      <w:proofErr w:type="spellStart"/>
      <w:r>
        <w:t>fullcut</w:t>
      </w:r>
      <w:proofErr w:type="spellEnd"/>
      <w:r>
        <w:t xml:space="preserve">-off), tipo </w:t>
      </w:r>
      <w:proofErr w:type="spellStart"/>
      <w:r>
        <w:t>ii</w:t>
      </w:r>
      <w:proofErr w:type="spellEnd"/>
      <w:r>
        <w:t>, short com maior</w:t>
      </w:r>
      <w:r w:rsidR="00F00E19">
        <w:t xml:space="preserve"> </w:t>
      </w:r>
      <w:r>
        <w:t xml:space="preserve">intensidade , 78875-000 11 </w:t>
      </w:r>
      <w:proofErr w:type="spellStart"/>
      <w:r>
        <w:t>gamma</w:t>
      </w:r>
      <w:proofErr w:type="spellEnd"/>
      <w:r>
        <w:t xml:space="preserve"> mínimo de 62°à 65° . Fontes de alimentação /driver com grau de proteção mínimo ip-66, alimentação </w:t>
      </w:r>
      <w:r w:rsidR="007555F3">
        <w:t>de 85 -</w:t>
      </w:r>
      <w:r>
        <w:t>2</w:t>
      </w:r>
      <w:r w:rsidR="007555F3">
        <w:t>65</w:t>
      </w:r>
      <w:r>
        <w:t xml:space="preserve">v (+/-10%) ou faixa de variação superior, frequência 50/60hz, classe </w:t>
      </w:r>
      <w:r w:rsidR="00844C60">
        <w:t>I</w:t>
      </w:r>
      <w:r>
        <w:t xml:space="preserve"> de isolação, fator de potência mínimo (0,92), distorção harmônica total (</w:t>
      </w:r>
      <w:proofErr w:type="spellStart"/>
      <w:r>
        <w:t>thd</w:t>
      </w:r>
      <w:proofErr w:type="spellEnd"/>
      <w:r>
        <w:t xml:space="preserve">) de corrente menor que 15%, imunidade contra sobtensões transientes conforme </w:t>
      </w:r>
      <w:r w:rsidR="00F00E19">
        <w:t>IEC</w:t>
      </w:r>
      <w:r>
        <w:t xml:space="preserve"> 61000-4-4 e </w:t>
      </w:r>
      <w:r w:rsidR="00F00E19">
        <w:t>IEC</w:t>
      </w:r>
      <w:r>
        <w:t xml:space="preserve"> 61000-4-5; supressor de surto auxiliar de 10ka instalado separadamente e fixado na parte interna da luminária para proteção contra descargas atmosféricas e manobras do sistema elétrico. Luminária testada e certificada com os seguintes requisitos: </w:t>
      </w:r>
      <w:r w:rsidR="00F00E19">
        <w:t>NBR IEC</w:t>
      </w:r>
      <w:r>
        <w:t xml:space="preserve"> 60598-1/10 - luminárias - parte 1: requisitos gerais e ensaios (definição, classificação, marcação e construção), </w:t>
      </w:r>
      <w:r w:rsidR="00F00E19">
        <w:t>NBR</w:t>
      </w:r>
      <w:r>
        <w:t xml:space="preserve"> 15129 - luminárias para iluminação pública - requisitos particulares, e </w:t>
      </w:r>
      <w:r w:rsidR="00F00E19">
        <w:t>NBR</w:t>
      </w:r>
      <w:r>
        <w:t xml:space="preserve"> 5101:2012 - iluminação pública - procedimento (classificação);vida útil mínima de 50.000 horas com cinco anos de garantia no sistema padrão. </w:t>
      </w:r>
      <w:r>
        <w:sym w:font="Symbol" w:char="F0B7"/>
      </w:r>
      <w:r>
        <w:t xml:space="preserve"> Projetor led para aplicação em iluminação pública, corpo em alumínio injetado a alta pressão,</w:t>
      </w:r>
      <w:r w:rsidR="00F00E19">
        <w:t xml:space="preserve"> </w:t>
      </w:r>
      <w:r w:rsidR="00844C60">
        <w:t>cinza</w:t>
      </w:r>
      <w:r>
        <w:t xml:space="preserve">, proteção da fonte de luz em vidro preso com parafuso, fluxo luminoso de saída mínimo 10.000 lúmens, potência total máxima de 100w (+/-10%), eficiência mínima de 100lm/w, grau de proteção ip66, tensão de operação nominal 220vac (+/-10%) ou faixa de variação de tensão superior, frequência 50/60hz, temperatura de cor entre 5000k e 6000k, fator de potência acima de 0,92, </w:t>
      </w:r>
      <w:proofErr w:type="spellStart"/>
      <w:r>
        <w:t>thd</w:t>
      </w:r>
      <w:proofErr w:type="spellEnd"/>
      <w:r>
        <w:t xml:space="preserve"> &lt; 15%</w:t>
      </w:r>
      <w:r w:rsidR="005E3BDD">
        <w:t>.</w:t>
      </w:r>
    </w:p>
    <w:p w14:paraId="4567983B" w14:textId="77777777" w:rsidR="005E3BDD" w:rsidRDefault="005E3BDD" w:rsidP="00844C60">
      <w:pPr>
        <w:jc w:val="both"/>
      </w:pPr>
    </w:p>
    <w:sectPr w:rsidR="005E3BD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8DF58B1"/>
    <w:multiLevelType w:val="multilevel"/>
    <w:tmpl w:val="222AE91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b/>
        <w:u w:val="single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  <w:u w:val="single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  <w:u w:val="single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  <w:u w:val="single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  <w:u w:val="single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  <w:u w:val="single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  <w:u w:val="single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  <w:u w:val="single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  <w:u w:val="single"/>
      </w:rPr>
    </w:lvl>
  </w:abstractNum>
  <w:num w:numId="1" w16cid:durableId="11623104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6E4D"/>
    <w:rsid w:val="005D361B"/>
    <w:rsid w:val="005E3BDD"/>
    <w:rsid w:val="007555F3"/>
    <w:rsid w:val="00844C60"/>
    <w:rsid w:val="00996E4D"/>
    <w:rsid w:val="00F00E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2CA68A"/>
  <w15:chartTrackingRefBased/>
  <w15:docId w15:val="{54EE8976-D0E9-4551-811F-4D45AD4902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996E4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996E4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996E4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996E4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996E4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996E4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996E4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996E4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996E4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996E4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996E4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996E4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996E4D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996E4D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996E4D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996E4D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996E4D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996E4D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996E4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996E4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996E4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996E4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996E4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996E4D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996E4D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996E4D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996E4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996E4D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996E4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512</Words>
  <Characters>2765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fassano.obrastecvendas@gmail.com</dc:creator>
  <cp:keywords/>
  <dc:description/>
  <cp:lastModifiedBy>Ielton Vitoriano</cp:lastModifiedBy>
  <cp:revision>3</cp:revision>
  <dcterms:created xsi:type="dcterms:W3CDTF">2024-03-06T13:33:00Z</dcterms:created>
  <dcterms:modified xsi:type="dcterms:W3CDTF">2024-03-06T15:40:00Z</dcterms:modified>
</cp:coreProperties>
</file>