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A47FF" w14:textId="45F681F4" w:rsidR="00F730F9" w:rsidRPr="00D06CC0" w:rsidRDefault="00F730F9" w:rsidP="00262785">
      <w:pPr>
        <w:shd w:val="clear" w:color="auto" w:fill="8EAADB" w:themeFill="accent1" w:themeFillTint="99"/>
        <w:tabs>
          <w:tab w:val="center" w:pos="4252"/>
          <w:tab w:val="left" w:pos="5823"/>
        </w:tabs>
        <w:jc w:val="center"/>
        <w:rPr>
          <w:rFonts w:ascii="Century Gothic" w:eastAsia="Calibri" w:hAnsi="Century Gothic" w:cstheme="majorHAnsi"/>
          <w:b/>
          <w:iCs/>
          <w:color w:val="000000"/>
          <w:sz w:val="28"/>
          <w:szCs w:val="22"/>
          <w:lang w:eastAsia="en-US"/>
        </w:rPr>
      </w:pPr>
      <w:bookmarkStart w:id="0" w:name="_top"/>
      <w:bookmarkEnd w:id="0"/>
      <w:r w:rsidRPr="00D06CC0">
        <w:rPr>
          <w:rFonts w:ascii="Century Gothic" w:eastAsia="Calibri" w:hAnsi="Century Gothic" w:cstheme="majorHAnsi"/>
          <w:b/>
          <w:iCs/>
          <w:color w:val="000000"/>
          <w:sz w:val="28"/>
          <w:szCs w:val="22"/>
          <w:lang w:eastAsia="en-US"/>
        </w:rPr>
        <w:t xml:space="preserve">PROCESSO ADMINISTRATIVO – </w:t>
      </w:r>
      <w:bookmarkStart w:id="1" w:name="_Hlk190860253"/>
      <w:r w:rsidR="00531DF9" w:rsidRPr="00D06CC0">
        <w:rPr>
          <w:rFonts w:ascii="Century Gothic" w:eastAsia="Calibri" w:hAnsi="Century Gothic" w:cstheme="majorHAnsi"/>
          <w:b/>
          <w:iCs/>
          <w:color w:val="000000"/>
          <w:sz w:val="28"/>
          <w:szCs w:val="22"/>
          <w:lang w:eastAsia="en-US"/>
        </w:rPr>
        <w:t>001.</w:t>
      </w:r>
      <w:r w:rsidR="009E0ABC" w:rsidRPr="00D06CC0">
        <w:rPr>
          <w:rFonts w:ascii="Century Gothic" w:eastAsia="Calibri" w:hAnsi="Century Gothic" w:cstheme="majorHAnsi"/>
          <w:b/>
          <w:iCs/>
          <w:color w:val="000000"/>
          <w:sz w:val="28"/>
          <w:szCs w:val="22"/>
          <w:lang w:eastAsia="en-US"/>
        </w:rPr>
        <w:t>1</w:t>
      </w:r>
      <w:r w:rsidR="00672DDD" w:rsidRPr="00D06CC0">
        <w:rPr>
          <w:rFonts w:ascii="Century Gothic" w:eastAsia="Calibri" w:hAnsi="Century Gothic" w:cstheme="majorHAnsi"/>
          <w:b/>
          <w:iCs/>
          <w:color w:val="000000"/>
          <w:sz w:val="28"/>
          <w:szCs w:val="22"/>
          <w:lang w:eastAsia="en-US"/>
        </w:rPr>
        <w:t>1</w:t>
      </w:r>
      <w:r w:rsidRPr="00D06CC0">
        <w:rPr>
          <w:rFonts w:ascii="Century Gothic" w:eastAsia="Calibri" w:hAnsi="Century Gothic" w:cstheme="majorHAnsi"/>
          <w:b/>
          <w:iCs/>
          <w:color w:val="000000"/>
          <w:sz w:val="28"/>
          <w:szCs w:val="22"/>
          <w:lang w:eastAsia="en-US"/>
        </w:rPr>
        <w:t>/202</w:t>
      </w:r>
      <w:r w:rsidR="00766FA5" w:rsidRPr="00D06CC0">
        <w:rPr>
          <w:rFonts w:ascii="Century Gothic" w:eastAsia="Calibri" w:hAnsi="Century Gothic" w:cstheme="majorHAnsi"/>
          <w:b/>
          <w:iCs/>
          <w:color w:val="000000"/>
          <w:sz w:val="28"/>
          <w:szCs w:val="22"/>
          <w:lang w:eastAsia="en-US"/>
        </w:rPr>
        <w:t>5</w:t>
      </w:r>
      <w:bookmarkEnd w:id="1"/>
    </w:p>
    <w:p w14:paraId="1898F2DB" w14:textId="7E0CBA8A" w:rsidR="00F730F9" w:rsidRPr="00D06CC0" w:rsidRDefault="00F730F9" w:rsidP="00262785">
      <w:pPr>
        <w:shd w:val="clear" w:color="auto" w:fill="8EAADB" w:themeFill="accent1" w:themeFillTint="99"/>
        <w:tabs>
          <w:tab w:val="center" w:pos="4252"/>
          <w:tab w:val="left" w:pos="5823"/>
        </w:tabs>
        <w:jc w:val="center"/>
        <w:rPr>
          <w:rFonts w:ascii="Century Gothic" w:eastAsia="Calibri" w:hAnsi="Century Gothic" w:cstheme="majorHAnsi"/>
          <w:b/>
          <w:iCs/>
          <w:color w:val="000000"/>
          <w:sz w:val="28"/>
          <w:szCs w:val="22"/>
          <w:lang w:eastAsia="en-US"/>
        </w:rPr>
      </w:pPr>
      <w:r w:rsidRPr="00D06CC0">
        <w:rPr>
          <w:rFonts w:ascii="Century Gothic" w:eastAsia="Calibri" w:hAnsi="Century Gothic" w:cstheme="majorHAnsi"/>
          <w:b/>
          <w:iCs/>
          <w:color w:val="000000"/>
          <w:sz w:val="28"/>
          <w:szCs w:val="22"/>
          <w:lang w:eastAsia="en-US"/>
        </w:rPr>
        <w:t xml:space="preserve">EDITAL PREGÃO ELETRÔNICO </w:t>
      </w:r>
      <w:r w:rsidR="00AD2486" w:rsidRPr="00D06CC0">
        <w:rPr>
          <w:rFonts w:ascii="Century Gothic" w:eastAsia="Calibri" w:hAnsi="Century Gothic" w:cstheme="majorHAnsi"/>
          <w:b/>
          <w:iCs/>
          <w:color w:val="000000"/>
          <w:sz w:val="28"/>
          <w:szCs w:val="22"/>
          <w:lang w:eastAsia="en-US"/>
        </w:rPr>
        <w:t>–</w:t>
      </w:r>
      <w:r w:rsidRPr="00D06CC0">
        <w:rPr>
          <w:rFonts w:ascii="Century Gothic" w:eastAsia="Calibri" w:hAnsi="Century Gothic" w:cstheme="majorHAnsi"/>
          <w:b/>
          <w:iCs/>
          <w:color w:val="000000"/>
          <w:sz w:val="28"/>
          <w:szCs w:val="22"/>
          <w:lang w:eastAsia="en-US"/>
        </w:rPr>
        <w:t xml:space="preserve"> </w:t>
      </w:r>
      <w:bookmarkStart w:id="2" w:name="_Hlk192613002"/>
      <w:r w:rsidR="00034466" w:rsidRPr="00D06CC0">
        <w:rPr>
          <w:rFonts w:ascii="Century Gothic" w:eastAsia="Calibri" w:hAnsi="Century Gothic" w:cstheme="majorHAnsi"/>
          <w:b/>
          <w:iCs/>
          <w:color w:val="000000"/>
          <w:sz w:val="28"/>
          <w:szCs w:val="22"/>
          <w:lang w:eastAsia="en-US"/>
        </w:rPr>
        <w:t>0</w:t>
      </w:r>
      <w:r w:rsidR="009E0ABC" w:rsidRPr="00D06CC0">
        <w:rPr>
          <w:rFonts w:ascii="Century Gothic" w:eastAsia="Calibri" w:hAnsi="Century Gothic" w:cstheme="majorHAnsi"/>
          <w:b/>
          <w:iCs/>
          <w:color w:val="000000"/>
          <w:sz w:val="28"/>
          <w:szCs w:val="22"/>
          <w:lang w:eastAsia="en-US"/>
        </w:rPr>
        <w:t>1</w:t>
      </w:r>
      <w:r w:rsidR="00672DDD" w:rsidRPr="00D06CC0">
        <w:rPr>
          <w:rFonts w:ascii="Century Gothic" w:eastAsia="Calibri" w:hAnsi="Century Gothic" w:cstheme="majorHAnsi"/>
          <w:b/>
          <w:iCs/>
          <w:color w:val="000000"/>
          <w:sz w:val="28"/>
          <w:szCs w:val="22"/>
          <w:lang w:eastAsia="en-US"/>
        </w:rPr>
        <w:t>1</w:t>
      </w:r>
      <w:r w:rsidR="00AD2486" w:rsidRPr="00D06CC0">
        <w:rPr>
          <w:rFonts w:ascii="Century Gothic" w:eastAsia="Calibri" w:hAnsi="Century Gothic" w:cstheme="majorHAnsi"/>
          <w:b/>
          <w:iCs/>
          <w:color w:val="000000"/>
          <w:sz w:val="28"/>
          <w:szCs w:val="22"/>
          <w:lang w:eastAsia="en-US"/>
        </w:rPr>
        <w:t>/</w:t>
      </w:r>
      <w:r w:rsidRPr="00D06CC0">
        <w:rPr>
          <w:rFonts w:ascii="Century Gothic" w:eastAsia="Calibri" w:hAnsi="Century Gothic" w:cstheme="majorHAnsi"/>
          <w:b/>
          <w:iCs/>
          <w:color w:val="000000"/>
          <w:sz w:val="28"/>
          <w:szCs w:val="22"/>
          <w:lang w:eastAsia="en-US"/>
        </w:rPr>
        <w:t>202</w:t>
      </w:r>
      <w:r w:rsidR="00AD2486" w:rsidRPr="00D06CC0">
        <w:rPr>
          <w:rFonts w:ascii="Century Gothic" w:eastAsia="Calibri" w:hAnsi="Century Gothic" w:cstheme="majorHAnsi"/>
          <w:b/>
          <w:iCs/>
          <w:color w:val="000000"/>
          <w:sz w:val="28"/>
          <w:szCs w:val="22"/>
          <w:lang w:eastAsia="en-US"/>
        </w:rPr>
        <w:t>5</w:t>
      </w:r>
      <w:bookmarkEnd w:id="2"/>
    </w:p>
    <w:p w14:paraId="3EA980A5" w14:textId="77777777" w:rsidR="00F730F9" w:rsidRPr="00D06CC0" w:rsidRDefault="00F730F9" w:rsidP="0099467B">
      <w:pPr>
        <w:jc w:val="center"/>
        <w:rPr>
          <w:rFonts w:ascii="Century Gothic" w:eastAsia="MS Mincho" w:hAnsi="Century Gothic" w:cstheme="majorHAnsi"/>
          <w:b/>
          <w:bCs/>
          <w:color w:val="000000"/>
          <w:sz w:val="22"/>
          <w:szCs w:val="22"/>
        </w:rPr>
      </w:pPr>
    </w:p>
    <w:p w14:paraId="5F30943F" w14:textId="77493D01" w:rsidR="00F730F9" w:rsidRPr="00D06CC0" w:rsidRDefault="00672DDD" w:rsidP="0099467B">
      <w:pPr>
        <w:jc w:val="both"/>
        <w:rPr>
          <w:rFonts w:ascii="Century Gothic" w:eastAsia="MS Mincho" w:hAnsi="Century Gothic" w:cstheme="majorHAnsi"/>
          <w:color w:val="000000"/>
          <w:sz w:val="22"/>
          <w:szCs w:val="22"/>
        </w:rPr>
      </w:pPr>
      <w:r w:rsidRPr="00D06CC0">
        <w:rPr>
          <w:rFonts w:ascii="Century Gothic" w:eastAsia="MS Mincho" w:hAnsi="Century Gothic" w:cstheme="majorHAnsi"/>
          <w:color w:val="000000"/>
          <w:sz w:val="22"/>
          <w:szCs w:val="22"/>
        </w:rPr>
        <w:t xml:space="preserve">O </w:t>
      </w:r>
      <w:r w:rsidRPr="00D06CC0">
        <w:rPr>
          <w:rFonts w:ascii="Century Gothic" w:eastAsia="MS Mincho" w:hAnsi="Century Gothic" w:cstheme="majorHAnsi"/>
          <w:b/>
          <w:color w:val="000000"/>
          <w:sz w:val="22"/>
          <w:szCs w:val="22"/>
        </w:rPr>
        <w:t>MUNICÍPIO DE CACHOEIRA GRANDE/MA</w:t>
      </w:r>
      <w:r w:rsidRPr="00D06CC0">
        <w:rPr>
          <w:rFonts w:ascii="Century Gothic" w:eastAsia="MS Mincho" w:hAnsi="Century Gothic" w:cstheme="majorHAnsi"/>
          <w:color w:val="000000"/>
          <w:sz w:val="22"/>
          <w:szCs w:val="22"/>
        </w:rPr>
        <w:t xml:space="preserve">, ATRAVÉS DA </w:t>
      </w:r>
      <w:r w:rsidRPr="00D06CC0">
        <w:rPr>
          <w:rFonts w:ascii="Century Gothic" w:eastAsia="MS Mincho" w:hAnsi="Century Gothic" w:cstheme="majorHAnsi"/>
          <w:b/>
          <w:color w:val="000000"/>
          <w:sz w:val="22"/>
          <w:szCs w:val="22"/>
        </w:rPr>
        <w:t>SECRETARIA MUNICIPAL DE ADMINISTRAÇÃO E PLANEJAMENTO DE CACHOEIRA GRANDE/MA</w:t>
      </w:r>
      <w:r w:rsidRPr="00D06CC0">
        <w:rPr>
          <w:rFonts w:ascii="Century Gothic" w:eastAsia="MS Mincho" w:hAnsi="Century Gothic" w:cstheme="majorHAnsi"/>
          <w:color w:val="000000"/>
          <w:sz w:val="22"/>
          <w:szCs w:val="22"/>
        </w:rPr>
        <w:t xml:space="preserve">, INSCRITA NO CNPJ SOB O Nº </w:t>
      </w:r>
      <w:r w:rsidRPr="00D06CC0">
        <w:rPr>
          <w:rFonts w:ascii="Century Gothic" w:eastAsia="MS Mincho" w:hAnsi="Century Gothic" w:cstheme="majorHAnsi"/>
          <w:b/>
          <w:color w:val="000000"/>
          <w:sz w:val="22"/>
          <w:szCs w:val="22"/>
        </w:rPr>
        <w:t>01.612.624/0001-22</w:t>
      </w:r>
      <w:r w:rsidRPr="00D06CC0">
        <w:rPr>
          <w:rFonts w:ascii="Century Gothic" w:eastAsia="MS Mincho" w:hAnsi="Century Gothic" w:cstheme="majorHAnsi"/>
          <w:color w:val="000000"/>
          <w:sz w:val="22"/>
          <w:szCs w:val="22"/>
        </w:rPr>
        <w:t xml:space="preserve">, SEDIADA NA RUA DO COMÉRCIO, S/N, CENTRO, CACHOEIRA GRANDE/MA, POR MEIO DO SECRETÁRIO MUNICIPAL DE ADMINISTRAÇÃO E PLANEJAMENTO </w:t>
      </w:r>
      <w:r w:rsidR="00262785" w:rsidRPr="00D06CC0">
        <w:rPr>
          <w:rFonts w:ascii="Century Gothic" w:eastAsia="MS Mincho" w:hAnsi="Century Gothic" w:cstheme="majorHAnsi"/>
          <w:color w:val="000000"/>
          <w:sz w:val="22"/>
          <w:szCs w:val="22"/>
        </w:rPr>
        <w:t xml:space="preserve">POR FORÇA DO DECRETO Nº 005/2021, DE 11 DE JANEIRO DE 2021, TORNA PÚBLICO, PARA CONHECIMENTO DOS INTERESSADOS, QUE A PREFEITURA MUNICIPAL, REALIZARÁ LICITAÇÃO NA MODALIDADE PREGÃO PARA REGISTRO DE PREÇOS, NA FORMA ELETRÔNICA, NOS TERMOS DA LEI Nº 14.133/2021, DA LEI COMPLEMENTAR Nº 123/2006, DA LEI Nº 11.488/2007 E DECRETO MUNICIPAL Nº 04 DE 21 DE MARÇO DE 2024, E DAS EXIGÊNCIAS ESTABELECIDAS NESTE EDITAL.  </w:t>
      </w:r>
    </w:p>
    <w:p w14:paraId="305E5737" w14:textId="77777777" w:rsidR="00262785" w:rsidRPr="00D06CC0" w:rsidRDefault="00262785" w:rsidP="0099467B">
      <w:pPr>
        <w:jc w:val="both"/>
        <w:rPr>
          <w:rFonts w:ascii="Century Gothic" w:eastAsia="MS Mincho" w:hAnsi="Century Gothic" w:cstheme="majorHAnsi"/>
          <w:b/>
          <w:bCs/>
          <w:sz w:val="22"/>
          <w:szCs w:val="22"/>
        </w:rPr>
      </w:pPr>
    </w:p>
    <w:p w14:paraId="65B40E6D" w14:textId="00D8F94F" w:rsidR="00F730F9" w:rsidRPr="00D06CC0" w:rsidRDefault="00F730F9" w:rsidP="0099467B">
      <w:pPr>
        <w:ind w:right="-2"/>
        <w:jc w:val="both"/>
        <w:rPr>
          <w:rFonts w:ascii="Century Gothic" w:eastAsia="MS Mincho" w:hAnsi="Century Gothic" w:cstheme="majorHAnsi"/>
          <w:sz w:val="22"/>
          <w:szCs w:val="22"/>
        </w:rPr>
      </w:pPr>
      <w:r w:rsidRPr="00D06CC0">
        <w:rPr>
          <w:rFonts w:ascii="Century Gothic" w:eastAsia="MS Mincho" w:hAnsi="Century Gothic" w:cstheme="majorHAnsi"/>
          <w:sz w:val="22"/>
          <w:szCs w:val="22"/>
        </w:rPr>
        <w:t>Os trabalhos serão conduzidos por servidor designad</w:t>
      </w:r>
      <w:r w:rsidR="0099467B" w:rsidRPr="00D06CC0">
        <w:rPr>
          <w:rFonts w:ascii="Century Gothic" w:eastAsia="MS Mincho" w:hAnsi="Century Gothic" w:cstheme="majorHAnsi"/>
          <w:sz w:val="22"/>
          <w:szCs w:val="22"/>
        </w:rPr>
        <w:t>o</w:t>
      </w:r>
      <w:r w:rsidRPr="00D06CC0">
        <w:rPr>
          <w:rFonts w:ascii="Century Gothic" w:eastAsia="MS Mincho" w:hAnsi="Century Gothic" w:cstheme="majorHAnsi"/>
          <w:sz w:val="22"/>
          <w:szCs w:val="22"/>
        </w:rPr>
        <w:t>, denominado Pregoeir</w:t>
      </w:r>
      <w:r w:rsidR="0099467B" w:rsidRPr="00D06CC0">
        <w:rPr>
          <w:rFonts w:ascii="Century Gothic" w:eastAsia="MS Mincho" w:hAnsi="Century Gothic" w:cstheme="majorHAnsi"/>
          <w:sz w:val="22"/>
          <w:szCs w:val="22"/>
        </w:rPr>
        <w:t>o</w:t>
      </w:r>
      <w:r w:rsidRPr="00D06CC0">
        <w:rPr>
          <w:rFonts w:ascii="Century Gothic" w:eastAsia="MS Mincho" w:hAnsi="Century Gothic" w:cstheme="majorHAnsi"/>
          <w:sz w:val="22"/>
          <w:szCs w:val="22"/>
        </w:rPr>
        <w:t xml:space="preserve">, mediante a inserção e monitoramento de dados gerados ou transferidos diretamente para a página eletrônica </w:t>
      </w:r>
      <w:hyperlink r:id="rId8">
        <w:r w:rsidRPr="00D06CC0">
          <w:rPr>
            <w:rFonts w:ascii="Century Gothic" w:eastAsia="MS Mincho" w:hAnsi="Century Gothic" w:cstheme="majorHAnsi"/>
            <w:b/>
            <w:color w:val="0000FF"/>
            <w:sz w:val="22"/>
            <w:szCs w:val="22"/>
            <w:u w:val="single"/>
          </w:rPr>
          <w:t>www.portaldecompraspublicas.com.br</w:t>
        </w:r>
      </w:hyperlink>
      <w:r w:rsidRPr="00D06CC0">
        <w:rPr>
          <w:rFonts w:ascii="Century Gothic" w:eastAsia="MS Mincho" w:hAnsi="Century Gothic" w:cstheme="majorHAnsi"/>
          <w:sz w:val="22"/>
          <w:szCs w:val="22"/>
        </w:rPr>
        <w:t>. A servidora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79A47C2" w14:textId="77777777" w:rsidR="00F730F9" w:rsidRPr="00D06CC0" w:rsidRDefault="00F730F9" w:rsidP="0099467B">
      <w:pPr>
        <w:jc w:val="both"/>
        <w:rPr>
          <w:rFonts w:ascii="Century Gothic" w:eastAsia="MS Mincho" w:hAnsi="Century Gothic" w:cstheme="majorHAnsi"/>
          <w:b/>
          <w:color w:val="000000"/>
          <w:sz w:val="22"/>
          <w:szCs w:val="22"/>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7300"/>
      </w:tblGrid>
      <w:tr w:rsidR="00F730F9" w:rsidRPr="00D06CC0" w14:paraId="23FDCD13"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04BFC75B" w14:textId="77777777" w:rsidR="00F730F9" w:rsidRPr="00D06CC0" w:rsidRDefault="00F730F9" w:rsidP="0099467B">
            <w:pPr>
              <w:jc w:val="center"/>
              <w:rPr>
                <w:rFonts w:ascii="Century Gothic" w:eastAsia="MS Mincho" w:hAnsi="Century Gothic" w:cstheme="majorHAnsi"/>
                <w:b/>
                <w:bCs/>
                <w:sz w:val="22"/>
                <w:szCs w:val="22"/>
              </w:rPr>
            </w:pPr>
            <w:r w:rsidRPr="00D06CC0">
              <w:rPr>
                <w:rFonts w:ascii="Century Gothic" w:eastAsia="MS Mincho" w:hAnsi="Century Gothic" w:cstheme="majorHAnsi"/>
                <w:b/>
                <w:bCs/>
                <w:sz w:val="22"/>
                <w:szCs w:val="22"/>
              </w:rPr>
              <w:t>ÓRGÃOS INTERESSADOS:</w:t>
            </w:r>
          </w:p>
        </w:tc>
        <w:tc>
          <w:tcPr>
            <w:tcW w:w="7300" w:type="dxa"/>
            <w:tcBorders>
              <w:top w:val="single" w:sz="4" w:space="0" w:color="auto"/>
              <w:left w:val="single" w:sz="4" w:space="0" w:color="auto"/>
              <w:bottom w:val="single" w:sz="4" w:space="0" w:color="auto"/>
              <w:right w:val="single" w:sz="4" w:space="0" w:color="auto"/>
            </w:tcBorders>
            <w:vAlign w:val="center"/>
            <w:hideMark/>
          </w:tcPr>
          <w:p w14:paraId="4C4F946C" w14:textId="4618375F" w:rsidR="00F730F9" w:rsidRPr="00D06CC0" w:rsidRDefault="00672DDD" w:rsidP="0099467B">
            <w:pPr>
              <w:autoSpaceDE w:val="0"/>
              <w:jc w:val="center"/>
              <w:rPr>
                <w:rFonts w:ascii="Century Gothic" w:hAnsi="Century Gothic" w:cstheme="majorHAnsi"/>
                <w:b/>
                <w:sz w:val="22"/>
                <w:szCs w:val="22"/>
              </w:rPr>
            </w:pPr>
            <w:r w:rsidRPr="00D06CC0">
              <w:rPr>
                <w:rFonts w:ascii="Century Gothic" w:hAnsi="Century Gothic" w:cstheme="majorHAnsi"/>
                <w:b/>
                <w:sz w:val="22"/>
                <w:szCs w:val="22"/>
              </w:rPr>
              <w:t>SECRETARIA MUNICIPAL DE ADMINISTRAÇÃO/EDUCAÇÃO/SAUDE E ASSISTENCIA SOCIAL</w:t>
            </w:r>
          </w:p>
        </w:tc>
      </w:tr>
      <w:tr w:rsidR="00F730F9" w:rsidRPr="00D06CC0" w14:paraId="3D0214F9"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5AB12393" w14:textId="3A31B07B" w:rsidR="00F730F9" w:rsidRPr="00D06CC0" w:rsidRDefault="00F730F9" w:rsidP="00EB48C4">
            <w:pPr>
              <w:jc w:val="both"/>
              <w:rPr>
                <w:rFonts w:ascii="Century Gothic" w:eastAsia="MS Mincho" w:hAnsi="Century Gothic" w:cstheme="majorHAnsi"/>
                <w:b/>
                <w:bCs/>
                <w:sz w:val="22"/>
                <w:szCs w:val="22"/>
              </w:rPr>
            </w:pPr>
            <w:r w:rsidRPr="00D06CC0">
              <w:rPr>
                <w:rFonts w:ascii="Century Gothic" w:eastAsia="MS Mincho" w:hAnsi="Century Gothic" w:cstheme="majorHAnsi"/>
                <w:b/>
                <w:bCs/>
                <w:sz w:val="22"/>
                <w:szCs w:val="22"/>
              </w:rPr>
              <w:t xml:space="preserve">DATA E HORA DE </w:t>
            </w:r>
            <w:r w:rsidR="00C84F60" w:rsidRPr="00D06CC0">
              <w:rPr>
                <w:rFonts w:ascii="Century Gothic" w:eastAsia="MS Mincho" w:hAnsi="Century Gothic" w:cstheme="majorHAnsi"/>
                <w:b/>
                <w:bCs/>
                <w:sz w:val="22"/>
                <w:szCs w:val="22"/>
              </w:rPr>
              <w:t>INÍCIO</w:t>
            </w:r>
            <w:r w:rsidRPr="00D06CC0">
              <w:rPr>
                <w:rFonts w:ascii="Century Gothic" w:eastAsia="MS Mincho" w:hAnsi="Century Gothic" w:cstheme="majorHAnsi"/>
                <w:b/>
                <w:bCs/>
                <w:sz w:val="22"/>
                <w:szCs w:val="22"/>
              </w:rPr>
              <w:t xml:space="preserve">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E97CA" w14:textId="73E016DC" w:rsidR="00F730F9" w:rsidRPr="00D06CC0" w:rsidRDefault="00672DDD" w:rsidP="00262785">
            <w:pPr>
              <w:jc w:val="center"/>
              <w:rPr>
                <w:rFonts w:ascii="Century Gothic" w:eastAsia="MS Mincho" w:hAnsi="Century Gothic" w:cstheme="majorHAnsi"/>
              </w:rPr>
            </w:pPr>
            <w:r w:rsidRPr="00D06CC0">
              <w:rPr>
                <w:rFonts w:ascii="Century Gothic" w:eastAsia="MS Mincho" w:hAnsi="Century Gothic" w:cstheme="majorHAnsi"/>
              </w:rPr>
              <w:t>11</w:t>
            </w:r>
            <w:r w:rsidR="00F730F9" w:rsidRPr="00D06CC0">
              <w:rPr>
                <w:rFonts w:ascii="Century Gothic" w:eastAsia="MS Mincho" w:hAnsi="Century Gothic" w:cstheme="majorHAnsi"/>
              </w:rPr>
              <w:t xml:space="preserve">H:00M DO DIA </w:t>
            </w:r>
            <w:r w:rsidR="00262785" w:rsidRPr="00D06CC0">
              <w:rPr>
                <w:rFonts w:ascii="Century Gothic" w:eastAsia="MS Mincho" w:hAnsi="Century Gothic" w:cstheme="majorHAnsi"/>
              </w:rPr>
              <w:t>05</w:t>
            </w:r>
            <w:r w:rsidR="00F730F9" w:rsidRPr="00D06CC0">
              <w:rPr>
                <w:rFonts w:ascii="Century Gothic" w:eastAsia="MS Mincho" w:hAnsi="Century Gothic" w:cstheme="majorHAnsi"/>
              </w:rPr>
              <w:t>/</w:t>
            </w:r>
            <w:r w:rsidR="00262785" w:rsidRPr="00D06CC0">
              <w:rPr>
                <w:rFonts w:ascii="Century Gothic" w:eastAsia="MS Mincho" w:hAnsi="Century Gothic" w:cstheme="majorHAnsi"/>
              </w:rPr>
              <w:t>05</w:t>
            </w:r>
            <w:r w:rsidR="00F730F9" w:rsidRPr="00D06CC0">
              <w:rPr>
                <w:rFonts w:ascii="Century Gothic" w:eastAsia="MS Mincho" w:hAnsi="Century Gothic" w:cstheme="majorHAnsi"/>
              </w:rPr>
              <w:t>/202</w:t>
            </w:r>
            <w:r w:rsidR="0099467B" w:rsidRPr="00D06CC0">
              <w:rPr>
                <w:rFonts w:ascii="Century Gothic" w:eastAsia="MS Mincho" w:hAnsi="Century Gothic" w:cstheme="majorHAnsi"/>
              </w:rPr>
              <w:t>5</w:t>
            </w:r>
            <w:r w:rsidR="00F730F9" w:rsidRPr="00D06CC0">
              <w:rPr>
                <w:rFonts w:ascii="Century Gothic" w:eastAsia="MS Mincho" w:hAnsi="Century Gothic" w:cstheme="majorHAnsi"/>
              </w:rPr>
              <w:t xml:space="preserve"> (HORÁRIO DE BRASÍLIA).</w:t>
            </w:r>
          </w:p>
        </w:tc>
      </w:tr>
      <w:tr w:rsidR="00F730F9" w:rsidRPr="00D06CC0" w14:paraId="151A7F1B"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13EB6036" w14:textId="36FA380A" w:rsidR="00F730F9" w:rsidRPr="00D06CC0" w:rsidRDefault="00F730F9" w:rsidP="00EB48C4">
            <w:pPr>
              <w:jc w:val="both"/>
              <w:rPr>
                <w:rFonts w:ascii="Century Gothic" w:eastAsia="MS Mincho" w:hAnsi="Century Gothic" w:cstheme="majorHAnsi"/>
                <w:b/>
                <w:bCs/>
                <w:sz w:val="22"/>
                <w:szCs w:val="22"/>
              </w:rPr>
            </w:pPr>
            <w:r w:rsidRPr="00D06CC0">
              <w:rPr>
                <w:rFonts w:ascii="Century Gothic" w:eastAsia="MS Mincho" w:hAnsi="Century Gothic" w:cstheme="majorHAnsi"/>
                <w:b/>
                <w:bCs/>
                <w:sz w:val="22"/>
                <w:szCs w:val="22"/>
              </w:rPr>
              <w:t xml:space="preserve">DATA E HORA LIMITE PARA </w:t>
            </w:r>
            <w:r w:rsidR="00C84F60" w:rsidRPr="00D06CC0">
              <w:rPr>
                <w:rFonts w:ascii="Century Gothic" w:eastAsia="MS Mincho" w:hAnsi="Century Gothic" w:cstheme="majorHAnsi"/>
                <w:b/>
                <w:bCs/>
                <w:sz w:val="22"/>
                <w:szCs w:val="22"/>
              </w:rPr>
              <w:t>IMPUGNAÇÃO ESCLARECIMENTO</w:t>
            </w:r>
            <w:r w:rsidRPr="00D06CC0">
              <w:rPr>
                <w:rFonts w:ascii="Century Gothic" w:eastAsia="MS Mincho" w:hAnsi="Century Gothic" w:cstheme="majorHAnsi"/>
                <w:b/>
                <w:bCs/>
                <w:sz w:val="22"/>
                <w:szCs w:val="22"/>
              </w:rPr>
              <w:t>:</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6C398" w14:textId="174EC8F0" w:rsidR="00F730F9" w:rsidRPr="00D06CC0" w:rsidRDefault="0099467B" w:rsidP="00262785">
            <w:pPr>
              <w:jc w:val="center"/>
              <w:rPr>
                <w:rFonts w:ascii="Century Gothic" w:eastAsia="MS Mincho" w:hAnsi="Century Gothic" w:cstheme="majorHAnsi"/>
              </w:rPr>
            </w:pPr>
            <w:r w:rsidRPr="00D06CC0">
              <w:rPr>
                <w:rFonts w:ascii="Century Gothic" w:eastAsia="MS Mincho" w:hAnsi="Century Gothic" w:cstheme="majorHAnsi"/>
              </w:rPr>
              <w:t>23</w:t>
            </w:r>
            <w:r w:rsidR="00F730F9" w:rsidRPr="00D06CC0">
              <w:rPr>
                <w:rFonts w:ascii="Century Gothic" w:eastAsia="MS Mincho" w:hAnsi="Century Gothic" w:cstheme="majorHAnsi"/>
              </w:rPr>
              <w:t>H:</w:t>
            </w:r>
            <w:r w:rsidRPr="00D06CC0">
              <w:rPr>
                <w:rFonts w:ascii="Century Gothic" w:eastAsia="MS Mincho" w:hAnsi="Century Gothic" w:cstheme="majorHAnsi"/>
              </w:rPr>
              <w:t>59</w:t>
            </w:r>
            <w:r w:rsidR="00F730F9" w:rsidRPr="00D06CC0">
              <w:rPr>
                <w:rFonts w:ascii="Century Gothic" w:eastAsia="MS Mincho" w:hAnsi="Century Gothic" w:cstheme="majorHAnsi"/>
              </w:rPr>
              <w:t xml:space="preserve">M DO DIA </w:t>
            </w:r>
            <w:r w:rsidR="00262785" w:rsidRPr="00D06CC0">
              <w:rPr>
                <w:rFonts w:ascii="Century Gothic" w:eastAsia="MS Mincho" w:hAnsi="Century Gothic" w:cstheme="majorHAnsi"/>
              </w:rPr>
              <w:t>14</w:t>
            </w:r>
            <w:r w:rsidR="00F730F9" w:rsidRPr="00D06CC0">
              <w:rPr>
                <w:rFonts w:ascii="Century Gothic" w:eastAsia="MS Mincho" w:hAnsi="Century Gothic" w:cstheme="majorHAnsi"/>
              </w:rPr>
              <w:t>/</w:t>
            </w:r>
            <w:r w:rsidR="00262785" w:rsidRPr="00D06CC0">
              <w:rPr>
                <w:rFonts w:ascii="Century Gothic" w:eastAsia="MS Mincho" w:hAnsi="Century Gothic" w:cstheme="majorHAnsi"/>
              </w:rPr>
              <w:t>05</w:t>
            </w:r>
            <w:r w:rsidR="00F730F9" w:rsidRPr="00D06CC0">
              <w:rPr>
                <w:rFonts w:ascii="Century Gothic" w:eastAsia="MS Mincho" w:hAnsi="Century Gothic" w:cstheme="majorHAnsi"/>
              </w:rPr>
              <w:t>/202</w:t>
            </w:r>
            <w:r w:rsidRPr="00D06CC0">
              <w:rPr>
                <w:rFonts w:ascii="Century Gothic" w:eastAsia="MS Mincho" w:hAnsi="Century Gothic" w:cstheme="majorHAnsi"/>
              </w:rPr>
              <w:t>5</w:t>
            </w:r>
            <w:r w:rsidR="00F730F9" w:rsidRPr="00D06CC0">
              <w:rPr>
                <w:rFonts w:ascii="Century Gothic" w:eastAsia="MS Mincho" w:hAnsi="Century Gothic" w:cstheme="majorHAnsi"/>
              </w:rPr>
              <w:t xml:space="preserve"> (HORÁRIO DE BRASÍLIA).</w:t>
            </w:r>
          </w:p>
        </w:tc>
      </w:tr>
      <w:tr w:rsidR="00F730F9" w:rsidRPr="00D06CC0" w14:paraId="4BDFBEF4"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48ADCF7" w14:textId="77777777" w:rsidR="00F730F9" w:rsidRPr="00D06CC0" w:rsidRDefault="00F730F9" w:rsidP="00EB48C4">
            <w:pPr>
              <w:jc w:val="both"/>
              <w:rPr>
                <w:rFonts w:ascii="Century Gothic" w:eastAsia="MS Mincho" w:hAnsi="Century Gothic" w:cstheme="majorHAnsi"/>
                <w:b/>
                <w:bCs/>
                <w:sz w:val="22"/>
                <w:szCs w:val="22"/>
              </w:rPr>
            </w:pPr>
            <w:r w:rsidRPr="00D06CC0">
              <w:rPr>
                <w:rFonts w:ascii="Century Gothic" w:eastAsia="MS Mincho" w:hAnsi="Century Gothic" w:cstheme="majorHAnsi"/>
                <w:b/>
                <w:bCs/>
                <w:sz w:val="22"/>
                <w:szCs w:val="22"/>
              </w:rPr>
              <w:t>DATA E HORA FINAL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BC55F" w14:textId="3CE7AA0C" w:rsidR="00F730F9" w:rsidRPr="00D06CC0" w:rsidRDefault="00672DDD" w:rsidP="00262785">
            <w:pPr>
              <w:jc w:val="center"/>
              <w:rPr>
                <w:rFonts w:ascii="Century Gothic" w:eastAsia="MS Mincho" w:hAnsi="Century Gothic" w:cstheme="majorHAnsi"/>
              </w:rPr>
            </w:pPr>
            <w:r w:rsidRPr="00D06CC0">
              <w:rPr>
                <w:rFonts w:ascii="Century Gothic" w:eastAsia="MS Mincho" w:hAnsi="Century Gothic" w:cstheme="majorHAnsi"/>
              </w:rPr>
              <w:t>11</w:t>
            </w:r>
            <w:r w:rsidR="00F730F9" w:rsidRPr="00D06CC0">
              <w:rPr>
                <w:rFonts w:ascii="Century Gothic" w:eastAsia="MS Mincho" w:hAnsi="Century Gothic" w:cstheme="majorHAnsi"/>
              </w:rPr>
              <w:t xml:space="preserve">H:00M DO DIA </w:t>
            </w:r>
            <w:r w:rsidR="00262785" w:rsidRPr="00D06CC0">
              <w:rPr>
                <w:rFonts w:ascii="Century Gothic" w:eastAsia="MS Mincho" w:hAnsi="Century Gothic" w:cstheme="majorHAnsi"/>
              </w:rPr>
              <w:t>19</w:t>
            </w:r>
            <w:r w:rsidR="00F730F9" w:rsidRPr="00D06CC0">
              <w:rPr>
                <w:rFonts w:ascii="Century Gothic" w:eastAsia="MS Mincho" w:hAnsi="Century Gothic" w:cstheme="majorHAnsi"/>
              </w:rPr>
              <w:t>/0</w:t>
            </w:r>
            <w:r w:rsidR="00623B86" w:rsidRPr="00D06CC0">
              <w:rPr>
                <w:rFonts w:ascii="Century Gothic" w:eastAsia="MS Mincho" w:hAnsi="Century Gothic" w:cstheme="majorHAnsi"/>
              </w:rPr>
              <w:t>5</w:t>
            </w:r>
            <w:r w:rsidR="00F730F9" w:rsidRPr="00D06CC0">
              <w:rPr>
                <w:rFonts w:ascii="Century Gothic" w:eastAsia="MS Mincho" w:hAnsi="Century Gothic" w:cstheme="majorHAnsi"/>
              </w:rPr>
              <w:t>/202</w:t>
            </w:r>
            <w:r w:rsidR="0099467B" w:rsidRPr="00D06CC0">
              <w:rPr>
                <w:rFonts w:ascii="Century Gothic" w:eastAsia="MS Mincho" w:hAnsi="Century Gothic" w:cstheme="majorHAnsi"/>
              </w:rPr>
              <w:t>5</w:t>
            </w:r>
            <w:r w:rsidR="00F730F9" w:rsidRPr="00D06CC0">
              <w:rPr>
                <w:rFonts w:ascii="Century Gothic" w:eastAsia="MS Mincho" w:hAnsi="Century Gothic" w:cstheme="majorHAnsi"/>
              </w:rPr>
              <w:t xml:space="preserve"> (HORÁRIO DE BRASÍLIA).</w:t>
            </w:r>
          </w:p>
        </w:tc>
      </w:tr>
      <w:tr w:rsidR="00F730F9" w:rsidRPr="00D06CC0" w14:paraId="425E803B"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61AD70A1" w14:textId="77777777" w:rsidR="00F730F9" w:rsidRPr="00D06CC0" w:rsidRDefault="00F730F9" w:rsidP="00EB48C4">
            <w:pPr>
              <w:jc w:val="both"/>
              <w:rPr>
                <w:rFonts w:ascii="Century Gothic" w:eastAsia="MS Mincho" w:hAnsi="Century Gothic" w:cstheme="majorHAnsi"/>
                <w:b/>
                <w:bCs/>
                <w:sz w:val="22"/>
                <w:szCs w:val="22"/>
              </w:rPr>
            </w:pPr>
            <w:r w:rsidRPr="00D06CC0">
              <w:rPr>
                <w:rFonts w:ascii="Century Gothic" w:eastAsia="MS Mincho" w:hAnsi="Century Gothic" w:cstheme="majorHAnsi"/>
                <w:b/>
                <w:bCs/>
                <w:sz w:val="22"/>
                <w:szCs w:val="22"/>
              </w:rPr>
              <w:t>DATA DE ABERTURA DAS PROPOSTAS – SESSÃO PÚBLICA: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55C6B019" w14:textId="1AFE205A" w:rsidR="00F730F9" w:rsidRPr="00D06CC0" w:rsidRDefault="00672DDD" w:rsidP="00262785">
            <w:pPr>
              <w:jc w:val="center"/>
              <w:rPr>
                <w:rFonts w:ascii="Century Gothic" w:eastAsia="MS Mincho" w:hAnsi="Century Gothic" w:cstheme="majorHAnsi"/>
              </w:rPr>
            </w:pPr>
            <w:r w:rsidRPr="00D06CC0">
              <w:rPr>
                <w:rFonts w:ascii="Century Gothic" w:eastAsia="MS Mincho" w:hAnsi="Century Gothic" w:cstheme="majorHAnsi"/>
              </w:rPr>
              <w:t>11</w:t>
            </w:r>
            <w:r w:rsidR="000B5939" w:rsidRPr="00D06CC0">
              <w:rPr>
                <w:rFonts w:ascii="Century Gothic" w:eastAsia="MS Mincho" w:hAnsi="Century Gothic" w:cstheme="majorHAnsi"/>
              </w:rPr>
              <w:t>h</w:t>
            </w:r>
            <w:r w:rsidR="00F730F9" w:rsidRPr="00D06CC0">
              <w:rPr>
                <w:rFonts w:ascii="Century Gothic" w:eastAsia="MS Mincho" w:hAnsi="Century Gothic" w:cstheme="majorHAnsi"/>
              </w:rPr>
              <w:t xml:space="preserve">:01M DO DIA </w:t>
            </w:r>
            <w:r w:rsidR="0052677B" w:rsidRPr="00D06CC0">
              <w:rPr>
                <w:rFonts w:ascii="Century Gothic" w:eastAsia="MS Mincho" w:hAnsi="Century Gothic" w:cstheme="majorHAnsi"/>
              </w:rPr>
              <w:t>22</w:t>
            </w:r>
            <w:r w:rsidR="00F730F9" w:rsidRPr="00D06CC0">
              <w:rPr>
                <w:rFonts w:ascii="Century Gothic" w:eastAsia="MS Mincho" w:hAnsi="Century Gothic" w:cstheme="majorHAnsi"/>
              </w:rPr>
              <w:t>/0</w:t>
            </w:r>
            <w:r w:rsidR="00623B86" w:rsidRPr="00D06CC0">
              <w:rPr>
                <w:rFonts w:ascii="Century Gothic" w:eastAsia="MS Mincho" w:hAnsi="Century Gothic" w:cstheme="majorHAnsi"/>
              </w:rPr>
              <w:t>5</w:t>
            </w:r>
            <w:r w:rsidR="00F730F9" w:rsidRPr="00D06CC0">
              <w:rPr>
                <w:rFonts w:ascii="Century Gothic" w:eastAsia="MS Mincho" w:hAnsi="Century Gothic" w:cstheme="majorHAnsi"/>
              </w:rPr>
              <w:t>/202</w:t>
            </w:r>
            <w:r w:rsidR="0099467B" w:rsidRPr="00D06CC0">
              <w:rPr>
                <w:rFonts w:ascii="Century Gothic" w:eastAsia="MS Mincho" w:hAnsi="Century Gothic" w:cstheme="majorHAnsi"/>
              </w:rPr>
              <w:t>5</w:t>
            </w:r>
            <w:r w:rsidR="00F730F9" w:rsidRPr="00D06CC0">
              <w:rPr>
                <w:rFonts w:ascii="Century Gothic" w:eastAsia="MS Mincho" w:hAnsi="Century Gothic" w:cstheme="majorHAnsi"/>
              </w:rPr>
              <w:t xml:space="preserve"> (HORÁRIO DE BRASÍLIA).</w:t>
            </w:r>
          </w:p>
        </w:tc>
      </w:tr>
      <w:tr w:rsidR="00F730F9" w:rsidRPr="00D06CC0" w14:paraId="68EDF0B0"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E6A2669" w14:textId="77777777" w:rsidR="00F730F9" w:rsidRPr="00D06CC0" w:rsidRDefault="00F730F9" w:rsidP="00EB48C4">
            <w:pPr>
              <w:jc w:val="center"/>
              <w:rPr>
                <w:rFonts w:ascii="Century Gothic" w:eastAsia="MS Mincho" w:hAnsi="Century Gothic" w:cstheme="majorHAnsi"/>
                <w:b/>
                <w:bCs/>
                <w:sz w:val="22"/>
                <w:szCs w:val="22"/>
              </w:rPr>
            </w:pPr>
            <w:r w:rsidRPr="00D06CC0">
              <w:rPr>
                <w:rFonts w:ascii="Century Gothic" w:eastAsia="MS Mincho" w:hAnsi="Century Gothic" w:cstheme="majorHAnsi"/>
                <w:b/>
                <w:bCs/>
                <w:sz w:val="22"/>
                <w:szCs w:val="22"/>
              </w:rPr>
              <w:t>LOCAL:</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09504EDC" w14:textId="77777777" w:rsidR="00F730F9" w:rsidRPr="00D06CC0" w:rsidRDefault="009E0ABC" w:rsidP="0099467B">
            <w:pPr>
              <w:jc w:val="center"/>
              <w:rPr>
                <w:rFonts w:ascii="Century Gothic" w:eastAsia="MS Mincho" w:hAnsi="Century Gothic" w:cstheme="majorHAnsi"/>
                <w:color w:val="000080"/>
                <w:sz w:val="22"/>
                <w:szCs w:val="22"/>
                <w:u w:val="single"/>
              </w:rPr>
            </w:pPr>
            <w:hyperlink r:id="rId9" w:history="1">
              <w:r w:rsidR="00F730F9" w:rsidRPr="00D06CC0">
                <w:rPr>
                  <w:rFonts w:ascii="Century Gothic" w:eastAsia="MS Mincho" w:hAnsi="Century Gothic" w:cstheme="majorHAnsi"/>
                  <w:color w:val="000080"/>
                  <w:sz w:val="22"/>
                  <w:szCs w:val="22"/>
                  <w:u w:val="single"/>
                </w:rPr>
                <w:t>www.portaldecompraspublicas.com.br</w:t>
              </w:r>
            </w:hyperlink>
          </w:p>
        </w:tc>
      </w:tr>
      <w:tr w:rsidR="00F730F9" w:rsidRPr="00D06CC0" w14:paraId="63831560"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0B377492" w14:textId="77777777" w:rsidR="00F730F9" w:rsidRPr="00D06CC0" w:rsidRDefault="00F730F9" w:rsidP="00EB48C4">
            <w:pPr>
              <w:jc w:val="center"/>
              <w:rPr>
                <w:rFonts w:ascii="Century Gothic" w:eastAsia="MS Mincho" w:hAnsi="Century Gothic" w:cstheme="majorHAnsi"/>
                <w:b/>
                <w:bCs/>
                <w:sz w:val="22"/>
                <w:szCs w:val="22"/>
              </w:rPr>
            </w:pPr>
            <w:r w:rsidRPr="00D06CC0">
              <w:rPr>
                <w:rFonts w:ascii="Century Gothic" w:eastAsia="MS Mincho" w:hAnsi="Century Gothic" w:cstheme="majorHAnsi"/>
                <w:b/>
                <w:bCs/>
                <w:sz w:val="22"/>
                <w:szCs w:val="22"/>
              </w:rPr>
              <w:t>MODO DE DISPUTA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697FB657" w14:textId="77777777" w:rsidR="00F730F9" w:rsidRPr="00D06CC0" w:rsidRDefault="00F730F9" w:rsidP="0099467B">
            <w:pPr>
              <w:jc w:val="center"/>
              <w:rPr>
                <w:rFonts w:ascii="Century Gothic" w:eastAsia="MS Mincho" w:hAnsi="Century Gothic" w:cstheme="majorHAnsi"/>
                <w:b/>
                <w:sz w:val="22"/>
                <w:szCs w:val="22"/>
              </w:rPr>
            </w:pPr>
            <w:r w:rsidRPr="00D06CC0">
              <w:rPr>
                <w:rFonts w:ascii="Century Gothic" w:eastAsia="MS Mincho" w:hAnsi="Century Gothic" w:cstheme="majorHAnsi"/>
                <w:b/>
                <w:sz w:val="22"/>
                <w:szCs w:val="22"/>
              </w:rPr>
              <w:t>ABERTO</w:t>
            </w:r>
          </w:p>
        </w:tc>
      </w:tr>
      <w:tr w:rsidR="00087051" w:rsidRPr="00D06CC0" w14:paraId="54823C9D" w14:textId="77777777" w:rsidTr="00034466">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1A924EAF" w14:textId="3858C947" w:rsidR="00087051" w:rsidRPr="00D06CC0" w:rsidRDefault="00087051" w:rsidP="00EB48C4">
            <w:pPr>
              <w:jc w:val="center"/>
              <w:rPr>
                <w:rFonts w:ascii="Century Gothic" w:eastAsia="MS Mincho" w:hAnsi="Century Gothic" w:cstheme="majorHAnsi"/>
                <w:b/>
                <w:bCs/>
                <w:sz w:val="22"/>
                <w:szCs w:val="22"/>
              </w:rPr>
            </w:pPr>
            <w:r w:rsidRPr="00D06CC0">
              <w:rPr>
                <w:rFonts w:ascii="Century Gothic" w:eastAsia="MS Mincho" w:hAnsi="Century Gothic" w:cstheme="majorHAnsi"/>
                <w:b/>
                <w:bCs/>
                <w:sz w:val="22"/>
                <w:szCs w:val="22"/>
              </w:rPr>
              <w:t>FASES</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79E154E1" w14:textId="6EE02020" w:rsidR="00087051" w:rsidRPr="00D06CC0" w:rsidRDefault="00087051" w:rsidP="0099467B">
            <w:pPr>
              <w:jc w:val="center"/>
              <w:rPr>
                <w:rFonts w:ascii="Century Gothic" w:eastAsia="MS Mincho" w:hAnsi="Century Gothic" w:cstheme="majorHAnsi"/>
                <w:b/>
                <w:sz w:val="22"/>
                <w:szCs w:val="22"/>
              </w:rPr>
            </w:pPr>
            <w:r w:rsidRPr="00D06CC0">
              <w:rPr>
                <w:rFonts w:ascii="Century Gothic" w:eastAsia="MS Mincho" w:hAnsi="Century Gothic" w:cstheme="majorHAnsi"/>
                <w:b/>
                <w:sz w:val="22"/>
                <w:szCs w:val="22"/>
              </w:rPr>
              <w:t>INVERSÃO DE FASES</w:t>
            </w:r>
          </w:p>
        </w:tc>
      </w:tr>
    </w:tbl>
    <w:p w14:paraId="453F72F7" w14:textId="77777777" w:rsidR="00F730F9" w:rsidRPr="00D06CC0" w:rsidRDefault="00F730F9" w:rsidP="00262785">
      <w:pPr>
        <w:pStyle w:val="Nivel010"/>
        <w:rPr>
          <w:rFonts w:ascii="Century Gothic" w:hAnsi="Century Gothic" w:cstheme="majorHAnsi"/>
          <w:lang w:eastAsia="en-US"/>
        </w:rPr>
      </w:pPr>
      <w:r w:rsidRPr="00D06CC0">
        <w:rPr>
          <w:rFonts w:ascii="Century Gothic" w:hAnsi="Century Gothic" w:cstheme="majorHAnsi"/>
          <w:lang w:eastAsia="en-US"/>
        </w:rPr>
        <w:lastRenderedPageBreak/>
        <w:t>DO OBJETO</w:t>
      </w:r>
    </w:p>
    <w:p w14:paraId="548306E7" w14:textId="64D7C315" w:rsidR="007A7621" w:rsidRPr="00D06CC0" w:rsidRDefault="00F730F9" w:rsidP="00034466">
      <w:pPr>
        <w:pStyle w:val="Nivel2"/>
        <w:rPr>
          <w:rFonts w:ascii="Century Gothic" w:hAnsi="Century Gothic" w:cstheme="majorHAnsi"/>
          <w:sz w:val="24"/>
          <w:szCs w:val="24"/>
        </w:rPr>
      </w:pPr>
      <w:r w:rsidRPr="00D06CC0">
        <w:rPr>
          <w:rFonts w:ascii="Century Gothic" w:hAnsi="Century Gothic" w:cstheme="majorHAnsi"/>
          <w:sz w:val="24"/>
          <w:szCs w:val="24"/>
        </w:rPr>
        <w:t xml:space="preserve">O objeto da presente licitação é a </w:t>
      </w:r>
      <w:r w:rsidR="00672DDD" w:rsidRPr="00D06CC0">
        <w:rPr>
          <w:rFonts w:ascii="Century Gothic" w:hAnsi="Century Gothic" w:cstheme="majorHAnsi"/>
          <w:b/>
          <w:bCs/>
          <w:sz w:val="24"/>
          <w:szCs w:val="24"/>
        </w:rPr>
        <w:t>REGISTRO DE PREÇOS PARA FUTURA E EVENTUAL CONTRATAÇÃO DE EMPRESA PARA FORNECIMENTO DE MATERIAL ESPORTIVO PARA ATENDER A DEMANDA DAS SECRETARIAS DO MUNICÍPIO DE CACHOEIRA GRANDE/MA</w:t>
      </w:r>
      <w:r w:rsidRPr="00D06CC0">
        <w:rPr>
          <w:rFonts w:ascii="Century Gothic" w:hAnsi="Century Gothic" w:cstheme="majorHAnsi"/>
          <w:sz w:val="24"/>
          <w:szCs w:val="24"/>
        </w:rPr>
        <w:t>, conforme condições, quantidades e exigências estabelecidas neste Edital e seus anexos.</w:t>
      </w:r>
      <w:bookmarkStart w:id="3" w:name="_Toc135469224"/>
    </w:p>
    <w:p w14:paraId="6AF715BD" w14:textId="02C570F7" w:rsidR="007A7621" w:rsidRPr="00D06CC0" w:rsidRDefault="007A7621" w:rsidP="007A7621">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O critério de julgamento adotado será o menor preço </w:t>
      </w:r>
      <w:r w:rsidR="001A23E4" w:rsidRPr="00D06CC0">
        <w:rPr>
          <w:rFonts w:ascii="Century Gothic" w:hAnsi="Century Gothic" w:cstheme="majorHAnsi"/>
          <w:sz w:val="24"/>
          <w:szCs w:val="24"/>
        </w:rPr>
        <w:t xml:space="preserve">por </w:t>
      </w:r>
      <w:r w:rsidR="008374B9" w:rsidRPr="00D06CC0">
        <w:rPr>
          <w:rFonts w:ascii="Century Gothic" w:hAnsi="Century Gothic" w:cstheme="majorHAnsi"/>
          <w:sz w:val="24"/>
          <w:szCs w:val="24"/>
        </w:rPr>
        <w:t>item</w:t>
      </w:r>
      <w:r w:rsidRPr="00D06CC0">
        <w:rPr>
          <w:rFonts w:ascii="Century Gothic" w:hAnsi="Century Gothic" w:cstheme="majorHAnsi"/>
          <w:sz w:val="24"/>
          <w:szCs w:val="24"/>
        </w:rPr>
        <w:t>, observadas as exigências contidas neste Edital e seus Anexos quanto às especificações do objeto.</w:t>
      </w:r>
    </w:p>
    <w:p w14:paraId="603F3431" w14:textId="77777777" w:rsidR="003F4CFE" w:rsidRPr="00D06CC0" w:rsidRDefault="003F4CFE" w:rsidP="003F4CFE">
      <w:pPr>
        <w:pStyle w:val="Nivel2"/>
        <w:rPr>
          <w:rFonts w:ascii="Century Gothic" w:hAnsi="Century Gothic" w:cstheme="majorHAnsi"/>
        </w:rPr>
      </w:pPr>
      <w:r w:rsidRPr="00D06CC0">
        <w:rPr>
          <w:rFonts w:ascii="Century Gothic" w:hAnsi="Century Gothic" w:cstheme="majorHAnsi"/>
        </w:rPr>
        <w:t>DO REGISTRO DE PREÇO</w:t>
      </w:r>
    </w:p>
    <w:p w14:paraId="6B8B761D" w14:textId="652175F2" w:rsidR="003F4CFE" w:rsidRPr="00D06CC0" w:rsidRDefault="003F4CFE" w:rsidP="003F4CFE">
      <w:pPr>
        <w:pStyle w:val="Nivel2"/>
        <w:rPr>
          <w:rFonts w:ascii="Century Gothic" w:hAnsi="Century Gothic" w:cstheme="majorHAnsi"/>
          <w:sz w:val="24"/>
          <w:szCs w:val="24"/>
        </w:rPr>
      </w:pPr>
      <w:r w:rsidRPr="00D06CC0">
        <w:rPr>
          <w:rFonts w:ascii="Century Gothic" w:hAnsi="Century Gothic" w:cstheme="majorHAnsi"/>
          <w:sz w:val="24"/>
          <w:szCs w:val="24"/>
        </w:rPr>
        <w:t>As regras referentes aos órgãos gerenciador e participantes, bem como a eventuais adesões são as que constam da minuta de Ata de Registro de Preços.</w:t>
      </w:r>
    </w:p>
    <w:p w14:paraId="356FD558" w14:textId="77777777" w:rsidR="00F730F9" w:rsidRPr="00D06CC0" w:rsidRDefault="00F730F9" w:rsidP="00262785">
      <w:pPr>
        <w:pStyle w:val="Nivel010"/>
        <w:rPr>
          <w:rFonts w:ascii="Century Gothic" w:hAnsi="Century Gothic" w:cstheme="majorHAnsi"/>
        </w:rPr>
      </w:pPr>
      <w:r w:rsidRPr="00D06CC0">
        <w:rPr>
          <w:rFonts w:ascii="Century Gothic" w:hAnsi="Century Gothic" w:cstheme="majorHAnsi"/>
        </w:rPr>
        <w:t xml:space="preserve">DO CREDENCIAMENTO </w:t>
      </w:r>
      <w:bookmarkEnd w:id="3"/>
    </w:p>
    <w:p w14:paraId="1E58723A"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Pregão é o nível básico do registro cadastral no PORTAL DE COMPRAS PÚBLICAS que permite a participação dos interessados na modalidade LICITATÓRIA PREGÃO, em sua FORMA ELETRÔNICA.</w:t>
      </w:r>
    </w:p>
    <w:p w14:paraId="4222EC11"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cadastro deverá ser feito no Portal de Compras Públicas, no sítio www.portaldecompraspublicas.com.br;</w:t>
      </w:r>
    </w:p>
    <w:p w14:paraId="50C72F93"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credenciamento junto ao provedor do sistema implica a responsabilidade do licitante ou de seu representante legal e a presunção de sua capacidade técnica para realização das transações inerentes a esta licitação.</w:t>
      </w:r>
    </w:p>
    <w:p w14:paraId="04790DB9"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310143A"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0AE4BA62"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lastRenderedPageBreak/>
        <w:t>A não observância do disposto no subitem anterior poderá ensejar desclassificação no momento da habilitação.</w:t>
      </w:r>
    </w:p>
    <w:p w14:paraId="03CEF5C1" w14:textId="77777777" w:rsidR="00F730F9" w:rsidRPr="00D06CC0" w:rsidRDefault="00F730F9" w:rsidP="00262785">
      <w:pPr>
        <w:pStyle w:val="Nivel010"/>
        <w:rPr>
          <w:rFonts w:ascii="Century Gothic" w:hAnsi="Century Gothic" w:cstheme="majorHAnsi"/>
        </w:rPr>
      </w:pPr>
      <w:r w:rsidRPr="00D06CC0">
        <w:rPr>
          <w:rFonts w:ascii="Century Gothic" w:hAnsi="Century Gothic" w:cstheme="majorHAnsi"/>
        </w:rPr>
        <w:t>DA PARTICIPAÇÃO NA LICITAÇÃO</w:t>
      </w:r>
    </w:p>
    <w:p w14:paraId="35B6B0C6" w14:textId="442B78B0" w:rsidR="00F730F9" w:rsidRPr="00D06CC0" w:rsidRDefault="00F730F9" w:rsidP="0099467B">
      <w:pPr>
        <w:pStyle w:val="Nivel2"/>
        <w:spacing w:line="240" w:lineRule="auto"/>
        <w:rPr>
          <w:rFonts w:ascii="Century Gothic" w:hAnsi="Century Gothic" w:cstheme="majorHAnsi"/>
          <w:sz w:val="24"/>
          <w:szCs w:val="24"/>
        </w:rPr>
      </w:pPr>
      <w:bookmarkStart w:id="4" w:name="_Hlk135302270"/>
      <w:r w:rsidRPr="00D06CC0">
        <w:rPr>
          <w:rFonts w:ascii="Century Gothic" w:hAnsi="Century Gothic" w:cstheme="majorHAnsi"/>
          <w:sz w:val="24"/>
          <w:szCs w:val="24"/>
        </w:rPr>
        <w:t>Poderão participar deste Pregão interessados cujo ramo de atividade seja compatível com o objeto desta licitação, e que estejam com Credenciamento regular no PORTAL DE COMPRAS PÚBLICAS.).</w:t>
      </w:r>
      <w:bookmarkEnd w:id="4"/>
    </w:p>
    <w:p w14:paraId="3CA87698"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5DA76D1"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0D0259"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não observância do disposto no item anterior poderá ensejar desclassificação no momento da habilitação.</w:t>
      </w:r>
    </w:p>
    <w:p w14:paraId="131FE2AE" w14:textId="77777777" w:rsidR="00F730F9" w:rsidRPr="00D06CC0" w:rsidRDefault="00F730F9" w:rsidP="0099467B">
      <w:pPr>
        <w:pStyle w:val="Nivel2"/>
        <w:spacing w:line="240" w:lineRule="auto"/>
        <w:rPr>
          <w:rFonts w:ascii="Century Gothic" w:eastAsia="Times New Roman" w:hAnsi="Century Gothic" w:cstheme="majorHAnsi"/>
          <w:color w:val="auto"/>
          <w:sz w:val="24"/>
          <w:szCs w:val="24"/>
        </w:rPr>
      </w:pPr>
      <w:r w:rsidRPr="00D06CC0">
        <w:rPr>
          <w:rFonts w:ascii="Century Gothic" w:hAnsi="Century Gothic" w:cstheme="majorHAnsi"/>
          <w:color w:val="auto"/>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4947F897" w14:textId="77777777" w:rsidR="00F730F9" w:rsidRPr="00D06CC0" w:rsidRDefault="00F730F9" w:rsidP="0099467B">
      <w:pPr>
        <w:pStyle w:val="Nivel2"/>
        <w:spacing w:line="240" w:lineRule="auto"/>
        <w:rPr>
          <w:rFonts w:ascii="Century Gothic" w:hAnsi="Century Gothic" w:cstheme="majorHAnsi"/>
          <w:sz w:val="24"/>
          <w:szCs w:val="24"/>
        </w:rPr>
      </w:pPr>
      <w:bookmarkStart w:id="5" w:name="_Ref117000692"/>
      <w:r w:rsidRPr="00D06CC0">
        <w:rPr>
          <w:rFonts w:ascii="Century Gothic" w:hAnsi="Century Gothic" w:cstheme="majorHAnsi"/>
          <w:sz w:val="24"/>
          <w:szCs w:val="24"/>
        </w:rPr>
        <w:t>Não poderão disputar esta licitação:</w:t>
      </w:r>
      <w:bookmarkEnd w:id="5"/>
    </w:p>
    <w:p w14:paraId="6918885A" w14:textId="77777777" w:rsidR="00F730F9" w:rsidRPr="00D06CC0" w:rsidRDefault="00F730F9" w:rsidP="0099467B">
      <w:pPr>
        <w:pStyle w:val="Nivel3"/>
        <w:spacing w:line="240" w:lineRule="auto"/>
        <w:rPr>
          <w:rFonts w:ascii="Century Gothic" w:hAnsi="Century Gothic" w:cstheme="majorHAnsi"/>
          <w:sz w:val="24"/>
          <w:szCs w:val="24"/>
        </w:rPr>
      </w:pPr>
      <w:bookmarkStart w:id="6" w:name="_Ref113883338"/>
      <w:r w:rsidRPr="00D06CC0">
        <w:rPr>
          <w:rFonts w:ascii="Century Gothic" w:hAnsi="Century Gothic" w:cstheme="majorHAnsi"/>
          <w:sz w:val="24"/>
          <w:szCs w:val="24"/>
        </w:rPr>
        <w:t>aquele que não atenda às condições deste Edital e seu(s) anexo(s);</w:t>
      </w:r>
    </w:p>
    <w:p w14:paraId="6D33DA2E" w14:textId="77777777" w:rsidR="00F730F9" w:rsidRPr="00D06CC0" w:rsidRDefault="00F730F9" w:rsidP="0099467B">
      <w:pPr>
        <w:pStyle w:val="Nivel3"/>
        <w:spacing w:line="240" w:lineRule="auto"/>
        <w:rPr>
          <w:rFonts w:ascii="Century Gothic" w:hAnsi="Century Gothic" w:cstheme="majorHAnsi"/>
          <w:sz w:val="24"/>
          <w:szCs w:val="24"/>
        </w:rPr>
      </w:pPr>
      <w:bookmarkStart w:id="7" w:name="_Ref114659912"/>
      <w:r w:rsidRPr="00D06CC0">
        <w:rPr>
          <w:rFonts w:ascii="Century Gothic" w:hAnsi="Century Gothic" w:cstheme="majorHAnsi"/>
          <w:sz w:val="24"/>
          <w:szCs w:val="24"/>
        </w:rPr>
        <w:t>autor do anteprojeto, do projeto básico ou do projeto executivo, pessoa física ou jurídica, quando a licitação versar sobre serviços ou fornecimento de bens a ele relacionados;</w:t>
      </w:r>
      <w:bookmarkEnd w:id="6"/>
      <w:bookmarkEnd w:id="7"/>
    </w:p>
    <w:p w14:paraId="79460FB8" w14:textId="77777777" w:rsidR="00F730F9" w:rsidRPr="00D06CC0" w:rsidRDefault="00F730F9" w:rsidP="0099467B">
      <w:pPr>
        <w:pStyle w:val="Nivel3"/>
        <w:spacing w:line="240" w:lineRule="auto"/>
        <w:rPr>
          <w:rFonts w:ascii="Century Gothic" w:hAnsi="Century Gothic" w:cstheme="majorHAnsi"/>
          <w:sz w:val="24"/>
          <w:szCs w:val="24"/>
        </w:rPr>
      </w:pPr>
      <w:bookmarkStart w:id="8" w:name="_Ref114659913"/>
      <w:bookmarkStart w:id="9" w:name="_Ref113883339"/>
      <w:r w:rsidRPr="00D06CC0">
        <w:rPr>
          <w:rFonts w:ascii="Century Gothic" w:hAnsi="Century Gothic" w:cstheme="maj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D06CC0">
        <w:rPr>
          <w:rFonts w:ascii="Century Gothic" w:hAnsi="Century Gothic" w:cstheme="majorHAnsi"/>
          <w:sz w:val="24"/>
          <w:szCs w:val="24"/>
        </w:rPr>
        <w:t xml:space="preserve"> </w:t>
      </w:r>
      <w:bookmarkEnd w:id="9"/>
    </w:p>
    <w:p w14:paraId="0FD5ED2C" w14:textId="77777777" w:rsidR="00F730F9" w:rsidRPr="00D06CC0" w:rsidRDefault="00F730F9" w:rsidP="0099467B">
      <w:pPr>
        <w:pStyle w:val="Nivel3"/>
        <w:spacing w:line="240" w:lineRule="auto"/>
        <w:rPr>
          <w:rFonts w:ascii="Century Gothic" w:hAnsi="Century Gothic" w:cstheme="majorHAnsi"/>
          <w:sz w:val="24"/>
          <w:szCs w:val="24"/>
        </w:rPr>
      </w:pPr>
      <w:bookmarkStart w:id="10" w:name="_Ref113883003"/>
      <w:r w:rsidRPr="00D06CC0">
        <w:rPr>
          <w:rFonts w:ascii="Century Gothic" w:hAnsi="Century Gothic" w:cstheme="majorHAnsi"/>
          <w:sz w:val="24"/>
          <w:szCs w:val="24"/>
        </w:rPr>
        <w:lastRenderedPageBreak/>
        <w:t>pessoa física ou jurídica que se encontre, ao tempo da licitação, impossibilitada de participar da licitação em decorrência de sanção que lhe foi imposta;</w:t>
      </w:r>
      <w:bookmarkEnd w:id="10"/>
    </w:p>
    <w:p w14:paraId="1CF8770B"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BB478" w14:textId="77777777" w:rsidR="00F730F9" w:rsidRPr="00D06CC0" w:rsidRDefault="00F730F9" w:rsidP="0099467B">
      <w:pPr>
        <w:pStyle w:val="Nivel3"/>
        <w:spacing w:line="240" w:lineRule="auto"/>
        <w:rPr>
          <w:rFonts w:ascii="Century Gothic" w:hAnsi="Century Gothic" w:cstheme="majorHAnsi"/>
          <w:sz w:val="24"/>
          <w:szCs w:val="24"/>
        </w:rPr>
      </w:pPr>
      <w:bookmarkStart w:id="11" w:name="_Ref113883579"/>
      <w:r w:rsidRPr="00D06CC0">
        <w:rPr>
          <w:rFonts w:ascii="Century Gothic" w:hAnsi="Century Gothic" w:cstheme="majorHAnsi"/>
          <w:sz w:val="24"/>
          <w:szCs w:val="24"/>
        </w:rPr>
        <w:t>empresas controladoras, controladas ou coligadas, nos termos da Lei nº 6.404, de 15 de dezembro de 1976, concorrendo entre si;</w:t>
      </w:r>
      <w:bookmarkEnd w:id="11"/>
    </w:p>
    <w:p w14:paraId="0D472069"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B31431" w14:textId="77777777" w:rsidR="00F730F9" w:rsidRPr="00D06CC0" w:rsidRDefault="00F730F9" w:rsidP="0099467B">
      <w:pPr>
        <w:pStyle w:val="Nivel3"/>
        <w:spacing w:line="240" w:lineRule="auto"/>
        <w:rPr>
          <w:rFonts w:ascii="Century Gothic" w:hAnsi="Century Gothic" w:cstheme="majorHAnsi"/>
          <w:sz w:val="24"/>
          <w:szCs w:val="24"/>
        </w:rPr>
      </w:pPr>
      <w:bookmarkStart w:id="12" w:name="_Ref113962336"/>
      <w:r w:rsidRPr="00D06CC0">
        <w:rPr>
          <w:rFonts w:ascii="Century Gothic" w:hAnsi="Century Gothic" w:cstheme="majorHAnsi"/>
          <w:sz w:val="24"/>
          <w:szCs w:val="24"/>
        </w:rPr>
        <w:t>agente público do órgão ou entidade licitante;</w:t>
      </w:r>
      <w:bookmarkEnd w:id="12"/>
    </w:p>
    <w:p w14:paraId="7D1A8789" w14:textId="77777777" w:rsidR="00F730F9" w:rsidRPr="00D06CC0" w:rsidRDefault="00F730F9" w:rsidP="0099467B">
      <w:pPr>
        <w:pStyle w:val="Nvel3-R"/>
        <w:spacing w:line="240" w:lineRule="auto"/>
        <w:rPr>
          <w:rFonts w:ascii="Century Gothic" w:hAnsi="Century Gothic" w:cstheme="majorHAnsi"/>
          <w:i w:val="0"/>
          <w:iCs w:val="0"/>
          <w:color w:val="auto"/>
          <w:sz w:val="24"/>
          <w:szCs w:val="24"/>
        </w:rPr>
      </w:pPr>
      <w:r w:rsidRPr="00D06CC0">
        <w:rPr>
          <w:rFonts w:ascii="Century Gothic" w:hAnsi="Century Gothic" w:cstheme="majorHAnsi"/>
          <w:i w:val="0"/>
          <w:iCs w:val="0"/>
          <w:color w:val="auto"/>
          <w:sz w:val="24"/>
          <w:szCs w:val="24"/>
        </w:rPr>
        <w:t>Pessoas jurídicas reunidas em consórcio;</w:t>
      </w:r>
    </w:p>
    <w:p w14:paraId="7DCE8B7A"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Organizações da Sociedade Civil de Interesse Público - OSCIP, atuando nessa condição;</w:t>
      </w:r>
    </w:p>
    <w:p w14:paraId="77C9B922"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D06CC0">
          <w:rPr>
            <w:rStyle w:val="Hyperlink"/>
            <w:rFonts w:ascii="Century Gothic" w:hAnsi="Century Gothic" w:cstheme="majorHAnsi"/>
            <w:sz w:val="24"/>
            <w:szCs w:val="24"/>
          </w:rPr>
          <w:t>§ 1º do art. 9º da Lei nº 14.133, de 2021</w:t>
        </w:r>
      </w:hyperlink>
      <w:r w:rsidRPr="00D06CC0">
        <w:rPr>
          <w:rFonts w:ascii="Century Gothic" w:hAnsi="Century Gothic" w:cstheme="majorHAnsi"/>
          <w:sz w:val="24"/>
          <w:szCs w:val="24"/>
        </w:rPr>
        <w:t>.</w:t>
      </w:r>
    </w:p>
    <w:p w14:paraId="10D04A43" w14:textId="3C2D5623"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O impedimento de que trata o item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_Ref113883003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1.14.4</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BD9806" w14:textId="4DE36A38" w:rsidR="00F730F9" w:rsidRPr="00D06CC0" w:rsidRDefault="00F730F9" w:rsidP="0099467B">
      <w:pPr>
        <w:pStyle w:val="Nivel2"/>
        <w:spacing w:line="240" w:lineRule="auto"/>
        <w:rPr>
          <w:rFonts w:ascii="Century Gothic" w:hAnsi="Century Gothic" w:cstheme="majorHAnsi"/>
          <w:sz w:val="24"/>
          <w:szCs w:val="24"/>
        </w:rPr>
      </w:pPr>
      <w:bookmarkStart w:id="13" w:name="art14§2"/>
      <w:bookmarkEnd w:id="13"/>
      <w:r w:rsidRPr="00D06CC0">
        <w:rPr>
          <w:rFonts w:ascii="Century Gothic" w:hAnsi="Century Gothic" w:cstheme="majorHAnsi"/>
          <w:sz w:val="24"/>
          <w:szCs w:val="24"/>
        </w:rPr>
        <w:t xml:space="preserve">A critério da Administração e exclusivamente a seu serviço, o autor dos projetos e a empresa a que se referem os itens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_Ref114659912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1.14.2</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e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_Ref114659913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1.14.3</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17DF40D" w14:textId="77777777" w:rsidR="00F730F9" w:rsidRPr="00D06CC0" w:rsidRDefault="00F730F9" w:rsidP="0099467B">
      <w:pPr>
        <w:pStyle w:val="Nivel2"/>
        <w:spacing w:line="240" w:lineRule="auto"/>
        <w:rPr>
          <w:rFonts w:ascii="Century Gothic" w:hAnsi="Century Gothic" w:cstheme="majorHAnsi"/>
          <w:sz w:val="24"/>
          <w:szCs w:val="24"/>
        </w:rPr>
      </w:pPr>
      <w:bookmarkStart w:id="14" w:name="art14§3"/>
      <w:bookmarkEnd w:id="14"/>
      <w:r w:rsidRPr="00D06CC0">
        <w:rPr>
          <w:rFonts w:ascii="Century Gothic" w:hAnsi="Century Gothic" w:cstheme="majorHAnsi"/>
          <w:sz w:val="24"/>
          <w:szCs w:val="24"/>
        </w:rPr>
        <w:lastRenderedPageBreak/>
        <w:t>Equiparam-se aos autores do projeto as empresas integrantes do mesmo grupo econômico.</w:t>
      </w:r>
    </w:p>
    <w:p w14:paraId="58085057" w14:textId="584EE5F0" w:rsidR="00F730F9" w:rsidRPr="00D06CC0" w:rsidRDefault="00F730F9" w:rsidP="0099467B">
      <w:pPr>
        <w:pStyle w:val="Nivel2"/>
        <w:spacing w:line="240" w:lineRule="auto"/>
        <w:rPr>
          <w:rFonts w:ascii="Century Gothic" w:hAnsi="Century Gothic" w:cstheme="majorHAnsi"/>
          <w:sz w:val="24"/>
          <w:szCs w:val="24"/>
        </w:rPr>
      </w:pPr>
      <w:bookmarkStart w:id="15" w:name="art14§4"/>
      <w:bookmarkEnd w:id="15"/>
      <w:r w:rsidRPr="00D06CC0">
        <w:rPr>
          <w:rFonts w:ascii="Century Gothic" w:hAnsi="Century Gothic" w:cstheme="majorHAnsi"/>
          <w:sz w:val="24"/>
          <w:szCs w:val="24"/>
        </w:rPr>
        <w:t xml:space="preserve">O disposto nos itens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_Ref114659912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1.14.2</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e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_Ref114659913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1.14.3</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1FF0D98" w14:textId="77777777" w:rsidR="00F730F9" w:rsidRPr="00D06CC0" w:rsidRDefault="00F730F9" w:rsidP="0099467B">
      <w:pPr>
        <w:pStyle w:val="Nivel2"/>
        <w:spacing w:line="240" w:lineRule="auto"/>
        <w:rPr>
          <w:rFonts w:ascii="Century Gothic" w:hAnsi="Century Gothic" w:cstheme="majorHAnsi"/>
          <w:sz w:val="24"/>
          <w:szCs w:val="24"/>
        </w:rPr>
      </w:pPr>
      <w:bookmarkStart w:id="16" w:name="art14§5"/>
      <w:bookmarkEnd w:id="16"/>
      <w:r w:rsidRPr="00D06CC0">
        <w:rPr>
          <w:rFonts w:ascii="Century Gothic" w:hAnsi="Century Gothic" w:cstheme="majorHAnsi"/>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D06CC0">
          <w:rPr>
            <w:rStyle w:val="Hyperlink"/>
            <w:rFonts w:ascii="Century Gothic" w:hAnsi="Century Gothic" w:cstheme="majorHAnsi"/>
            <w:sz w:val="24"/>
            <w:szCs w:val="24"/>
          </w:rPr>
          <w:t>Lei nº 14.133/2021</w:t>
        </w:r>
      </w:hyperlink>
      <w:r w:rsidRPr="00D06CC0">
        <w:rPr>
          <w:rFonts w:ascii="Century Gothic" w:hAnsi="Century Gothic" w:cstheme="majorHAnsi"/>
          <w:sz w:val="24"/>
          <w:szCs w:val="24"/>
        </w:rPr>
        <w:t>.</w:t>
      </w:r>
    </w:p>
    <w:p w14:paraId="40B96C6A" w14:textId="2AC438DD"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A vedação de que trata o item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_Ref113962336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1.14.8</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4810370" w14:textId="77777777" w:rsidR="00F730F9" w:rsidRPr="00D06CC0" w:rsidRDefault="00F730F9" w:rsidP="00262785">
      <w:pPr>
        <w:pStyle w:val="Nivel010"/>
        <w:rPr>
          <w:rFonts w:ascii="Century Gothic" w:hAnsi="Century Gothic" w:cstheme="majorHAnsi"/>
        </w:rPr>
      </w:pPr>
      <w:r w:rsidRPr="00D06CC0">
        <w:rPr>
          <w:rFonts w:ascii="Century Gothic" w:hAnsi="Century Gothic" w:cstheme="majorHAnsi"/>
        </w:rPr>
        <w:t>DA APRESENTAÇÃO DA PROPOSTA E DOS DOCUMENTOS DE HABILITAÇÃO</w:t>
      </w:r>
    </w:p>
    <w:p w14:paraId="046DACDE" w14:textId="77777777" w:rsidR="00F730F9" w:rsidRPr="00D06CC0" w:rsidRDefault="00F730F9" w:rsidP="0099467B">
      <w:pPr>
        <w:pStyle w:val="Nvel2-Red"/>
        <w:spacing w:line="240" w:lineRule="auto"/>
        <w:rPr>
          <w:rFonts w:ascii="Century Gothic" w:hAnsi="Century Gothic" w:cstheme="majorHAnsi"/>
          <w:i w:val="0"/>
          <w:iCs w:val="0"/>
          <w:color w:val="000000"/>
          <w:sz w:val="24"/>
          <w:szCs w:val="24"/>
        </w:rPr>
      </w:pPr>
      <w:r w:rsidRPr="00D06CC0">
        <w:rPr>
          <w:rFonts w:ascii="Century Gothic" w:hAnsi="Century Gothic" w:cstheme="majorHAnsi"/>
          <w:i w:val="0"/>
          <w:iCs w:val="0"/>
          <w:color w:val="000000"/>
          <w:sz w:val="24"/>
          <w:szCs w:val="24"/>
        </w:rPr>
        <w:t>O envio da proposta ocorrerá por meio de chave de acesso e senha.</w:t>
      </w:r>
    </w:p>
    <w:p w14:paraId="7E8D7791" w14:textId="3A6AE130" w:rsidR="00F730F9" w:rsidRPr="00D06CC0" w:rsidRDefault="00F730F9" w:rsidP="0099467B">
      <w:pPr>
        <w:pStyle w:val="Nivel2"/>
        <w:spacing w:line="240" w:lineRule="auto"/>
        <w:rPr>
          <w:rFonts w:ascii="Century Gothic" w:hAnsi="Century Gothic" w:cstheme="majorHAnsi"/>
          <w:sz w:val="24"/>
          <w:szCs w:val="24"/>
        </w:rPr>
      </w:pPr>
      <w:bookmarkStart w:id="17" w:name="_Ref113886867"/>
      <w:r w:rsidRPr="00D06CC0">
        <w:rPr>
          <w:rFonts w:ascii="Century Gothic" w:hAnsi="Century Gothic" w:cstheme="majorHAnsi"/>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32BCB74B" w14:textId="77777777" w:rsidR="00087051" w:rsidRPr="00D06CC0" w:rsidRDefault="00087051" w:rsidP="00087051">
      <w:pPr>
        <w:pStyle w:val="Nvel2-Red"/>
        <w:rPr>
          <w:rFonts w:ascii="Century Gothic" w:hAnsi="Century Gothic" w:cstheme="majorHAnsi"/>
          <w:i w:val="0"/>
          <w:iCs w:val="0"/>
          <w:color w:val="000000"/>
          <w:sz w:val="24"/>
          <w:szCs w:val="24"/>
        </w:rPr>
      </w:pPr>
      <w:r w:rsidRPr="00D06CC0">
        <w:rPr>
          <w:rFonts w:ascii="Century Gothic" w:hAnsi="Century Gothic" w:cstheme="majorHAnsi"/>
          <w:i w:val="0"/>
          <w:iCs w:val="0"/>
          <w:color w:val="000000"/>
          <w:sz w:val="24"/>
          <w:szCs w:val="24"/>
        </w:rPr>
        <w:t>Na presente licitação, a fase de habilitação antecederá as fases de apresentação de propostas e lances e de julgamento.</w:t>
      </w:r>
    </w:p>
    <w:p w14:paraId="0CD095D6" w14:textId="7852D946" w:rsidR="00087051" w:rsidRPr="00D06CC0" w:rsidRDefault="00087051" w:rsidP="00087051">
      <w:pPr>
        <w:pStyle w:val="Nvel2-Red"/>
        <w:numPr>
          <w:ilvl w:val="0"/>
          <w:numId w:val="0"/>
        </w:numPr>
        <w:ind w:left="708"/>
        <w:rPr>
          <w:rFonts w:ascii="Century Gothic" w:hAnsi="Century Gothic" w:cstheme="majorHAnsi"/>
          <w:i w:val="0"/>
          <w:iCs w:val="0"/>
          <w:color w:val="000000"/>
          <w:sz w:val="24"/>
          <w:szCs w:val="24"/>
        </w:rPr>
      </w:pPr>
      <w:r w:rsidRPr="00D06CC0">
        <w:rPr>
          <w:rFonts w:ascii="Century Gothic" w:hAnsi="Century Gothic" w:cstheme="majorHAnsi"/>
          <w:i w:val="0"/>
          <w:iCs w:val="0"/>
          <w:color w:val="000000"/>
          <w:sz w:val="24"/>
          <w:szCs w:val="24"/>
        </w:rPr>
        <w:t>24.1.1- Justificativa da inversão de fases:</w:t>
      </w:r>
    </w:p>
    <w:p w14:paraId="3910E133" w14:textId="41593BC0" w:rsidR="00087051" w:rsidRPr="00D06CC0" w:rsidRDefault="00087051" w:rsidP="00087051">
      <w:pPr>
        <w:pStyle w:val="Nvel2-Red"/>
        <w:numPr>
          <w:ilvl w:val="0"/>
          <w:numId w:val="0"/>
        </w:numPr>
        <w:ind w:left="708"/>
        <w:rPr>
          <w:rFonts w:ascii="Century Gothic" w:hAnsi="Century Gothic" w:cstheme="majorHAnsi"/>
          <w:i w:val="0"/>
          <w:iCs w:val="0"/>
          <w:color w:val="000000"/>
          <w:sz w:val="24"/>
          <w:szCs w:val="24"/>
        </w:rPr>
      </w:pPr>
      <w:r w:rsidRPr="00D06CC0">
        <w:rPr>
          <w:rFonts w:ascii="Century Gothic" w:hAnsi="Century Gothic" w:cstheme="majorHAnsi"/>
          <w:i w:val="0"/>
          <w:iCs w:val="0"/>
          <w:color w:val="000000"/>
          <w:sz w:val="24"/>
          <w:szCs w:val="24"/>
        </w:rPr>
        <w:t>24.1.1.1- Garantia da Qualificação do Licitante: A fase de habilitação tem o objetivo de verificar se o licitante atende aos requisitos legais, fiscais, trabalhistas e técnicos para a execução do contrato, conforme os critérios estabelecidos no edital. A fase de julgamento das propostas, por sua vez, tem a finalidade de avaliar o mérito da oferta. Portanto, antes de analisar a proposta em si, é necessário garantir que o licitante tenha a qualificação mínima necessária para participar da licitação e, caso seja vencedor, cumprir o contrato.</w:t>
      </w:r>
    </w:p>
    <w:p w14:paraId="579C2CAE" w14:textId="5DEADE3C" w:rsidR="00087051" w:rsidRPr="00D06CC0" w:rsidRDefault="00087051" w:rsidP="00087051">
      <w:pPr>
        <w:pStyle w:val="Nvel2-Red"/>
        <w:numPr>
          <w:ilvl w:val="0"/>
          <w:numId w:val="0"/>
        </w:numPr>
        <w:ind w:left="708"/>
        <w:rPr>
          <w:rFonts w:ascii="Century Gothic" w:hAnsi="Century Gothic" w:cstheme="majorHAnsi"/>
          <w:i w:val="0"/>
          <w:iCs w:val="0"/>
          <w:color w:val="000000"/>
          <w:sz w:val="24"/>
          <w:szCs w:val="24"/>
        </w:rPr>
      </w:pPr>
      <w:r w:rsidRPr="00D06CC0">
        <w:rPr>
          <w:rFonts w:ascii="Century Gothic" w:hAnsi="Century Gothic" w:cstheme="majorHAnsi"/>
          <w:i w:val="0"/>
          <w:iCs w:val="0"/>
          <w:color w:val="000000"/>
          <w:sz w:val="24"/>
          <w:szCs w:val="24"/>
        </w:rPr>
        <w:lastRenderedPageBreak/>
        <w:t>24.1.1.2- Evitar Julgamento de Propostas Irregulares: Evitar desperdício de tempo e recursos, uma vez que as propostas de licitantes inabilitados não poderiam ser contratadas. Dessa forma, a fase de habilitação garante que apenas as propostas de licitantes aptos sejam avaliadas.</w:t>
      </w:r>
    </w:p>
    <w:p w14:paraId="1D6AF02C" w14:textId="165C8CB3" w:rsidR="00087051" w:rsidRPr="00D06CC0" w:rsidRDefault="00087051" w:rsidP="00087051">
      <w:pPr>
        <w:pStyle w:val="Nvel2-Red"/>
        <w:numPr>
          <w:ilvl w:val="0"/>
          <w:numId w:val="0"/>
        </w:numPr>
        <w:ind w:left="708"/>
        <w:rPr>
          <w:rFonts w:ascii="Century Gothic" w:hAnsi="Century Gothic" w:cstheme="majorHAnsi"/>
          <w:i w:val="0"/>
          <w:iCs w:val="0"/>
          <w:color w:val="000000"/>
          <w:sz w:val="24"/>
          <w:szCs w:val="24"/>
        </w:rPr>
      </w:pPr>
      <w:r w:rsidRPr="00D06CC0">
        <w:rPr>
          <w:rFonts w:ascii="Century Gothic" w:hAnsi="Century Gothic" w:cstheme="majorHAnsi"/>
          <w:i w:val="0"/>
          <w:iCs w:val="0"/>
          <w:color w:val="000000"/>
          <w:sz w:val="24"/>
          <w:szCs w:val="24"/>
        </w:rPr>
        <w:t>24.1.1.3- 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314DAECD" w14:textId="778E6DE4" w:rsidR="00C5657B" w:rsidRPr="00D06CC0" w:rsidRDefault="00087051" w:rsidP="00087051">
      <w:pPr>
        <w:pStyle w:val="Nvel2-Red"/>
        <w:numPr>
          <w:ilvl w:val="0"/>
          <w:numId w:val="0"/>
        </w:numPr>
        <w:ind w:left="708"/>
        <w:rPr>
          <w:rFonts w:ascii="Century Gothic" w:hAnsi="Century Gothic" w:cstheme="majorHAnsi"/>
          <w:i w:val="0"/>
          <w:iCs w:val="0"/>
          <w:color w:val="000000"/>
          <w:sz w:val="24"/>
          <w:szCs w:val="24"/>
        </w:rPr>
      </w:pPr>
      <w:r w:rsidRPr="00D06CC0">
        <w:rPr>
          <w:rFonts w:ascii="Century Gothic" w:hAnsi="Century Gothic" w:cstheme="majorHAnsi"/>
          <w:i w:val="0"/>
          <w:iCs w:val="0"/>
          <w:color w:val="000000"/>
          <w:sz w:val="24"/>
          <w:szCs w:val="24"/>
        </w:rPr>
        <w:t>24.1.1.4- Eficiência Administrativa Evita o retrabalho. Caso um licitante não seja habilitado, suas propostas não precisam ser analisadas detalhadamente, o que economiza tempo e recursos do ente público. Apenas as propostas dos licitantes habilitados são avaliadas, o que torna o processo mais eficiente.</w:t>
      </w:r>
    </w:p>
    <w:p w14:paraId="1430FB5A" w14:textId="04422CBA" w:rsidR="00F730F9" w:rsidRPr="00D06CC0" w:rsidRDefault="00F730F9" w:rsidP="0099467B">
      <w:pPr>
        <w:pStyle w:val="Nivel2"/>
        <w:spacing w:line="240" w:lineRule="auto"/>
        <w:rPr>
          <w:rFonts w:ascii="Century Gothic" w:hAnsi="Century Gothic" w:cstheme="majorHAnsi"/>
          <w:sz w:val="24"/>
          <w:szCs w:val="24"/>
        </w:rPr>
      </w:pPr>
      <w:bookmarkStart w:id="18" w:name="_Ref113889589"/>
      <w:r w:rsidRPr="00D06CC0">
        <w:rPr>
          <w:rFonts w:ascii="Century Gothic" w:hAnsi="Century Gothic" w:cstheme="majorHAnsi"/>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99467B" w:rsidRPr="00D06CC0">
        <w:rPr>
          <w:rFonts w:ascii="Century Gothic" w:hAnsi="Century Gothic" w:cstheme="majorHAnsi"/>
          <w:sz w:val="24"/>
          <w:szCs w:val="24"/>
        </w:rPr>
        <w:t>5</w:t>
      </w:r>
      <w:r w:rsidRPr="00D06CC0">
        <w:rPr>
          <w:rFonts w:ascii="Century Gothic" w:hAnsi="Century Gothic" w:cstheme="majorHAnsi"/>
          <w:sz w:val="24"/>
          <w:szCs w:val="24"/>
        </w:rPr>
        <w:t xml:space="preserve"> e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_Ref114663151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1.117.1</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deste Edital.</w:t>
      </w:r>
      <w:bookmarkEnd w:id="18"/>
    </w:p>
    <w:p w14:paraId="362760F8" w14:textId="77777777" w:rsidR="00F730F9" w:rsidRPr="00D06CC0" w:rsidRDefault="00F730F9" w:rsidP="0099467B">
      <w:pPr>
        <w:pStyle w:val="Nivel2"/>
        <w:spacing w:line="240" w:lineRule="auto"/>
        <w:rPr>
          <w:rFonts w:ascii="Century Gothic" w:hAnsi="Century Gothic" w:cstheme="majorHAnsi"/>
          <w:sz w:val="24"/>
          <w:szCs w:val="24"/>
        </w:rPr>
      </w:pPr>
      <w:bookmarkStart w:id="19" w:name="_Ref113968921"/>
      <w:r w:rsidRPr="00D06CC0">
        <w:rPr>
          <w:rFonts w:ascii="Century Gothic" w:hAnsi="Century Gothic" w:cstheme="majorHAnsi"/>
          <w:sz w:val="24"/>
          <w:szCs w:val="24"/>
        </w:rPr>
        <w:t>No cadastramento da proposta inicial, o licitante declarará, em campo próprio do sistema, que:</w:t>
      </w:r>
      <w:bookmarkEnd w:id="19"/>
    </w:p>
    <w:p w14:paraId="1FBFE98E" w14:textId="77777777" w:rsidR="00F730F9" w:rsidRPr="00D06CC0" w:rsidRDefault="00F730F9" w:rsidP="0099467B">
      <w:pPr>
        <w:pStyle w:val="Nivel3"/>
        <w:spacing w:beforeLines="120" w:before="288" w:afterLines="120" w:after="288" w:line="240" w:lineRule="auto"/>
        <w:ind w:left="0" w:firstLine="709"/>
        <w:rPr>
          <w:rFonts w:ascii="Century Gothic" w:hAnsi="Century Gothic" w:cstheme="majorHAnsi"/>
          <w:color w:val="auto"/>
          <w:sz w:val="24"/>
          <w:szCs w:val="24"/>
        </w:rPr>
      </w:pPr>
      <w:r w:rsidRPr="00D06CC0">
        <w:rPr>
          <w:rFonts w:ascii="Century Gothic" w:hAnsi="Century Gothic" w:cstheme="majorHAnsi"/>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6FAFCD"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D06CC0">
          <w:rPr>
            <w:rStyle w:val="Hyperlink"/>
            <w:rFonts w:ascii="Century Gothic" w:hAnsi="Century Gothic" w:cstheme="majorHAnsi"/>
            <w:sz w:val="24"/>
            <w:szCs w:val="24"/>
          </w:rPr>
          <w:t>artigo 7°, XXXIII, da Constituição</w:t>
        </w:r>
      </w:hyperlink>
      <w:r w:rsidRPr="00D06CC0">
        <w:rPr>
          <w:rFonts w:ascii="Century Gothic" w:hAnsi="Century Gothic" w:cstheme="majorHAnsi"/>
          <w:sz w:val="24"/>
          <w:szCs w:val="24"/>
        </w:rPr>
        <w:t>;</w:t>
      </w:r>
    </w:p>
    <w:p w14:paraId="77B7FC53"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não possui empregados executando trabalho degradante ou forçado, observando o disposto nos </w:t>
      </w:r>
      <w:hyperlink r:id="rId13" w:history="1">
        <w:r w:rsidRPr="00D06CC0">
          <w:rPr>
            <w:rStyle w:val="Hyperlink"/>
            <w:rFonts w:ascii="Century Gothic" w:hAnsi="Century Gothic" w:cstheme="majorHAnsi"/>
            <w:sz w:val="24"/>
            <w:szCs w:val="24"/>
          </w:rPr>
          <w:t>incisos III e IV do art. 1º e no inciso III do art. 5º da Constituição Federal</w:t>
        </w:r>
      </w:hyperlink>
      <w:r w:rsidRPr="00D06CC0">
        <w:rPr>
          <w:rFonts w:ascii="Century Gothic" w:hAnsi="Century Gothic" w:cstheme="majorHAnsi"/>
          <w:sz w:val="24"/>
          <w:szCs w:val="24"/>
        </w:rPr>
        <w:t>;</w:t>
      </w:r>
    </w:p>
    <w:p w14:paraId="6857E679"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lastRenderedPageBreak/>
        <w:t>cumpre as exigências de reserva de cargos para pessoa com deficiência e para reabilitado da Previdência Social, previstas em lei e em outras normas específicas.</w:t>
      </w:r>
    </w:p>
    <w:p w14:paraId="0F31A692"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O licitante organizado em cooperativa deverá declarar, ainda, em campo próprio do sistema eletrônico, que cumpre os requisitos estabelecidos no </w:t>
      </w:r>
      <w:hyperlink r:id="rId14" w:anchor="art16">
        <w:r w:rsidRPr="00D06CC0">
          <w:rPr>
            <w:rStyle w:val="Hyperlink"/>
            <w:rFonts w:ascii="Century Gothic" w:hAnsi="Century Gothic" w:cstheme="majorHAnsi"/>
            <w:sz w:val="24"/>
            <w:szCs w:val="24"/>
          </w:rPr>
          <w:t>artigo 16 da Lei nº 14.133, de 2021</w:t>
        </w:r>
      </w:hyperlink>
      <w:r w:rsidRPr="00D06CC0">
        <w:rPr>
          <w:rFonts w:ascii="Century Gothic" w:hAnsi="Century Gothic" w:cstheme="majorHAnsi"/>
          <w:sz w:val="24"/>
          <w:szCs w:val="24"/>
        </w:rPr>
        <w:t>.</w:t>
      </w:r>
    </w:p>
    <w:p w14:paraId="7ECFF71E" w14:textId="77777777" w:rsidR="00F730F9" w:rsidRPr="00D06CC0" w:rsidRDefault="00F730F9" w:rsidP="0099467B">
      <w:pPr>
        <w:pStyle w:val="Nivel2"/>
        <w:spacing w:line="240" w:lineRule="auto"/>
        <w:rPr>
          <w:rFonts w:ascii="Century Gothic" w:hAnsi="Century Gothic" w:cstheme="majorHAnsi"/>
          <w:sz w:val="24"/>
          <w:szCs w:val="24"/>
        </w:rPr>
      </w:pPr>
      <w:bookmarkStart w:id="20" w:name="_Ref117000019"/>
      <w:r w:rsidRPr="00D06CC0">
        <w:rPr>
          <w:rFonts w:ascii="Century Gothic" w:hAnsi="Century Gothic" w:cstheme="majorHAnsi"/>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D06CC0">
          <w:rPr>
            <w:rStyle w:val="Hyperlink"/>
            <w:rFonts w:ascii="Century Gothic" w:hAnsi="Century Gothic" w:cstheme="majorHAnsi"/>
            <w:sz w:val="24"/>
            <w:szCs w:val="24"/>
          </w:rPr>
          <w:t>artigo 3° da Lei Complementar nº 123, de 2006</w:t>
        </w:r>
      </w:hyperlink>
      <w:r w:rsidRPr="00D06CC0">
        <w:rPr>
          <w:rFonts w:ascii="Century Gothic" w:hAnsi="Century Gothic" w:cstheme="majorHAnsi"/>
          <w:sz w:val="24"/>
          <w:szCs w:val="24"/>
        </w:rPr>
        <w:t xml:space="preserve">, estando apto a usufruir do tratamento favorecido estabelecido em seus </w:t>
      </w:r>
      <w:bookmarkEnd w:id="20"/>
      <w:r w:rsidRPr="00D06CC0">
        <w:rPr>
          <w:rFonts w:ascii="Century Gothic" w:hAnsi="Century Gothic" w:cstheme="majorHAnsi"/>
        </w:rPr>
        <w:fldChar w:fldCharType="begin"/>
      </w:r>
      <w:r w:rsidRPr="00D06CC0">
        <w:rPr>
          <w:rFonts w:ascii="Century Gothic" w:hAnsi="Century Gothic" w:cstheme="majorHAnsi"/>
          <w:sz w:val="24"/>
          <w:szCs w:val="24"/>
        </w:rPr>
        <w:instrText>HYPERLINK "https://www.planalto.gov.br/ccivil_03/leis/lcp/lcp123.htm" \l "art42"</w:instrText>
      </w:r>
      <w:r w:rsidRPr="00D06CC0">
        <w:rPr>
          <w:rFonts w:ascii="Century Gothic" w:hAnsi="Century Gothic" w:cstheme="majorHAnsi"/>
        </w:rPr>
        <w:fldChar w:fldCharType="separate"/>
      </w:r>
      <w:r w:rsidRPr="00D06CC0">
        <w:rPr>
          <w:rStyle w:val="Hyperlink"/>
          <w:rFonts w:ascii="Century Gothic" w:hAnsi="Century Gothic" w:cstheme="majorHAnsi"/>
          <w:sz w:val="24"/>
          <w:szCs w:val="24"/>
        </w:rPr>
        <w:t>arts. 42 a 49</w:t>
      </w:r>
      <w:r w:rsidRPr="00D06CC0">
        <w:rPr>
          <w:rStyle w:val="Hyperlink"/>
          <w:rFonts w:ascii="Century Gothic" w:hAnsi="Century Gothic" w:cstheme="majorHAnsi"/>
          <w:sz w:val="24"/>
          <w:szCs w:val="24"/>
        </w:rPr>
        <w:fldChar w:fldCharType="end"/>
      </w:r>
      <w:r w:rsidRPr="00D06CC0">
        <w:rPr>
          <w:rFonts w:ascii="Century Gothic" w:hAnsi="Century Gothic" w:cstheme="majorHAnsi"/>
          <w:sz w:val="24"/>
          <w:szCs w:val="24"/>
        </w:rPr>
        <w:t xml:space="preserve">, observado o disposto nos </w:t>
      </w:r>
      <w:hyperlink r:id="rId16" w:anchor="art4§1">
        <w:r w:rsidRPr="00D06CC0">
          <w:rPr>
            <w:rStyle w:val="Hyperlink"/>
            <w:rFonts w:ascii="Century Gothic" w:hAnsi="Century Gothic" w:cstheme="majorHAnsi"/>
            <w:sz w:val="24"/>
            <w:szCs w:val="24"/>
          </w:rPr>
          <w:t>§§ 1º ao 3º do art. 4º, da Lei n.º 14.133, de 2021.</w:t>
        </w:r>
      </w:hyperlink>
    </w:p>
    <w:p w14:paraId="0B483010"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no item exclusivo para participação de microempresas e empresas de pequeno porte, a assinalação do campo “não” impedirá o prosseguimento no certame, para aquele item;</w:t>
      </w:r>
    </w:p>
    <w:p w14:paraId="6B689A85"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D06CC0">
          <w:rPr>
            <w:rStyle w:val="Hyperlink"/>
            <w:rFonts w:ascii="Century Gothic" w:hAnsi="Century Gothic" w:cstheme="majorHAnsi"/>
            <w:sz w:val="24"/>
            <w:szCs w:val="24"/>
          </w:rPr>
          <w:t>Lei Complementar nº 123, de 2006</w:t>
        </w:r>
      </w:hyperlink>
      <w:r w:rsidRPr="00D06CC0">
        <w:rPr>
          <w:rFonts w:ascii="Century Gothic" w:hAnsi="Century Gothic" w:cstheme="majorHAnsi"/>
          <w:sz w:val="24"/>
          <w:szCs w:val="24"/>
        </w:rPr>
        <w:t>, mesmo que microempresa, empresa de pequeno porte ou sociedade cooperativa.</w:t>
      </w:r>
    </w:p>
    <w:p w14:paraId="26FCCFD0" w14:textId="6AA99FAE"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A falsidade da declaração de que trata os itens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_Ref113968921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25</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ou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_Ref117000019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27</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sujeitará o licitante às sanções previstas na </w:t>
      </w:r>
      <w:hyperlink r:id="rId18" w:history="1">
        <w:r w:rsidRPr="00D06CC0">
          <w:rPr>
            <w:rStyle w:val="Hyperlink"/>
            <w:rFonts w:ascii="Century Gothic" w:hAnsi="Century Gothic" w:cstheme="majorHAnsi"/>
            <w:sz w:val="24"/>
            <w:szCs w:val="24"/>
          </w:rPr>
          <w:t>Lei nº 14.133, de 2021</w:t>
        </w:r>
      </w:hyperlink>
      <w:r w:rsidRPr="00D06CC0">
        <w:rPr>
          <w:rFonts w:ascii="Century Gothic" w:hAnsi="Century Gothic" w:cstheme="majorHAnsi"/>
          <w:sz w:val="24"/>
          <w:szCs w:val="24"/>
        </w:rPr>
        <w:t>, e neste Edital.</w:t>
      </w:r>
    </w:p>
    <w:p w14:paraId="4BBD1CD4"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07C8AF"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2AAA8FC"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Serão disponibilizados para acesso público os documentos que compõem a proposta dos licitantes convocados para apresentação de propostas, após a fase de envio de lances.</w:t>
      </w:r>
    </w:p>
    <w:p w14:paraId="382182FF" w14:textId="77777777" w:rsidR="00F730F9" w:rsidRPr="00D06CC0" w:rsidRDefault="00F730F9" w:rsidP="0099467B">
      <w:pPr>
        <w:pStyle w:val="Nivel2"/>
        <w:spacing w:line="240" w:lineRule="auto"/>
        <w:rPr>
          <w:rFonts w:ascii="Century Gothic" w:hAnsi="Century Gothic" w:cstheme="majorHAnsi"/>
          <w:sz w:val="24"/>
          <w:szCs w:val="24"/>
        </w:rPr>
      </w:pPr>
      <w:bookmarkStart w:id="21" w:name="_Ref116992247"/>
      <w:r w:rsidRPr="00D06CC0">
        <w:rPr>
          <w:rFonts w:ascii="Century Gothic" w:hAnsi="Century Gothic" w:cstheme="maj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78AB33FE"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lastRenderedPageBreak/>
        <w:t>O valor final mínimo ou o percentual de desconto final máximo parametrizado no sistema poderá ser alterado pelo fornecedor durante a fase de disputa, sendo vedado:</w:t>
      </w:r>
    </w:p>
    <w:p w14:paraId="5AF6A2CA" w14:textId="77777777" w:rsidR="00F730F9" w:rsidRPr="00D06CC0" w:rsidRDefault="00F730F9" w:rsidP="0099467B">
      <w:pPr>
        <w:pStyle w:val="Nivel2"/>
        <w:spacing w:line="240" w:lineRule="auto"/>
        <w:rPr>
          <w:rFonts w:ascii="Century Gothic" w:eastAsia="Times New Roman" w:hAnsi="Century Gothic" w:cstheme="majorHAnsi"/>
          <w:sz w:val="24"/>
          <w:szCs w:val="24"/>
        </w:rPr>
      </w:pPr>
      <w:r w:rsidRPr="00D06CC0">
        <w:rPr>
          <w:rFonts w:ascii="Century Gothic" w:eastAsia="Times New Roman" w:hAnsi="Century Gothic" w:cstheme="majorHAnsi"/>
          <w:sz w:val="24"/>
          <w:szCs w:val="24"/>
        </w:rPr>
        <w:t xml:space="preserve">Caberá ao licitante interessado em participar da licitação </w:t>
      </w:r>
      <w:r w:rsidRPr="00D06CC0">
        <w:rPr>
          <w:rFonts w:ascii="Century Gothic" w:hAnsi="Century Gothic" w:cstheme="maj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2D0019D"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eastAsia="Times New Roman" w:hAnsi="Century Gothic" w:cstheme="majorHAnsi"/>
          <w:sz w:val="24"/>
          <w:szCs w:val="24"/>
        </w:rPr>
        <w:t xml:space="preserve">O licitante deverá </w:t>
      </w:r>
      <w:r w:rsidRPr="00D06CC0">
        <w:rPr>
          <w:rFonts w:ascii="Century Gothic" w:hAnsi="Century Gothic" w:cstheme="majorHAnsi"/>
          <w:sz w:val="24"/>
          <w:szCs w:val="24"/>
        </w:rPr>
        <w:t>comunicar imediatamente ao provedor do sistema qualquer acontecimento que possa comprometer o sigilo ou a segurança, para imediato bloqueio de acesso.</w:t>
      </w:r>
    </w:p>
    <w:p w14:paraId="40DAC2E5" w14:textId="77777777" w:rsidR="00F730F9" w:rsidRPr="00D06CC0" w:rsidRDefault="00F730F9" w:rsidP="00262785">
      <w:pPr>
        <w:pStyle w:val="Nivel010"/>
        <w:rPr>
          <w:rFonts w:ascii="Century Gothic" w:hAnsi="Century Gothic" w:cstheme="majorHAnsi"/>
        </w:rPr>
      </w:pPr>
      <w:r w:rsidRPr="00D06CC0">
        <w:rPr>
          <w:rFonts w:ascii="Century Gothic" w:hAnsi="Century Gothic" w:cstheme="majorHAnsi"/>
        </w:rPr>
        <w:t>DO PREENCHIMENTO DA PROPOSTA</w:t>
      </w:r>
    </w:p>
    <w:p w14:paraId="2373A362" w14:textId="77777777" w:rsidR="00F730F9" w:rsidRPr="00D06CC0" w:rsidRDefault="00F730F9" w:rsidP="0099467B">
      <w:pPr>
        <w:pStyle w:val="Nivel2"/>
        <w:spacing w:line="240" w:lineRule="auto"/>
        <w:rPr>
          <w:rFonts w:ascii="Century Gothic" w:eastAsia="Times New Roman" w:hAnsi="Century Gothic" w:cstheme="majorHAnsi"/>
          <w:sz w:val="24"/>
          <w:szCs w:val="24"/>
        </w:rPr>
      </w:pPr>
      <w:r w:rsidRPr="00D06CC0">
        <w:rPr>
          <w:rFonts w:ascii="Century Gothic" w:hAnsi="Century Gothic" w:cstheme="majorHAnsi"/>
          <w:sz w:val="24"/>
          <w:szCs w:val="24"/>
        </w:rPr>
        <w:t>O licitante deverá enviar sua proposta mediante o preenchimento, no sistema eletrônico, dos seguintes campos:</w:t>
      </w:r>
    </w:p>
    <w:p w14:paraId="24D731F0" w14:textId="77777777" w:rsidR="007A7621" w:rsidRPr="00D06CC0" w:rsidRDefault="007A7621" w:rsidP="007A7621">
      <w:pPr>
        <w:pStyle w:val="Nivel2"/>
        <w:rPr>
          <w:rFonts w:ascii="Century Gothic" w:hAnsi="Century Gothic" w:cstheme="majorHAnsi"/>
          <w:sz w:val="24"/>
          <w:szCs w:val="24"/>
        </w:rPr>
      </w:pPr>
      <w:r w:rsidRPr="00D06CC0">
        <w:rPr>
          <w:rFonts w:ascii="Century Gothic" w:hAnsi="Century Gothic" w:cstheme="majorHAnsi"/>
          <w:sz w:val="24"/>
          <w:szCs w:val="24"/>
        </w:rPr>
        <w:t>Descrição detalhada do objeto, contendo as informações e especificações do Projeto básico.</w:t>
      </w:r>
    </w:p>
    <w:p w14:paraId="6F53DE16" w14:textId="1E50C82F" w:rsidR="007A7621" w:rsidRPr="00D06CC0" w:rsidRDefault="007A7621" w:rsidP="007A7621">
      <w:pPr>
        <w:pStyle w:val="Nivel2"/>
        <w:rPr>
          <w:rFonts w:ascii="Century Gothic" w:hAnsi="Century Gothic" w:cstheme="majorHAnsi"/>
          <w:sz w:val="24"/>
          <w:szCs w:val="24"/>
        </w:rPr>
      </w:pPr>
      <w:r w:rsidRPr="00D06CC0">
        <w:rPr>
          <w:rFonts w:ascii="Century Gothic" w:hAnsi="Century Gothic" w:cstheme="majorHAnsi"/>
          <w:sz w:val="24"/>
          <w:szCs w:val="24"/>
        </w:rPr>
        <w:t xml:space="preserve"> Proposta Juntada a documentação de habilitação conforme projeto básico.</w:t>
      </w:r>
    </w:p>
    <w:p w14:paraId="6C51C01C"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Todas as especificações do objeto contidas na proposta vinculam o licitante.</w:t>
      </w:r>
    </w:p>
    <w:p w14:paraId="1743DD8C" w14:textId="77777777" w:rsidR="00F730F9" w:rsidRPr="00D06CC0" w:rsidRDefault="00F730F9" w:rsidP="0099467B">
      <w:pPr>
        <w:pStyle w:val="Nivel3"/>
        <w:spacing w:line="240" w:lineRule="auto"/>
        <w:rPr>
          <w:rStyle w:val="normaltextrun"/>
          <w:rFonts w:ascii="Century Gothic" w:hAnsi="Century Gothic" w:cstheme="majorHAnsi"/>
          <w:sz w:val="24"/>
          <w:szCs w:val="24"/>
        </w:rPr>
      </w:pPr>
      <w:r w:rsidRPr="00D06CC0">
        <w:rPr>
          <w:rStyle w:val="normaltextrun"/>
          <w:rFonts w:ascii="Century Gothic" w:hAnsi="Century Gothic" w:cstheme="majorHAnsi"/>
          <w:sz w:val="24"/>
          <w:szCs w:val="24"/>
        </w:rPr>
        <w:t xml:space="preserve"> O licitante [NÃO] poderá oferecer proposta em quantitativo inferior ao máximo previsto para contratação.</w:t>
      </w:r>
    </w:p>
    <w:p w14:paraId="21970294"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Nos valores propostos estarão inclusos todos os custos operacionais, encargos previdenciários, trabalhistas, tributários, comerciais e quaisquer outros que incidam direta ou indiretamente na execução do objeto.</w:t>
      </w:r>
    </w:p>
    <w:p w14:paraId="394A9C84"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E6348FE"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1F43EB2"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lastRenderedPageBreak/>
        <w:t>Independentemente do percentual de tributo inserido na planilha, no pagamento serão retidos na fonte os percentuais estabelecidos na legislação vigente.</w:t>
      </w:r>
    </w:p>
    <w:p w14:paraId="52160768" w14:textId="77777777" w:rsidR="00F730F9" w:rsidRPr="00D06CC0" w:rsidRDefault="00F730F9" w:rsidP="0099467B">
      <w:pPr>
        <w:pStyle w:val="Nvel2-Red"/>
        <w:spacing w:line="240" w:lineRule="auto"/>
        <w:rPr>
          <w:rFonts w:ascii="Century Gothic" w:hAnsi="Century Gothic" w:cstheme="majorHAnsi"/>
          <w:i w:val="0"/>
          <w:iCs w:val="0"/>
          <w:color w:val="auto"/>
          <w:sz w:val="24"/>
          <w:szCs w:val="24"/>
        </w:rPr>
      </w:pPr>
      <w:r w:rsidRPr="00D06CC0">
        <w:rPr>
          <w:rFonts w:ascii="Century Gothic" w:hAnsi="Century Gothic" w:cstheme="majorHAnsi"/>
          <w:i w:val="0"/>
          <w:iCs w:val="0"/>
          <w:color w:val="auto"/>
          <w:sz w:val="24"/>
          <w:szCs w:val="24"/>
        </w:rPr>
        <w:t>Na presente licitação, a Microempresa e a Empresa de Pequeno Porte poderão se beneficiar do regime de tributação pelo Simples Nacional.</w:t>
      </w:r>
    </w:p>
    <w:p w14:paraId="32270B55"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EEA7A99"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O prazo de validade da proposta não será inferior a 60 (sessenta) dias</w:t>
      </w:r>
      <w:r w:rsidRPr="00D06CC0">
        <w:rPr>
          <w:rFonts w:ascii="Century Gothic" w:hAnsi="Century Gothic" w:cstheme="majorHAnsi"/>
          <w:b/>
          <w:sz w:val="24"/>
          <w:szCs w:val="24"/>
        </w:rPr>
        <w:t>,</w:t>
      </w:r>
      <w:r w:rsidRPr="00D06CC0">
        <w:rPr>
          <w:rFonts w:ascii="Century Gothic" w:hAnsi="Century Gothic" w:cstheme="majorHAnsi"/>
          <w:sz w:val="24"/>
          <w:szCs w:val="24"/>
        </w:rPr>
        <w:t xml:space="preserve"> a contar da data de sua apresentação.</w:t>
      </w:r>
    </w:p>
    <w:p w14:paraId="246DF455"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Os licitantes devem respeitar os preços máximos estabelecidos nas normas de regência de contratações públicas federais, quando participarem de licitações públicas;</w:t>
      </w:r>
    </w:p>
    <w:p w14:paraId="294335ED"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Caso o critério de julgamento seja o de maior desconto, o preço já decorrente da aplicação do desconto ofertado deverá respeitar os preços máximos previstos no Termo de Referência.</w:t>
      </w:r>
    </w:p>
    <w:p w14:paraId="4E624DFB" w14:textId="77777777" w:rsidR="00087051" w:rsidRPr="00D06CC0" w:rsidRDefault="00F730F9" w:rsidP="00087051">
      <w:pPr>
        <w:pStyle w:val="Nivel2"/>
        <w:spacing w:line="240" w:lineRule="auto"/>
        <w:rPr>
          <w:rFonts w:ascii="Century Gothic" w:eastAsia="Times New Roman" w:hAnsi="Century Gothic" w:cstheme="majorHAnsi"/>
          <w:sz w:val="24"/>
          <w:szCs w:val="24"/>
        </w:rPr>
      </w:pPr>
      <w:r w:rsidRPr="00D06CC0">
        <w:rPr>
          <w:rFonts w:ascii="Century Gothic" w:hAnsi="Century Gothic" w:cstheme="majorHAnsi"/>
          <w:sz w:val="24"/>
          <w:szCs w:val="24"/>
        </w:rPr>
        <w:t xml:space="preserve">O descumprimento das regras supramencionadas pela Administração por parte dos contratados pode ensejar a </w:t>
      </w:r>
      <w:r w:rsidRPr="00D06CC0">
        <w:rPr>
          <w:rFonts w:ascii="Century Gothic" w:hAnsi="Century Gothic" w:cstheme="majorHAnsi"/>
          <w:color w:val="000000" w:themeColor="text1"/>
          <w:sz w:val="24"/>
          <w:szCs w:val="24"/>
        </w:rPr>
        <w:t>responsabilização pelo</w:t>
      </w:r>
      <w:r w:rsidRPr="00D06CC0">
        <w:rPr>
          <w:rFonts w:ascii="Century Gothic" w:hAnsi="Century Gothic" w:cstheme="majorHAnsi"/>
          <w:sz w:val="24"/>
          <w:szCs w:val="24"/>
        </w:rPr>
        <w:t xml:space="preserve"> Tribunal de Contas da União e, após o devido processo legal, gerar as seguintes consequências: assinatura de prazo para a adoção das medidas necessárias ao exato cumprimento da lei, nos termos do </w:t>
      </w:r>
      <w:hyperlink r:id="rId19" w:history="1">
        <w:r w:rsidRPr="00D06CC0">
          <w:rPr>
            <w:rStyle w:val="Hyperlink"/>
            <w:rFonts w:ascii="Century Gothic" w:hAnsi="Century Gothic" w:cstheme="majorHAnsi"/>
            <w:sz w:val="24"/>
            <w:szCs w:val="24"/>
          </w:rPr>
          <w:t>art. 71, inciso IX, da Constituição</w:t>
        </w:r>
      </w:hyperlink>
      <w:r w:rsidRPr="00D06CC0">
        <w:rPr>
          <w:rFonts w:ascii="Century Gothic" w:hAnsi="Century Gothic" w:cstheme="majorHAnsi"/>
          <w:sz w:val="24"/>
          <w:szCs w:val="24"/>
        </w:rPr>
        <w:t>; ou condenação dos agentes públicos responsáveis e da empresa contratada ao pagamento dos prejuízos ao erário, caso verificada a ocorrência de superfaturamento por sobrepreço na execução do contrato.</w:t>
      </w:r>
    </w:p>
    <w:p w14:paraId="33A50657" w14:textId="77777777" w:rsidR="00F730F9" w:rsidRPr="00D06CC0" w:rsidRDefault="00F730F9" w:rsidP="00262785">
      <w:pPr>
        <w:pStyle w:val="Nivel010"/>
        <w:rPr>
          <w:rFonts w:ascii="Century Gothic" w:hAnsi="Century Gothic" w:cstheme="majorHAnsi"/>
        </w:rPr>
      </w:pPr>
      <w:r w:rsidRPr="00D06CC0">
        <w:rPr>
          <w:rFonts w:ascii="Century Gothic" w:hAnsi="Century Gothic" w:cstheme="majorHAnsi"/>
        </w:rPr>
        <w:t>DA ABERTURA DA SESSÃO, CLASSIFICAÇÃO DAS PROPOSTAS E FORMULAÇÃO DE LANCES</w:t>
      </w:r>
    </w:p>
    <w:p w14:paraId="5CF11437" w14:textId="77777777" w:rsidR="00F730F9" w:rsidRPr="00D06CC0" w:rsidRDefault="00F730F9" w:rsidP="0099467B">
      <w:pPr>
        <w:pStyle w:val="Nivel2"/>
        <w:spacing w:line="240" w:lineRule="auto"/>
        <w:rPr>
          <w:rFonts w:ascii="Century Gothic" w:hAnsi="Century Gothic" w:cstheme="majorHAnsi"/>
          <w:sz w:val="24"/>
          <w:szCs w:val="24"/>
        </w:rPr>
      </w:pPr>
      <w:bookmarkStart w:id="22" w:name="_Hlk114646655"/>
      <w:r w:rsidRPr="00D06CC0">
        <w:rPr>
          <w:rFonts w:ascii="Century Gothic" w:hAnsi="Century Gothic" w:cstheme="majorHAnsi"/>
          <w:sz w:val="24"/>
          <w:szCs w:val="24"/>
        </w:rPr>
        <w:t>A abertura da presente licitação dar-se-á em sessão pública, por meio de sistema eletrônico, na data, horário e local indicados neste Edital.</w:t>
      </w:r>
    </w:p>
    <w:p w14:paraId="27A16F4D"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7737B755"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lastRenderedPageBreak/>
        <w:t>Também será desclassificada a proposta que identifique o licitante.</w:t>
      </w:r>
    </w:p>
    <w:p w14:paraId="2F813A55"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desclassificação será sempre fundamentada e registrada no sistema, com acompanhamento em tempo real por todos os participantes.</w:t>
      </w:r>
    </w:p>
    <w:p w14:paraId="0BA78B80"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não desclassificação da proposta não impede o seu julgamento definitivo em sentido contrário, levado a efeito na fase de aceitação.</w:t>
      </w:r>
    </w:p>
    <w:p w14:paraId="359F5EF4"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sistema ordenará automaticamente as propostas classificadas, sendo que somente estas participarão da fase de lances.</w:t>
      </w:r>
    </w:p>
    <w:p w14:paraId="3E0A8BFC"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sistema disponibilizará campo próprio para troca de mensagens entre o Pregoeiro e os licitantes.</w:t>
      </w:r>
    </w:p>
    <w:p w14:paraId="35A9181E"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Iniciada a etapa competitiva, os licitantes deverão encaminhar lances exclusivamente por meio do sistema eletrônico, sendo imediatamente informados do seu recebimento e do valor consignado no registro.</w:t>
      </w:r>
    </w:p>
    <w:p w14:paraId="330EFB02"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lance deverá ser ofertado de acordo com o tipo de licitação indicada no preâmbulo deste Edital.</w:t>
      </w:r>
    </w:p>
    <w:p w14:paraId="60C059D6"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Os licitantes poderão oferecer lances sucessivos, observando o horário fixado para abertura da sessão e as regras estabelecidas no Edital.</w:t>
      </w:r>
    </w:p>
    <w:p w14:paraId="4E4345FA"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licitante somente poderá oferecer lance de valor inferior ou percentual de desconto superior ao último por ele ofertado e registrado pelo sistema.</w:t>
      </w:r>
    </w:p>
    <w:p w14:paraId="05E05C7E" w14:textId="11EDC627" w:rsidR="00F730F9" w:rsidRPr="00D06CC0" w:rsidRDefault="00F730F9" w:rsidP="0099467B">
      <w:pPr>
        <w:pStyle w:val="Nivel2"/>
        <w:spacing w:line="240" w:lineRule="auto"/>
        <w:rPr>
          <w:rFonts w:ascii="Century Gothic" w:hAnsi="Century Gothic" w:cstheme="majorHAnsi"/>
          <w:b/>
          <w:bCs/>
          <w:sz w:val="24"/>
          <w:szCs w:val="24"/>
        </w:rPr>
      </w:pPr>
      <w:r w:rsidRPr="00D06CC0">
        <w:rPr>
          <w:rFonts w:ascii="Century Gothic" w:hAnsi="Century Gothic" w:cstheme="majorHAnsi"/>
          <w:sz w:val="24"/>
          <w:szCs w:val="24"/>
        </w:rPr>
        <w:t xml:space="preserve">O intervalo mínimo de diferença de valores ou percentuais entre os lances, que incidirá tanto em relação aos lances intermediários quanto em relação à proposta que cobrir a melhor oferta deverá ser </w:t>
      </w:r>
      <w:r w:rsidR="007A7621" w:rsidRPr="00D06CC0">
        <w:rPr>
          <w:rFonts w:ascii="Century Gothic" w:hAnsi="Century Gothic" w:cstheme="majorHAnsi"/>
          <w:b/>
          <w:bCs/>
          <w:sz w:val="24"/>
          <w:szCs w:val="24"/>
        </w:rPr>
        <w:t>R</w:t>
      </w:r>
      <w:r w:rsidR="009378F0" w:rsidRPr="00D06CC0">
        <w:rPr>
          <w:rFonts w:ascii="Century Gothic" w:hAnsi="Century Gothic" w:cstheme="majorHAnsi"/>
          <w:b/>
          <w:bCs/>
          <w:sz w:val="24"/>
          <w:szCs w:val="24"/>
        </w:rPr>
        <w:t>$</w:t>
      </w:r>
      <w:r w:rsidR="00034466" w:rsidRPr="00D06CC0">
        <w:rPr>
          <w:rFonts w:ascii="Century Gothic" w:hAnsi="Century Gothic" w:cstheme="majorHAnsi"/>
          <w:b/>
          <w:bCs/>
          <w:sz w:val="24"/>
          <w:szCs w:val="24"/>
        </w:rPr>
        <w:t xml:space="preserve"> </w:t>
      </w:r>
      <w:r w:rsidR="00D06CC0" w:rsidRPr="00D06CC0">
        <w:rPr>
          <w:rFonts w:ascii="Century Gothic" w:hAnsi="Century Gothic" w:cstheme="majorHAnsi"/>
          <w:b/>
          <w:bCs/>
          <w:sz w:val="24"/>
          <w:szCs w:val="24"/>
        </w:rPr>
        <w:t>1</w:t>
      </w:r>
      <w:r w:rsidR="00034466" w:rsidRPr="00D06CC0">
        <w:rPr>
          <w:rFonts w:ascii="Century Gothic" w:hAnsi="Century Gothic" w:cstheme="majorHAnsi"/>
          <w:b/>
          <w:bCs/>
          <w:sz w:val="24"/>
          <w:szCs w:val="24"/>
        </w:rPr>
        <w:t>,00</w:t>
      </w:r>
      <w:r w:rsidRPr="00D06CC0">
        <w:rPr>
          <w:rFonts w:ascii="Century Gothic" w:hAnsi="Century Gothic" w:cstheme="majorHAnsi"/>
          <w:b/>
          <w:bCs/>
          <w:sz w:val="24"/>
          <w:szCs w:val="24"/>
        </w:rPr>
        <w:t xml:space="preserve"> (</w:t>
      </w:r>
      <w:r w:rsidR="00D06CC0" w:rsidRPr="00D06CC0">
        <w:rPr>
          <w:rFonts w:ascii="Century Gothic" w:hAnsi="Century Gothic" w:cstheme="majorHAnsi"/>
          <w:b/>
          <w:bCs/>
          <w:sz w:val="24"/>
          <w:szCs w:val="24"/>
        </w:rPr>
        <w:t xml:space="preserve">UM </w:t>
      </w:r>
      <w:r w:rsidR="0052677B" w:rsidRPr="00D06CC0">
        <w:rPr>
          <w:rFonts w:ascii="Century Gothic" w:hAnsi="Century Gothic" w:cstheme="majorHAnsi"/>
          <w:b/>
          <w:bCs/>
          <w:sz w:val="24"/>
          <w:szCs w:val="24"/>
        </w:rPr>
        <w:t>REA</w:t>
      </w:r>
      <w:r w:rsidR="00D06CC0" w:rsidRPr="00D06CC0">
        <w:rPr>
          <w:rFonts w:ascii="Century Gothic" w:hAnsi="Century Gothic" w:cstheme="majorHAnsi"/>
          <w:b/>
          <w:bCs/>
          <w:sz w:val="24"/>
          <w:szCs w:val="24"/>
        </w:rPr>
        <w:t>L</w:t>
      </w:r>
      <w:r w:rsidRPr="00D06CC0">
        <w:rPr>
          <w:rFonts w:ascii="Century Gothic" w:hAnsi="Century Gothic" w:cstheme="majorHAnsi"/>
          <w:b/>
          <w:bCs/>
          <w:sz w:val="24"/>
          <w:szCs w:val="24"/>
        </w:rPr>
        <w:t>).</w:t>
      </w:r>
    </w:p>
    <w:p w14:paraId="0B490AFE"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O intervalo entre os lances enviados pelo mesmo licitante não poderá ser inferior a três segundos e o intervalo entre lances não poderá ser inferior a três segundos, sob pena de serem automaticamente descartados pelo sistema os respectivos lances. </w:t>
      </w:r>
    </w:p>
    <w:p w14:paraId="0C37751D"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Será adotado para o envio de lances na licitação o modo de disputa aberto, em que os licitantes apresentarão lances públicos e sucessivos, com prorrogações.</w:t>
      </w:r>
    </w:p>
    <w:p w14:paraId="46948DE9"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C14FC36"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5C1C71EA"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lastRenderedPageBreak/>
        <w:t>Não havendo novos lances na forma estabelecida nos itens anteriores, a sessão pública encerrar-se-á automaticamente.</w:t>
      </w:r>
    </w:p>
    <w:p w14:paraId="4A4B1717"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3DC1BB93"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Em caso de falha no sistema, os lances em desacordo com os subitens anteriores deverão ser desconsiderados pelo Pregoeiro.</w:t>
      </w:r>
    </w:p>
    <w:p w14:paraId="4C45D7A9"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Não serão aceitos dois ou mais lances de mesmo valor, prevalecendo aquele que for recebido e registrado primeiro. </w:t>
      </w:r>
    </w:p>
    <w:p w14:paraId="2E6F3F65"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Durante o transcurso da sessão pública, os licitantes serão informados, em tempo real, do valor do menor lance registrado, vedada a identificação do licitante. </w:t>
      </w:r>
    </w:p>
    <w:p w14:paraId="7CDFC6BA"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No caso de desconexão com o Pregoeiro, no decorrer da etapa competitiva do Pregão, o sistema eletrônico poderá permanecer acessível aos licitantes para a recepção dos lances.</w:t>
      </w:r>
    </w:p>
    <w:p w14:paraId="2FD7C0E3"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Quando a desconexão do sistema eletrônico para o Pregoeiro persistir por tempo superior a dez minutos, a sessão pública será suspensa e terá reinício somente após comunicação expressa do pregoeiro aos participantes do certame, publicada no 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030F8CED"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Caso o licitante não apresente lances, concorrerá com o valor de sua proposta.</w:t>
      </w:r>
    </w:p>
    <w:p w14:paraId="069E0604"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759777B"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Nessas condições, as propostas de microempresas e empresas de pequeno porte que se encontrarem na faixa de até 5% (cinco por cento) acima da melhor proposta ou melhor lance serão consideradas empatadas com a primeira colocada.</w:t>
      </w:r>
    </w:p>
    <w:p w14:paraId="3E49AB13"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lastRenderedPageBreak/>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B34DD22"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14240A"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B7606F"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EFB6322"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D16DCE6"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Em caso de empate entre duas ou mais propostas, serão utilizados os seguintes critérios de desempate, nesta ordem: </w:t>
      </w:r>
    </w:p>
    <w:p w14:paraId="712563AE" w14:textId="77777777" w:rsidR="00F730F9" w:rsidRPr="00D06CC0" w:rsidRDefault="00F730F9" w:rsidP="0099467B">
      <w:pPr>
        <w:pStyle w:val="Nivel2"/>
        <w:numPr>
          <w:ilvl w:val="0"/>
          <w:numId w:val="0"/>
        </w:numPr>
        <w:spacing w:line="240" w:lineRule="auto"/>
        <w:ind w:left="708"/>
        <w:rPr>
          <w:rFonts w:ascii="Century Gothic" w:hAnsi="Century Gothic" w:cstheme="majorHAnsi"/>
          <w:sz w:val="24"/>
          <w:szCs w:val="24"/>
        </w:rPr>
      </w:pPr>
      <w:r w:rsidRPr="00D06CC0">
        <w:rPr>
          <w:rFonts w:ascii="Century Gothic" w:hAnsi="Century Gothic" w:cstheme="majorHAnsi"/>
          <w:sz w:val="24"/>
          <w:szCs w:val="24"/>
        </w:rPr>
        <w:t>6.32.1 disputa final, hipótese em que os licitantes empatados poderão apresentar nova proposta em ato contínuo à classificação;</w:t>
      </w:r>
    </w:p>
    <w:p w14:paraId="426DFB6E" w14:textId="77777777" w:rsidR="00F730F9" w:rsidRPr="00D06CC0" w:rsidRDefault="00F730F9" w:rsidP="0099467B">
      <w:pPr>
        <w:pStyle w:val="Nivel2"/>
        <w:numPr>
          <w:ilvl w:val="0"/>
          <w:numId w:val="0"/>
        </w:numPr>
        <w:spacing w:line="240" w:lineRule="auto"/>
        <w:ind w:left="708"/>
        <w:rPr>
          <w:rFonts w:ascii="Century Gothic" w:hAnsi="Century Gothic" w:cstheme="majorHAnsi"/>
          <w:sz w:val="24"/>
          <w:szCs w:val="24"/>
        </w:rPr>
      </w:pPr>
      <w:r w:rsidRPr="00D06CC0">
        <w:rPr>
          <w:rFonts w:ascii="Century Gothic" w:hAnsi="Century Gothic" w:cstheme="majorHAnsi"/>
          <w:sz w:val="24"/>
          <w:szCs w:val="24"/>
        </w:rPr>
        <w:t>6.32.2 avaliação do desempenho contratual prévio dos licitantes;</w:t>
      </w:r>
    </w:p>
    <w:p w14:paraId="1053701F" w14:textId="77777777" w:rsidR="00F730F9" w:rsidRPr="00D06CC0" w:rsidRDefault="00F730F9" w:rsidP="0099467B">
      <w:pPr>
        <w:pStyle w:val="Nivel2"/>
        <w:numPr>
          <w:ilvl w:val="0"/>
          <w:numId w:val="0"/>
        </w:numPr>
        <w:spacing w:line="240" w:lineRule="auto"/>
        <w:ind w:left="708"/>
        <w:rPr>
          <w:rFonts w:ascii="Century Gothic" w:hAnsi="Century Gothic" w:cstheme="majorHAnsi"/>
          <w:sz w:val="24"/>
          <w:szCs w:val="24"/>
        </w:rPr>
      </w:pPr>
      <w:r w:rsidRPr="00D06CC0">
        <w:rPr>
          <w:rFonts w:ascii="Century Gothic" w:hAnsi="Century Gothic" w:cstheme="majorHAnsi"/>
          <w:sz w:val="24"/>
          <w:szCs w:val="24"/>
        </w:rPr>
        <w:t>6.32.3 desenvolvimento pelo licitante de ações de equidade entre homens e mulheres no ambiente de trabalho, conforme regulamento;</w:t>
      </w:r>
    </w:p>
    <w:p w14:paraId="6C0121D6" w14:textId="77777777" w:rsidR="00F730F9" w:rsidRPr="00D06CC0" w:rsidRDefault="00F730F9" w:rsidP="0099467B">
      <w:pPr>
        <w:pStyle w:val="Nivel2"/>
        <w:numPr>
          <w:ilvl w:val="0"/>
          <w:numId w:val="0"/>
        </w:numPr>
        <w:spacing w:line="240" w:lineRule="auto"/>
        <w:ind w:left="708"/>
        <w:rPr>
          <w:rFonts w:ascii="Century Gothic" w:hAnsi="Century Gothic" w:cstheme="majorHAnsi"/>
          <w:sz w:val="24"/>
          <w:szCs w:val="24"/>
        </w:rPr>
      </w:pPr>
      <w:r w:rsidRPr="00D06CC0">
        <w:rPr>
          <w:rFonts w:ascii="Century Gothic" w:hAnsi="Century Gothic" w:cstheme="majorHAnsi"/>
          <w:sz w:val="24"/>
          <w:szCs w:val="24"/>
        </w:rPr>
        <w:t>6.32.4.desenvolvimento pelo licitante de programa de integridade, conforme orientações dos órgãos de controle;</w:t>
      </w:r>
    </w:p>
    <w:p w14:paraId="027C0103"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Persistindo o empate, será assegurada preferência, sucessivamente, aos bens e serviços produzidos ou prestados por:</w:t>
      </w:r>
    </w:p>
    <w:p w14:paraId="6A3F83B7" w14:textId="77777777" w:rsidR="00F730F9" w:rsidRPr="00D06CC0" w:rsidRDefault="00F730F9" w:rsidP="00655B0D">
      <w:pPr>
        <w:pStyle w:val="Nivel2"/>
        <w:numPr>
          <w:ilvl w:val="2"/>
          <w:numId w:val="9"/>
        </w:numPr>
        <w:spacing w:line="240" w:lineRule="auto"/>
        <w:rPr>
          <w:rFonts w:ascii="Century Gothic" w:hAnsi="Century Gothic" w:cstheme="majorHAnsi"/>
          <w:sz w:val="24"/>
          <w:szCs w:val="24"/>
        </w:rPr>
      </w:pPr>
      <w:r w:rsidRPr="00D06CC0">
        <w:rPr>
          <w:rFonts w:ascii="Century Gothic" w:hAnsi="Century Gothic" w:cstheme="majorHAnsi"/>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1ACE318" w14:textId="77777777" w:rsidR="00F730F9" w:rsidRPr="00D06CC0" w:rsidRDefault="00F730F9" w:rsidP="00655B0D">
      <w:pPr>
        <w:pStyle w:val="Nivel2"/>
        <w:numPr>
          <w:ilvl w:val="2"/>
          <w:numId w:val="9"/>
        </w:numPr>
        <w:spacing w:line="240" w:lineRule="auto"/>
        <w:rPr>
          <w:rFonts w:ascii="Century Gothic" w:hAnsi="Century Gothic" w:cstheme="majorHAnsi"/>
          <w:sz w:val="24"/>
          <w:szCs w:val="24"/>
        </w:rPr>
      </w:pPr>
      <w:r w:rsidRPr="00D06CC0">
        <w:rPr>
          <w:rFonts w:ascii="Century Gothic" w:hAnsi="Century Gothic" w:cstheme="majorHAnsi"/>
          <w:sz w:val="24"/>
          <w:szCs w:val="24"/>
        </w:rPr>
        <w:lastRenderedPageBreak/>
        <w:t xml:space="preserve">empresas brasileiras; </w:t>
      </w:r>
    </w:p>
    <w:p w14:paraId="0090D183" w14:textId="77777777" w:rsidR="00F730F9" w:rsidRPr="00D06CC0" w:rsidRDefault="00F730F9" w:rsidP="00655B0D">
      <w:pPr>
        <w:pStyle w:val="Nivel2"/>
        <w:numPr>
          <w:ilvl w:val="2"/>
          <w:numId w:val="9"/>
        </w:numPr>
        <w:spacing w:line="240" w:lineRule="auto"/>
        <w:rPr>
          <w:rFonts w:ascii="Century Gothic" w:hAnsi="Century Gothic" w:cstheme="majorHAnsi"/>
          <w:sz w:val="24"/>
          <w:szCs w:val="24"/>
        </w:rPr>
      </w:pPr>
      <w:r w:rsidRPr="00D06CC0">
        <w:rPr>
          <w:rFonts w:ascii="Century Gothic" w:hAnsi="Century Gothic" w:cstheme="majorHAnsi"/>
          <w:sz w:val="24"/>
          <w:szCs w:val="24"/>
        </w:rPr>
        <w:t>empresas que invistam em pesquisa e no desenvolvimento de tecnologia no País;</w:t>
      </w:r>
    </w:p>
    <w:p w14:paraId="4EC22E22" w14:textId="77777777" w:rsidR="00F730F9" w:rsidRPr="00D06CC0" w:rsidRDefault="00F730F9" w:rsidP="00655B0D">
      <w:pPr>
        <w:pStyle w:val="Nivel2"/>
        <w:numPr>
          <w:ilvl w:val="2"/>
          <w:numId w:val="9"/>
        </w:numPr>
        <w:spacing w:line="240" w:lineRule="auto"/>
        <w:rPr>
          <w:rFonts w:ascii="Century Gothic" w:hAnsi="Century Gothic" w:cstheme="majorHAnsi"/>
          <w:sz w:val="24"/>
          <w:szCs w:val="24"/>
        </w:rPr>
      </w:pPr>
      <w:r w:rsidRPr="00D06CC0">
        <w:rPr>
          <w:rFonts w:ascii="Century Gothic" w:hAnsi="Century Gothic" w:cstheme="majorHAnsi"/>
          <w:sz w:val="24"/>
          <w:szCs w:val="24"/>
        </w:rPr>
        <w:t>empresas que comprovem a prática de mitigação, nos termos da Lei nº 12.187/2009.</w:t>
      </w:r>
    </w:p>
    <w:p w14:paraId="0A70BA41"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1A5FDC5" w14:textId="77777777" w:rsidR="00F730F9" w:rsidRPr="00D06CC0" w:rsidRDefault="00F730F9" w:rsidP="0099467B">
      <w:pPr>
        <w:pStyle w:val="Nivel2"/>
        <w:numPr>
          <w:ilvl w:val="0"/>
          <w:numId w:val="0"/>
        </w:numPr>
        <w:spacing w:line="240" w:lineRule="auto"/>
        <w:ind w:left="708"/>
        <w:rPr>
          <w:rFonts w:ascii="Century Gothic" w:hAnsi="Century Gothic" w:cstheme="majorHAnsi"/>
          <w:sz w:val="24"/>
          <w:szCs w:val="24"/>
        </w:rPr>
      </w:pPr>
      <w:r w:rsidRPr="00D06CC0">
        <w:rPr>
          <w:rFonts w:ascii="Century Gothic" w:hAnsi="Century Gothic" w:cstheme="majorHAnsi"/>
          <w:sz w:val="24"/>
          <w:szCs w:val="24"/>
        </w:rPr>
        <w:t>6.34.1 A negociação será realizada por meio do sistema, podendo ser acompanhada pelos demais licitantes.</w:t>
      </w:r>
    </w:p>
    <w:p w14:paraId="78054435" w14:textId="77777777" w:rsidR="00F730F9" w:rsidRPr="00D06CC0" w:rsidRDefault="00F730F9" w:rsidP="0099467B">
      <w:pPr>
        <w:pStyle w:val="Nivel2"/>
        <w:numPr>
          <w:ilvl w:val="0"/>
          <w:numId w:val="0"/>
        </w:numPr>
        <w:spacing w:line="240" w:lineRule="auto"/>
        <w:ind w:left="708"/>
        <w:rPr>
          <w:rFonts w:ascii="Century Gothic" w:hAnsi="Century Gothic" w:cstheme="majorHAnsi"/>
          <w:sz w:val="24"/>
          <w:szCs w:val="24"/>
        </w:rPr>
      </w:pPr>
      <w:r w:rsidRPr="00D06CC0">
        <w:rPr>
          <w:rFonts w:ascii="Century Gothic" w:hAnsi="Century Gothic" w:cstheme="majorHAnsi"/>
          <w:sz w:val="24"/>
          <w:szCs w:val="24"/>
        </w:rPr>
        <w:t xml:space="preserve">6.34.2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bookmarkEnd w:id="22"/>
    <w:p w14:paraId="7D1696B1" w14:textId="77777777" w:rsidR="00F730F9" w:rsidRPr="00D06CC0" w:rsidRDefault="00F730F9" w:rsidP="00262785">
      <w:pPr>
        <w:pStyle w:val="Nivel010"/>
        <w:rPr>
          <w:rFonts w:ascii="Century Gothic" w:hAnsi="Century Gothic" w:cstheme="majorHAnsi"/>
        </w:rPr>
      </w:pPr>
      <w:r w:rsidRPr="00D06CC0">
        <w:rPr>
          <w:rFonts w:ascii="Century Gothic" w:hAnsi="Century Gothic" w:cstheme="majorHAnsi"/>
        </w:rPr>
        <w:t>DA FASE DE JULGAMENTO</w:t>
      </w:r>
    </w:p>
    <w:p w14:paraId="66A004CD" w14:textId="5E1384CD" w:rsidR="00F730F9" w:rsidRPr="00D06CC0" w:rsidRDefault="00F730F9" w:rsidP="0099467B">
      <w:pPr>
        <w:pStyle w:val="Nivel2"/>
        <w:spacing w:line="240" w:lineRule="auto"/>
        <w:rPr>
          <w:rFonts w:ascii="Century Gothic" w:hAnsi="Century Gothic" w:cstheme="majorHAnsi"/>
          <w:b/>
          <w:bCs/>
          <w:sz w:val="24"/>
          <w:szCs w:val="24"/>
          <w:lang w:eastAsia="ar-SA"/>
        </w:rPr>
      </w:pPr>
      <w:bookmarkStart w:id="23" w:name="_Ref117019424"/>
      <w:r w:rsidRPr="00D06CC0">
        <w:rPr>
          <w:rFonts w:ascii="Century Gothic" w:hAnsi="Century Gothic" w:cstheme="majorHAnsi"/>
          <w:sz w:val="24"/>
          <w:szCs w:val="24"/>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D06CC0">
          <w:rPr>
            <w:rStyle w:val="Hyperlink"/>
            <w:rFonts w:ascii="Century Gothic" w:hAnsi="Century Gothic" w:cstheme="majorHAnsi"/>
            <w:sz w:val="24"/>
            <w:szCs w:val="24"/>
          </w:rPr>
          <w:t>art. 14 da Lei nº 14.133/2021</w:t>
        </w:r>
      </w:hyperlink>
      <w:r w:rsidRPr="00D06CC0">
        <w:rPr>
          <w:rFonts w:ascii="Century Gothic" w:hAnsi="Century Gothic" w:cstheme="majorHAnsi"/>
          <w:sz w:val="24"/>
          <w:szCs w:val="24"/>
        </w:rPr>
        <w:t xml:space="preserve">, legislação correlata e no item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_Ref117000692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14</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do edital, </w:t>
      </w:r>
      <w:bookmarkEnd w:id="23"/>
      <w:r w:rsidRPr="00D06CC0">
        <w:rPr>
          <w:rFonts w:ascii="Century Gothic" w:hAnsi="Century Gothic" w:cstheme="majorHAnsi"/>
          <w:color w:val="auto"/>
          <w:sz w:val="24"/>
          <w:szCs w:val="24"/>
          <w:lang w:eastAsia="ar-SA"/>
        </w:rPr>
        <w:t>especialmente quanto à existência de sanção que impeça a participação no certame ou a futura contratação,</w:t>
      </w:r>
      <w:r w:rsidRPr="00D06CC0">
        <w:rPr>
          <w:rFonts w:ascii="Century Gothic" w:hAnsi="Century Gothic" w:cstheme="majorHAnsi"/>
          <w:sz w:val="24"/>
          <w:szCs w:val="24"/>
          <w:lang w:eastAsia="ar-SA"/>
        </w:rPr>
        <w:t xml:space="preserve"> mediante a consulta aos seguintes cadastros:</w:t>
      </w:r>
    </w:p>
    <w:p w14:paraId="23E51A18" w14:textId="77777777" w:rsidR="00F730F9" w:rsidRPr="00D06CC0" w:rsidRDefault="00F730F9" w:rsidP="0099467B">
      <w:pPr>
        <w:pStyle w:val="Nivel3"/>
        <w:spacing w:line="240" w:lineRule="auto"/>
        <w:rPr>
          <w:rFonts w:ascii="Century Gothic" w:hAnsi="Century Gothic" w:cstheme="majorHAnsi"/>
          <w:sz w:val="24"/>
          <w:szCs w:val="24"/>
          <w:lang w:eastAsia="ar-SA"/>
        </w:rPr>
      </w:pPr>
      <w:r w:rsidRPr="00D06CC0">
        <w:rPr>
          <w:rFonts w:ascii="Century Gothic" w:hAnsi="Century Gothic" w:cstheme="majorHAnsi"/>
          <w:sz w:val="24"/>
          <w:szCs w:val="24"/>
          <w:lang w:eastAsia="ar-SA"/>
        </w:rPr>
        <w:t xml:space="preserve">SICAF;  </w:t>
      </w:r>
    </w:p>
    <w:p w14:paraId="2726DA98" w14:textId="77777777" w:rsidR="00F730F9" w:rsidRPr="00D06CC0" w:rsidRDefault="00F730F9" w:rsidP="0099467B">
      <w:pPr>
        <w:pStyle w:val="Nivel3"/>
        <w:spacing w:line="240" w:lineRule="auto"/>
        <w:rPr>
          <w:rFonts w:ascii="Century Gothic" w:hAnsi="Century Gothic" w:cstheme="majorHAnsi"/>
          <w:sz w:val="24"/>
          <w:szCs w:val="24"/>
          <w:lang w:eastAsia="ar-SA"/>
        </w:rPr>
      </w:pPr>
      <w:r w:rsidRPr="00D06CC0">
        <w:rPr>
          <w:rFonts w:ascii="Century Gothic" w:hAnsi="Century Gothic" w:cstheme="majorHAnsi"/>
          <w:sz w:val="24"/>
          <w:szCs w:val="24"/>
          <w:lang w:eastAsia="ar-SA"/>
        </w:rPr>
        <w:t>Cadastro Nacional de Empresas Inidôneas e Suspensas - CEIS, mantido pela Controladoria-Geral da União (</w:t>
      </w:r>
      <w:hyperlink r:id="rId21" w:history="1">
        <w:r w:rsidRPr="00D06CC0">
          <w:rPr>
            <w:rStyle w:val="Hyperlink"/>
            <w:rFonts w:ascii="Century Gothic" w:hAnsi="Century Gothic" w:cstheme="majorHAnsi"/>
            <w:sz w:val="24"/>
            <w:szCs w:val="24"/>
            <w:lang w:eastAsia="ar-SA"/>
          </w:rPr>
          <w:t>https://www.portaltransparencia.gov.br/sancoes/ceis</w:t>
        </w:r>
      </w:hyperlink>
      <w:r w:rsidRPr="00D06CC0">
        <w:rPr>
          <w:rFonts w:ascii="Century Gothic" w:hAnsi="Century Gothic" w:cstheme="majorHAnsi"/>
          <w:sz w:val="24"/>
          <w:szCs w:val="24"/>
          <w:lang w:eastAsia="ar-SA"/>
        </w:rPr>
        <w:t xml:space="preserve">); e </w:t>
      </w:r>
    </w:p>
    <w:p w14:paraId="189CC4D3" w14:textId="77777777" w:rsidR="00F730F9" w:rsidRPr="00D06CC0" w:rsidRDefault="00F730F9" w:rsidP="0099467B">
      <w:pPr>
        <w:pStyle w:val="Nivel3"/>
        <w:spacing w:line="240" w:lineRule="auto"/>
        <w:rPr>
          <w:rFonts w:ascii="Century Gothic" w:hAnsi="Century Gothic" w:cstheme="majorHAnsi"/>
          <w:sz w:val="24"/>
          <w:szCs w:val="24"/>
          <w:lang w:eastAsia="ar-SA"/>
        </w:rPr>
      </w:pPr>
      <w:r w:rsidRPr="00D06CC0">
        <w:rPr>
          <w:rFonts w:ascii="Century Gothic" w:hAnsi="Century Gothic" w:cstheme="majorHAnsi"/>
          <w:sz w:val="24"/>
          <w:szCs w:val="24"/>
          <w:lang w:eastAsia="ar-SA"/>
        </w:rPr>
        <w:t>Cadastro Nacional de Empresas Punidas – CNEP, mantido pela Controladoria-Geral da União (</w:t>
      </w:r>
      <w:hyperlink r:id="rId22" w:history="1">
        <w:r w:rsidRPr="00D06CC0">
          <w:rPr>
            <w:rStyle w:val="Hyperlink"/>
            <w:rFonts w:ascii="Century Gothic" w:hAnsi="Century Gothic" w:cstheme="majorHAnsi"/>
            <w:sz w:val="24"/>
            <w:szCs w:val="24"/>
            <w:lang w:eastAsia="ar-SA"/>
          </w:rPr>
          <w:t>https://www.portaltransparencia.gov.br/sancoes/cnep</w:t>
        </w:r>
      </w:hyperlink>
      <w:r w:rsidRPr="00D06CC0">
        <w:rPr>
          <w:rFonts w:ascii="Century Gothic" w:hAnsi="Century Gothic" w:cstheme="majorHAnsi"/>
          <w:sz w:val="24"/>
          <w:szCs w:val="24"/>
          <w:lang w:eastAsia="ar-SA"/>
        </w:rPr>
        <w:t>).</w:t>
      </w:r>
    </w:p>
    <w:p w14:paraId="513790B1"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D06CC0">
          <w:rPr>
            <w:rStyle w:val="Hyperlink"/>
            <w:rFonts w:ascii="Century Gothic" w:hAnsi="Century Gothic" w:cstheme="majorHAnsi"/>
            <w:sz w:val="24"/>
            <w:szCs w:val="24"/>
          </w:rPr>
          <w:t>artigo 12 da Lei n° 8.429, de 1992</w:t>
        </w:r>
      </w:hyperlink>
      <w:r w:rsidRPr="00D06CC0">
        <w:rPr>
          <w:rFonts w:ascii="Century Gothic" w:hAnsi="Century Gothic" w:cstheme="majorHAnsi"/>
          <w:sz w:val="24"/>
          <w:szCs w:val="24"/>
        </w:rPr>
        <w:t>.</w:t>
      </w:r>
    </w:p>
    <w:p w14:paraId="5BB6BF6C"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Caso conste na Consulta de Situação do l</w:t>
      </w:r>
      <w:r w:rsidRPr="00D06CC0">
        <w:rPr>
          <w:rFonts w:ascii="Century Gothic" w:hAnsi="Century Gothic" w:cstheme="majorHAnsi"/>
          <w:color w:val="auto"/>
          <w:sz w:val="24"/>
          <w:szCs w:val="24"/>
        </w:rPr>
        <w:t xml:space="preserve">icitante </w:t>
      </w:r>
      <w:r w:rsidRPr="00D06CC0">
        <w:rPr>
          <w:rFonts w:ascii="Century Gothic" w:hAnsi="Century Gothic" w:cstheme="majorHAnsi"/>
          <w:sz w:val="24"/>
          <w:szCs w:val="24"/>
        </w:rPr>
        <w:t xml:space="preserve">a existência de Ocorrências Impeditivas Indiretas, o </w:t>
      </w:r>
      <w:r w:rsidRPr="00D06CC0">
        <w:rPr>
          <w:rFonts w:ascii="Century Gothic" w:hAnsi="Century Gothic" w:cstheme="majorHAnsi"/>
          <w:color w:val="auto"/>
          <w:sz w:val="24"/>
          <w:szCs w:val="24"/>
        </w:rPr>
        <w:t>Pregoeiro diligenciará para v</w:t>
      </w:r>
      <w:r w:rsidRPr="00D06CC0">
        <w:rPr>
          <w:rFonts w:ascii="Century Gothic" w:hAnsi="Century Gothic" w:cstheme="majorHAnsi"/>
          <w:sz w:val="24"/>
          <w:szCs w:val="24"/>
        </w:rPr>
        <w:t xml:space="preserve">erificar se houve </w:t>
      </w:r>
      <w:r w:rsidRPr="00D06CC0">
        <w:rPr>
          <w:rFonts w:ascii="Century Gothic" w:hAnsi="Century Gothic" w:cstheme="majorHAnsi"/>
          <w:sz w:val="24"/>
          <w:szCs w:val="24"/>
        </w:rPr>
        <w:lastRenderedPageBreak/>
        <w:t>fraude por parte das empresas apontadas no Relatório de Ocorrências Impeditivas Indiretas. (</w:t>
      </w:r>
      <w:hyperlink r:id="rId24" w:anchor="art29" w:history="1">
        <w:r w:rsidRPr="00D06CC0">
          <w:rPr>
            <w:rStyle w:val="Hyperlink"/>
            <w:rFonts w:ascii="Century Gothic" w:hAnsi="Century Gothic" w:cstheme="majorHAnsi"/>
            <w:sz w:val="24"/>
            <w:szCs w:val="24"/>
          </w:rPr>
          <w:t xml:space="preserve">IN nº 3/2018, art. 29, </w:t>
        </w:r>
        <w:r w:rsidRPr="00D06CC0">
          <w:rPr>
            <w:rStyle w:val="Hyperlink"/>
            <w:rFonts w:ascii="Century Gothic" w:hAnsi="Century Gothic" w:cstheme="majorHAnsi"/>
            <w:i/>
            <w:iCs/>
            <w:sz w:val="24"/>
            <w:szCs w:val="24"/>
          </w:rPr>
          <w:t>caput</w:t>
        </w:r>
      </w:hyperlink>
      <w:r w:rsidRPr="00D06CC0">
        <w:rPr>
          <w:rFonts w:ascii="Century Gothic" w:hAnsi="Century Gothic" w:cstheme="majorHAnsi"/>
          <w:sz w:val="24"/>
          <w:szCs w:val="24"/>
        </w:rPr>
        <w:t>)</w:t>
      </w:r>
    </w:p>
    <w:p w14:paraId="0CDA8C5F"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A tentativa de burla será verificada por meio dos vínculos societários, linhas de fornecimento similares, dentre outros. (</w:t>
      </w:r>
      <w:hyperlink r:id="rId25" w:history="1">
        <w:r w:rsidRPr="00D06CC0">
          <w:rPr>
            <w:rStyle w:val="Hyperlink"/>
            <w:rFonts w:ascii="Century Gothic" w:hAnsi="Century Gothic" w:cstheme="majorHAnsi"/>
            <w:sz w:val="24"/>
            <w:szCs w:val="24"/>
          </w:rPr>
          <w:t>IN nº 3/2018, art. 29, §1º</w:t>
        </w:r>
      </w:hyperlink>
      <w:r w:rsidRPr="00D06CC0">
        <w:rPr>
          <w:rFonts w:ascii="Century Gothic" w:hAnsi="Century Gothic" w:cstheme="majorHAnsi"/>
          <w:sz w:val="24"/>
          <w:szCs w:val="24"/>
        </w:rPr>
        <w:t>).</w:t>
      </w:r>
    </w:p>
    <w:p w14:paraId="3747CED6"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O licitante será convocado para manifestação previamente a uma eventual desclassificação. (</w:t>
      </w:r>
      <w:hyperlink r:id="rId26" w:history="1">
        <w:r w:rsidRPr="00D06CC0">
          <w:rPr>
            <w:rStyle w:val="Hyperlink"/>
            <w:rFonts w:ascii="Century Gothic" w:hAnsi="Century Gothic" w:cstheme="majorHAnsi"/>
            <w:sz w:val="24"/>
            <w:szCs w:val="24"/>
          </w:rPr>
          <w:t>IN nº 3/2018, art. 29, §2º</w:t>
        </w:r>
      </w:hyperlink>
      <w:r w:rsidRPr="00D06CC0">
        <w:rPr>
          <w:rFonts w:ascii="Century Gothic" w:hAnsi="Century Gothic" w:cstheme="majorHAnsi"/>
          <w:sz w:val="24"/>
          <w:szCs w:val="24"/>
        </w:rPr>
        <w:t>).</w:t>
      </w:r>
    </w:p>
    <w:p w14:paraId="58D6B5AB"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Constatada a existência de sanção, o licitante será reputado inabilitado, por falta de condição de participação.</w:t>
      </w:r>
    </w:p>
    <w:p w14:paraId="4004375D" w14:textId="13263541"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Caso o licitante provisoriamente classificado em primeiro lugar tenha se utilizado de algum tratamento favorecido às ME/EPPs, o pregoeiro verificará se faz jus ao benefício, em conformidade com os itens </w:t>
      </w:r>
      <w:r w:rsidR="00F9758A" w:rsidRPr="00D06CC0">
        <w:rPr>
          <w:rFonts w:ascii="Century Gothic" w:hAnsi="Century Gothic" w:cstheme="majorHAnsi"/>
          <w:sz w:val="24"/>
          <w:szCs w:val="24"/>
        </w:rPr>
        <w:t>4.5</w:t>
      </w:r>
      <w:r w:rsidRPr="00D06CC0">
        <w:rPr>
          <w:rFonts w:ascii="Century Gothic" w:hAnsi="Century Gothic" w:cstheme="majorHAnsi"/>
          <w:sz w:val="24"/>
          <w:szCs w:val="24"/>
        </w:rPr>
        <w:t xml:space="preserve"> e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_Ref117000019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27</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deste edital.</w:t>
      </w:r>
    </w:p>
    <w:p w14:paraId="7CCCC73E" w14:textId="77777777" w:rsidR="00F730F9" w:rsidRPr="00D06CC0" w:rsidRDefault="00F730F9" w:rsidP="0099467B">
      <w:pPr>
        <w:pStyle w:val="Nivel2"/>
        <w:spacing w:line="240" w:lineRule="auto"/>
        <w:rPr>
          <w:rFonts w:ascii="Century Gothic" w:hAnsi="Century Gothic" w:cstheme="majorHAnsi"/>
          <w:b/>
          <w:sz w:val="24"/>
          <w:szCs w:val="24"/>
        </w:rPr>
      </w:pPr>
      <w:r w:rsidRPr="00D06CC0">
        <w:rPr>
          <w:rFonts w:ascii="Century Gothic" w:hAnsi="Century Gothic" w:cstheme="majorHAnsi"/>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D06CC0">
          <w:rPr>
            <w:rStyle w:val="Hyperlink"/>
            <w:rFonts w:ascii="Century Gothic" w:hAnsi="Century Gothic" w:cstheme="majorHAnsi"/>
            <w:sz w:val="24"/>
            <w:szCs w:val="24"/>
          </w:rPr>
          <w:t>artigo 29 a 35 da IN SEGES nº 73, de 30 de setembro de 2022</w:t>
        </w:r>
      </w:hyperlink>
      <w:r w:rsidRPr="00D06CC0">
        <w:rPr>
          <w:rFonts w:ascii="Century Gothic" w:hAnsi="Century Gothic" w:cstheme="majorHAnsi"/>
          <w:sz w:val="24"/>
          <w:szCs w:val="24"/>
        </w:rPr>
        <w:t>.</w:t>
      </w:r>
    </w:p>
    <w:p w14:paraId="57049B45" w14:textId="77777777" w:rsidR="00F730F9" w:rsidRPr="00D06CC0" w:rsidRDefault="00F730F9" w:rsidP="0099467B">
      <w:pPr>
        <w:pStyle w:val="Nivel2"/>
        <w:spacing w:line="240" w:lineRule="auto"/>
        <w:rPr>
          <w:rFonts w:ascii="Century Gothic" w:hAnsi="Century Gothic" w:cstheme="majorHAnsi"/>
          <w:b/>
          <w:sz w:val="24"/>
          <w:szCs w:val="24"/>
        </w:rPr>
      </w:pPr>
      <w:r w:rsidRPr="00D06CC0">
        <w:rPr>
          <w:rFonts w:ascii="Century Gothic" w:hAnsi="Century Gothic" w:cstheme="majorHAnsi"/>
          <w:sz w:val="24"/>
          <w:szCs w:val="24"/>
        </w:rPr>
        <w:t xml:space="preserve">Será desclassificada a proposta vencedora que: </w:t>
      </w:r>
    </w:p>
    <w:p w14:paraId="66C588BF"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contiver vícios insanáveis;</w:t>
      </w:r>
    </w:p>
    <w:p w14:paraId="431BE9B1"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não obedecer às especificações técnicas contidas no Termo de Referência;</w:t>
      </w:r>
    </w:p>
    <w:p w14:paraId="20E11121"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apresentar preços inexequíveis ou permanecerem acima do preço máximo definido para a contratação;</w:t>
      </w:r>
    </w:p>
    <w:p w14:paraId="755AF30E"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não tiverem sua exequibilidade demonstrada, quando exigido pela Administração;</w:t>
      </w:r>
    </w:p>
    <w:p w14:paraId="3D2B58A5"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apresentar desconformidade com quaisquer outras exigências deste Edital ou seus anexos, desde que insanável.</w:t>
      </w:r>
    </w:p>
    <w:p w14:paraId="42F495D2" w14:textId="77777777" w:rsidR="00F730F9" w:rsidRPr="00D06CC0" w:rsidRDefault="00F730F9" w:rsidP="0099467B">
      <w:pPr>
        <w:pStyle w:val="Nivel2"/>
        <w:spacing w:line="240" w:lineRule="auto"/>
        <w:rPr>
          <w:rFonts w:ascii="Century Gothic" w:hAnsi="Century Gothic" w:cstheme="majorHAnsi"/>
          <w:b/>
          <w:bCs/>
          <w:sz w:val="24"/>
          <w:szCs w:val="24"/>
        </w:rPr>
      </w:pPr>
      <w:r w:rsidRPr="00D06CC0">
        <w:rPr>
          <w:rFonts w:ascii="Century Gothic" w:hAnsi="Century Gothic" w:cstheme="majorHAnsi"/>
          <w:sz w:val="24"/>
          <w:szCs w:val="24"/>
        </w:rPr>
        <w:t>No caso de bens e serviços em geral, é indício de inexequibilidade das propostas valores inferiores a 50% (cinquenta por cento) do valor orçado pela Administração.</w:t>
      </w:r>
    </w:p>
    <w:p w14:paraId="3C247800"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A inexequibilidade, na hipótese de que trata o </w:t>
      </w:r>
      <w:r w:rsidRPr="00D06CC0">
        <w:rPr>
          <w:rFonts w:ascii="Century Gothic" w:hAnsi="Century Gothic" w:cstheme="majorHAnsi"/>
          <w:b/>
          <w:bCs/>
          <w:sz w:val="24"/>
          <w:szCs w:val="24"/>
        </w:rPr>
        <w:t>caput</w:t>
      </w:r>
      <w:r w:rsidRPr="00D06CC0">
        <w:rPr>
          <w:rFonts w:ascii="Century Gothic" w:hAnsi="Century Gothic" w:cstheme="majorHAnsi"/>
          <w:sz w:val="24"/>
          <w:szCs w:val="24"/>
        </w:rPr>
        <w:t>, só será considerada após diligência do pregoeiro, que comprove:</w:t>
      </w:r>
    </w:p>
    <w:p w14:paraId="5E1C6241" w14:textId="77777777" w:rsidR="00F730F9" w:rsidRPr="00D06CC0" w:rsidRDefault="00F730F9" w:rsidP="0099467B">
      <w:pPr>
        <w:pStyle w:val="Nivel4"/>
        <w:spacing w:line="240" w:lineRule="auto"/>
        <w:rPr>
          <w:rFonts w:ascii="Century Gothic" w:hAnsi="Century Gothic" w:cstheme="majorHAnsi"/>
          <w:sz w:val="24"/>
          <w:szCs w:val="24"/>
        </w:rPr>
      </w:pPr>
      <w:r w:rsidRPr="00D06CC0">
        <w:rPr>
          <w:rFonts w:ascii="Century Gothic" w:hAnsi="Century Gothic" w:cstheme="majorHAnsi"/>
          <w:sz w:val="24"/>
          <w:szCs w:val="24"/>
        </w:rPr>
        <w:t>que o custo do licitante ultrapassa o valor da proposta; e</w:t>
      </w:r>
    </w:p>
    <w:p w14:paraId="01F231AE" w14:textId="77777777" w:rsidR="00F730F9" w:rsidRPr="00D06CC0" w:rsidRDefault="00F730F9" w:rsidP="0099467B">
      <w:pPr>
        <w:pStyle w:val="Nivel4"/>
        <w:spacing w:line="240" w:lineRule="auto"/>
        <w:rPr>
          <w:rFonts w:ascii="Century Gothic" w:hAnsi="Century Gothic" w:cstheme="majorHAnsi"/>
          <w:sz w:val="24"/>
          <w:szCs w:val="24"/>
        </w:rPr>
      </w:pPr>
      <w:r w:rsidRPr="00D06CC0">
        <w:rPr>
          <w:rFonts w:ascii="Century Gothic" w:hAnsi="Century Gothic" w:cstheme="majorHAnsi"/>
          <w:sz w:val="24"/>
          <w:szCs w:val="24"/>
        </w:rPr>
        <w:t>inexistirem custos de oportunidade capazes de justificar o vulto da oferta.</w:t>
      </w:r>
    </w:p>
    <w:p w14:paraId="4368A06D"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14:paraId="1FDF42A1"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0BDA7A" w14:textId="77777777" w:rsidR="00F730F9" w:rsidRPr="00D06CC0" w:rsidRDefault="00F730F9" w:rsidP="0099467B">
      <w:pPr>
        <w:pStyle w:val="Nivel2"/>
        <w:spacing w:line="240" w:lineRule="auto"/>
        <w:rPr>
          <w:rFonts w:ascii="Century Gothic" w:hAnsi="Century Gothic" w:cstheme="majorHAnsi"/>
          <w:b/>
          <w:sz w:val="24"/>
          <w:szCs w:val="24"/>
        </w:rPr>
      </w:pPr>
      <w:r w:rsidRPr="00D06CC0">
        <w:rPr>
          <w:rFonts w:ascii="Century Gothic" w:hAnsi="Century Gothic" w:cstheme="maj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8C958CF"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O ajuste de que trata este dispositivo se limita a sanar erros ou falhas que não alterem a substância das propostas;</w:t>
      </w:r>
    </w:p>
    <w:p w14:paraId="2F60B28D"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Considera-se erro no preenchimento da planilha passível de correção a indicação de recolhimento de impostos e contribuições na forma do Simples Nacional, quando não cabível esse regime.</w:t>
      </w:r>
    </w:p>
    <w:p w14:paraId="2BAE8B4A"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Caso o Termo de Referência exija a apresentação de amostra, o licitante classificado em primeiro lugar deverá apresentá-la, conforme disciplinado no Termo de Referência, sob pena de não aceitação da proposta.</w:t>
      </w:r>
    </w:p>
    <w:p w14:paraId="622254F8"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Por meio de mensagem no sistema, será divulgado o local e horário de realização do procedimento para a avaliação das amostras, cuja presença será facultada a todos os interessados, incluindo os demais licitantes.</w:t>
      </w:r>
    </w:p>
    <w:p w14:paraId="5A22AC0C"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F2F2F28"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Pregoeiro poderá convocar o licitante para enviar documento digital complementar, por meio de funcionalidade disponível no sistema, no prazo de 02 (duas) horas, sob pena de não aceitação da proposta.</w:t>
      </w:r>
    </w:p>
    <w:p w14:paraId="503119D3"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O prazo estabelecido poderá ser prorrogado pelo Pregoeiro por solicitação escrita e justificada do licitante, formulada antes de findo o prazo, e formalmente aceita pelo Pregoeiro. </w:t>
      </w:r>
    </w:p>
    <w:p w14:paraId="06B89D15"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lastRenderedPageBreak/>
        <w:t>Se a proposta ou lance vencedor for desclassificado, o Pregoeiro examinará a proposta ou lance subsequente, e, assim sucessivamente, na ordem de classificação.</w:t>
      </w:r>
    </w:p>
    <w:p w14:paraId="736ED18B"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Havendo necessidade, o Pregoeiro suspenderá a sessão, informando no “chat” a nova data e horário para a sua continuidade.</w:t>
      </w:r>
    </w:p>
    <w:p w14:paraId="7D69B40F"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5B2D994F"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Também nas hipóteses em que o Pregoeiro não aceitar a proposta e passar à subsequente, poderá negociar com o licitante para que seja obtido preço melhor.</w:t>
      </w:r>
    </w:p>
    <w:p w14:paraId="7F5F6142"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negociação será realizada por meio do sistema, podendo ser acompanhada pelos demais licitantes.</w:t>
      </w:r>
    </w:p>
    <w:p w14:paraId="092320F5"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Encerrada a análise quanto à aceitação da proposta, o Pregoeiro verificará a habilitação do licitante, observado o disposto neste Edital.</w:t>
      </w:r>
    </w:p>
    <w:p w14:paraId="23B413C6" w14:textId="77777777" w:rsidR="00F730F9" w:rsidRPr="00D06CC0" w:rsidRDefault="00F730F9" w:rsidP="00262785">
      <w:pPr>
        <w:pStyle w:val="Nivel010"/>
        <w:rPr>
          <w:rFonts w:ascii="Century Gothic" w:hAnsi="Century Gothic" w:cstheme="majorHAnsi"/>
        </w:rPr>
      </w:pPr>
      <w:r w:rsidRPr="00D06CC0">
        <w:rPr>
          <w:rFonts w:ascii="Century Gothic" w:hAnsi="Century Gothic" w:cstheme="majorHAnsi"/>
        </w:rPr>
        <w:t>DA FASE DE HABILITAÇÃO</w:t>
      </w:r>
    </w:p>
    <w:p w14:paraId="4E675252"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r w:rsidRPr="00D06CC0">
          <w:rPr>
            <w:rStyle w:val="Hyperlink"/>
            <w:rFonts w:ascii="Century Gothic" w:hAnsi="Century Gothic" w:cstheme="majorHAnsi"/>
            <w:sz w:val="24"/>
            <w:szCs w:val="24"/>
          </w:rPr>
          <w:t>arts. 62 a 70 da Lei nº 14.133, de 2021</w:t>
        </w:r>
      </w:hyperlink>
      <w:r w:rsidRPr="00D06CC0">
        <w:rPr>
          <w:rFonts w:ascii="Century Gothic" w:hAnsi="Century Gothic" w:cstheme="majorHAnsi"/>
          <w:sz w:val="24"/>
          <w:szCs w:val="24"/>
        </w:rPr>
        <w:t>.</w:t>
      </w:r>
    </w:p>
    <w:p w14:paraId="6CCDE0E3" w14:textId="77777777" w:rsidR="00F730F9" w:rsidRPr="00D06CC0" w:rsidRDefault="00F730F9" w:rsidP="0099467B">
      <w:pPr>
        <w:pStyle w:val="Nivel2"/>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31396126" w14:textId="77777777" w:rsidR="00F730F9" w:rsidRPr="00D06CC0" w:rsidRDefault="00F730F9" w:rsidP="00655B0D">
      <w:pPr>
        <w:pStyle w:val="Nivel2"/>
        <w:numPr>
          <w:ilvl w:val="2"/>
          <w:numId w:val="10"/>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Cadastro Nacional de Empresas Inidôneas e Suspensas – CEIS e o e o Cadastro Nacional de Empresas Punidas – CNEP (www.portaldatransparencia.gov.br/ );</w:t>
      </w:r>
    </w:p>
    <w:p w14:paraId="0150ABE0" w14:textId="77777777" w:rsidR="00F730F9" w:rsidRPr="00D06CC0" w:rsidRDefault="00F730F9" w:rsidP="00655B0D">
      <w:pPr>
        <w:pStyle w:val="Nivel2"/>
        <w:numPr>
          <w:ilvl w:val="2"/>
          <w:numId w:val="10"/>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Cadastro Nacional de Condenações Cíveis por Atos de Improbidade Administrativa, mantido pelo Conselho Nacional de Justiça (www.cnj.jus.br/improbidade_adm/consultar_requerido.php ). </w:t>
      </w:r>
    </w:p>
    <w:p w14:paraId="0EDE6547" w14:textId="77777777" w:rsidR="00F730F9" w:rsidRPr="00D06CC0" w:rsidRDefault="00F730F9" w:rsidP="00655B0D">
      <w:pPr>
        <w:pStyle w:val="Nivel2"/>
        <w:numPr>
          <w:ilvl w:val="2"/>
          <w:numId w:val="10"/>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lastRenderedPageBreak/>
        <w:t xml:space="preserve">Lista de Inidôneos, mantida pelo Tribunal de Contas da União – TCU </w:t>
      </w:r>
      <w:hyperlink r:id="rId29" w:history="1">
        <w:r w:rsidRPr="00D06CC0">
          <w:rPr>
            <w:rStyle w:val="Hyperlink"/>
            <w:rFonts w:ascii="Century Gothic" w:hAnsi="Century Gothic" w:cstheme="majorHAnsi"/>
            <w:sz w:val="24"/>
            <w:szCs w:val="24"/>
          </w:rPr>
          <w:t>https://contas.tcu.gov.br/ords/f?p=1660:3:0</w:t>
        </w:r>
      </w:hyperlink>
      <w:r w:rsidRPr="00D06CC0">
        <w:rPr>
          <w:rFonts w:ascii="Century Gothic" w:hAnsi="Century Gothic" w:cstheme="majorHAnsi"/>
          <w:color w:val="auto"/>
          <w:sz w:val="24"/>
          <w:szCs w:val="24"/>
        </w:rPr>
        <w:t xml:space="preserve">. </w:t>
      </w:r>
    </w:p>
    <w:p w14:paraId="04E0116A" w14:textId="77777777" w:rsidR="00F730F9" w:rsidRPr="00D06CC0" w:rsidRDefault="00F730F9" w:rsidP="00655B0D">
      <w:pPr>
        <w:pStyle w:val="Nivel2"/>
        <w:numPr>
          <w:ilvl w:val="2"/>
          <w:numId w:val="10"/>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2308CC77" w14:textId="77777777" w:rsidR="00F730F9" w:rsidRPr="00D06CC0" w:rsidRDefault="00F730F9" w:rsidP="00655B0D">
      <w:pPr>
        <w:pStyle w:val="Nivel2"/>
        <w:numPr>
          <w:ilvl w:val="2"/>
          <w:numId w:val="10"/>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Caso conste na Consulta de Situação do Fornecedor a existência de Ocorrências Impeditivas Indiretas, o gestor diligencia para verificar se houve fraude por parte das empresas apontadas no Relatório de Ocorrências Impeditivas Indiretas. </w:t>
      </w:r>
    </w:p>
    <w:p w14:paraId="2398AEDC" w14:textId="77777777" w:rsidR="00F730F9" w:rsidRPr="00D06CC0" w:rsidRDefault="00F730F9" w:rsidP="00655B0D">
      <w:pPr>
        <w:pStyle w:val="Nivel2"/>
        <w:numPr>
          <w:ilvl w:val="2"/>
          <w:numId w:val="10"/>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A tentativa de burla será verificada por meio dos vínculos societários, linhas de fornecimento similares, dentre outros. </w:t>
      </w:r>
    </w:p>
    <w:p w14:paraId="337903E7" w14:textId="77777777" w:rsidR="00F730F9" w:rsidRPr="00D06CC0" w:rsidRDefault="00F730F9" w:rsidP="00655B0D">
      <w:pPr>
        <w:pStyle w:val="Nivel2"/>
        <w:numPr>
          <w:ilvl w:val="2"/>
          <w:numId w:val="10"/>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O licitante será convocado para manifestação previamente à sua desclassificação. </w:t>
      </w:r>
    </w:p>
    <w:p w14:paraId="44978C2C" w14:textId="77777777" w:rsidR="00F730F9" w:rsidRPr="00D06CC0" w:rsidRDefault="00F730F9" w:rsidP="00655B0D">
      <w:pPr>
        <w:pStyle w:val="Nivel2"/>
        <w:numPr>
          <w:ilvl w:val="2"/>
          <w:numId w:val="10"/>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Constatada a existência de sanção, o Pregoeiro reputará o licitante inabilitado, por falta de condição de participação. </w:t>
      </w:r>
    </w:p>
    <w:p w14:paraId="04E94E9D" w14:textId="77777777" w:rsidR="00F730F9" w:rsidRPr="00D06CC0" w:rsidRDefault="00F730F9" w:rsidP="00655B0D">
      <w:pPr>
        <w:pStyle w:val="Nivel2"/>
        <w:numPr>
          <w:ilvl w:val="2"/>
          <w:numId w:val="10"/>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No caso de inabilitação, haverá nova verificação, pelo sistema, da eventual ocorrência do empate ficto, previsto nos arts. 44 e 45 da Lei Complementar nº 123/ 2006, seguindo-se a disciplina antes estabelecida para aceitação da proposta subsequente.</w:t>
      </w:r>
    </w:p>
    <w:p w14:paraId="057997EF" w14:textId="77777777" w:rsidR="00F730F9" w:rsidRPr="00D06CC0" w:rsidRDefault="00F730F9" w:rsidP="0099467B">
      <w:pPr>
        <w:pStyle w:val="Nivel2"/>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24C65676" w14:textId="77777777" w:rsidR="00F730F9" w:rsidRPr="00D06CC0" w:rsidRDefault="00F730F9" w:rsidP="0099467B">
      <w:pPr>
        <w:pStyle w:val="Nivel2"/>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67EFADE7" w14:textId="1CEC6B16" w:rsidR="00F730F9" w:rsidRPr="00D06CC0" w:rsidRDefault="00F730F9" w:rsidP="0099467B">
      <w:pPr>
        <w:pStyle w:val="Nivel2"/>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Somente haverá a necessidade de comprovação do preenchimento de requisitos mediante apresentação dos documentos originais não-digitais quando houver dúvida em relação à integridade do documento digital.</w:t>
      </w:r>
    </w:p>
    <w:p w14:paraId="34D4F6D2" w14:textId="77C3A8AB" w:rsidR="000129F0" w:rsidRPr="00D06CC0" w:rsidRDefault="000129F0" w:rsidP="0099467B">
      <w:pPr>
        <w:pStyle w:val="Nivel2"/>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Poderá </w:t>
      </w:r>
      <w:r w:rsidR="00675ECA" w:rsidRPr="00D06CC0">
        <w:rPr>
          <w:rFonts w:ascii="Century Gothic" w:hAnsi="Century Gothic" w:cstheme="majorHAnsi"/>
          <w:color w:val="auto"/>
          <w:sz w:val="24"/>
          <w:szCs w:val="24"/>
        </w:rPr>
        <w:t>ser utilizado o</w:t>
      </w:r>
      <w:r w:rsidRPr="00D06CC0">
        <w:rPr>
          <w:rFonts w:ascii="Century Gothic" w:hAnsi="Century Gothic" w:cstheme="majorHAnsi"/>
          <w:color w:val="auto"/>
          <w:sz w:val="24"/>
          <w:szCs w:val="24"/>
        </w:rPr>
        <w:t xml:space="preserve"> SICAF</w:t>
      </w:r>
      <w:r w:rsidR="00675ECA" w:rsidRPr="00D06CC0">
        <w:rPr>
          <w:rFonts w:ascii="Century Gothic" w:hAnsi="Century Gothic" w:cstheme="majorHAnsi"/>
          <w:color w:val="auto"/>
          <w:sz w:val="24"/>
          <w:szCs w:val="24"/>
        </w:rPr>
        <w:t xml:space="preserve"> </w:t>
      </w:r>
      <w:r w:rsidR="005A51C7" w:rsidRPr="00D06CC0">
        <w:rPr>
          <w:rFonts w:ascii="Century Gothic" w:hAnsi="Century Gothic" w:cstheme="majorHAnsi"/>
          <w:color w:val="auto"/>
          <w:sz w:val="24"/>
          <w:szCs w:val="24"/>
        </w:rPr>
        <w:t>na comprovação referente ao item 112, 113, 114 e 115 deste edital.</w:t>
      </w:r>
    </w:p>
    <w:p w14:paraId="70EF6A3B" w14:textId="77777777" w:rsidR="00F730F9" w:rsidRPr="00D06CC0" w:rsidRDefault="00F730F9" w:rsidP="0099467B">
      <w:pPr>
        <w:pStyle w:val="Nivel2"/>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lastRenderedPageBreak/>
        <w:t>Não serão aceitos documentos de habilitação com indicação de CNPJ/CPF diferentes, salvo aqueles legalmente permitidos.</w:t>
      </w:r>
    </w:p>
    <w:p w14:paraId="2BCB482E" w14:textId="77777777" w:rsidR="00F730F9" w:rsidRPr="00D06CC0" w:rsidRDefault="00F730F9" w:rsidP="0099467B">
      <w:pPr>
        <w:pStyle w:val="Nivel2"/>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09CD22C" w14:textId="77777777" w:rsidR="00F730F9" w:rsidRPr="00D06CC0" w:rsidRDefault="00F730F9" w:rsidP="0099467B">
      <w:pPr>
        <w:pStyle w:val="Nivel2"/>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0B37A413" w14:textId="282AAB8C" w:rsidR="00F730F9" w:rsidRPr="00D06CC0" w:rsidRDefault="00F730F9" w:rsidP="0099467B">
      <w:pPr>
        <w:pStyle w:val="Nivel2"/>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Os licitantes deverão encaminhar, nos termos deste Edital, a documentação relacionada nos itens a seguir, para fins de habilitação:</w:t>
      </w:r>
    </w:p>
    <w:p w14:paraId="0803E46B" w14:textId="77777777" w:rsidR="005A51C7" w:rsidRPr="00D06CC0" w:rsidRDefault="005A51C7" w:rsidP="005A51C7">
      <w:pPr>
        <w:pStyle w:val="Nivel2"/>
        <w:numPr>
          <w:ilvl w:val="0"/>
          <w:numId w:val="0"/>
        </w:numPr>
        <w:spacing w:line="240" w:lineRule="auto"/>
        <w:rPr>
          <w:rFonts w:ascii="Century Gothic" w:hAnsi="Century Gothic" w:cstheme="majorHAnsi"/>
          <w:color w:val="auto"/>
          <w:sz w:val="24"/>
          <w:szCs w:val="24"/>
        </w:rPr>
      </w:pPr>
    </w:p>
    <w:p w14:paraId="709E2851" w14:textId="77777777" w:rsidR="00F730F9" w:rsidRPr="00D06CC0" w:rsidRDefault="00F730F9" w:rsidP="0099467B">
      <w:pPr>
        <w:pStyle w:val="Nivel2"/>
        <w:spacing w:line="240" w:lineRule="auto"/>
        <w:rPr>
          <w:rFonts w:ascii="Century Gothic" w:hAnsi="Century Gothic" w:cstheme="majorHAnsi"/>
          <w:b/>
          <w:bCs/>
          <w:color w:val="auto"/>
          <w:sz w:val="24"/>
          <w:szCs w:val="24"/>
        </w:rPr>
      </w:pPr>
      <w:r w:rsidRPr="00D06CC0">
        <w:rPr>
          <w:rFonts w:ascii="Century Gothic" w:hAnsi="Century Gothic" w:cstheme="majorHAnsi"/>
          <w:b/>
          <w:bCs/>
          <w:color w:val="auto"/>
          <w:sz w:val="24"/>
          <w:szCs w:val="24"/>
        </w:rPr>
        <w:t xml:space="preserve">HABILITAÇÃO JURÍDICA: </w:t>
      </w:r>
    </w:p>
    <w:p w14:paraId="7E7DAD33" w14:textId="77777777" w:rsidR="00F730F9" w:rsidRPr="00D06CC0" w:rsidRDefault="00F730F9" w:rsidP="00655B0D">
      <w:pPr>
        <w:pStyle w:val="Nivel2"/>
        <w:numPr>
          <w:ilvl w:val="2"/>
          <w:numId w:val="11"/>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No caso de empresário individual: inscrição no Registro Público de Empresas Mercantis, a cargo da Junta Comercial da respectiva sede;</w:t>
      </w:r>
    </w:p>
    <w:p w14:paraId="366A6E72" w14:textId="77777777" w:rsidR="00F730F9" w:rsidRPr="00D06CC0" w:rsidRDefault="00F730F9" w:rsidP="00655B0D">
      <w:pPr>
        <w:pStyle w:val="Nivel2"/>
        <w:numPr>
          <w:ilvl w:val="2"/>
          <w:numId w:val="11"/>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Em se tratando de microempreendedor individual – MEI: Certificado da Condição de Microempreendedor Individual - CCMEI, cuja aceitação ficará condicionada à verificação da autenticidade no sítio </w:t>
      </w:r>
      <w:hyperlink r:id="rId30" w:history="1">
        <w:r w:rsidRPr="00D06CC0">
          <w:rPr>
            <w:rStyle w:val="Hyperlink"/>
            <w:rFonts w:ascii="Century Gothic" w:hAnsi="Century Gothic" w:cstheme="majorHAnsi"/>
            <w:sz w:val="24"/>
            <w:szCs w:val="24"/>
          </w:rPr>
          <w:t>www.portaldoempreendedor.gov.br</w:t>
        </w:r>
      </w:hyperlink>
      <w:r w:rsidRPr="00D06CC0">
        <w:rPr>
          <w:rFonts w:ascii="Century Gothic" w:hAnsi="Century Gothic" w:cstheme="majorHAnsi"/>
          <w:color w:val="auto"/>
          <w:sz w:val="24"/>
          <w:szCs w:val="24"/>
        </w:rPr>
        <w:t xml:space="preserve">; </w:t>
      </w:r>
    </w:p>
    <w:p w14:paraId="2C1BDB10" w14:textId="77777777" w:rsidR="00F730F9" w:rsidRPr="00D06CC0" w:rsidRDefault="00F730F9" w:rsidP="00655B0D">
      <w:pPr>
        <w:pStyle w:val="Nivel2"/>
        <w:numPr>
          <w:ilvl w:val="2"/>
          <w:numId w:val="11"/>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3AFD1E0" w14:textId="77777777" w:rsidR="00F730F9" w:rsidRPr="00D06CC0" w:rsidRDefault="00F730F9" w:rsidP="00655B0D">
      <w:pPr>
        <w:pStyle w:val="Nivel2"/>
        <w:numPr>
          <w:ilvl w:val="2"/>
          <w:numId w:val="11"/>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Inscrição no Registro Público de Empresas Mercantis onde opera, com averbação no Registro onde tem sede a matriz, no caso de ser o participante sucursal, filial ou agência; </w:t>
      </w:r>
    </w:p>
    <w:p w14:paraId="4B1348C7" w14:textId="77777777" w:rsidR="00F730F9" w:rsidRPr="00D06CC0" w:rsidRDefault="00F730F9" w:rsidP="00655B0D">
      <w:pPr>
        <w:pStyle w:val="Nivel2"/>
        <w:numPr>
          <w:ilvl w:val="2"/>
          <w:numId w:val="11"/>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No caso de sociedade simples: inscrição do ato constitutivo no Registro Civil das Pessoas Jurídicas do local de sua sede, acompanhada de prova da indicação dos seus administradores; </w:t>
      </w:r>
    </w:p>
    <w:p w14:paraId="3DDBE24B" w14:textId="77777777" w:rsidR="00F730F9" w:rsidRPr="00D06CC0" w:rsidRDefault="00F730F9" w:rsidP="00655B0D">
      <w:pPr>
        <w:pStyle w:val="Nivel2"/>
        <w:numPr>
          <w:ilvl w:val="2"/>
          <w:numId w:val="11"/>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7853595" w14:textId="77777777" w:rsidR="00F730F9" w:rsidRPr="00D06CC0" w:rsidRDefault="00F730F9" w:rsidP="00655B0D">
      <w:pPr>
        <w:pStyle w:val="Nivel2"/>
        <w:numPr>
          <w:ilvl w:val="2"/>
          <w:numId w:val="11"/>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lastRenderedPageBreak/>
        <w:t xml:space="preserve">No caso de empresa ou sociedade estrangeira em funcionamento no País: decreto de autorização; </w:t>
      </w:r>
    </w:p>
    <w:p w14:paraId="0C6562E8" w14:textId="211221DF" w:rsidR="00F730F9" w:rsidRPr="00D06CC0" w:rsidRDefault="00F730F9" w:rsidP="00655B0D">
      <w:pPr>
        <w:pStyle w:val="Nivel2"/>
        <w:numPr>
          <w:ilvl w:val="2"/>
          <w:numId w:val="11"/>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Os documentos acima deverão estar acompanhados de todas as alterações</w:t>
      </w:r>
      <w:r w:rsidR="00F35A19" w:rsidRPr="00D06CC0">
        <w:rPr>
          <w:rFonts w:ascii="Century Gothic" w:hAnsi="Century Gothic" w:cstheme="majorHAnsi"/>
          <w:color w:val="auto"/>
          <w:sz w:val="24"/>
          <w:szCs w:val="24"/>
        </w:rPr>
        <w:t>/</w:t>
      </w:r>
      <w:r w:rsidRPr="00D06CC0">
        <w:rPr>
          <w:rFonts w:ascii="Century Gothic" w:hAnsi="Century Gothic" w:cstheme="majorHAnsi"/>
          <w:color w:val="auto"/>
          <w:sz w:val="24"/>
          <w:szCs w:val="24"/>
        </w:rPr>
        <w:t>consolidação respectiva;</w:t>
      </w:r>
    </w:p>
    <w:p w14:paraId="28902697" w14:textId="77777777" w:rsidR="00F730F9" w:rsidRPr="00D06CC0" w:rsidRDefault="00F730F9" w:rsidP="0099467B">
      <w:pPr>
        <w:pStyle w:val="Nivel2"/>
        <w:spacing w:line="240" w:lineRule="auto"/>
        <w:rPr>
          <w:rFonts w:ascii="Century Gothic" w:hAnsi="Century Gothic" w:cstheme="majorHAnsi"/>
          <w:b/>
          <w:bCs/>
          <w:color w:val="auto"/>
          <w:sz w:val="24"/>
          <w:szCs w:val="24"/>
        </w:rPr>
      </w:pPr>
      <w:r w:rsidRPr="00D06CC0">
        <w:rPr>
          <w:rFonts w:ascii="Century Gothic" w:hAnsi="Century Gothic" w:cstheme="majorHAnsi"/>
          <w:b/>
          <w:bCs/>
          <w:color w:val="auto"/>
          <w:sz w:val="24"/>
          <w:szCs w:val="24"/>
        </w:rPr>
        <w:t>HABILITAÇÃO FISCAL, SOCIAL E TRABALHISTA:</w:t>
      </w:r>
    </w:p>
    <w:p w14:paraId="3D252D32" w14:textId="77777777" w:rsidR="00F730F9" w:rsidRPr="00D06CC0" w:rsidRDefault="00F730F9" w:rsidP="00655B0D">
      <w:pPr>
        <w:pStyle w:val="Nivel2"/>
        <w:numPr>
          <w:ilvl w:val="2"/>
          <w:numId w:val="12"/>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Prova de inscrição no Cadastro Nacional de Pessoas Jurídicas (CNPJ) ou no Cadastro de Pessoas Físicas (CPF), conforme o caso; </w:t>
      </w:r>
    </w:p>
    <w:p w14:paraId="5643B5CC" w14:textId="77777777" w:rsidR="00F730F9" w:rsidRPr="00D06CC0" w:rsidRDefault="00F730F9" w:rsidP="00655B0D">
      <w:pPr>
        <w:pStyle w:val="Nivel2"/>
        <w:numPr>
          <w:ilvl w:val="2"/>
          <w:numId w:val="12"/>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Prova de inscrição no cadastro de contribuintes estadual e/ou municipal, se houver relativo ao domicílio ou sede do licitante, pertinente ao seu ramo de atividade e compatível com o objeto contratual; </w:t>
      </w:r>
    </w:p>
    <w:p w14:paraId="7EA23CC1" w14:textId="77777777" w:rsidR="00F730F9" w:rsidRPr="00D06CC0" w:rsidRDefault="00F730F9" w:rsidP="00655B0D">
      <w:pPr>
        <w:pStyle w:val="Nivel2"/>
        <w:numPr>
          <w:ilvl w:val="2"/>
          <w:numId w:val="12"/>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3101BCAA" w14:textId="77777777" w:rsidR="00F730F9" w:rsidRPr="00D06CC0" w:rsidRDefault="00F730F9" w:rsidP="00655B0D">
      <w:pPr>
        <w:pStyle w:val="Nivel2"/>
        <w:numPr>
          <w:ilvl w:val="2"/>
          <w:numId w:val="12"/>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Prova de regularidade com o Fundo de Garantia do Tempo de Serviço (FGTS);</w:t>
      </w:r>
    </w:p>
    <w:p w14:paraId="2AAF85AC" w14:textId="77777777" w:rsidR="00F730F9" w:rsidRPr="00D06CC0" w:rsidRDefault="00F730F9" w:rsidP="00655B0D">
      <w:pPr>
        <w:pStyle w:val="Nivel2"/>
        <w:numPr>
          <w:ilvl w:val="2"/>
          <w:numId w:val="12"/>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2AA7EF01" w14:textId="77777777" w:rsidR="00F730F9" w:rsidRPr="00D06CC0" w:rsidRDefault="00F730F9" w:rsidP="00655B0D">
      <w:pPr>
        <w:pStyle w:val="Nivel2"/>
        <w:numPr>
          <w:ilvl w:val="2"/>
          <w:numId w:val="12"/>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Prova de regularidade junto à Fazenda Estadual, através da Certidão Negativa conjunta junto aos Tributos Estaduais, emitida pela Secretaria da Fazenda Estadual onde a empresa for sediada; </w:t>
      </w:r>
    </w:p>
    <w:p w14:paraId="0788B2D6" w14:textId="77777777" w:rsidR="00F730F9" w:rsidRPr="00D06CC0" w:rsidRDefault="00F730F9" w:rsidP="00655B0D">
      <w:pPr>
        <w:pStyle w:val="Nivel2"/>
        <w:numPr>
          <w:ilvl w:val="2"/>
          <w:numId w:val="12"/>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Prova de regularidade junto à Fazenda Municipal, através da Certidão Negativa junto aos Tributos Municipais, emitida pela Secretaria da Fazenda Municipal onde a empresa for sediada; </w:t>
      </w:r>
    </w:p>
    <w:p w14:paraId="22417B6F" w14:textId="77777777" w:rsidR="00F730F9" w:rsidRPr="00D06CC0" w:rsidRDefault="00F730F9" w:rsidP="00655B0D">
      <w:pPr>
        <w:pStyle w:val="Nivel2"/>
        <w:numPr>
          <w:ilvl w:val="2"/>
          <w:numId w:val="12"/>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52913EF" w14:textId="77777777" w:rsidR="00F730F9" w:rsidRPr="00D06CC0" w:rsidRDefault="00F730F9" w:rsidP="0099467B">
      <w:pPr>
        <w:pStyle w:val="Nivel2"/>
        <w:spacing w:line="240" w:lineRule="auto"/>
        <w:rPr>
          <w:rFonts w:ascii="Century Gothic" w:hAnsi="Century Gothic" w:cstheme="majorHAnsi"/>
          <w:b/>
          <w:bCs/>
          <w:color w:val="auto"/>
          <w:sz w:val="24"/>
          <w:szCs w:val="24"/>
        </w:rPr>
      </w:pPr>
      <w:r w:rsidRPr="00D06CC0">
        <w:rPr>
          <w:rFonts w:ascii="Century Gothic" w:hAnsi="Century Gothic" w:cstheme="majorHAnsi"/>
          <w:b/>
          <w:bCs/>
          <w:color w:val="auto"/>
          <w:sz w:val="24"/>
          <w:szCs w:val="24"/>
        </w:rPr>
        <w:lastRenderedPageBreak/>
        <w:t>HABILITAÇÃO ECONÔMICO-FINANCEIRA.</w:t>
      </w:r>
    </w:p>
    <w:p w14:paraId="53EEA405" w14:textId="189FF50E" w:rsidR="00F730F9" w:rsidRPr="00D06CC0" w:rsidRDefault="00F730F9" w:rsidP="00655B0D">
      <w:pPr>
        <w:pStyle w:val="Nivel2"/>
        <w:numPr>
          <w:ilvl w:val="2"/>
          <w:numId w:val="13"/>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Certidão Negativa de falência, de concordata, de recuperação judicial ou extrajudicial (Lei nº 11.101/2005), expedida pelo distribuidor da sede da empresa, datado dos últimos </w:t>
      </w:r>
      <w:r w:rsidR="00F9758A" w:rsidRPr="00D06CC0">
        <w:rPr>
          <w:rFonts w:ascii="Century Gothic" w:hAnsi="Century Gothic" w:cstheme="majorHAnsi"/>
          <w:color w:val="auto"/>
          <w:sz w:val="24"/>
          <w:szCs w:val="24"/>
        </w:rPr>
        <w:t>60</w:t>
      </w:r>
      <w:r w:rsidRPr="00D06CC0">
        <w:rPr>
          <w:rFonts w:ascii="Century Gothic" w:hAnsi="Century Gothic" w:cstheme="majorHAnsi"/>
          <w:color w:val="auto"/>
          <w:sz w:val="24"/>
          <w:szCs w:val="24"/>
        </w:rPr>
        <w:t xml:space="preserve"> (</w:t>
      </w:r>
      <w:r w:rsidR="00F9758A" w:rsidRPr="00D06CC0">
        <w:rPr>
          <w:rFonts w:ascii="Century Gothic" w:hAnsi="Century Gothic" w:cstheme="majorHAnsi"/>
          <w:color w:val="auto"/>
          <w:sz w:val="24"/>
          <w:szCs w:val="24"/>
        </w:rPr>
        <w:t>sessenta</w:t>
      </w:r>
      <w:r w:rsidRPr="00D06CC0">
        <w:rPr>
          <w:rFonts w:ascii="Century Gothic" w:hAnsi="Century Gothic" w:cstheme="majorHAnsi"/>
          <w:color w:val="auto"/>
          <w:sz w:val="24"/>
          <w:szCs w:val="24"/>
        </w:rPr>
        <w:t xml:space="preserve">) dias, ou que esteja dentro do prazo de validade expresso na própria Certidão; </w:t>
      </w:r>
    </w:p>
    <w:p w14:paraId="051738C0" w14:textId="77777777" w:rsidR="00F730F9" w:rsidRPr="00D06CC0" w:rsidRDefault="00F730F9" w:rsidP="00655B0D">
      <w:pPr>
        <w:pStyle w:val="Nivel2"/>
        <w:numPr>
          <w:ilvl w:val="2"/>
          <w:numId w:val="13"/>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66E8C490" w14:textId="7F5F8766" w:rsidR="00F730F9" w:rsidRPr="00D06CC0" w:rsidRDefault="00F730F9" w:rsidP="00655B0D">
      <w:pPr>
        <w:pStyle w:val="Nivel2"/>
        <w:numPr>
          <w:ilvl w:val="2"/>
          <w:numId w:val="13"/>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Balanço patrimonial e demonstrações contábeis dos 02 (dois) últimos exercícios sociais, já exigíveis</w:t>
      </w:r>
      <w:r w:rsidR="00F9758A" w:rsidRPr="00D06CC0">
        <w:rPr>
          <w:rFonts w:ascii="Century Gothic" w:hAnsi="Century Gothic" w:cstheme="majorHAnsi"/>
          <w:color w:val="auto"/>
          <w:sz w:val="24"/>
          <w:szCs w:val="24"/>
        </w:rPr>
        <w:t xml:space="preserve">, devidamente registrados e </w:t>
      </w:r>
      <w:r w:rsidRPr="00D06CC0">
        <w:rPr>
          <w:rFonts w:ascii="Century Gothic" w:hAnsi="Century Gothic" w:cstheme="majorHAnsi"/>
          <w:color w:val="auto"/>
          <w:sz w:val="24"/>
          <w:szCs w:val="24"/>
        </w:rPr>
        <w:t xml:space="preserve">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0AC9A59A" w14:textId="77777777" w:rsidR="00F730F9" w:rsidRPr="00D06CC0" w:rsidRDefault="00F730F9" w:rsidP="00655B0D">
      <w:pPr>
        <w:pStyle w:val="Nivel2"/>
        <w:numPr>
          <w:ilvl w:val="2"/>
          <w:numId w:val="13"/>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No caso de fornecimento de bens para pronta entrega, não será exigido da licitante qualificada como microempresa ou empresa de pequeno porte, a apresentação de balanço patrimonial do último exercício financeiro. (Art. 3º do Decreto nº 8.538/2015); </w:t>
      </w:r>
    </w:p>
    <w:p w14:paraId="74E2BDE3" w14:textId="77777777" w:rsidR="00F730F9" w:rsidRPr="00D06CC0" w:rsidRDefault="00F730F9" w:rsidP="00655B0D">
      <w:pPr>
        <w:pStyle w:val="Nivel2"/>
        <w:numPr>
          <w:ilvl w:val="2"/>
          <w:numId w:val="13"/>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No caso de empresa constituída no exercício social vigente, admite-se a apresentação de balanço patrimonial e demonstrações contábeis referentes ao período de existência da sociedade; </w:t>
      </w:r>
    </w:p>
    <w:p w14:paraId="399BAF77" w14:textId="77777777" w:rsidR="00F730F9" w:rsidRPr="00D06CC0" w:rsidRDefault="00F730F9" w:rsidP="00655B0D">
      <w:pPr>
        <w:pStyle w:val="Nivel2"/>
        <w:numPr>
          <w:ilvl w:val="2"/>
          <w:numId w:val="13"/>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É admissível o balanço intermediário, se decorrer de lei ou contrato social/estatuto social. </w:t>
      </w:r>
    </w:p>
    <w:p w14:paraId="24A747C4" w14:textId="77777777" w:rsidR="00F730F9" w:rsidRPr="00D06CC0" w:rsidRDefault="00F730F9" w:rsidP="00655B0D">
      <w:pPr>
        <w:pStyle w:val="Nivel2"/>
        <w:numPr>
          <w:ilvl w:val="2"/>
          <w:numId w:val="13"/>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Caso o licitante seja cooperativa, tais documentos deverão ser acompanhados da última auditoria contábil-financeira, conforme dispõe o artigo 112 da Lei nº 5.764, de 1971, ou de uma declaração, sob as penas da lei, de que tal auditoria não foi exigida pelo órgão fiscalizador; </w:t>
      </w:r>
    </w:p>
    <w:p w14:paraId="4078F462" w14:textId="77777777" w:rsidR="00F730F9" w:rsidRPr="00D06CC0" w:rsidRDefault="00F730F9" w:rsidP="00655B0D">
      <w:pPr>
        <w:pStyle w:val="Nivel2"/>
        <w:numPr>
          <w:ilvl w:val="2"/>
          <w:numId w:val="13"/>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A comprovação da situação financeira da empresa será constatada mediante obtenção de índices de Liquidez Geral (LG), Solvência Geral (SG) e Liquidez Corrente (LC), superiores a 1 (hum) resultantes da aplicação das fórmulas: </w:t>
      </w:r>
    </w:p>
    <w:p w14:paraId="7B4426B2" w14:textId="77777777" w:rsidR="00F730F9" w:rsidRPr="00D06CC0" w:rsidRDefault="00F730F9" w:rsidP="0099467B">
      <w:pPr>
        <w:pStyle w:val="Nivel2"/>
        <w:numPr>
          <w:ilvl w:val="0"/>
          <w:numId w:val="0"/>
        </w:numPr>
        <w:spacing w:line="240" w:lineRule="auto"/>
        <w:ind w:left="1428"/>
        <w:rPr>
          <w:rFonts w:ascii="Century Gothic" w:hAnsi="Century Gothic" w:cstheme="majorHAnsi"/>
          <w:color w:val="auto"/>
          <w:sz w:val="24"/>
          <w:szCs w:val="24"/>
        </w:rPr>
      </w:pPr>
      <w:r w:rsidRPr="00D06CC0">
        <w:rPr>
          <w:rFonts w:ascii="Century Gothic" w:hAnsi="Century Gothic" w:cstheme="majorHAnsi"/>
          <w:color w:val="auto"/>
          <w:sz w:val="24"/>
          <w:szCs w:val="24"/>
        </w:rPr>
        <w:lastRenderedPageBreak/>
        <w:t>LG =</w:t>
      </w:r>
      <w:r w:rsidRPr="00D06CC0">
        <w:rPr>
          <w:rFonts w:ascii="Century Gothic" w:hAnsi="Century Gothic" w:cstheme="majorHAnsi"/>
          <w:color w:val="auto"/>
          <w:sz w:val="24"/>
          <w:szCs w:val="24"/>
        </w:rPr>
        <w:tab/>
        <w:t xml:space="preserve">Ativo Circulante + Realizável a Longo Prazo </w:t>
      </w:r>
    </w:p>
    <w:p w14:paraId="008D655E" w14:textId="77777777" w:rsidR="00F730F9" w:rsidRPr="00D06CC0" w:rsidRDefault="00F730F9" w:rsidP="0099467B">
      <w:pPr>
        <w:pStyle w:val="Nivel2"/>
        <w:numPr>
          <w:ilvl w:val="0"/>
          <w:numId w:val="0"/>
        </w:numPr>
        <w:spacing w:line="240" w:lineRule="auto"/>
        <w:ind w:left="1428"/>
        <w:rPr>
          <w:rFonts w:ascii="Century Gothic" w:hAnsi="Century Gothic" w:cstheme="majorHAnsi"/>
          <w:color w:val="auto"/>
          <w:sz w:val="24"/>
          <w:szCs w:val="24"/>
        </w:rPr>
      </w:pPr>
      <w:r w:rsidRPr="00D06CC0">
        <w:rPr>
          <w:rFonts w:ascii="Century Gothic" w:hAnsi="Century Gothic" w:cstheme="majorHAnsi"/>
          <w:color w:val="auto"/>
          <w:sz w:val="24"/>
          <w:szCs w:val="24"/>
        </w:rPr>
        <w:tab/>
        <w:t xml:space="preserve">Passivo Circulante + Passivo Não Circulante </w:t>
      </w:r>
    </w:p>
    <w:p w14:paraId="4B766D70" w14:textId="77777777" w:rsidR="00F730F9" w:rsidRPr="00D06CC0" w:rsidRDefault="00F730F9" w:rsidP="0099467B">
      <w:pPr>
        <w:pStyle w:val="Nivel2"/>
        <w:numPr>
          <w:ilvl w:val="0"/>
          <w:numId w:val="0"/>
        </w:numPr>
        <w:spacing w:line="240" w:lineRule="auto"/>
        <w:ind w:left="1428"/>
        <w:rPr>
          <w:rFonts w:ascii="Century Gothic" w:hAnsi="Century Gothic" w:cstheme="majorHAnsi"/>
          <w:color w:val="auto"/>
          <w:sz w:val="24"/>
          <w:szCs w:val="24"/>
        </w:rPr>
      </w:pPr>
      <w:r w:rsidRPr="00D06CC0">
        <w:rPr>
          <w:rFonts w:ascii="Century Gothic" w:hAnsi="Century Gothic" w:cstheme="majorHAnsi"/>
          <w:color w:val="auto"/>
          <w:sz w:val="24"/>
          <w:szCs w:val="24"/>
        </w:rPr>
        <w:t>SG =</w:t>
      </w:r>
      <w:r w:rsidRPr="00D06CC0">
        <w:rPr>
          <w:rFonts w:ascii="Century Gothic" w:hAnsi="Century Gothic" w:cstheme="majorHAnsi"/>
          <w:color w:val="auto"/>
          <w:sz w:val="24"/>
          <w:szCs w:val="24"/>
        </w:rPr>
        <w:tab/>
        <w:t>Ativo Total</w:t>
      </w:r>
    </w:p>
    <w:p w14:paraId="19513490" w14:textId="77777777" w:rsidR="00F730F9" w:rsidRPr="00D06CC0" w:rsidRDefault="00F730F9" w:rsidP="0099467B">
      <w:pPr>
        <w:pStyle w:val="Nivel2"/>
        <w:numPr>
          <w:ilvl w:val="0"/>
          <w:numId w:val="0"/>
        </w:numPr>
        <w:spacing w:line="240" w:lineRule="auto"/>
        <w:ind w:left="1428"/>
        <w:rPr>
          <w:rFonts w:ascii="Century Gothic" w:hAnsi="Century Gothic" w:cstheme="majorHAnsi"/>
          <w:color w:val="auto"/>
          <w:sz w:val="24"/>
          <w:szCs w:val="24"/>
        </w:rPr>
      </w:pPr>
      <w:r w:rsidRPr="00D06CC0">
        <w:rPr>
          <w:rFonts w:ascii="Century Gothic" w:hAnsi="Century Gothic" w:cstheme="majorHAnsi"/>
          <w:color w:val="auto"/>
          <w:sz w:val="24"/>
          <w:szCs w:val="24"/>
        </w:rPr>
        <w:t>Passivo Circulante + Passivo Não Circulante</w:t>
      </w:r>
    </w:p>
    <w:p w14:paraId="5B5A3334" w14:textId="77777777" w:rsidR="00F730F9" w:rsidRPr="00D06CC0" w:rsidRDefault="00F730F9" w:rsidP="0099467B">
      <w:pPr>
        <w:pStyle w:val="Nivel2"/>
        <w:numPr>
          <w:ilvl w:val="0"/>
          <w:numId w:val="0"/>
        </w:numPr>
        <w:spacing w:line="240" w:lineRule="auto"/>
        <w:ind w:left="1428"/>
        <w:rPr>
          <w:rFonts w:ascii="Century Gothic" w:hAnsi="Century Gothic" w:cstheme="majorHAnsi"/>
          <w:color w:val="auto"/>
          <w:sz w:val="24"/>
          <w:szCs w:val="24"/>
        </w:rPr>
      </w:pPr>
      <w:r w:rsidRPr="00D06CC0">
        <w:rPr>
          <w:rFonts w:ascii="Century Gothic" w:hAnsi="Century Gothic" w:cstheme="majorHAnsi"/>
          <w:color w:val="auto"/>
          <w:sz w:val="24"/>
          <w:szCs w:val="24"/>
        </w:rPr>
        <w:t>LC =</w:t>
      </w:r>
      <w:r w:rsidRPr="00D06CC0">
        <w:rPr>
          <w:rFonts w:ascii="Century Gothic" w:hAnsi="Century Gothic" w:cstheme="majorHAnsi"/>
          <w:color w:val="auto"/>
          <w:sz w:val="24"/>
          <w:szCs w:val="24"/>
        </w:rPr>
        <w:tab/>
        <w:t>Ativo Circulante</w:t>
      </w:r>
    </w:p>
    <w:p w14:paraId="2E6B4941" w14:textId="77777777" w:rsidR="00F730F9" w:rsidRPr="00D06CC0" w:rsidRDefault="00F730F9" w:rsidP="0099467B">
      <w:pPr>
        <w:pStyle w:val="Nivel2"/>
        <w:numPr>
          <w:ilvl w:val="0"/>
          <w:numId w:val="0"/>
        </w:numPr>
        <w:spacing w:line="240" w:lineRule="auto"/>
        <w:ind w:left="1428"/>
        <w:rPr>
          <w:rFonts w:ascii="Century Gothic" w:hAnsi="Century Gothic" w:cstheme="majorHAnsi"/>
          <w:color w:val="auto"/>
          <w:sz w:val="24"/>
          <w:szCs w:val="24"/>
        </w:rPr>
      </w:pPr>
      <w:r w:rsidRPr="00D06CC0">
        <w:rPr>
          <w:rFonts w:ascii="Century Gothic" w:hAnsi="Century Gothic" w:cstheme="majorHAnsi"/>
          <w:color w:val="auto"/>
          <w:sz w:val="24"/>
          <w:szCs w:val="24"/>
        </w:rPr>
        <w:t>Passivo Circulante</w:t>
      </w:r>
    </w:p>
    <w:p w14:paraId="64E603A6" w14:textId="77777777" w:rsidR="00F730F9" w:rsidRPr="00D06CC0" w:rsidRDefault="00F730F9" w:rsidP="00655B0D">
      <w:pPr>
        <w:pStyle w:val="Nivel2"/>
        <w:numPr>
          <w:ilvl w:val="2"/>
          <w:numId w:val="13"/>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6726EA9E" w14:textId="77777777" w:rsidR="00F730F9" w:rsidRPr="00D06CC0" w:rsidRDefault="00F730F9" w:rsidP="00655B0D">
      <w:pPr>
        <w:pStyle w:val="Nivel2"/>
        <w:numPr>
          <w:ilvl w:val="2"/>
          <w:numId w:val="13"/>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dos 2 (dois) últimos exercícios sociais, apresentados na forma da lei, vedada a substituição por balancetes ou balanços provisórios, podendo ser atualizados por índices oficiais quando encerrados há mais de 3 (três) meses da data da apresentação da proposta.</w:t>
      </w:r>
    </w:p>
    <w:p w14:paraId="5B039E24" w14:textId="77777777" w:rsidR="00F730F9" w:rsidRPr="00D06CC0" w:rsidRDefault="00F730F9" w:rsidP="00655B0D">
      <w:pPr>
        <w:pStyle w:val="Nivel2"/>
        <w:numPr>
          <w:ilvl w:val="2"/>
          <w:numId w:val="13"/>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4D6B6C0" w14:textId="281D261F" w:rsidR="00F730F9" w:rsidRPr="00D06CC0" w:rsidRDefault="00F730F9" w:rsidP="00655B0D">
      <w:pPr>
        <w:pStyle w:val="Nivel2"/>
        <w:numPr>
          <w:ilvl w:val="2"/>
          <w:numId w:val="13"/>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014C2F35" w14:textId="77777777" w:rsidR="0052677B" w:rsidRPr="00D06CC0" w:rsidRDefault="0052677B" w:rsidP="0052677B">
      <w:pPr>
        <w:pStyle w:val="Nivel2"/>
        <w:numPr>
          <w:ilvl w:val="0"/>
          <w:numId w:val="0"/>
        </w:numPr>
        <w:spacing w:line="240" w:lineRule="auto"/>
        <w:ind w:left="1428"/>
        <w:rPr>
          <w:rFonts w:ascii="Century Gothic" w:hAnsi="Century Gothic" w:cstheme="majorHAnsi"/>
          <w:color w:val="auto"/>
          <w:sz w:val="24"/>
          <w:szCs w:val="24"/>
        </w:rPr>
      </w:pPr>
    </w:p>
    <w:p w14:paraId="2C2DBE44" w14:textId="77777777" w:rsidR="00F730F9" w:rsidRPr="00D06CC0" w:rsidRDefault="00F730F9" w:rsidP="0099467B">
      <w:pPr>
        <w:pStyle w:val="Nivel2"/>
        <w:spacing w:line="240" w:lineRule="auto"/>
        <w:rPr>
          <w:rFonts w:ascii="Century Gothic" w:hAnsi="Century Gothic" w:cstheme="majorHAnsi"/>
          <w:b/>
          <w:bCs/>
          <w:color w:val="auto"/>
          <w:sz w:val="24"/>
          <w:szCs w:val="24"/>
        </w:rPr>
      </w:pPr>
      <w:r w:rsidRPr="00D06CC0">
        <w:rPr>
          <w:rFonts w:ascii="Century Gothic" w:hAnsi="Century Gothic" w:cstheme="majorHAnsi"/>
          <w:b/>
          <w:bCs/>
          <w:color w:val="auto"/>
          <w:sz w:val="24"/>
          <w:szCs w:val="24"/>
        </w:rPr>
        <w:lastRenderedPageBreak/>
        <w:t>QUALIFICAÇÃO TÉCNICA.</w:t>
      </w:r>
    </w:p>
    <w:p w14:paraId="03470232"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FFB6D3B"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0BCF3259"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AB51335"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00C4530"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1D52AFF4"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E4A2A46"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1DFA014B"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AEA2ABB"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6E5AD78"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419EB3C"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0D83D7A9"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96BCACF"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0822447"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0AE22B1"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B0A73DB"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117E213D"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9E49D12"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0914D3E9"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DD546B2"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3B53143"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6597B9F"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1D546DAB"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7DC72FA"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F336F91"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009914AA"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0C5D080A"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88F0DF5"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4044CBF5"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0E84AB38"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01528056"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FFBD9AB"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E4B251D"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9FB03DC"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0D2F865C"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4BD39278"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2E1F67B"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7AC9194"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7F95E65"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7527634"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DB787C6"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1AE17068"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446DCD6C"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FD777B6"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E7F400A"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41421055"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23594B7"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862A9BF"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574BBF0"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88DE6CF"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EB22870"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4742D8D"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9395A10"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1D66D225"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65E67C9"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9E870E0"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D498996"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1908B86F"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0CE2FE0"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A52D6AF"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70DE8DF"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B7324F7"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119876B8"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C953399"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DE4FAB7"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0C006FEB"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56DD898"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3A03180"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4569F60D"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955288E"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6E3B1AF"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4873B5A9"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D13A5DA"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141BD251"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66D7D7C"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3E3347F"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C72A5C3"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D0CBA97"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4F86006"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38BC23B"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E5F37AC"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0E294F6"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4EB15CF"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41BFC1BB"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809C20C"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09DD8505"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2734B31"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59C9C29"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11DC7252"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D5D08D8"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4CD95706"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0D9848E"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369967E"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BB25880"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86A8119"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1A0FC0C"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F82B6F5"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4B1EAFC"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4F144C93"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6EA5FD7D"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A984C0F"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75948B8C"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34B452A"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18C72EB3"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2CB87002"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3610D842"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5DE37C73" w14:textId="77777777" w:rsidR="00D75372" w:rsidRPr="00D06CC0" w:rsidRDefault="00D75372" w:rsidP="00655B0D">
      <w:pPr>
        <w:pStyle w:val="PargrafodaLista"/>
        <w:numPr>
          <w:ilvl w:val="0"/>
          <w:numId w:val="14"/>
        </w:numPr>
        <w:spacing w:before="120" w:after="120"/>
        <w:contextualSpacing w:val="0"/>
        <w:jc w:val="both"/>
        <w:rPr>
          <w:rFonts w:ascii="Century Gothic" w:eastAsiaTheme="minorEastAsia" w:hAnsi="Century Gothic" w:cstheme="majorHAnsi"/>
          <w:vanish/>
        </w:rPr>
      </w:pPr>
    </w:p>
    <w:p w14:paraId="1B9D4D76" w14:textId="77777777" w:rsidR="00D75372" w:rsidRPr="00D06CC0" w:rsidRDefault="00D75372" w:rsidP="00655B0D">
      <w:pPr>
        <w:pStyle w:val="PargrafodaLista"/>
        <w:numPr>
          <w:ilvl w:val="1"/>
          <w:numId w:val="14"/>
        </w:numPr>
        <w:spacing w:before="120" w:after="120"/>
        <w:contextualSpacing w:val="0"/>
        <w:jc w:val="both"/>
        <w:rPr>
          <w:rFonts w:ascii="Century Gothic" w:eastAsiaTheme="minorEastAsia" w:hAnsi="Century Gothic" w:cstheme="majorHAnsi"/>
          <w:vanish/>
        </w:rPr>
      </w:pPr>
    </w:p>
    <w:p w14:paraId="5F03374F" w14:textId="7B2A2A14" w:rsidR="00542E81" w:rsidRPr="00D06CC0" w:rsidRDefault="00542E81" w:rsidP="00655B0D">
      <w:pPr>
        <w:pStyle w:val="Nivel2"/>
        <w:numPr>
          <w:ilvl w:val="2"/>
          <w:numId w:val="14"/>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 ou assinado eletronicamente. </w:t>
      </w:r>
    </w:p>
    <w:p w14:paraId="23C16C1C" w14:textId="77777777" w:rsidR="00542E81" w:rsidRPr="00D06CC0" w:rsidRDefault="00542E81" w:rsidP="00655B0D">
      <w:pPr>
        <w:pStyle w:val="Nivel2"/>
        <w:numPr>
          <w:ilvl w:val="2"/>
          <w:numId w:val="14"/>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4E5D435D" w14:textId="77777777" w:rsidR="00542E81" w:rsidRPr="00D06CC0" w:rsidRDefault="00542E81" w:rsidP="00655B0D">
      <w:pPr>
        <w:pStyle w:val="Nivel2"/>
        <w:numPr>
          <w:ilvl w:val="2"/>
          <w:numId w:val="14"/>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A declaração do vencedor acontecerá no momento imediatamente posterior à fase de habilitação. </w:t>
      </w:r>
    </w:p>
    <w:p w14:paraId="6AEE34C7" w14:textId="77777777" w:rsidR="00542E81" w:rsidRPr="00D06CC0" w:rsidRDefault="00542E81" w:rsidP="00655B0D">
      <w:pPr>
        <w:pStyle w:val="Nivel2"/>
        <w:numPr>
          <w:ilvl w:val="2"/>
          <w:numId w:val="14"/>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4F6BA902" w14:textId="77777777" w:rsidR="00542E81" w:rsidRPr="00D06CC0" w:rsidRDefault="00542E81" w:rsidP="00655B0D">
      <w:pPr>
        <w:pStyle w:val="Nivel2"/>
        <w:numPr>
          <w:ilvl w:val="2"/>
          <w:numId w:val="14"/>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03F8F29" w14:textId="77777777" w:rsidR="00542E81" w:rsidRPr="00D06CC0" w:rsidRDefault="00542E81" w:rsidP="00655B0D">
      <w:pPr>
        <w:pStyle w:val="Nivel2"/>
        <w:numPr>
          <w:ilvl w:val="2"/>
          <w:numId w:val="14"/>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Havendo necessidade de analisar minuciosamente os documentos exigidos, o Pregoeiro suspenderá a sessão, informando no “chat” a nova data e horário para a continuidade da mesma. </w:t>
      </w:r>
    </w:p>
    <w:p w14:paraId="51640524" w14:textId="77777777" w:rsidR="00542E81" w:rsidRPr="00D06CC0" w:rsidRDefault="00542E81" w:rsidP="00655B0D">
      <w:pPr>
        <w:pStyle w:val="Nivel2"/>
        <w:numPr>
          <w:ilvl w:val="2"/>
          <w:numId w:val="14"/>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Será inabilitado o licitante que não comprovar sua habilitação, seja por não apresentar quaisquer dos documentos exigidos, ou apresentá-los em desacordo com o estabelecido neste Edital. </w:t>
      </w:r>
    </w:p>
    <w:p w14:paraId="052609A1" w14:textId="30FFE8DA" w:rsidR="00542E81" w:rsidRPr="00D06CC0" w:rsidRDefault="00542E81" w:rsidP="00655B0D">
      <w:pPr>
        <w:pStyle w:val="Nivel2"/>
        <w:numPr>
          <w:ilvl w:val="2"/>
          <w:numId w:val="14"/>
        </w:numPr>
        <w:spacing w:line="240" w:lineRule="auto"/>
        <w:rPr>
          <w:rFonts w:ascii="Century Gothic" w:hAnsi="Century Gothic" w:cstheme="majorHAnsi"/>
          <w:color w:val="auto"/>
          <w:sz w:val="24"/>
          <w:szCs w:val="24"/>
        </w:rPr>
      </w:pPr>
      <w:r w:rsidRPr="00D06CC0">
        <w:rPr>
          <w:rFonts w:ascii="Century Gothic" w:hAnsi="Century Gothic" w:cstheme="majorHAnsi"/>
          <w:color w:val="auto"/>
          <w:sz w:val="24"/>
          <w:szCs w:val="24"/>
        </w:rPr>
        <w:t xml:space="preserve">Nos itens não exclusivos a microempresas e empresas de pequeno porte, em havendo inabilitação, haverá nova verificação, </w:t>
      </w:r>
      <w:r w:rsidRPr="00D06CC0">
        <w:rPr>
          <w:rFonts w:ascii="Century Gothic" w:hAnsi="Century Gothic" w:cstheme="majorHAnsi"/>
          <w:color w:val="auto"/>
          <w:sz w:val="24"/>
          <w:szCs w:val="24"/>
        </w:rPr>
        <w:lastRenderedPageBreak/>
        <w:t>pelo sistema, da eventual ocorrência do empate ficto, previsto nos artigos 44 e 45 da LC nº 123/2006, seguindo-se a disciplina antes estabelecida para aceitação da proposta subsequente.</w:t>
      </w:r>
    </w:p>
    <w:p w14:paraId="6494AFA9" w14:textId="6F0C0C30" w:rsidR="00856DF4" w:rsidRPr="00D06CC0" w:rsidRDefault="00856DF4" w:rsidP="00655B0D">
      <w:pPr>
        <w:pStyle w:val="Nivel2"/>
        <w:numPr>
          <w:ilvl w:val="2"/>
          <w:numId w:val="14"/>
        </w:numPr>
        <w:rPr>
          <w:rFonts w:ascii="Century Gothic" w:hAnsi="Century Gothic" w:cstheme="majorHAnsi"/>
          <w:color w:val="auto"/>
          <w:sz w:val="24"/>
          <w:szCs w:val="24"/>
        </w:rPr>
      </w:pPr>
      <w:r w:rsidRPr="00D06CC0">
        <w:rPr>
          <w:rFonts w:ascii="Century Gothic" w:hAnsi="Century Gothic" w:cstheme="majorHAnsi"/>
          <w:color w:val="auto"/>
          <w:sz w:val="24"/>
          <w:szCs w:val="24"/>
        </w:rPr>
        <w:t>No que trata o item 11</w:t>
      </w:r>
      <w:r w:rsidR="004D3053" w:rsidRPr="00D06CC0">
        <w:rPr>
          <w:rFonts w:ascii="Century Gothic" w:hAnsi="Century Gothic" w:cstheme="majorHAnsi"/>
          <w:color w:val="auto"/>
          <w:sz w:val="24"/>
          <w:szCs w:val="24"/>
        </w:rPr>
        <w:t>2</w:t>
      </w:r>
      <w:r w:rsidRPr="00D06CC0">
        <w:rPr>
          <w:rFonts w:ascii="Century Gothic" w:hAnsi="Century Gothic" w:cstheme="majorHAnsi"/>
          <w:color w:val="auto"/>
          <w:sz w:val="24"/>
          <w:szCs w:val="24"/>
        </w:rPr>
        <w:t xml:space="preserve">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1F4C06E9" w14:textId="28EF44A9" w:rsidR="00542E81" w:rsidRPr="00D06CC0" w:rsidRDefault="00542E81" w:rsidP="00542E81">
      <w:pPr>
        <w:pStyle w:val="Nivel2"/>
        <w:spacing w:line="240" w:lineRule="auto"/>
        <w:rPr>
          <w:rFonts w:ascii="Century Gothic" w:hAnsi="Century Gothic" w:cstheme="majorHAnsi"/>
          <w:i/>
          <w:sz w:val="24"/>
          <w:szCs w:val="24"/>
        </w:rPr>
      </w:pPr>
      <w:r w:rsidRPr="00D06CC0">
        <w:rPr>
          <w:rFonts w:ascii="Century Gothic" w:hAnsi="Century Gothic" w:cstheme="majorHAnsi"/>
          <w:color w:val="auto"/>
          <w:sz w:val="24"/>
          <w:szCs w:val="24"/>
        </w:rPr>
        <w:t>Constatado o atendimento às exigências de habilitação fixadas no Edital, o licitante será declarado vencedor</w:t>
      </w:r>
      <w:r w:rsidRPr="00D06CC0">
        <w:rPr>
          <w:rFonts w:ascii="Century Gothic" w:hAnsi="Century Gothic" w:cstheme="majorHAnsi"/>
          <w:sz w:val="24"/>
          <w:szCs w:val="24"/>
        </w:rPr>
        <w:t>.</w:t>
      </w:r>
    </w:p>
    <w:p w14:paraId="42B1CC92" w14:textId="77777777" w:rsidR="00542E81" w:rsidRPr="00D06CC0" w:rsidRDefault="00542E81" w:rsidP="00542E81">
      <w:pPr>
        <w:pStyle w:val="Nivel2"/>
        <w:spacing w:line="240" w:lineRule="auto"/>
        <w:rPr>
          <w:rFonts w:ascii="Century Gothic" w:hAnsi="Century Gothic" w:cstheme="majorHAnsi"/>
          <w:i/>
          <w:iCs/>
          <w:sz w:val="24"/>
          <w:szCs w:val="24"/>
        </w:rPr>
      </w:pPr>
      <w:r w:rsidRPr="00D06CC0">
        <w:rPr>
          <w:rFonts w:ascii="Century Gothic" w:hAnsi="Century Gothic" w:cstheme="majorHAnsi"/>
          <w:sz w:val="24"/>
          <w:szCs w:val="24"/>
        </w:rPr>
        <w:t>A verificação pelo pregoeiro, em sítios eletrônicos oficiais de órgãos e entidades emissores de certidões constitui meio legal de prova, para fins de habilitação.</w:t>
      </w:r>
    </w:p>
    <w:p w14:paraId="3A01D229" w14:textId="77777777" w:rsidR="00542E81" w:rsidRPr="00D06CC0" w:rsidRDefault="00542E81" w:rsidP="00542E81">
      <w:pPr>
        <w:pStyle w:val="Nivel3"/>
        <w:spacing w:line="240" w:lineRule="auto"/>
        <w:rPr>
          <w:rFonts w:ascii="Century Gothic" w:hAnsi="Century Gothic" w:cstheme="majorHAnsi"/>
          <w:i/>
          <w:iCs/>
          <w:sz w:val="24"/>
          <w:szCs w:val="24"/>
        </w:rPr>
      </w:pPr>
      <w:bookmarkStart w:id="24" w:name="_Ref114663151"/>
      <w:r w:rsidRPr="00D06CC0">
        <w:rPr>
          <w:rFonts w:ascii="Century Gothic" w:hAnsi="Century Gothic" w:cstheme="majorHAnsi"/>
          <w:sz w:val="24"/>
          <w:szCs w:val="24"/>
        </w:rPr>
        <w:t>Os documentos exigidos para habilitação serão enviados por meio do sistema, em formato digital, no prazo de 02 (duas) horas, prorrogável por igual período, contado da solicitação do pregoeiro.</w:t>
      </w:r>
      <w:bookmarkEnd w:id="24"/>
    </w:p>
    <w:p w14:paraId="72E82F8E" w14:textId="77777777" w:rsidR="00542E81" w:rsidRPr="00D06CC0" w:rsidRDefault="00542E81" w:rsidP="00542E81">
      <w:pPr>
        <w:pStyle w:val="Nivel3"/>
        <w:spacing w:line="240" w:lineRule="auto"/>
        <w:rPr>
          <w:rFonts w:ascii="Century Gothic" w:hAnsi="Century Gothic" w:cstheme="majorHAnsi"/>
          <w:i/>
          <w:iCs/>
          <w:sz w:val="24"/>
          <w:szCs w:val="24"/>
        </w:rPr>
      </w:pPr>
      <w:r w:rsidRPr="00D06CC0">
        <w:rPr>
          <w:rFonts w:ascii="Century Gothic" w:hAnsi="Century Gothic" w:cstheme="majorHAnsi"/>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1" w:history="1">
        <w:r w:rsidRPr="00D06CC0">
          <w:rPr>
            <w:rStyle w:val="Hyperlink"/>
            <w:rFonts w:ascii="Century Gothic" w:hAnsi="Century Gothic" w:cstheme="majorHAnsi"/>
            <w:sz w:val="24"/>
            <w:szCs w:val="24"/>
          </w:rPr>
          <w:t xml:space="preserve">§ 1º do art. 36 e no § 1º do art. 39 da </w:t>
        </w:r>
        <w:r w:rsidRPr="00D06CC0">
          <w:rPr>
            <w:rStyle w:val="Hyperlink"/>
            <w:rFonts w:ascii="Century Gothic" w:hAnsi="Century Gothic" w:cstheme="majorHAnsi"/>
            <w:i/>
            <w:iCs/>
            <w:sz w:val="24"/>
            <w:szCs w:val="24"/>
          </w:rPr>
          <w:t>Instrução Normativa SEGES nº 73, de 30 de setembro de 2022</w:t>
        </w:r>
        <w:r w:rsidRPr="00D06CC0">
          <w:rPr>
            <w:rStyle w:val="Hyperlink"/>
            <w:rFonts w:ascii="Century Gothic" w:hAnsi="Century Gothic" w:cstheme="majorHAnsi"/>
            <w:sz w:val="24"/>
            <w:szCs w:val="24"/>
          </w:rPr>
          <w:t>.</w:t>
        </w:r>
      </w:hyperlink>
    </w:p>
    <w:p w14:paraId="5075516C" w14:textId="77777777" w:rsidR="00542E81" w:rsidRPr="00D06CC0" w:rsidRDefault="00542E81" w:rsidP="00542E81">
      <w:pPr>
        <w:pStyle w:val="Nivel2"/>
        <w:spacing w:line="240" w:lineRule="auto"/>
        <w:rPr>
          <w:rFonts w:ascii="Century Gothic" w:hAnsi="Century Gothic" w:cstheme="majorHAnsi"/>
          <w:i/>
          <w:sz w:val="24"/>
          <w:szCs w:val="24"/>
        </w:rPr>
      </w:pPr>
      <w:r w:rsidRPr="00D06CC0">
        <w:rPr>
          <w:rFonts w:ascii="Century Gothic" w:hAnsi="Century Gothic" w:cstheme="majorHAnsi"/>
          <w:sz w:val="24"/>
          <w:szCs w:val="24"/>
        </w:rPr>
        <w:t>Após a entrega dos documentos para habilitação, não será permitida a substituição ou a apresentação de novos documentos, salvo em sede de diligência, para (</w:t>
      </w:r>
      <w:hyperlink r:id="rId32" w:anchor="art64">
        <w:r w:rsidRPr="00D06CC0">
          <w:rPr>
            <w:rStyle w:val="Hyperlink"/>
            <w:rFonts w:ascii="Century Gothic" w:hAnsi="Century Gothic" w:cstheme="majorHAnsi"/>
            <w:sz w:val="24"/>
            <w:szCs w:val="24"/>
          </w:rPr>
          <w:t>Lei 14.133/21, art. 64</w:t>
        </w:r>
      </w:hyperlink>
      <w:r w:rsidRPr="00D06CC0">
        <w:rPr>
          <w:rFonts w:ascii="Century Gothic" w:hAnsi="Century Gothic" w:cstheme="majorHAnsi"/>
          <w:sz w:val="24"/>
          <w:szCs w:val="24"/>
        </w:rPr>
        <w:t xml:space="preserve">, e </w:t>
      </w:r>
      <w:hyperlink r:id="rId33">
        <w:r w:rsidRPr="00D06CC0">
          <w:rPr>
            <w:rStyle w:val="Hyperlink"/>
            <w:rFonts w:ascii="Century Gothic" w:hAnsi="Century Gothic" w:cstheme="majorHAnsi"/>
            <w:sz w:val="24"/>
            <w:szCs w:val="24"/>
          </w:rPr>
          <w:t>IN 73/2022, art. 39, §4º</w:t>
        </w:r>
      </w:hyperlink>
      <w:r w:rsidRPr="00D06CC0">
        <w:rPr>
          <w:rFonts w:ascii="Century Gothic" w:hAnsi="Century Gothic" w:cstheme="majorHAnsi"/>
          <w:sz w:val="24"/>
          <w:szCs w:val="24"/>
        </w:rPr>
        <w:t>):</w:t>
      </w:r>
    </w:p>
    <w:p w14:paraId="3FC1795F" w14:textId="77777777" w:rsidR="00542E81" w:rsidRPr="00D06CC0" w:rsidRDefault="00542E81" w:rsidP="00542E81">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complementação de informações acerca dos documentos já apresentados pelos licitantes e desde que necessária para apurar fatos existentes à época da abertura do certame; e</w:t>
      </w:r>
    </w:p>
    <w:p w14:paraId="7C5A02E1" w14:textId="77777777" w:rsidR="00542E81" w:rsidRPr="00D06CC0" w:rsidRDefault="00542E81" w:rsidP="00542E81">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atualização de documentos cuja validade tenha expirado após a data de recebimento das propostas;</w:t>
      </w:r>
    </w:p>
    <w:p w14:paraId="242D7BFC" w14:textId="77777777" w:rsidR="00542E81" w:rsidRPr="00D06CC0" w:rsidRDefault="00542E81" w:rsidP="00542E81">
      <w:pPr>
        <w:pStyle w:val="Nivel2"/>
        <w:spacing w:line="240" w:lineRule="auto"/>
        <w:rPr>
          <w:rFonts w:ascii="Century Gothic" w:hAnsi="Century Gothic" w:cstheme="majorHAnsi"/>
          <w:sz w:val="24"/>
          <w:szCs w:val="24"/>
        </w:rPr>
      </w:pPr>
      <w:bookmarkStart w:id="25" w:name="_Ref114670319"/>
      <w:r w:rsidRPr="00D06CC0">
        <w:rPr>
          <w:rFonts w:ascii="Century Gothic" w:hAnsi="Century Gothic" w:cstheme="maj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5"/>
    </w:p>
    <w:p w14:paraId="7FFA2AF7" w14:textId="0EED3BBD" w:rsidR="00542E81" w:rsidRPr="00D06CC0" w:rsidRDefault="00542E81" w:rsidP="00542E81">
      <w:pPr>
        <w:pStyle w:val="Nivel2"/>
        <w:spacing w:line="240" w:lineRule="auto"/>
        <w:rPr>
          <w:rFonts w:ascii="Century Gothic" w:hAnsi="Century Gothic" w:cstheme="majorHAnsi"/>
          <w:sz w:val="24"/>
          <w:szCs w:val="24"/>
        </w:rPr>
      </w:pPr>
      <w:bookmarkStart w:id="26" w:name="_Ref114665528"/>
      <w:r w:rsidRPr="00D06CC0">
        <w:rPr>
          <w:rFonts w:ascii="Century Gothic" w:hAnsi="Century Gothic" w:cstheme="majorHAnsi"/>
          <w:sz w:val="24"/>
          <w:szCs w:val="24"/>
        </w:rPr>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_Ref114663151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1.117.1</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w:t>
      </w:r>
      <w:bookmarkEnd w:id="26"/>
    </w:p>
    <w:p w14:paraId="48BAC8C7" w14:textId="226A5448" w:rsidR="00F730F9" w:rsidRPr="00D06CC0" w:rsidRDefault="00542E81" w:rsidP="00542E81">
      <w:pPr>
        <w:pStyle w:val="Nivel2"/>
        <w:spacing w:line="240" w:lineRule="auto"/>
        <w:rPr>
          <w:rFonts w:ascii="Century Gothic" w:hAnsi="Century Gothic" w:cstheme="majorHAnsi"/>
          <w:sz w:val="24"/>
          <w:szCs w:val="24"/>
        </w:rPr>
      </w:pPr>
      <w:bookmarkStart w:id="27" w:name="_Ref114665515"/>
      <w:r w:rsidRPr="00D06CC0">
        <w:rPr>
          <w:rFonts w:ascii="Century Gothic" w:hAnsi="Century Gothic" w:cstheme="majorHAnsi"/>
          <w:sz w:val="24"/>
          <w:szCs w:val="24"/>
        </w:rPr>
        <w:t>Somente serão disponibilizados para acesso público os documentos de habilitação do licitante cuja proposta atenda ao edital de licitação, após concluídos os procedimentos de que trata o subitem anterior</w:t>
      </w:r>
      <w:bookmarkEnd w:id="27"/>
      <w:r w:rsidR="00F730F9" w:rsidRPr="00D06CC0">
        <w:rPr>
          <w:rFonts w:ascii="Century Gothic" w:hAnsi="Century Gothic" w:cstheme="majorHAnsi"/>
          <w:sz w:val="24"/>
          <w:szCs w:val="24"/>
        </w:rPr>
        <w:t>.</w:t>
      </w:r>
    </w:p>
    <w:p w14:paraId="40B55C4D" w14:textId="77777777" w:rsidR="00F730F9" w:rsidRPr="00D06CC0" w:rsidRDefault="00F730F9" w:rsidP="00262785">
      <w:pPr>
        <w:pStyle w:val="Nivel010"/>
        <w:rPr>
          <w:rFonts w:ascii="Century Gothic" w:hAnsi="Century Gothic" w:cstheme="majorHAnsi"/>
        </w:rPr>
      </w:pPr>
      <w:bookmarkStart w:id="28" w:name="_Toc135469231"/>
      <w:r w:rsidRPr="00D06CC0">
        <w:rPr>
          <w:rFonts w:ascii="Century Gothic" w:hAnsi="Century Gothic" w:cstheme="majorHAnsi"/>
        </w:rPr>
        <w:t>DO ENCAMINHAMENTO DA PROPOSTA VENCEDORA</w:t>
      </w:r>
      <w:bookmarkEnd w:id="28"/>
    </w:p>
    <w:p w14:paraId="08A2BFEE"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proposta final do licitante declarado vencedor deverá ser encaminhada no prazo de 02 HORAS a contar da solicitação do Pregoeiro no sistema eletrônico e deverá:</w:t>
      </w:r>
    </w:p>
    <w:p w14:paraId="66A9CBA6"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Ser redigida em língua portuguesa, digitada, em uma via, sem emendas, rasuras, entrelinhas ou ressalvas, devendo a última folha ser assinada e as demais rubricadas pelo licitante ou seu representante legal. </w:t>
      </w:r>
    </w:p>
    <w:p w14:paraId="1AF6965E"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Conter a indicação do banco, número da conta e agência do licitante vencedor, para fins de pagamento. </w:t>
      </w:r>
    </w:p>
    <w:p w14:paraId="00F35FAE"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A proposta final deverá ser documentada nos autos e será levada em consideração no decorrer da execução do contrato e aplicação de eventual sanção à Contratada, se for o caso.</w:t>
      </w:r>
    </w:p>
    <w:p w14:paraId="13AA4D49"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Todas as especificações do objeto contidas na proposta, tais como marca, modelo, tipo, fabricante e procedência, vinculam a Contratada.</w:t>
      </w:r>
    </w:p>
    <w:p w14:paraId="0763B068"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Os preços devem ser expressos em moeda corrente nacional, o valor unitário em algarismos e o valor global em algarismos e por extenso.</w:t>
      </w:r>
    </w:p>
    <w:p w14:paraId="16733E51"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Ocorrendo divergência entre os preços unitários e o preço global, prevalecerão os primeiros; no caso de divergência entre os valores numéricos e os valores expressos por extenso, prevalecerão estes últimos.</w:t>
      </w:r>
    </w:p>
    <w:p w14:paraId="5E2A71EB"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oferta deverá ser firme e precisa, limitada, rigorosamente, ao objeto deste Edital, sem conter alternativas de preço ou de qualquer outra condição que induza o julgamento a mais de um resultado, sob pena de desclassificação.</w:t>
      </w:r>
    </w:p>
    <w:p w14:paraId="1D612751"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proposta deverá obedecer aos termos deste Edital e seus Anexos, não sendo considerada aquela que não corresponda às especificações ali contidas ou que estabeleça vínculo à proposta de outro licitante.</w:t>
      </w:r>
    </w:p>
    <w:p w14:paraId="332E0F9D"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As propostas que contenham a descrição do objeto, o valor e os documentos complementares estarão disponíveis na internet, após a homologação.</w:t>
      </w:r>
    </w:p>
    <w:p w14:paraId="0919D4ED" w14:textId="77777777" w:rsidR="00F730F9" w:rsidRPr="00D06CC0" w:rsidRDefault="00F730F9" w:rsidP="00262785">
      <w:pPr>
        <w:pStyle w:val="Nivel010"/>
        <w:rPr>
          <w:rFonts w:ascii="Century Gothic" w:hAnsi="Century Gothic" w:cstheme="majorHAnsi"/>
        </w:rPr>
      </w:pPr>
      <w:r w:rsidRPr="00D06CC0">
        <w:rPr>
          <w:rFonts w:ascii="Century Gothic" w:hAnsi="Century Gothic" w:cstheme="majorHAnsi"/>
        </w:rPr>
        <w:lastRenderedPageBreak/>
        <w:t>DOS RECURSOS</w:t>
      </w:r>
    </w:p>
    <w:p w14:paraId="3F0A483D"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D06CC0">
          <w:rPr>
            <w:rStyle w:val="Hyperlink"/>
            <w:rFonts w:ascii="Century Gothic" w:hAnsi="Century Gothic" w:cstheme="majorHAnsi"/>
            <w:sz w:val="24"/>
            <w:szCs w:val="24"/>
          </w:rPr>
          <w:t>art. 165 da Lei nº 14.133, de 2021</w:t>
        </w:r>
      </w:hyperlink>
      <w:r w:rsidRPr="00D06CC0">
        <w:rPr>
          <w:rFonts w:ascii="Century Gothic" w:hAnsi="Century Gothic" w:cstheme="majorHAnsi"/>
          <w:sz w:val="24"/>
          <w:szCs w:val="24"/>
        </w:rPr>
        <w:t>.</w:t>
      </w:r>
    </w:p>
    <w:p w14:paraId="08821239"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prazo recursal é de 3 (três) dias úteis, contados da data de intimação ou de lavratura da ata.</w:t>
      </w:r>
    </w:p>
    <w:p w14:paraId="0101C1D1"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Quando o recurso apresentado impugnar o julgamento das propostas ou o ato de habilitação ou inabilitação do licitante:</w:t>
      </w:r>
    </w:p>
    <w:p w14:paraId="3B752FBD"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a intenção de recorrer deverá ser manifestada imediatamente, sob pena de preclusão;</w:t>
      </w:r>
    </w:p>
    <w:p w14:paraId="19B54413" w14:textId="77777777" w:rsidR="00F730F9" w:rsidRPr="00D06CC0" w:rsidRDefault="00F730F9" w:rsidP="0099467B">
      <w:pPr>
        <w:pStyle w:val="Nivel3"/>
        <w:spacing w:line="240" w:lineRule="auto"/>
        <w:rPr>
          <w:rFonts w:ascii="Century Gothic" w:hAnsi="Century Gothic" w:cstheme="majorHAnsi"/>
          <w:sz w:val="24"/>
          <w:szCs w:val="24"/>
        </w:rPr>
      </w:pPr>
      <w:bookmarkStart w:id="29" w:name="_Hlk135318381"/>
      <w:bookmarkStart w:id="30" w:name="_Hlk135315794"/>
      <w:r w:rsidRPr="00D06CC0">
        <w:rPr>
          <w:rFonts w:ascii="Century Gothic" w:hAnsi="Century Gothic" w:cstheme="majorHAnsi"/>
          <w:sz w:val="24"/>
          <w:szCs w:val="24"/>
        </w:rPr>
        <w:t>o prazo para a manifestação da intenção de recorrer não será inferior a 10 (dez) minutos.</w:t>
      </w:r>
      <w:bookmarkEnd w:id="29"/>
    </w:p>
    <w:bookmarkEnd w:id="30"/>
    <w:p w14:paraId="5A0146BF"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o prazo para apresentação das razões recursais será iniciado na data de intimação ou de lavratura da ata de habilitação ou inabilitação;</w:t>
      </w:r>
    </w:p>
    <w:p w14:paraId="7E03EFEA"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na hipótese de adoção da inversão de fases prevista no </w:t>
      </w:r>
      <w:hyperlink r:id="rId35" w:anchor="art17§1" w:history="1">
        <w:r w:rsidRPr="00D06CC0">
          <w:rPr>
            <w:rStyle w:val="Hyperlink"/>
            <w:rFonts w:ascii="Century Gothic" w:hAnsi="Century Gothic" w:cstheme="majorHAnsi"/>
            <w:sz w:val="24"/>
            <w:szCs w:val="24"/>
          </w:rPr>
          <w:t>§ 1º do art. 17 da Lei nº 14.133, de 2021</w:t>
        </w:r>
      </w:hyperlink>
      <w:r w:rsidRPr="00D06CC0">
        <w:rPr>
          <w:rFonts w:ascii="Century Gothic" w:hAnsi="Century Gothic" w:cstheme="majorHAnsi"/>
          <w:sz w:val="24"/>
          <w:szCs w:val="24"/>
        </w:rPr>
        <w:t>, o prazo para apresentação das razões recursais será iniciado na data de intimação da ata de julgamento.</w:t>
      </w:r>
    </w:p>
    <w:p w14:paraId="7817DEBD"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Os recursos deverão ser encaminhados em campo próprio do sistema.</w:t>
      </w:r>
    </w:p>
    <w:p w14:paraId="46C8E6E1"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4E2712"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Os recursos interpostos fora do prazo não serão conhecidos. </w:t>
      </w:r>
    </w:p>
    <w:p w14:paraId="653DB581"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68F926"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O recurso e o pedido de reconsideração terão efeito suspensivo do ato ou da decisão recorrida até que sobrevenha decisão final da autoridade competente. </w:t>
      </w:r>
    </w:p>
    <w:p w14:paraId="552ACDC4"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O acolhimento do recurso invalida tão somente os atos insuscetíveis de aproveitamento. </w:t>
      </w:r>
    </w:p>
    <w:p w14:paraId="6624C36C" w14:textId="77777777" w:rsidR="00F730F9" w:rsidRPr="00D06CC0" w:rsidRDefault="00F730F9" w:rsidP="0099467B">
      <w:pPr>
        <w:pStyle w:val="Nivel2"/>
        <w:spacing w:line="240" w:lineRule="auto"/>
        <w:rPr>
          <w:rFonts w:ascii="Century Gothic" w:hAnsi="Century Gothic" w:cstheme="majorHAnsi"/>
          <w:color w:val="auto"/>
          <w:sz w:val="24"/>
          <w:szCs w:val="24"/>
        </w:rPr>
      </w:pPr>
      <w:r w:rsidRPr="00D06CC0">
        <w:rPr>
          <w:rFonts w:ascii="Century Gothic" w:hAnsi="Century Gothic" w:cstheme="majorHAnsi"/>
          <w:sz w:val="24"/>
          <w:szCs w:val="24"/>
        </w:rPr>
        <w:t xml:space="preserve">Os autos do processo permanecerão com vista franqueada aos interessados no sítio eletrônico </w:t>
      </w:r>
      <w:r w:rsidRPr="00D06CC0">
        <w:rPr>
          <w:rFonts w:ascii="Century Gothic" w:hAnsi="Century Gothic" w:cstheme="majorHAnsi"/>
          <w:color w:val="auto"/>
          <w:sz w:val="24"/>
          <w:szCs w:val="24"/>
        </w:rPr>
        <w:t>www.portaldecompraspublicas.com.br.</w:t>
      </w:r>
    </w:p>
    <w:p w14:paraId="2B6A03AA" w14:textId="77777777" w:rsidR="00F730F9" w:rsidRPr="00D06CC0" w:rsidRDefault="00F730F9" w:rsidP="00262785">
      <w:pPr>
        <w:pStyle w:val="Nivel010"/>
        <w:rPr>
          <w:rFonts w:ascii="Century Gothic" w:hAnsi="Century Gothic" w:cstheme="majorHAnsi"/>
        </w:rPr>
      </w:pPr>
      <w:r w:rsidRPr="00D06CC0">
        <w:rPr>
          <w:rFonts w:ascii="Century Gothic" w:hAnsi="Century Gothic" w:cstheme="majorHAnsi"/>
        </w:rPr>
        <w:lastRenderedPageBreak/>
        <w:t>DAS INFRAÇÕES ADMINISTRATIVAS E SANÇÕES</w:t>
      </w:r>
    </w:p>
    <w:p w14:paraId="1D1B6D26"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Comete infração administrativa, nos termos da lei, o licitante que, com dolo ou culpa: </w:t>
      </w:r>
    </w:p>
    <w:p w14:paraId="4036FCDB" w14:textId="77777777" w:rsidR="00F730F9" w:rsidRPr="00D06CC0" w:rsidRDefault="00F730F9" w:rsidP="0099467B">
      <w:pPr>
        <w:pStyle w:val="Nivel3"/>
        <w:spacing w:line="240" w:lineRule="auto"/>
        <w:rPr>
          <w:rFonts w:ascii="Century Gothic" w:hAnsi="Century Gothic" w:cstheme="majorHAnsi"/>
          <w:sz w:val="24"/>
          <w:szCs w:val="24"/>
        </w:rPr>
      </w:pPr>
      <w:bookmarkStart w:id="31" w:name="_Ref114668085"/>
      <w:bookmarkStart w:id="32" w:name="_Hlk114652595"/>
      <w:r w:rsidRPr="00D06CC0">
        <w:rPr>
          <w:rFonts w:ascii="Century Gothic" w:hAnsi="Century Gothic" w:cstheme="majorHAnsi"/>
          <w:sz w:val="24"/>
          <w:szCs w:val="24"/>
        </w:rPr>
        <w:t>deixar de entregar a documentação exigida para o certame ou não entregar qualquer documento que tenha sido solicitado pelo/a pregoeiro/a durante o certame;</w:t>
      </w:r>
      <w:bookmarkEnd w:id="31"/>
    </w:p>
    <w:p w14:paraId="188F444A" w14:textId="77777777" w:rsidR="00F730F9" w:rsidRPr="00D06CC0" w:rsidRDefault="00F730F9" w:rsidP="0099467B">
      <w:pPr>
        <w:pStyle w:val="Nivel3"/>
        <w:spacing w:line="240" w:lineRule="auto"/>
        <w:rPr>
          <w:rFonts w:ascii="Century Gothic" w:hAnsi="Century Gothic" w:cstheme="majorHAnsi"/>
          <w:sz w:val="24"/>
          <w:szCs w:val="24"/>
        </w:rPr>
      </w:pPr>
      <w:bookmarkStart w:id="33" w:name="_Ref114668108"/>
      <w:r w:rsidRPr="00D06CC0">
        <w:rPr>
          <w:rFonts w:ascii="Century Gothic" w:hAnsi="Century Gothic" w:cstheme="majorHAnsi"/>
          <w:sz w:val="24"/>
          <w:szCs w:val="24"/>
        </w:rPr>
        <w:t>Salvo em decorrência de fato superveniente devidamente justificado, não mantiver a proposta em especial quando:</w:t>
      </w:r>
      <w:bookmarkEnd w:id="33"/>
    </w:p>
    <w:p w14:paraId="4B3B7F7B" w14:textId="77777777" w:rsidR="00F730F9" w:rsidRPr="00D06CC0" w:rsidRDefault="00F730F9" w:rsidP="0099467B">
      <w:pPr>
        <w:pStyle w:val="Nivel4"/>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não enviar a proposta adequada ao último lance ofertado ou após a negociação; </w:t>
      </w:r>
    </w:p>
    <w:p w14:paraId="44967F27" w14:textId="77777777" w:rsidR="00F730F9" w:rsidRPr="00D06CC0" w:rsidRDefault="00F730F9" w:rsidP="0099467B">
      <w:pPr>
        <w:pStyle w:val="Nivel4"/>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recusar-se a enviar o detalhamento da proposta quando exigível; </w:t>
      </w:r>
    </w:p>
    <w:p w14:paraId="5C98E377" w14:textId="77777777" w:rsidR="00F730F9" w:rsidRPr="00D06CC0" w:rsidRDefault="00F730F9" w:rsidP="0099467B">
      <w:pPr>
        <w:pStyle w:val="Nivel4"/>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pedir para ser desclassificado quando encerrada a etapa competitiva; ou </w:t>
      </w:r>
    </w:p>
    <w:p w14:paraId="705B4670" w14:textId="77777777" w:rsidR="00F730F9" w:rsidRPr="00D06CC0" w:rsidRDefault="00F730F9" w:rsidP="0099467B">
      <w:pPr>
        <w:pStyle w:val="Nivel4"/>
        <w:spacing w:line="240" w:lineRule="auto"/>
        <w:rPr>
          <w:rFonts w:ascii="Century Gothic" w:hAnsi="Century Gothic" w:cstheme="majorHAnsi"/>
          <w:sz w:val="24"/>
          <w:szCs w:val="24"/>
        </w:rPr>
      </w:pPr>
      <w:r w:rsidRPr="00D06CC0">
        <w:rPr>
          <w:rFonts w:ascii="Century Gothic" w:hAnsi="Century Gothic" w:cstheme="majorHAnsi"/>
          <w:sz w:val="24"/>
          <w:szCs w:val="24"/>
        </w:rPr>
        <w:t>deixar de apresentar amostra;</w:t>
      </w:r>
    </w:p>
    <w:p w14:paraId="78AA1A57" w14:textId="77777777" w:rsidR="00F730F9" w:rsidRPr="00D06CC0" w:rsidRDefault="00F730F9" w:rsidP="0099467B">
      <w:pPr>
        <w:pStyle w:val="Nivel4"/>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apresentar proposta ou amostra em desacordo com as especificações do edital; </w:t>
      </w:r>
    </w:p>
    <w:p w14:paraId="30C16BED" w14:textId="77777777" w:rsidR="00F730F9" w:rsidRPr="00D06CC0" w:rsidRDefault="00F730F9" w:rsidP="0099467B">
      <w:pPr>
        <w:pStyle w:val="Nivel3"/>
        <w:spacing w:line="240" w:lineRule="auto"/>
        <w:rPr>
          <w:rFonts w:ascii="Century Gothic" w:hAnsi="Century Gothic" w:cstheme="majorHAnsi"/>
          <w:sz w:val="24"/>
          <w:szCs w:val="24"/>
        </w:rPr>
      </w:pPr>
      <w:bookmarkStart w:id="34" w:name="_Ref114668139"/>
      <w:r w:rsidRPr="00D06CC0">
        <w:rPr>
          <w:rFonts w:ascii="Century Gothic" w:hAnsi="Century Gothic" w:cstheme="majorHAnsi"/>
          <w:sz w:val="24"/>
          <w:szCs w:val="24"/>
        </w:rPr>
        <w:t>não celebrar o contrato ou não entregar a documentação exigida para a contratação, quando convocado dentro do prazo de validade de sua proposta;</w:t>
      </w:r>
      <w:bookmarkEnd w:id="34"/>
    </w:p>
    <w:p w14:paraId="0756215E" w14:textId="77777777" w:rsidR="00F730F9" w:rsidRPr="00D06CC0" w:rsidRDefault="00F730F9" w:rsidP="0099467B">
      <w:pPr>
        <w:pStyle w:val="Nivel4"/>
        <w:spacing w:line="240" w:lineRule="auto"/>
        <w:rPr>
          <w:rFonts w:ascii="Century Gothic" w:hAnsi="Century Gothic" w:cstheme="majorHAnsi"/>
          <w:sz w:val="24"/>
          <w:szCs w:val="24"/>
        </w:rPr>
      </w:pPr>
      <w:r w:rsidRPr="00D06CC0">
        <w:rPr>
          <w:rFonts w:ascii="Century Gothic" w:hAnsi="Century Gothic" w:cstheme="majorHAnsi"/>
          <w:sz w:val="24"/>
          <w:szCs w:val="24"/>
        </w:rPr>
        <w:t>recusar-se, sem justificativa, a assinar o contrato ou a ata de registro de preço, ou a aceitar ou retirar o instrumento equivalente no prazo estabelecido pela Administração;</w:t>
      </w:r>
    </w:p>
    <w:p w14:paraId="0E4AC474" w14:textId="77777777" w:rsidR="00F730F9" w:rsidRPr="00D06CC0" w:rsidRDefault="00F730F9" w:rsidP="0099467B">
      <w:pPr>
        <w:pStyle w:val="Nivel3"/>
        <w:spacing w:line="240" w:lineRule="auto"/>
        <w:rPr>
          <w:rFonts w:ascii="Century Gothic" w:hAnsi="Century Gothic" w:cstheme="majorHAnsi"/>
          <w:sz w:val="24"/>
          <w:szCs w:val="24"/>
        </w:rPr>
      </w:pPr>
      <w:bookmarkStart w:id="35" w:name="_Ref114668249"/>
      <w:r w:rsidRPr="00D06CC0">
        <w:rPr>
          <w:rFonts w:ascii="Century Gothic" w:hAnsi="Century Gothic" w:cstheme="majorHAnsi"/>
          <w:sz w:val="24"/>
          <w:szCs w:val="24"/>
        </w:rPr>
        <w:t>apresentar declaração ou documentação falsa exigida para o certame ou prestar declaração falsa durante a licitação</w:t>
      </w:r>
      <w:bookmarkEnd w:id="35"/>
    </w:p>
    <w:p w14:paraId="655F5D8C" w14:textId="77777777" w:rsidR="00F730F9" w:rsidRPr="00D06CC0" w:rsidRDefault="00F730F9" w:rsidP="0099467B">
      <w:pPr>
        <w:pStyle w:val="Nivel3"/>
        <w:spacing w:line="240" w:lineRule="auto"/>
        <w:rPr>
          <w:rFonts w:ascii="Century Gothic" w:hAnsi="Century Gothic" w:cstheme="majorHAnsi"/>
          <w:sz w:val="24"/>
          <w:szCs w:val="24"/>
        </w:rPr>
      </w:pPr>
      <w:bookmarkStart w:id="36" w:name="_Ref114668245"/>
      <w:r w:rsidRPr="00D06CC0">
        <w:rPr>
          <w:rFonts w:ascii="Century Gothic" w:hAnsi="Century Gothic" w:cstheme="majorHAnsi"/>
          <w:sz w:val="24"/>
          <w:szCs w:val="24"/>
        </w:rPr>
        <w:t>fraudar a licitação</w:t>
      </w:r>
      <w:bookmarkEnd w:id="36"/>
    </w:p>
    <w:p w14:paraId="1694A1AC" w14:textId="77777777" w:rsidR="00F730F9" w:rsidRPr="00D06CC0" w:rsidRDefault="00F730F9" w:rsidP="0099467B">
      <w:pPr>
        <w:pStyle w:val="Nivel3"/>
        <w:spacing w:line="240" w:lineRule="auto"/>
        <w:rPr>
          <w:rFonts w:ascii="Century Gothic" w:hAnsi="Century Gothic" w:cstheme="majorHAnsi"/>
          <w:sz w:val="24"/>
          <w:szCs w:val="24"/>
        </w:rPr>
      </w:pPr>
      <w:bookmarkStart w:id="37" w:name="_Ref114668247"/>
      <w:r w:rsidRPr="00D06CC0">
        <w:rPr>
          <w:rFonts w:ascii="Century Gothic" w:hAnsi="Century Gothic" w:cstheme="majorHAnsi"/>
          <w:sz w:val="24"/>
          <w:szCs w:val="24"/>
        </w:rPr>
        <w:t>comportar-se de modo inidôneo ou cometer fraude de qualquer natureza, em especial quando:</w:t>
      </w:r>
      <w:bookmarkEnd w:id="37"/>
    </w:p>
    <w:p w14:paraId="5F0B06D8" w14:textId="77777777" w:rsidR="00F730F9" w:rsidRPr="00D06CC0" w:rsidRDefault="00F730F9" w:rsidP="0099467B">
      <w:pPr>
        <w:pStyle w:val="Nivel4"/>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agir em conluio ou em desconformidade com a lei; </w:t>
      </w:r>
    </w:p>
    <w:p w14:paraId="4512719F" w14:textId="77777777" w:rsidR="00F730F9" w:rsidRPr="00D06CC0" w:rsidRDefault="00F730F9" w:rsidP="0099467B">
      <w:pPr>
        <w:pStyle w:val="Nivel4"/>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induzir deliberadamente a erro no julgamento; </w:t>
      </w:r>
    </w:p>
    <w:p w14:paraId="6F9DC2D7" w14:textId="77777777" w:rsidR="00F730F9" w:rsidRPr="00D06CC0" w:rsidRDefault="00F730F9" w:rsidP="0099467B">
      <w:pPr>
        <w:pStyle w:val="Nivel4"/>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apresentar amostra falsificada ou deteriorada; </w:t>
      </w:r>
    </w:p>
    <w:p w14:paraId="1248A965" w14:textId="77777777" w:rsidR="00F730F9" w:rsidRPr="00D06CC0" w:rsidRDefault="00F730F9" w:rsidP="0099467B">
      <w:pPr>
        <w:pStyle w:val="Nivel3"/>
        <w:spacing w:line="240" w:lineRule="auto"/>
        <w:rPr>
          <w:rFonts w:ascii="Century Gothic" w:hAnsi="Century Gothic" w:cstheme="majorHAnsi"/>
          <w:sz w:val="24"/>
          <w:szCs w:val="24"/>
        </w:rPr>
      </w:pPr>
      <w:bookmarkStart w:id="38" w:name="_Ref114668251"/>
      <w:r w:rsidRPr="00D06CC0">
        <w:rPr>
          <w:rFonts w:ascii="Century Gothic" w:hAnsi="Century Gothic" w:cstheme="majorHAnsi"/>
          <w:sz w:val="24"/>
          <w:szCs w:val="24"/>
        </w:rPr>
        <w:t>praticar atos ilícitos com vistas a frustrar os objetivos da licitação</w:t>
      </w:r>
      <w:bookmarkEnd w:id="38"/>
    </w:p>
    <w:p w14:paraId="089741C4" w14:textId="77777777" w:rsidR="00F730F9" w:rsidRPr="00D06CC0" w:rsidRDefault="00F730F9" w:rsidP="0099467B">
      <w:pPr>
        <w:pStyle w:val="Nivel3"/>
        <w:spacing w:line="240" w:lineRule="auto"/>
        <w:rPr>
          <w:rFonts w:ascii="Century Gothic" w:hAnsi="Century Gothic" w:cstheme="majorHAnsi"/>
          <w:sz w:val="24"/>
          <w:szCs w:val="24"/>
        </w:rPr>
      </w:pPr>
      <w:bookmarkStart w:id="39" w:name="_Ref114668252"/>
      <w:r w:rsidRPr="00D06CC0">
        <w:rPr>
          <w:rFonts w:ascii="Century Gothic" w:hAnsi="Century Gothic" w:cstheme="majorHAnsi"/>
          <w:sz w:val="24"/>
          <w:szCs w:val="24"/>
        </w:rPr>
        <w:t xml:space="preserve">praticar ato lesivo previsto no </w:t>
      </w:r>
      <w:hyperlink r:id="rId36" w:anchor="art5" w:history="1">
        <w:r w:rsidRPr="00D06CC0">
          <w:rPr>
            <w:rStyle w:val="Hyperlink"/>
            <w:rFonts w:ascii="Century Gothic" w:hAnsi="Century Gothic" w:cstheme="majorHAnsi"/>
            <w:sz w:val="24"/>
            <w:szCs w:val="24"/>
          </w:rPr>
          <w:t>art. 5º da Lei n.º 12.846, de 2013</w:t>
        </w:r>
      </w:hyperlink>
      <w:r w:rsidRPr="00D06CC0">
        <w:rPr>
          <w:rFonts w:ascii="Century Gothic" w:hAnsi="Century Gothic" w:cstheme="majorHAnsi"/>
          <w:sz w:val="24"/>
          <w:szCs w:val="24"/>
        </w:rPr>
        <w:t>.</w:t>
      </w:r>
      <w:bookmarkEnd w:id="39"/>
    </w:p>
    <w:bookmarkEnd w:id="32"/>
    <w:p w14:paraId="2DC2A6EA"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lastRenderedPageBreak/>
        <w:t xml:space="preserve">Com fulcro na </w:t>
      </w:r>
      <w:hyperlink r:id="rId37" w:history="1">
        <w:r w:rsidRPr="00D06CC0">
          <w:rPr>
            <w:rStyle w:val="Hyperlink"/>
            <w:rFonts w:ascii="Century Gothic" w:hAnsi="Century Gothic" w:cstheme="majorHAnsi"/>
            <w:sz w:val="24"/>
            <w:szCs w:val="24"/>
          </w:rPr>
          <w:t>Lei nº 14.133, de 2021</w:t>
        </w:r>
      </w:hyperlink>
      <w:r w:rsidRPr="00D06CC0">
        <w:rPr>
          <w:rFonts w:ascii="Century Gothic" w:hAnsi="Century Gothic" w:cstheme="majorHAnsi"/>
          <w:sz w:val="24"/>
          <w:szCs w:val="24"/>
        </w:rPr>
        <w:t xml:space="preserve">, a Administração poderá, garantida a prévia defesa, aplicar aos licitantes e/ou adjudicatários as seguintes sanções, sem prejuízo das responsabilidades civil e criminal: </w:t>
      </w:r>
    </w:p>
    <w:p w14:paraId="1F8A2704"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advertência; </w:t>
      </w:r>
    </w:p>
    <w:p w14:paraId="12078D49"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multa;</w:t>
      </w:r>
    </w:p>
    <w:p w14:paraId="46C3F246"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impedimento de licitar e contratar e</w:t>
      </w:r>
    </w:p>
    <w:p w14:paraId="66324F94"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declaração de inidoneidade para licitar ou contratar, enquanto perdurarem os motivos determinantes da punição ou até que seja promovida sua reabilitação perante a própria autoridade que aplicou a penalidade.</w:t>
      </w:r>
    </w:p>
    <w:p w14:paraId="3323CD0A"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Na aplicação das sanções serão considerados:</w:t>
      </w:r>
    </w:p>
    <w:p w14:paraId="7F7DBE2A"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a natureza e a gravidade da infração cometida.</w:t>
      </w:r>
    </w:p>
    <w:p w14:paraId="15F540AE"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as peculiaridades do caso concreto</w:t>
      </w:r>
    </w:p>
    <w:p w14:paraId="7CBF0A94"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as circunstâncias agravantes ou atenuantes</w:t>
      </w:r>
    </w:p>
    <w:p w14:paraId="4805D8E2"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os danos que dela provierem para a Administração Pública</w:t>
      </w:r>
    </w:p>
    <w:p w14:paraId="235E3F87"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a implantação ou o aperfeiçoamento de programa de integridade, conforme normas e orientações dos órgãos de controle.</w:t>
      </w:r>
    </w:p>
    <w:p w14:paraId="71B7E752"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As sanções de advertência, impedimento de licitar e contratar e declaração de inidoneidade para licitar ou contratar poderão ser aplicadas, cumulativamente ou não, à penalidade de multa.</w:t>
      </w:r>
    </w:p>
    <w:p w14:paraId="3732275B"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Na aplicação da sanção de multa será facultada a defesa do interessado no prazo de 15 (quinze) dias úteis, contado da data de sua intimação.</w:t>
      </w:r>
    </w:p>
    <w:p w14:paraId="1A1C9D8F" w14:textId="2BCB4A12"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A sanção de impedimento de licitar e contratar será aplicada ao responsável em decorrência das infrações administrativas relacionadas nos itens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_Ref114668085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1.138.1</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_Ref114668108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1.138.2</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e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_Ref114668139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1.138.3</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54613" w14:textId="1B50C5B3"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Poderá ser aplicada ao responsável a sanção de declaração de inidoneidade para licitar ou contratar, em decorrência da prática das infrações dispostas nos itens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_Ref114668249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1.138.4</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_Ref114668245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1.138.5</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_Ref114668247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1.138.6</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_Ref114668251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1.138.7</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e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_Ref114668252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1.138.8</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bem como pelas infrações administrativas previstas nos itens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_Ref114668085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1.138.1</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_Ref114668108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1.138.2</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e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_Ref114668139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1.138.3</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que justifiquem a imposição de penalidade mais grave que a sanção de impedimento de licitar e contratar, cuja duração observará o prazo previsto no </w:t>
      </w:r>
      <w:hyperlink r:id="rId38" w:anchor="art156§5" w:history="1">
        <w:r w:rsidRPr="00D06CC0">
          <w:rPr>
            <w:rStyle w:val="Hyperlink"/>
            <w:rFonts w:ascii="Century Gothic" w:hAnsi="Century Gothic" w:cstheme="majorHAnsi"/>
            <w:sz w:val="24"/>
            <w:szCs w:val="24"/>
          </w:rPr>
          <w:t>art. 156, §5º, da Lei n.º 14.133/2021</w:t>
        </w:r>
      </w:hyperlink>
      <w:r w:rsidRPr="00D06CC0">
        <w:rPr>
          <w:rFonts w:ascii="Century Gothic" w:hAnsi="Century Gothic" w:cstheme="majorHAnsi"/>
          <w:sz w:val="24"/>
          <w:szCs w:val="24"/>
        </w:rPr>
        <w:t>.</w:t>
      </w:r>
    </w:p>
    <w:p w14:paraId="4EEE198C" w14:textId="69A80E94"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lastRenderedPageBreak/>
        <w:t xml:space="preserve">A recusa injustificada do adjudicatário em assinar o contrato ou a ata de registro de preço, ou em aceitar ou retirar o instrumento equivalente no prazo estabelecido pela Administração, descrita no item </w:t>
      </w:r>
      <w:r w:rsidRPr="00D06CC0">
        <w:rPr>
          <w:rFonts w:ascii="Century Gothic" w:hAnsi="Century Gothic" w:cstheme="majorHAnsi"/>
          <w:sz w:val="24"/>
          <w:szCs w:val="24"/>
        </w:rPr>
        <w:fldChar w:fldCharType="begin"/>
      </w:r>
      <w:r w:rsidRPr="00D06CC0">
        <w:rPr>
          <w:rFonts w:ascii="Century Gothic" w:hAnsi="Century Gothic" w:cstheme="majorHAnsi"/>
          <w:sz w:val="24"/>
          <w:szCs w:val="24"/>
        </w:rPr>
        <w:instrText xml:space="preserve"> REF _Ref114668139 \r \h  \* MERGEFORMAT </w:instrText>
      </w:r>
      <w:r w:rsidRPr="00D06CC0">
        <w:rPr>
          <w:rFonts w:ascii="Century Gothic" w:hAnsi="Century Gothic" w:cstheme="majorHAnsi"/>
          <w:sz w:val="24"/>
          <w:szCs w:val="24"/>
        </w:rPr>
      </w:r>
      <w:r w:rsidRPr="00D06CC0">
        <w:rPr>
          <w:rFonts w:ascii="Century Gothic" w:hAnsi="Century Gothic" w:cstheme="majorHAnsi"/>
          <w:sz w:val="24"/>
          <w:szCs w:val="24"/>
        </w:rPr>
        <w:fldChar w:fldCharType="separate"/>
      </w:r>
      <w:r w:rsidR="00E25C6B" w:rsidRPr="00D06CC0">
        <w:rPr>
          <w:rFonts w:ascii="Century Gothic" w:hAnsi="Century Gothic" w:cstheme="majorHAnsi"/>
          <w:sz w:val="24"/>
          <w:szCs w:val="24"/>
        </w:rPr>
        <w:t>1.138.3</w:t>
      </w:r>
      <w:r w:rsidRPr="00D06CC0">
        <w:rPr>
          <w:rFonts w:ascii="Century Gothic" w:hAnsi="Century Gothic" w:cstheme="majorHAnsi"/>
          <w:sz w:val="24"/>
          <w:szCs w:val="24"/>
        </w:rPr>
        <w:fldChar w:fldCharType="end"/>
      </w:r>
      <w:r w:rsidRPr="00D06CC0">
        <w:rPr>
          <w:rFonts w:ascii="Century Gothic" w:hAnsi="Century Gothic" w:cstheme="majorHAnsi"/>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9" w:history="1">
        <w:r w:rsidRPr="00D06CC0">
          <w:rPr>
            <w:rStyle w:val="Hyperlink"/>
            <w:rFonts w:ascii="Century Gothic" w:hAnsi="Century Gothic" w:cstheme="majorHAnsi"/>
            <w:sz w:val="24"/>
            <w:szCs w:val="24"/>
          </w:rPr>
          <w:t>art. 45, §4º da IN SEGES/ME n.º 73, de 2022</w:t>
        </w:r>
      </w:hyperlink>
      <w:r w:rsidRPr="00D06CC0">
        <w:rPr>
          <w:rFonts w:ascii="Century Gothic" w:hAnsi="Century Gothic" w:cstheme="majorHAnsi"/>
          <w:sz w:val="24"/>
          <w:szCs w:val="24"/>
        </w:rPr>
        <w:t xml:space="preserve">. </w:t>
      </w:r>
    </w:p>
    <w:p w14:paraId="1F56F71D"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652D28C"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2643BD9"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58B865"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recurso e o pedido de reconsideração terão efeito suspensivo do ato ou da decisão recorrida até que sobrevenha decisão final da autoridade competente.</w:t>
      </w:r>
    </w:p>
    <w:p w14:paraId="28A6B5E3"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aplicação das sanções previstas neste edital não exclui, em hipótese alguma, a obrigação de reparação integral dos danos causados.</w:t>
      </w:r>
    </w:p>
    <w:p w14:paraId="1E9C8BFA" w14:textId="77777777" w:rsidR="00F730F9" w:rsidRPr="00D06CC0" w:rsidRDefault="00F730F9" w:rsidP="00262785">
      <w:pPr>
        <w:pStyle w:val="Nivel010"/>
        <w:rPr>
          <w:rFonts w:ascii="Century Gothic" w:hAnsi="Century Gothic" w:cstheme="majorHAnsi"/>
        </w:rPr>
      </w:pPr>
      <w:r w:rsidRPr="00D06CC0">
        <w:rPr>
          <w:rFonts w:ascii="Century Gothic" w:hAnsi="Century Gothic" w:cstheme="majorHAnsi"/>
        </w:rPr>
        <w:t>DA IMPUGNAÇÃO AO EDITAL E DO PEDIDO DE ESCLARECIMENTO</w:t>
      </w:r>
    </w:p>
    <w:p w14:paraId="76B2A65F"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Qualquer pessoa é parte legítima para impugnar este Edital por irregularidade na aplicação da </w:t>
      </w:r>
      <w:hyperlink r:id="rId40" w:history="1">
        <w:r w:rsidRPr="00D06CC0">
          <w:rPr>
            <w:rStyle w:val="Hyperlink"/>
            <w:rFonts w:ascii="Century Gothic" w:hAnsi="Century Gothic" w:cstheme="majorHAnsi"/>
            <w:sz w:val="24"/>
            <w:szCs w:val="24"/>
          </w:rPr>
          <w:t>Lei nº 14.133, de 2021</w:t>
        </w:r>
      </w:hyperlink>
      <w:r w:rsidRPr="00D06CC0">
        <w:rPr>
          <w:rFonts w:ascii="Century Gothic" w:hAnsi="Century Gothic" w:cstheme="majorHAnsi"/>
          <w:sz w:val="24"/>
          <w:szCs w:val="24"/>
        </w:rPr>
        <w:t>, devendo protocolar o pedido até 3 (três) dias úteis antes da data da abertura do certame.</w:t>
      </w:r>
    </w:p>
    <w:p w14:paraId="3EA57F53"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resposta à impugnação ou ao pedido de esclarecimento será divulgado no Portal de Compras Públicas no prazo de até 3 (três) dias úteis, limitado ao último dia útil anterior à data da abertura do certame.</w:t>
      </w:r>
    </w:p>
    <w:p w14:paraId="6E1273E2"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lastRenderedPageBreak/>
        <w:t xml:space="preserve">A IMPUGNAÇÃO e/ou PEDIDO DE ESCLARECIMENTO DEVERÃO ser feitos EXCLUSIVAMENTE por FORMA ELETRÔNICA no sistema </w:t>
      </w:r>
      <w:hyperlink r:id="rId41" w:history="1">
        <w:r w:rsidRPr="00D06CC0">
          <w:rPr>
            <w:rStyle w:val="Hyperlink"/>
            <w:rFonts w:ascii="Century Gothic" w:hAnsi="Century Gothic" w:cstheme="majorHAnsi"/>
            <w:sz w:val="24"/>
            <w:szCs w:val="24"/>
          </w:rPr>
          <w:t>www.portaldecompraspublicas.com.br</w:t>
        </w:r>
      </w:hyperlink>
    </w:p>
    <w:p w14:paraId="54F4920C"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As impugnações e pedidos de esclarecimentos não suspendem os prazos previstos no certame.</w:t>
      </w:r>
    </w:p>
    <w:p w14:paraId="4593B465" w14:textId="77777777" w:rsidR="00F730F9" w:rsidRPr="00D06CC0" w:rsidRDefault="00F730F9" w:rsidP="0099467B">
      <w:pPr>
        <w:pStyle w:val="Nivel3"/>
        <w:spacing w:line="240" w:lineRule="auto"/>
        <w:rPr>
          <w:rFonts w:ascii="Century Gothic" w:hAnsi="Century Gothic" w:cstheme="majorHAnsi"/>
          <w:sz w:val="24"/>
          <w:szCs w:val="24"/>
        </w:rPr>
      </w:pPr>
      <w:r w:rsidRPr="00D06CC0">
        <w:rPr>
          <w:rFonts w:ascii="Century Gothic" w:hAnsi="Century Gothic" w:cstheme="majorHAnsi"/>
          <w:sz w:val="24"/>
          <w:szCs w:val="24"/>
        </w:rPr>
        <w:t>A concessão de efeito suspensivo à impugnação é medida excepcional e deverá ser motivada pelo agente de contratação, nos autos do processo de licitação.</w:t>
      </w:r>
    </w:p>
    <w:p w14:paraId="4E7C5EF5"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Acolhida a impugnação, será definida e publicada nova data para a realização do certame.</w:t>
      </w:r>
    </w:p>
    <w:p w14:paraId="1453B5CC" w14:textId="77777777" w:rsidR="00F730F9" w:rsidRPr="00D06CC0" w:rsidRDefault="00F730F9" w:rsidP="00262785">
      <w:pPr>
        <w:pStyle w:val="Nivel010"/>
        <w:rPr>
          <w:rFonts w:ascii="Century Gothic" w:hAnsi="Century Gothic" w:cstheme="majorHAnsi"/>
        </w:rPr>
      </w:pPr>
      <w:r w:rsidRPr="00D06CC0">
        <w:rPr>
          <w:rFonts w:ascii="Century Gothic" w:hAnsi="Century Gothic" w:cstheme="majorHAnsi"/>
        </w:rPr>
        <w:t>DAS DISPOSIÇÕES GERAIS</w:t>
      </w:r>
    </w:p>
    <w:p w14:paraId="6A720FF3" w14:textId="77777777" w:rsidR="00F730F9" w:rsidRPr="00D06CC0" w:rsidRDefault="00F730F9" w:rsidP="0099467B">
      <w:pPr>
        <w:pStyle w:val="Nivel2"/>
        <w:spacing w:line="240" w:lineRule="auto"/>
        <w:rPr>
          <w:rFonts w:ascii="Century Gothic" w:hAnsi="Century Gothic" w:cstheme="majorHAnsi"/>
          <w:sz w:val="24"/>
          <w:szCs w:val="24"/>
        </w:rPr>
      </w:pPr>
      <w:bookmarkStart w:id="40" w:name="_Hlk82473550"/>
      <w:r w:rsidRPr="00D06CC0">
        <w:rPr>
          <w:rFonts w:ascii="Century Gothic" w:hAnsi="Century Gothic" w:cstheme="majorHAnsi"/>
          <w:sz w:val="24"/>
          <w:szCs w:val="24"/>
        </w:rPr>
        <w:t>Será divulgada ata da sessão pública no sistema eletrônico.</w:t>
      </w:r>
    </w:p>
    <w:p w14:paraId="34DACA00" w14:textId="0E67A625"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8842AFB"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Todas as referências de tempo no Edital, no aviso e durante a sessão pública observarão o horário de Brasília - DF.</w:t>
      </w:r>
    </w:p>
    <w:p w14:paraId="1171B5E1"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A homologação do resultado desta licitação não implicará direito à contratação.</w:t>
      </w:r>
    </w:p>
    <w:p w14:paraId="525B3248"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A4E12E"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35F6034"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Na contagem dos prazos estabelecidos neste Edital e seus Anexos, excluir-se-á o dia do início e incluir-se-á o do vencimento. Só se iniciam e vencem os prazos em dias de expediente na Administração.</w:t>
      </w:r>
    </w:p>
    <w:p w14:paraId="3CFA7119" w14:textId="77777777" w:rsidR="00F730F9" w:rsidRPr="00D06CC0" w:rsidRDefault="00F730F9" w:rsidP="0099467B">
      <w:pPr>
        <w:pStyle w:val="Nivel2"/>
        <w:spacing w:line="240" w:lineRule="auto"/>
        <w:rPr>
          <w:rFonts w:ascii="Century Gothic" w:hAnsi="Century Gothic" w:cstheme="majorHAnsi"/>
          <w:sz w:val="24"/>
          <w:szCs w:val="24"/>
        </w:rPr>
      </w:pPr>
      <w:r w:rsidRPr="00D06CC0">
        <w:rPr>
          <w:rFonts w:ascii="Century Gothic" w:hAnsi="Century Gothic" w:cstheme="majorHAnsi"/>
          <w:sz w:val="24"/>
          <w:szCs w:val="24"/>
        </w:rPr>
        <w:t>O desatendimento de exigências formais não essenciais não importará o afastamento do licitante, desde que seja possível o aproveitamento do ato, observados os princípios da isonomia e do interesse público.</w:t>
      </w:r>
    </w:p>
    <w:p w14:paraId="6ED1AD7C" w14:textId="77777777" w:rsidR="00F730F9" w:rsidRPr="00D06CC0" w:rsidRDefault="00F730F9" w:rsidP="0099467B">
      <w:pPr>
        <w:pStyle w:val="Nivel2"/>
        <w:spacing w:line="240" w:lineRule="auto"/>
        <w:rPr>
          <w:rFonts w:ascii="Century Gothic" w:eastAsia="Times New Roman" w:hAnsi="Century Gothic" w:cstheme="majorHAnsi"/>
          <w:sz w:val="24"/>
          <w:szCs w:val="24"/>
        </w:rPr>
      </w:pPr>
      <w:r w:rsidRPr="00D06CC0">
        <w:rPr>
          <w:rFonts w:ascii="Century Gothic" w:hAnsi="Century Gothic" w:cstheme="majorHAnsi"/>
          <w:sz w:val="24"/>
          <w:szCs w:val="24"/>
        </w:rPr>
        <w:lastRenderedPageBreak/>
        <w:t>Em caso de divergência entre disposições deste Edital e de seus anexos ou demais peças que compõem o processo, prevalecerá as deste Edital.</w:t>
      </w:r>
    </w:p>
    <w:p w14:paraId="7CF97357" w14:textId="5C93FFEE" w:rsidR="00F730F9" w:rsidRPr="00D06CC0" w:rsidRDefault="00F730F9" w:rsidP="00262785">
      <w:pPr>
        <w:pStyle w:val="Nivel2"/>
        <w:rPr>
          <w:rFonts w:ascii="Century Gothic" w:eastAsia="Times New Roman" w:hAnsi="Century Gothic" w:cstheme="majorHAnsi"/>
          <w:sz w:val="24"/>
          <w:szCs w:val="24"/>
        </w:rPr>
      </w:pPr>
      <w:r w:rsidRPr="00D06CC0">
        <w:rPr>
          <w:rFonts w:ascii="Century Gothic" w:hAnsi="Century Gothic" w:cstheme="majorHAnsi"/>
          <w:sz w:val="24"/>
          <w:szCs w:val="24"/>
        </w:rPr>
        <w:t>O Edital está disponibilizado, na íntegra, nos endereços eletrônicos:</w:t>
      </w:r>
      <w:r w:rsidR="00262785" w:rsidRPr="00D06CC0">
        <w:rPr>
          <w:rFonts w:ascii="Century Gothic" w:hAnsi="Century Gothic" w:cstheme="majorHAnsi"/>
          <w:sz w:val="24"/>
          <w:szCs w:val="24"/>
        </w:rPr>
        <w:t xml:space="preserve"> www.portaldecompraspublicas.com.br. O Edital completo está disponível para consulta e retirada nos endereços eletrônicos: www.portaldecompraspublicas.com.br e https://www.cachoeiragrande.ma.gov.br/transparencia. Maiores informações poderão ser obtidas pelo e-mail </w:t>
      </w:r>
      <w:hyperlink r:id="rId42" w:history="1">
        <w:r w:rsidR="00262785" w:rsidRPr="00D06CC0">
          <w:rPr>
            <w:rStyle w:val="Hyperlink"/>
            <w:rFonts w:ascii="Century Gothic" w:hAnsi="Century Gothic" w:cstheme="majorHAnsi"/>
            <w:sz w:val="24"/>
            <w:szCs w:val="24"/>
          </w:rPr>
          <w:t>cplcgma@hotmail.com</w:t>
        </w:r>
      </w:hyperlink>
      <w:r w:rsidR="00262785" w:rsidRPr="00D06CC0">
        <w:rPr>
          <w:rFonts w:ascii="Century Gothic" w:hAnsi="Century Gothic" w:cstheme="majorHAnsi"/>
          <w:sz w:val="24"/>
          <w:szCs w:val="24"/>
        </w:rPr>
        <w:t xml:space="preserve"> </w:t>
      </w:r>
      <w:r w:rsidRPr="00D06CC0">
        <w:rPr>
          <w:rFonts w:ascii="Century Gothic" w:hAnsi="Century Gothic" w:cstheme="majorHAnsi"/>
          <w:sz w:val="24"/>
          <w:szCs w:val="24"/>
        </w:rPr>
        <w:t xml:space="preserve">e também poderão ser lidos e/ou obtidos na sede da Prefeitura Municipal de </w:t>
      </w:r>
      <w:r w:rsidR="00262785" w:rsidRPr="00D06CC0">
        <w:rPr>
          <w:rFonts w:ascii="Century Gothic" w:hAnsi="Century Gothic" w:cstheme="majorHAnsi"/>
          <w:sz w:val="24"/>
          <w:szCs w:val="24"/>
        </w:rPr>
        <w:t>Cachoeira Grande</w:t>
      </w:r>
      <w:r w:rsidRPr="00D06CC0">
        <w:rPr>
          <w:rFonts w:ascii="Century Gothic" w:hAnsi="Century Gothic" w:cstheme="majorHAnsi"/>
          <w:sz w:val="24"/>
          <w:szCs w:val="24"/>
        </w:rPr>
        <w:t xml:space="preserve">/MA, localizada na </w:t>
      </w:r>
      <w:r w:rsidR="00262785" w:rsidRPr="00D06CC0">
        <w:rPr>
          <w:rFonts w:ascii="Century Gothic" w:hAnsi="Century Gothic" w:cstheme="majorHAnsi"/>
          <w:sz w:val="24"/>
          <w:szCs w:val="24"/>
        </w:rPr>
        <w:t>Rua do Comercio, 03</w:t>
      </w:r>
      <w:r w:rsidR="00FB7D71" w:rsidRPr="00D06CC0">
        <w:rPr>
          <w:rFonts w:ascii="Century Gothic" w:hAnsi="Century Gothic" w:cstheme="majorHAnsi"/>
          <w:sz w:val="24"/>
          <w:szCs w:val="24"/>
        </w:rPr>
        <w:t>, CENTRO – CEP: 65.</w:t>
      </w:r>
      <w:r w:rsidR="00262785" w:rsidRPr="00D06CC0">
        <w:rPr>
          <w:rFonts w:ascii="Century Gothic" w:hAnsi="Century Gothic" w:cstheme="majorHAnsi"/>
          <w:sz w:val="24"/>
          <w:szCs w:val="24"/>
        </w:rPr>
        <w:t>165</w:t>
      </w:r>
      <w:r w:rsidR="00FB7D71" w:rsidRPr="00D06CC0">
        <w:rPr>
          <w:rFonts w:ascii="Century Gothic" w:hAnsi="Century Gothic" w:cstheme="majorHAnsi"/>
          <w:sz w:val="24"/>
          <w:szCs w:val="24"/>
        </w:rPr>
        <w:t xml:space="preserve">-000 – CENTRO, </w:t>
      </w:r>
      <w:r w:rsidR="00262785" w:rsidRPr="00D06CC0">
        <w:rPr>
          <w:rFonts w:ascii="Century Gothic" w:hAnsi="Century Gothic" w:cstheme="majorHAnsi"/>
          <w:sz w:val="24"/>
          <w:szCs w:val="24"/>
        </w:rPr>
        <w:t>CACHOEIRA GRANDE</w:t>
      </w:r>
      <w:r w:rsidR="00FB7D71" w:rsidRPr="00D06CC0">
        <w:rPr>
          <w:rFonts w:ascii="Century Gothic" w:hAnsi="Century Gothic" w:cstheme="majorHAnsi"/>
          <w:sz w:val="24"/>
          <w:szCs w:val="24"/>
        </w:rPr>
        <w:t>/MA</w:t>
      </w:r>
      <w:r w:rsidRPr="00D06CC0">
        <w:rPr>
          <w:rFonts w:ascii="Century Gothic" w:hAnsi="Century Gothic" w:cstheme="majorHAnsi"/>
          <w:sz w:val="24"/>
          <w:szCs w:val="24"/>
        </w:rPr>
        <w:t>, nos dias úteis, no horário das 08 horas às 12 horas, no mesmo endereço e período em que os autos do processo administrativo permanecerão com acesso e vista franqueada aos interessados.</w:t>
      </w:r>
    </w:p>
    <w:p w14:paraId="08CAD635" w14:textId="77777777" w:rsidR="00F730F9" w:rsidRPr="00D06CC0" w:rsidRDefault="00F730F9" w:rsidP="00FB7D71">
      <w:pPr>
        <w:pStyle w:val="Nivel2"/>
        <w:spacing w:line="360" w:lineRule="auto"/>
        <w:rPr>
          <w:rFonts w:ascii="Century Gothic" w:eastAsia="Times New Roman" w:hAnsi="Century Gothic" w:cstheme="majorHAnsi"/>
          <w:sz w:val="24"/>
          <w:szCs w:val="24"/>
        </w:rPr>
      </w:pPr>
      <w:r w:rsidRPr="00D06CC0">
        <w:rPr>
          <w:rFonts w:ascii="Century Gothic" w:hAnsi="Century Gothic" w:cstheme="majorHAnsi"/>
          <w:sz w:val="24"/>
          <w:szCs w:val="24"/>
        </w:rPr>
        <w:t>Integram este Edital, para todos os fins e efeitos, os seguintes anexos:</w:t>
      </w:r>
    </w:p>
    <w:p w14:paraId="68885DA2" w14:textId="4D3AFE34" w:rsidR="00F730F9" w:rsidRPr="00D06CC0" w:rsidRDefault="00F730F9" w:rsidP="00F35A19">
      <w:pPr>
        <w:spacing w:line="276" w:lineRule="auto"/>
        <w:rPr>
          <w:rFonts w:ascii="Century Gothic" w:hAnsi="Century Gothic" w:cstheme="majorHAnsi"/>
          <w:color w:val="000000"/>
        </w:rPr>
      </w:pPr>
      <w:r w:rsidRPr="00D06CC0">
        <w:rPr>
          <w:rFonts w:ascii="Century Gothic" w:hAnsi="Century Gothic" w:cstheme="majorHAnsi"/>
          <w:color w:val="000000"/>
        </w:rPr>
        <w:t>ANEXO I – TERMO DE REFERÊNCIA</w:t>
      </w:r>
    </w:p>
    <w:p w14:paraId="527CFA66" w14:textId="363C4992" w:rsidR="00F730F9" w:rsidRPr="00D06CC0" w:rsidRDefault="00F730F9" w:rsidP="00F35A19">
      <w:pPr>
        <w:spacing w:line="276" w:lineRule="auto"/>
        <w:jc w:val="both"/>
        <w:rPr>
          <w:rFonts w:ascii="Century Gothic" w:hAnsi="Century Gothic" w:cstheme="majorHAnsi"/>
          <w:color w:val="000000"/>
        </w:rPr>
      </w:pPr>
      <w:r w:rsidRPr="00D06CC0">
        <w:rPr>
          <w:rFonts w:ascii="Century Gothic" w:hAnsi="Century Gothic" w:cstheme="majorHAnsi"/>
          <w:color w:val="000000"/>
        </w:rPr>
        <w:t>ANEXO II - MODELO DE PROPOSTA DE PREÇOS;</w:t>
      </w:r>
    </w:p>
    <w:p w14:paraId="1F9F0023" w14:textId="2ABF8223" w:rsidR="00F730F9" w:rsidRPr="00D06CC0" w:rsidRDefault="00F730F9" w:rsidP="00F35A19">
      <w:pPr>
        <w:spacing w:line="276" w:lineRule="auto"/>
        <w:jc w:val="both"/>
        <w:rPr>
          <w:rFonts w:ascii="Century Gothic" w:hAnsi="Century Gothic" w:cstheme="majorHAnsi"/>
          <w:color w:val="000000"/>
        </w:rPr>
      </w:pPr>
      <w:r w:rsidRPr="00D06CC0">
        <w:rPr>
          <w:rFonts w:ascii="Century Gothic" w:hAnsi="Century Gothic" w:cstheme="majorHAnsi"/>
          <w:color w:val="000000"/>
        </w:rPr>
        <w:t>ANEXO III – MODELO DE DECLARAÇÃO DE SUJEIÇÃO ÀS CONDIÇÕES ESTABELECIDAS NO EDITAL E DE INEXISTÊNCIA DE FATOS SUPERVENIENTES IMPEDITIVOS DA HABILITAÇÃO;</w:t>
      </w:r>
    </w:p>
    <w:p w14:paraId="31D4F377" w14:textId="11CFA0EF" w:rsidR="00F730F9" w:rsidRPr="00D06CC0" w:rsidRDefault="00F730F9" w:rsidP="00F35A19">
      <w:pPr>
        <w:spacing w:line="276" w:lineRule="auto"/>
        <w:jc w:val="both"/>
        <w:rPr>
          <w:rFonts w:ascii="Century Gothic" w:hAnsi="Century Gothic" w:cstheme="majorHAnsi"/>
          <w:color w:val="000000"/>
        </w:rPr>
      </w:pPr>
      <w:r w:rsidRPr="00D06CC0">
        <w:rPr>
          <w:rFonts w:ascii="Century Gothic" w:hAnsi="Century Gothic" w:cstheme="majorHAnsi"/>
          <w:color w:val="000000"/>
        </w:rPr>
        <w:t>ANEXO IV – MODELO DE DECLARAÇÃO NOS TERMOS DO INCISO XXXIII, ART. 7º DA CONSTITUIÇÃO FEDERAL;</w:t>
      </w:r>
    </w:p>
    <w:p w14:paraId="518CF146" w14:textId="54C56C06" w:rsidR="00F730F9" w:rsidRPr="00D06CC0" w:rsidRDefault="00F730F9" w:rsidP="00F35A19">
      <w:pPr>
        <w:spacing w:line="276" w:lineRule="auto"/>
        <w:jc w:val="both"/>
        <w:rPr>
          <w:rFonts w:ascii="Century Gothic" w:hAnsi="Century Gothic" w:cstheme="majorHAnsi"/>
          <w:color w:val="000000"/>
        </w:rPr>
      </w:pPr>
      <w:r w:rsidRPr="00D06CC0">
        <w:rPr>
          <w:rFonts w:ascii="Century Gothic" w:hAnsi="Century Gothic" w:cstheme="majorHAnsi"/>
          <w:color w:val="000000"/>
        </w:rPr>
        <w:t>ANEXO V – MODELO DE DECLARAÇÃO DE ELABORAÇÃO INDEPENDENTE DE PROPOSTA;</w:t>
      </w:r>
    </w:p>
    <w:p w14:paraId="2710EA7D" w14:textId="5D2D5EC8" w:rsidR="00F730F9" w:rsidRPr="00D06CC0" w:rsidRDefault="00F730F9" w:rsidP="00F35A19">
      <w:pPr>
        <w:spacing w:line="276" w:lineRule="auto"/>
        <w:jc w:val="both"/>
        <w:rPr>
          <w:rFonts w:ascii="Century Gothic" w:hAnsi="Century Gothic" w:cstheme="majorHAnsi"/>
          <w:color w:val="000000"/>
        </w:rPr>
      </w:pPr>
      <w:r w:rsidRPr="00D06CC0">
        <w:rPr>
          <w:rFonts w:ascii="Century Gothic" w:hAnsi="Century Gothic" w:cstheme="majorHAnsi"/>
          <w:color w:val="000000"/>
        </w:rPr>
        <w:t>ANEXO VI – MODELO DE DECLARAÇÃO DO PORTE DA EMPRESA;</w:t>
      </w:r>
    </w:p>
    <w:p w14:paraId="4F009201" w14:textId="1E3AEDAC" w:rsidR="00F730F9" w:rsidRPr="00D06CC0" w:rsidRDefault="00F730F9" w:rsidP="00F35A19">
      <w:pPr>
        <w:spacing w:line="276" w:lineRule="auto"/>
        <w:jc w:val="both"/>
        <w:rPr>
          <w:rFonts w:ascii="Century Gothic" w:hAnsi="Century Gothic" w:cstheme="majorHAnsi"/>
          <w:color w:val="000000"/>
        </w:rPr>
      </w:pPr>
      <w:r w:rsidRPr="00D06CC0">
        <w:rPr>
          <w:rFonts w:ascii="Century Gothic" w:hAnsi="Century Gothic" w:cstheme="majorHAnsi"/>
          <w:color w:val="000000"/>
        </w:rPr>
        <w:t>ANEXO VII – MODELO DE DECLARAÇÃO DE IDONEIDADE;</w:t>
      </w:r>
    </w:p>
    <w:p w14:paraId="63EE0CF9" w14:textId="41895492" w:rsidR="00F730F9" w:rsidRPr="00D06CC0" w:rsidRDefault="00F730F9" w:rsidP="00F35A19">
      <w:pPr>
        <w:spacing w:line="276" w:lineRule="auto"/>
        <w:jc w:val="both"/>
        <w:rPr>
          <w:rFonts w:ascii="Century Gothic" w:hAnsi="Century Gothic" w:cstheme="majorHAnsi"/>
          <w:color w:val="000000"/>
        </w:rPr>
      </w:pPr>
      <w:r w:rsidRPr="00D06CC0">
        <w:rPr>
          <w:rFonts w:ascii="Century Gothic" w:hAnsi="Century Gothic" w:cstheme="majorHAnsi"/>
          <w:color w:val="000000"/>
        </w:rPr>
        <w:t>ANEXO VIII – DECLARAÇÃO DE CUMPRIMENTO DOS REQUISITOS DE HABILITAÇÃO;</w:t>
      </w:r>
    </w:p>
    <w:p w14:paraId="332A0D48" w14:textId="77777777" w:rsidR="00F35A19" w:rsidRPr="00D06CC0" w:rsidRDefault="00F730F9" w:rsidP="00F35A19">
      <w:pPr>
        <w:spacing w:line="276" w:lineRule="auto"/>
        <w:jc w:val="both"/>
        <w:rPr>
          <w:rFonts w:ascii="Century Gothic" w:hAnsi="Century Gothic" w:cstheme="majorHAnsi"/>
          <w:color w:val="000000"/>
        </w:rPr>
      </w:pPr>
      <w:r w:rsidRPr="00D06CC0">
        <w:rPr>
          <w:rFonts w:ascii="Century Gothic" w:hAnsi="Century Gothic" w:cstheme="majorHAnsi"/>
          <w:color w:val="000000"/>
        </w:rPr>
        <w:t>ANEXO IX – MINUTA DO CONTRATO;</w:t>
      </w:r>
    </w:p>
    <w:bookmarkEnd w:id="40"/>
    <w:p w14:paraId="14DDE62E" w14:textId="77777777" w:rsidR="00077D52" w:rsidRPr="00D06CC0" w:rsidRDefault="00077D52" w:rsidP="00077D52">
      <w:pPr>
        <w:jc w:val="center"/>
        <w:rPr>
          <w:rFonts w:ascii="Century Gothic" w:eastAsia="MS Mincho" w:hAnsi="Century Gothic" w:cstheme="majorHAnsi"/>
          <w:color w:val="000000"/>
        </w:rPr>
      </w:pPr>
    </w:p>
    <w:p w14:paraId="55E50865" w14:textId="0916C3BC" w:rsidR="004B7742" w:rsidRDefault="004B7742" w:rsidP="004B7742">
      <w:pPr>
        <w:spacing w:line="276" w:lineRule="auto"/>
        <w:jc w:val="right"/>
        <w:rPr>
          <w:rFonts w:ascii="Century Gothic" w:eastAsia="MS Mincho" w:hAnsi="Century Gothic" w:cs="Arial"/>
          <w:color w:val="000000"/>
        </w:rPr>
      </w:pPr>
      <w:r>
        <w:rPr>
          <w:rFonts w:ascii="Century Gothic" w:eastAsia="MS Mincho" w:hAnsi="Century Gothic" w:cs="Arial"/>
          <w:color w:val="000000"/>
        </w:rPr>
        <w:t>Cachoeira Grande/MA, 08 de Maio de 2025.</w:t>
      </w:r>
    </w:p>
    <w:p w14:paraId="4E7FFA1C" w14:textId="77777777" w:rsidR="004B7742" w:rsidRDefault="004B7742" w:rsidP="004B7742">
      <w:pPr>
        <w:spacing w:beforeLines="120" w:before="288" w:afterLines="120" w:after="288" w:line="276" w:lineRule="auto"/>
        <w:ind w:firstLine="567"/>
        <w:jc w:val="right"/>
        <w:rPr>
          <w:rFonts w:ascii="Century Gothic" w:eastAsia="MS Mincho" w:hAnsi="Century Gothic" w:cs="Arial"/>
          <w:color w:val="000000"/>
        </w:rPr>
      </w:pPr>
    </w:p>
    <w:p w14:paraId="1EAAE1D6" w14:textId="77777777" w:rsidR="004B7742" w:rsidRDefault="004B7742" w:rsidP="004B7742">
      <w:pPr>
        <w:spacing w:line="276" w:lineRule="auto"/>
        <w:jc w:val="center"/>
        <w:rPr>
          <w:rFonts w:ascii="Century Gothic" w:hAnsi="Century Gothic" w:cstheme="majorHAnsi"/>
          <w:b/>
          <w:bCs/>
        </w:rPr>
      </w:pPr>
      <w:r>
        <w:rPr>
          <w:rFonts w:ascii="Century Gothic" w:hAnsi="Century Gothic" w:cstheme="majorHAnsi"/>
          <w:b/>
          <w:bCs/>
        </w:rPr>
        <w:t>DANIEL COIMBRA ABREU</w:t>
      </w:r>
    </w:p>
    <w:p w14:paraId="1CA6842B" w14:textId="77777777" w:rsidR="004B7742" w:rsidRDefault="004B7742" w:rsidP="004B7742">
      <w:pPr>
        <w:spacing w:line="276" w:lineRule="auto"/>
        <w:jc w:val="center"/>
        <w:rPr>
          <w:rFonts w:ascii="Century Gothic" w:hAnsi="Century Gothic" w:cstheme="majorHAnsi"/>
        </w:rPr>
      </w:pPr>
      <w:r>
        <w:rPr>
          <w:rFonts w:ascii="Century Gothic" w:hAnsi="Century Gothic" w:cstheme="majorHAnsi"/>
        </w:rPr>
        <w:t>Secretário Municipal de Administração e Planejamento</w:t>
      </w:r>
    </w:p>
    <w:p w14:paraId="26429CD9" w14:textId="4D72E926" w:rsidR="00EE61B7" w:rsidRPr="00D06CC0" w:rsidRDefault="004B7742" w:rsidP="00A10880">
      <w:pPr>
        <w:spacing w:line="276" w:lineRule="auto"/>
        <w:jc w:val="center"/>
        <w:rPr>
          <w:rFonts w:ascii="Century Gothic" w:hAnsi="Century Gothic" w:cstheme="majorHAnsi"/>
          <w:sz w:val="20"/>
          <w:lang w:eastAsia="en-US"/>
        </w:rPr>
      </w:pPr>
      <w:r>
        <w:rPr>
          <w:rFonts w:ascii="Century Gothic" w:hAnsi="Century Gothic" w:cstheme="majorHAnsi"/>
        </w:rPr>
        <w:t>Portaria Nº 01/2025</w:t>
      </w:r>
      <w:r w:rsidRPr="00D06CC0">
        <w:rPr>
          <w:rFonts w:ascii="Century Gothic" w:eastAsia="MS Mincho" w:hAnsi="Century Gothic" w:cstheme="majorHAnsi"/>
          <w:b/>
          <w:bCs/>
        </w:rPr>
        <w:t xml:space="preserve"> </w:t>
      </w:r>
      <w:r w:rsidR="00FF2470" w:rsidRPr="00D06CC0">
        <w:rPr>
          <w:rFonts w:ascii="Century Gothic" w:eastAsia="MS Mincho" w:hAnsi="Century Gothic" w:cstheme="majorHAnsi"/>
          <w:b/>
          <w:bCs/>
        </w:rPr>
        <w:br w:type="page"/>
      </w:r>
    </w:p>
    <w:p w14:paraId="5474A3E7" w14:textId="77777777" w:rsidR="0052677B" w:rsidRPr="00D06CC0" w:rsidRDefault="0052677B" w:rsidP="0052677B">
      <w:pPr>
        <w:widowControl w:val="0"/>
        <w:shd w:val="clear" w:color="auto" w:fill="CCCCCC"/>
        <w:ind w:left="-990" w:right="2559" w:firstLine="423"/>
        <w:jc w:val="both"/>
        <w:rPr>
          <w:rFonts w:ascii="Century Gothic" w:hAnsi="Century Gothic" w:cstheme="majorHAnsi"/>
          <w:b/>
          <w:sz w:val="18"/>
          <w:szCs w:val="18"/>
        </w:rPr>
      </w:pPr>
    </w:p>
    <w:p w14:paraId="19C0C9BC" w14:textId="77777777" w:rsidR="0052677B" w:rsidRPr="00D06CC0" w:rsidRDefault="0052677B" w:rsidP="0052677B">
      <w:pPr>
        <w:widowControl w:val="0"/>
        <w:shd w:val="clear" w:color="auto" w:fill="CCCCCC"/>
        <w:ind w:left="-990" w:right="2559" w:firstLine="423"/>
        <w:jc w:val="both"/>
        <w:rPr>
          <w:rFonts w:ascii="Century Gothic" w:hAnsi="Century Gothic" w:cstheme="majorHAnsi"/>
          <w:b/>
          <w:sz w:val="34"/>
          <w:szCs w:val="34"/>
        </w:rPr>
      </w:pPr>
      <w:r w:rsidRPr="00D06CC0">
        <w:rPr>
          <w:rFonts w:ascii="Century Gothic" w:hAnsi="Century Gothic" w:cstheme="majorHAnsi"/>
          <w:b/>
          <w:sz w:val="34"/>
          <w:szCs w:val="34"/>
        </w:rPr>
        <w:t>TERMO DE REFERÊNCIA</w:t>
      </w:r>
    </w:p>
    <w:p w14:paraId="1407EB98" w14:textId="77777777" w:rsidR="0052677B" w:rsidRPr="00D06CC0" w:rsidRDefault="0052677B" w:rsidP="0052677B">
      <w:pPr>
        <w:widowControl w:val="0"/>
        <w:shd w:val="clear" w:color="auto" w:fill="CCCCCC"/>
        <w:ind w:left="-990" w:right="2559" w:firstLine="423"/>
        <w:jc w:val="both"/>
        <w:rPr>
          <w:rFonts w:ascii="Century Gothic" w:hAnsi="Century Gothic" w:cstheme="majorHAnsi"/>
          <w:b/>
          <w:sz w:val="20"/>
          <w:szCs w:val="20"/>
        </w:rPr>
      </w:pPr>
      <w:r w:rsidRPr="00D06CC0">
        <w:rPr>
          <w:rFonts w:ascii="Century Gothic" w:hAnsi="Century Gothic" w:cstheme="majorHAnsi"/>
          <w:b/>
          <w:sz w:val="20"/>
          <w:szCs w:val="20"/>
        </w:rPr>
        <w:t>BENS COMUNS, LEI 14.133/2021.</w:t>
      </w:r>
    </w:p>
    <w:p w14:paraId="0EE5E5D6" w14:textId="77777777" w:rsidR="0052677B" w:rsidRPr="00D06CC0" w:rsidRDefault="0052677B" w:rsidP="0052677B">
      <w:pPr>
        <w:widowControl w:val="0"/>
        <w:shd w:val="clear" w:color="auto" w:fill="CCCCCC"/>
        <w:ind w:left="-990" w:right="2559"/>
        <w:jc w:val="both"/>
        <w:rPr>
          <w:rFonts w:ascii="Century Gothic" w:hAnsi="Century Gothic" w:cstheme="majorHAnsi"/>
          <w:b/>
          <w:sz w:val="18"/>
          <w:szCs w:val="18"/>
        </w:rPr>
      </w:pPr>
    </w:p>
    <w:p w14:paraId="24AEFE63" w14:textId="3E37611E" w:rsidR="0052677B" w:rsidRPr="00D06CC0" w:rsidRDefault="0052677B" w:rsidP="0052677B">
      <w:pPr>
        <w:ind w:left="720"/>
        <w:rPr>
          <w:rFonts w:ascii="Century Gothic" w:hAnsi="Century Gothic" w:cstheme="majorHAnsi"/>
          <w:b/>
          <w:sz w:val="22"/>
          <w:szCs w:val="22"/>
        </w:rPr>
      </w:pPr>
    </w:p>
    <w:p w14:paraId="2EAD8B55" w14:textId="77777777" w:rsidR="00D06CC0" w:rsidRPr="00D06CC0" w:rsidRDefault="00D06CC0" w:rsidP="00D06CC0">
      <w:pPr>
        <w:spacing w:before="240" w:after="240"/>
        <w:jc w:val="both"/>
        <w:rPr>
          <w:rFonts w:ascii="Century Gothic" w:hAnsi="Century Gothic" w:cstheme="majorHAnsi"/>
          <w:b/>
          <w:sz w:val="22"/>
          <w:szCs w:val="22"/>
        </w:rPr>
      </w:pPr>
      <w:r w:rsidRPr="00D06CC0">
        <w:rPr>
          <w:rFonts w:ascii="Century Gothic" w:hAnsi="Century Gothic" w:cstheme="majorHAnsi"/>
          <w:b/>
          <w:sz w:val="22"/>
          <w:szCs w:val="22"/>
        </w:rPr>
        <w:t>1. CONDIÇÕES GERAIS DE CONTRATAÇÃO OBJETO</w:t>
      </w:r>
    </w:p>
    <w:p w14:paraId="52C6F905" w14:textId="5A8D131A"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REGISTRO DE PREÇOS PARA FUTURA E EVENTUAL CONTRATAÇÃO DE EMPRESA PARA FORNECIMENTO DE MATERIAL ESPORTIVO PARA ATENDER A DEMANDA DAS SECRETARIAS DO MUNICÍPIO DE CACHOEIRA GRANDE/MA.</w:t>
      </w:r>
    </w:p>
    <w:p w14:paraId="364C170C"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1.2. A demanda de consumo previsto encontra-se demonstrando abaixo:</w:t>
      </w:r>
    </w:p>
    <w:p w14:paraId="201D0639" w14:textId="4C67355D" w:rsidR="00D06CC0" w:rsidRDefault="00D06CC0" w:rsidP="00D06CC0">
      <w:pPr>
        <w:spacing w:before="240" w:after="240"/>
        <w:rPr>
          <w:rFonts w:ascii="Century Gothic" w:hAnsi="Century Gothic" w:cstheme="majorHAnsi"/>
          <w:sz w:val="22"/>
          <w:szCs w:val="22"/>
        </w:rPr>
      </w:pPr>
      <w:r w:rsidRPr="00D06CC0">
        <w:rPr>
          <w:rFonts w:ascii="Century Gothic" w:hAnsi="Century Gothic" w:cstheme="majorHAnsi"/>
          <w:sz w:val="22"/>
          <w:szCs w:val="22"/>
        </w:rPr>
        <w:t>1.2.1. ESPECIFICAÇÃO DOS GRUPOS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9"/>
        <w:gridCol w:w="4870"/>
        <w:gridCol w:w="872"/>
        <w:gridCol w:w="735"/>
        <w:gridCol w:w="1045"/>
        <w:gridCol w:w="1123"/>
      </w:tblGrid>
      <w:tr w:rsidR="00A10880" w:rsidRPr="00A10880" w14:paraId="3D9DAEDE" w14:textId="77777777" w:rsidTr="00A10880">
        <w:trPr>
          <w:trHeight w:val="20"/>
        </w:trPr>
        <w:tc>
          <w:tcPr>
            <w:tcW w:w="399" w:type="pct"/>
            <w:shd w:val="clear" w:color="auto" w:fill="auto"/>
            <w:noWrap/>
            <w:vAlign w:val="center"/>
            <w:hideMark/>
          </w:tcPr>
          <w:p w14:paraId="6D0D5DB8" w14:textId="77777777" w:rsidR="00A10880" w:rsidRPr="00A10880" w:rsidRDefault="00A10880" w:rsidP="00A10880">
            <w:pPr>
              <w:jc w:val="center"/>
              <w:rPr>
                <w:rFonts w:ascii="Century Gothic" w:hAnsi="Century Gothic" w:cs="Calibri"/>
                <w:b/>
                <w:bCs/>
                <w:color w:val="000000"/>
                <w:sz w:val="20"/>
                <w:szCs w:val="20"/>
              </w:rPr>
            </w:pPr>
            <w:r w:rsidRPr="00A10880">
              <w:rPr>
                <w:rFonts w:ascii="Century Gothic" w:hAnsi="Century Gothic" w:cs="Calibri"/>
                <w:b/>
                <w:bCs/>
                <w:color w:val="000000"/>
                <w:sz w:val="20"/>
                <w:szCs w:val="20"/>
                <w:lang w:val="pt-PT"/>
              </w:rPr>
              <w:t>ITEM</w:t>
            </w:r>
          </w:p>
        </w:tc>
        <w:tc>
          <w:tcPr>
            <w:tcW w:w="2592" w:type="pct"/>
            <w:shd w:val="clear" w:color="auto" w:fill="auto"/>
            <w:noWrap/>
            <w:vAlign w:val="center"/>
            <w:hideMark/>
          </w:tcPr>
          <w:p w14:paraId="34D13CCD" w14:textId="77777777" w:rsidR="00A10880" w:rsidRPr="00A10880" w:rsidRDefault="00A10880" w:rsidP="00A10880">
            <w:pPr>
              <w:jc w:val="center"/>
              <w:rPr>
                <w:rFonts w:ascii="Century Gothic" w:hAnsi="Century Gothic" w:cs="Calibri"/>
                <w:b/>
                <w:bCs/>
                <w:color w:val="000000"/>
                <w:sz w:val="20"/>
                <w:szCs w:val="20"/>
              </w:rPr>
            </w:pPr>
            <w:r w:rsidRPr="00A10880">
              <w:rPr>
                <w:rFonts w:ascii="Century Gothic" w:hAnsi="Century Gothic" w:cs="Calibri"/>
                <w:b/>
                <w:bCs/>
                <w:color w:val="000000"/>
                <w:sz w:val="20"/>
                <w:szCs w:val="20"/>
                <w:lang w:val="pt-PT"/>
              </w:rPr>
              <w:t>DESCRIÇÃO DO PRODUTO</w:t>
            </w:r>
          </w:p>
        </w:tc>
        <w:tc>
          <w:tcPr>
            <w:tcW w:w="464" w:type="pct"/>
            <w:shd w:val="clear" w:color="auto" w:fill="auto"/>
            <w:noWrap/>
            <w:vAlign w:val="center"/>
            <w:hideMark/>
          </w:tcPr>
          <w:p w14:paraId="5A16601C" w14:textId="77777777" w:rsidR="00A10880" w:rsidRPr="00A10880" w:rsidRDefault="00A10880" w:rsidP="00A10880">
            <w:pPr>
              <w:jc w:val="center"/>
              <w:rPr>
                <w:rFonts w:ascii="Century Gothic" w:hAnsi="Century Gothic" w:cs="Calibri"/>
                <w:b/>
                <w:bCs/>
                <w:color w:val="000000"/>
                <w:sz w:val="20"/>
                <w:szCs w:val="20"/>
              </w:rPr>
            </w:pPr>
            <w:r w:rsidRPr="00A10880">
              <w:rPr>
                <w:rFonts w:ascii="Century Gothic" w:hAnsi="Century Gothic" w:cs="Calibri"/>
                <w:b/>
                <w:bCs/>
                <w:color w:val="000000"/>
                <w:sz w:val="20"/>
                <w:szCs w:val="20"/>
                <w:lang w:val="pt-PT"/>
              </w:rPr>
              <w:t>QUANT.</w:t>
            </w:r>
          </w:p>
        </w:tc>
        <w:tc>
          <w:tcPr>
            <w:tcW w:w="391" w:type="pct"/>
            <w:shd w:val="clear" w:color="auto" w:fill="auto"/>
            <w:noWrap/>
            <w:vAlign w:val="center"/>
            <w:hideMark/>
          </w:tcPr>
          <w:p w14:paraId="2771F1A2" w14:textId="77777777" w:rsidR="00A10880" w:rsidRPr="00A10880" w:rsidRDefault="00A10880" w:rsidP="00A10880">
            <w:pPr>
              <w:jc w:val="center"/>
              <w:rPr>
                <w:rFonts w:ascii="Century Gothic" w:hAnsi="Century Gothic" w:cs="Calibri"/>
                <w:b/>
                <w:bCs/>
                <w:color w:val="000000"/>
                <w:sz w:val="20"/>
                <w:szCs w:val="20"/>
              </w:rPr>
            </w:pPr>
            <w:r w:rsidRPr="00A10880">
              <w:rPr>
                <w:rFonts w:ascii="Century Gothic" w:hAnsi="Century Gothic" w:cs="Calibri"/>
                <w:b/>
                <w:bCs/>
                <w:color w:val="000000"/>
                <w:sz w:val="20"/>
                <w:szCs w:val="20"/>
                <w:lang w:val="pt-PT"/>
              </w:rPr>
              <w:t>UNID.</w:t>
            </w:r>
          </w:p>
        </w:tc>
        <w:tc>
          <w:tcPr>
            <w:tcW w:w="556" w:type="pct"/>
            <w:shd w:val="clear" w:color="auto" w:fill="auto"/>
            <w:noWrap/>
            <w:vAlign w:val="center"/>
            <w:hideMark/>
          </w:tcPr>
          <w:p w14:paraId="594F9710" w14:textId="5A9ECA68" w:rsidR="00A10880" w:rsidRPr="00A10880" w:rsidRDefault="00A10880" w:rsidP="00A10880">
            <w:pPr>
              <w:jc w:val="center"/>
              <w:rPr>
                <w:rFonts w:ascii="Century Gothic" w:hAnsi="Century Gothic" w:cs="Calibri"/>
                <w:b/>
                <w:bCs/>
                <w:color w:val="000000"/>
                <w:sz w:val="20"/>
                <w:szCs w:val="20"/>
              </w:rPr>
            </w:pPr>
            <w:r w:rsidRPr="00A10880">
              <w:rPr>
                <w:rFonts w:ascii="Century Gothic" w:hAnsi="Century Gothic" w:cs="Calibri"/>
                <w:b/>
                <w:bCs/>
                <w:color w:val="000000"/>
                <w:sz w:val="20"/>
                <w:szCs w:val="20"/>
                <w:lang w:val="pt-PT"/>
              </w:rPr>
              <w:t>V. UNIT.</w:t>
            </w:r>
          </w:p>
        </w:tc>
        <w:tc>
          <w:tcPr>
            <w:tcW w:w="598" w:type="pct"/>
            <w:shd w:val="clear" w:color="auto" w:fill="auto"/>
            <w:noWrap/>
            <w:vAlign w:val="center"/>
            <w:hideMark/>
          </w:tcPr>
          <w:p w14:paraId="5D631807" w14:textId="4434B8C5" w:rsidR="00A10880" w:rsidRPr="00A10880" w:rsidRDefault="00A10880" w:rsidP="00A10880">
            <w:pPr>
              <w:jc w:val="center"/>
              <w:rPr>
                <w:rFonts w:ascii="Century Gothic" w:hAnsi="Century Gothic" w:cs="Calibri"/>
                <w:b/>
                <w:bCs/>
                <w:color w:val="000000"/>
                <w:sz w:val="20"/>
                <w:szCs w:val="20"/>
              </w:rPr>
            </w:pPr>
            <w:r w:rsidRPr="00A10880">
              <w:rPr>
                <w:rFonts w:ascii="Century Gothic" w:hAnsi="Century Gothic" w:cs="Calibri"/>
                <w:b/>
                <w:bCs/>
                <w:color w:val="000000"/>
                <w:sz w:val="20"/>
                <w:szCs w:val="20"/>
                <w:lang w:val="pt-PT"/>
              </w:rPr>
              <w:t>V. TOTAL</w:t>
            </w:r>
          </w:p>
        </w:tc>
      </w:tr>
      <w:tr w:rsidR="00A10880" w:rsidRPr="00A10880" w14:paraId="70370486" w14:textId="77777777" w:rsidTr="00A10880">
        <w:trPr>
          <w:trHeight w:val="20"/>
        </w:trPr>
        <w:tc>
          <w:tcPr>
            <w:tcW w:w="399" w:type="pct"/>
            <w:shd w:val="clear" w:color="auto" w:fill="auto"/>
            <w:noWrap/>
            <w:vAlign w:val="center"/>
            <w:hideMark/>
          </w:tcPr>
          <w:p w14:paraId="654A4AD2"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1</w:t>
            </w:r>
          </w:p>
        </w:tc>
        <w:tc>
          <w:tcPr>
            <w:tcW w:w="2592" w:type="pct"/>
            <w:shd w:val="clear" w:color="auto" w:fill="auto"/>
            <w:vAlign w:val="center"/>
            <w:hideMark/>
          </w:tcPr>
          <w:p w14:paraId="6E2541C3"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Apito 40 profissional, material plástico, sem esfera, som nítido, para uso na arbitragem de várias modalidades esportivas</w:t>
            </w:r>
          </w:p>
        </w:tc>
        <w:tc>
          <w:tcPr>
            <w:tcW w:w="464" w:type="pct"/>
            <w:shd w:val="clear" w:color="auto" w:fill="auto"/>
            <w:noWrap/>
            <w:vAlign w:val="center"/>
            <w:hideMark/>
          </w:tcPr>
          <w:p w14:paraId="2658D020"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45</w:t>
            </w:r>
          </w:p>
        </w:tc>
        <w:tc>
          <w:tcPr>
            <w:tcW w:w="391" w:type="pct"/>
            <w:shd w:val="clear" w:color="auto" w:fill="auto"/>
            <w:noWrap/>
            <w:vAlign w:val="center"/>
            <w:hideMark/>
          </w:tcPr>
          <w:p w14:paraId="38351FE3"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69150D25"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67A641CB"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6A804EC8" w14:textId="77777777" w:rsidTr="00A10880">
        <w:trPr>
          <w:trHeight w:val="20"/>
        </w:trPr>
        <w:tc>
          <w:tcPr>
            <w:tcW w:w="399" w:type="pct"/>
            <w:shd w:val="clear" w:color="auto" w:fill="auto"/>
            <w:noWrap/>
            <w:vAlign w:val="center"/>
            <w:hideMark/>
          </w:tcPr>
          <w:p w14:paraId="09B58B9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2</w:t>
            </w:r>
          </w:p>
        </w:tc>
        <w:tc>
          <w:tcPr>
            <w:tcW w:w="2592" w:type="pct"/>
            <w:shd w:val="clear" w:color="auto" w:fill="auto"/>
            <w:vAlign w:val="center"/>
            <w:hideMark/>
          </w:tcPr>
          <w:p w14:paraId="14B89332"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Bola de Futebol de Campo Adulto: Tamanho oficial adulto, confeccionada em PVC e PU, costurada, câmara butil, medindo entre 68-70cm, 410-450 gramas. Com válvula. A marca deve ser ou ter sido aprovada pela confederação Brasileira de futebol (CBF), ou pela Federação Internacional de Futebol (FIFA) ou por, no mínimo, 1 Federação estadual de futebol de campo nacional.</w:t>
            </w:r>
          </w:p>
        </w:tc>
        <w:tc>
          <w:tcPr>
            <w:tcW w:w="464" w:type="pct"/>
            <w:shd w:val="clear" w:color="auto" w:fill="auto"/>
            <w:noWrap/>
            <w:vAlign w:val="center"/>
            <w:hideMark/>
          </w:tcPr>
          <w:p w14:paraId="07F3A442"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75</w:t>
            </w:r>
          </w:p>
        </w:tc>
        <w:tc>
          <w:tcPr>
            <w:tcW w:w="391" w:type="pct"/>
            <w:shd w:val="clear" w:color="auto" w:fill="auto"/>
            <w:noWrap/>
            <w:vAlign w:val="center"/>
            <w:hideMark/>
          </w:tcPr>
          <w:p w14:paraId="28F1293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46C696B1"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4B8FE63B"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34A8CB3B" w14:textId="77777777" w:rsidTr="00A10880">
        <w:trPr>
          <w:trHeight w:val="20"/>
        </w:trPr>
        <w:tc>
          <w:tcPr>
            <w:tcW w:w="399" w:type="pct"/>
            <w:shd w:val="clear" w:color="auto" w:fill="auto"/>
            <w:noWrap/>
            <w:vAlign w:val="center"/>
            <w:hideMark/>
          </w:tcPr>
          <w:p w14:paraId="575B3754"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3</w:t>
            </w:r>
          </w:p>
        </w:tc>
        <w:tc>
          <w:tcPr>
            <w:tcW w:w="2592" w:type="pct"/>
            <w:shd w:val="clear" w:color="auto" w:fill="auto"/>
            <w:vAlign w:val="center"/>
            <w:hideMark/>
          </w:tcPr>
          <w:p w14:paraId="61668833"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Bola de Futebol de Salão Adulto: Tamanho oficial Adultol, confeccionada em PVC, dupla laminação, costurada, 30 gomos, com câmara butil, medindo entre 61-64cm, pesando entre 410-440 gramas. Com válvula. A marca deve ser ou ter sido aprovada pela confederação Brasileira de Futebol de salão (CBFS) ou pela Federação Internacional de futebol (FIFA APROVED) ou pela liga Nacional de Futsal, no ano vigente.</w:t>
            </w:r>
          </w:p>
        </w:tc>
        <w:tc>
          <w:tcPr>
            <w:tcW w:w="464" w:type="pct"/>
            <w:shd w:val="clear" w:color="auto" w:fill="auto"/>
            <w:noWrap/>
            <w:vAlign w:val="center"/>
            <w:hideMark/>
          </w:tcPr>
          <w:p w14:paraId="358401F1"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75</w:t>
            </w:r>
          </w:p>
        </w:tc>
        <w:tc>
          <w:tcPr>
            <w:tcW w:w="391" w:type="pct"/>
            <w:shd w:val="clear" w:color="auto" w:fill="auto"/>
            <w:noWrap/>
            <w:vAlign w:val="center"/>
            <w:hideMark/>
          </w:tcPr>
          <w:p w14:paraId="244B463B"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76D20A71"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72E7760D"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622FDDD8" w14:textId="77777777" w:rsidTr="00A10880">
        <w:trPr>
          <w:trHeight w:val="20"/>
        </w:trPr>
        <w:tc>
          <w:tcPr>
            <w:tcW w:w="399" w:type="pct"/>
            <w:shd w:val="clear" w:color="auto" w:fill="auto"/>
            <w:noWrap/>
            <w:vAlign w:val="center"/>
            <w:hideMark/>
          </w:tcPr>
          <w:p w14:paraId="4A896FAC"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4</w:t>
            </w:r>
          </w:p>
        </w:tc>
        <w:tc>
          <w:tcPr>
            <w:tcW w:w="2592" w:type="pct"/>
            <w:shd w:val="clear" w:color="auto" w:fill="auto"/>
            <w:vAlign w:val="center"/>
            <w:hideMark/>
          </w:tcPr>
          <w:p w14:paraId="158E0024"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Bola de Futebol de Areia (beach soccer) oficial, adulto aprovada pela confederação Brasileira de Beach Soccer</w:t>
            </w:r>
          </w:p>
        </w:tc>
        <w:tc>
          <w:tcPr>
            <w:tcW w:w="464" w:type="pct"/>
            <w:shd w:val="clear" w:color="auto" w:fill="auto"/>
            <w:noWrap/>
            <w:vAlign w:val="center"/>
            <w:hideMark/>
          </w:tcPr>
          <w:p w14:paraId="03A812B7"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45</w:t>
            </w:r>
          </w:p>
        </w:tc>
        <w:tc>
          <w:tcPr>
            <w:tcW w:w="391" w:type="pct"/>
            <w:shd w:val="clear" w:color="auto" w:fill="auto"/>
            <w:noWrap/>
            <w:vAlign w:val="center"/>
            <w:hideMark/>
          </w:tcPr>
          <w:p w14:paraId="61E29B58"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4D6E66E5"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1F6E368F"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5A49C333" w14:textId="77777777" w:rsidTr="00A10880">
        <w:trPr>
          <w:trHeight w:val="20"/>
        </w:trPr>
        <w:tc>
          <w:tcPr>
            <w:tcW w:w="399" w:type="pct"/>
            <w:shd w:val="clear" w:color="auto" w:fill="auto"/>
            <w:noWrap/>
            <w:vAlign w:val="center"/>
            <w:hideMark/>
          </w:tcPr>
          <w:p w14:paraId="615E95C3"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5</w:t>
            </w:r>
          </w:p>
        </w:tc>
        <w:tc>
          <w:tcPr>
            <w:tcW w:w="2592" w:type="pct"/>
            <w:shd w:val="clear" w:color="auto" w:fill="auto"/>
            <w:vAlign w:val="center"/>
            <w:hideMark/>
          </w:tcPr>
          <w:p w14:paraId="04A44212"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Bola de Vôlei oficial, vulcanizada, categoria adulta, confeccionada em microfibra, câmara de butil, miolo removível, sistema auto lubrificado, peso entre 260 e 280 gramas e circunferência entre 65 e 67 cm.</w:t>
            </w:r>
          </w:p>
        </w:tc>
        <w:tc>
          <w:tcPr>
            <w:tcW w:w="464" w:type="pct"/>
            <w:shd w:val="clear" w:color="auto" w:fill="auto"/>
            <w:noWrap/>
            <w:vAlign w:val="center"/>
            <w:hideMark/>
          </w:tcPr>
          <w:p w14:paraId="2C87530E"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25</w:t>
            </w:r>
          </w:p>
        </w:tc>
        <w:tc>
          <w:tcPr>
            <w:tcW w:w="391" w:type="pct"/>
            <w:shd w:val="clear" w:color="auto" w:fill="auto"/>
            <w:noWrap/>
            <w:vAlign w:val="center"/>
            <w:hideMark/>
          </w:tcPr>
          <w:p w14:paraId="5E8A017F"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6F6854ED"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108F089A"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694838F6" w14:textId="77777777" w:rsidTr="00A10880">
        <w:trPr>
          <w:trHeight w:val="20"/>
        </w:trPr>
        <w:tc>
          <w:tcPr>
            <w:tcW w:w="399" w:type="pct"/>
            <w:shd w:val="clear" w:color="auto" w:fill="auto"/>
            <w:noWrap/>
            <w:vAlign w:val="center"/>
            <w:hideMark/>
          </w:tcPr>
          <w:p w14:paraId="5AD271C3"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lastRenderedPageBreak/>
              <w:t>6</w:t>
            </w:r>
          </w:p>
        </w:tc>
        <w:tc>
          <w:tcPr>
            <w:tcW w:w="2592" w:type="pct"/>
            <w:shd w:val="clear" w:color="auto" w:fill="auto"/>
            <w:vAlign w:val="center"/>
            <w:hideMark/>
          </w:tcPr>
          <w:p w14:paraId="566337CE"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Bola de Basquete Adulto Unissex:, confeccionada em Borracha Moldada/câmara de Buti/mioloRemovível, medindo entre 75-76cm, pesando entre 567 e 623 gramas. Com válvula. A marca deve ser ou ter sido aprovada pela Confederação Brasileira de Basquete ou por, no mínimo, 1 Federação Estadual de Basquete nacional.</w:t>
            </w:r>
          </w:p>
        </w:tc>
        <w:tc>
          <w:tcPr>
            <w:tcW w:w="464" w:type="pct"/>
            <w:shd w:val="clear" w:color="auto" w:fill="auto"/>
            <w:noWrap/>
            <w:vAlign w:val="center"/>
            <w:hideMark/>
          </w:tcPr>
          <w:p w14:paraId="3760BE3E"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45</w:t>
            </w:r>
          </w:p>
        </w:tc>
        <w:tc>
          <w:tcPr>
            <w:tcW w:w="391" w:type="pct"/>
            <w:shd w:val="clear" w:color="auto" w:fill="auto"/>
            <w:noWrap/>
            <w:vAlign w:val="center"/>
            <w:hideMark/>
          </w:tcPr>
          <w:p w14:paraId="156F134A"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6143AB4A"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7C0F1291"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24E2DC17" w14:textId="77777777" w:rsidTr="00A10880">
        <w:trPr>
          <w:trHeight w:val="20"/>
        </w:trPr>
        <w:tc>
          <w:tcPr>
            <w:tcW w:w="399" w:type="pct"/>
            <w:shd w:val="clear" w:color="auto" w:fill="auto"/>
            <w:noWrap/>
            <w:vAlign w:val="center"/>
            <w:hideMark/>
          </w:tcPr>
          <w:p w14:paraId="12BE31FA"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7</w:t>
            </w:r>
          </w:p>
        </w:tc>
        <w:tc>
          <w:tcPr>
            <w:tcW w:w="2592" w:type="pct"/>
            <w:shd w:val="clear" w:color="auto" w:fill="auto"/>
            <w:vAlign w:val="center"/>
            <w:hideMark/>
          </w:tcPr>
          <w:p w14:paraId="258FF9EC"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Bomba de Ar com sistema de dupla ação que infla e libera o ar nos dois sentidos, com com mangueira flexível e bico 1 bico de metal para bolas</w:t>
            </w:r>
          </w:p>
        </w:tc>
        <w:tc>
          <w:tcPr>
            <w:tcW w:w="464" w:type="pct"/>
            <w:shd w:val="clear" w:color="auto" w:fill="auto"/>
            <w:noWrap/>
            <w:vAlign w:val="center"/>
            <w:hideMark/>
          </w:tcPr>
          <w:p w14:paraId="1F738BC2"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25</w:t>
            </w:r>
          </w:p>
        </w:tc>
        <w:tc>
          <w:tcPr>
            <w:tcW w:w="391" w:type="pct"/>
            <w:shd w:val="clear" w:color="auto" w:fill="auto"/>
            <w:noWrap/>
            <w:vAlign w:val="center"/>
            <w:hideMark/>
          </w:tcPr>
          <w:p w14:paraId="2EC54DB8"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6243672E"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4EDA39A9"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19F63CDC" w14:textId="77777777" w:rsidTr="00A10880">
        <w:trPr>
          <w:trHeight w:val="20"/>
        </w:trPr>
        <w:tc>
          <w:tcPr>
            <w:tcW w:w="399" w:type="pct"/>
            <w:shd w:val="clear" w:color="auto" w:fill="auto"/>
            <w:noWrap/>
            <w:vAlign w:val="center"/>
            <w:hideMark/>
          </w:tcPr>
          <w:p w14:paraId="2E223413"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8</w:t>
            </w:r>
          </w:p>
        </w:tc>
        <w:tc>
          <w:tcPr>
            <w:tcW w:w="2592" w:type="pct"/>
            <w:shd w:val="clear" w:color="auto" w:fill="auto"/>
            <w:vAlign w:val="center"/>
            <w:hideMark/>
          </w:tcPr>
          <w:p w14:paraId="71348EF2"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Calibrador Digital Original Precisão: +ou- 1% da escala Resolução: 0.05 Libras/Pol² Escala: 0.05 a 19,95 Libras/Pol²Temperatura Operacional: -10 °C a 40 °C Consumo de Energia: 4 MW Bateria: CR2092 PSI: LBS</w:t>
            </w:r>
          </w:p>
        </w:tc>
        <w:tc>
          <w:tcPr>
            <w:tcW w:w="464" w:type="pct"/>
            <w:shd w:val="clear" w:color="auto" w:fill="auto"/>
            <w:noWrap/>
            <w:vAlign w:val="center"/>
            <w:hideMark/>
          </w:tcPr>
          <w:p w14:paraId="085CD626"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5</w:t>
            </w:r>
          </w:p>
        </w:tc>
        <w:tc>
          <w:tcPr>
            <w:tcW w:w="391" w:type="pct"/>
            <w:shd w:val="clear" w:color="auto" w:fill="auto"/>
            <w:noWrap/>
            <w:vAlign w:val="center"/>
            <w:hideMark/>
          </w:tcPr>
          <w:p w14:paraId="6C902992"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7197C7F6"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66DF275E"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78A1C866" w14:textId="77777777" w:rsidTr="00A10880">
        <w:trPr>
          <w:trHeight w:val="20"/>
        </w:trPr>
        <w:tc>
          <w:tcPr>
            <w:tcW w:w="399" w:type="pct"/>
            <w:shd w:val="clear" w:color="auto" w:fill="auto"/>
            <w:noWrap/>
            <w:vAlign w:val="center"/>
            <w:hideMark/>
          </w:tcPr>
          <w:p w14:paraId="16897321"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9</w:t>
            </w:r>
          </w:p>
        </w:tc>
        <w:tc>
          <w:tcPr>
            <w:tcW w:w="2592" w:type="pct"/>
            <w:shd w:val="clear" w:color="auto" w:fill="auto"/>
            <w:vAlign w:val="center"/>
            <w:hideMark/>
          </w:tcPr>
          <w:p w14:paraId="32127D19"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Cronometro Digital Profissional com despertador, hora e alarme.</w:t>
            </w:r>
          </w:p>
        </w:tc>
        <w:tc>
          <w:tcPr>
            <w:tcW w:w="464" w:type="pct"/>
            <w:shd w:val="clear" w:color="auto" w:fill="auto"/>
            <w:noWrap/>
            <w:vAlign w:val="center"/>
            <w:hideMark/>
          </w:tcPr>
          <w:p w14:paraId="0A560632"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25</w:t>
            </w:r>
          </w:p>
        </w:tc>
        <w:tc>
          <w:tcPr>
            <w:tcW w:w="391" w:type="pct"/>
            <w:shd w:val="clear" w:color="auto" w:fill="auto"/>
            <w:noWrap/>
            <w:vAlign w:val="center"/>
            <w:hideMark/>
          </w:tcPr>
          <w:p w14:paraId="21386509"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0B88DEF1"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1CDD80C5"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5A6353D2" w14:textId="77777777" w:rsidTr="00A10880">
        <w:trPr>
          <w:trHeight w:val="20"/>
        </w:trPr>
        <w:tc>
          <w:tcPr>
            <w:tcW w:w="399" w:type="pct"/>
            <w:shd w:val="clear" w:color="auto" w:fill="auto"/>
            <w:noWrap/>
            <w:vAlign w:val="center"/>
            <w:hideMark/>
          </w:tcPr>
          <w:p w14:paraId="7191F227"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10</w:t>
            </w:r>
          </w:p>
        </w:tc>
        <w:tc>
          <w:tcPr>
            <w:tcW w:w="2592" w:type="pct"/>
            <w:shd w:val="clear" w:color="auto" w:fill="auto"/>
            <w:noWrap/>
            <w:vAlign w:val="center"/>
            <w:hideMark/>
          </w:tcPr>
          <w:p w14:paraId="0703C12D"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Cone Médio em PVC, sedo tamanho 50cm</w:t>
            </w:r>
          </w:p>
        </w:tc>
        <w:tc>
          <w:tcPr>
            <w:tcW w:w="464" w:type="pct"/>
            <w:shd w:val="clear" w:color="auto" w:fill="auto"/>
            <w:noWrap/>
            <w:vAlign w:val="center"/>
            <w:hideMark/>
          </w:tcPr>
          <w:p w14:paraId="36168A54"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145</w:t>
            </w:r>
          </w:p>
        </w:tc>
        <w:tc>
          <w:tcPr>
            <w:tcW w:w="391" w:type="pct"/>
            <w:shd w:val="clear" w:color="auto" w:fill="auto"/>
            <w:noWrap/>
            <w:vAlign w:val="center"/>
            <w:hideMark/>
          </w:tcPr>
          <w:p w14:paraId="19C58E16"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4AE8A61A"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5A39118E"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3137A18E" w14:textId="77777777" w:rsidTr="00A10880">
        <w:trPr>
          <w:trHeight w:val="20"/>
        </w:trPr>
        <w:tc>
          <w:tcPr>
            <w:tcW w:w="399" w:type="pct"/>
            <w:shd w:val="clear" w:color="auto" w:fill="auto"/>
            <w:noWrap/>
            <w:vAlign w:val="center"/>
            <w:hideMark/>
          </w:tcPr>
          <w:p w14:paraId="2F9373F6"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11</w:t>
            </w:r>
          </w:p>
        </w:tc>
        <w:tc>
          <w:tcPr>
            <w:tcW w:w="2592" w:type="pct"/>
            <w:shd w:val="clear" w:color="auto" w:fill="auto"/>
            <w:noWrap/>
            <w:vAlign w:val="center"/>
            <w:hideMark/>
          </w:tcPr>
          <w:p w14:paraId="46D46195"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Cone pequeno, em PVC, sendo tamanho 24 cm</w:t>
            </w:r>
          </w:p>
        </w:tc>
        <w:tc>
          <w:tcPr>
            <w:tcW w:w="464" w:type="pct"/>
            <w:shd w:val="clear" w:color="auto" w:fill="auto"/>
            <w:noWrap/>
            <w:vAlign w:val="center"/>
            <w:hideMark/>
          </w:tcPr>
          <w:p w14:paraId="5CB07A54"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195</w:t>
            </w:r>
          </w:p>
        </w:tc>
        <w:tc>
          <w:tcPr>
            <w:tcW w:w="391" w:type="pct"/>
            <w:shd w:val="clear" w:color="auto" w:fill="auto"/>
            <w:noWrap/>
            <w:vAlign w:val="center"/>
            <w:hideMark/>
          </w:tcPr>
          <w:p w14:paraId="7951C340"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50BC6D2E"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67B54C29"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34D25AD5" w14:textId="77777777" w:rsidTr="00A10880">
        <w:trPr>
          <w:trHeight w:val="20"/>
        </w:trPr>
        <w:tc>
          <w:tcPr>
            <w:tcW w:w="399" w:type="pct"/>
            <w:shd w:val="clear" w:color="auto" w:fill="auto"/>
            <w:noWrap/>
            <w:vAlign w:val="center"/>
            <w:hideMark/>
          </w:tcPr>
          <w:p w14:paraId="3E3D8433"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12</w:t>
            </w:r>
          </w:p>
        </w:tc>
        <w:tc>
          <w:tcPr>
            <w:tcW w:w="2592" w:type="pct"/>
            <w:shd w:val="clear" w:color="auto" w:fill="auto"/>
            <w:vAlign w:val="center"/>
            <w:hideMark/>
          </w:tcPr>
          <w:p w14:paraId="59057A88"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Cone Chinês para Treino Funcional Agilidade feito em PVC flexível</w:t>
            </w:r>
          </w:p>
        </w:tc>
        <w:tc>
          <w:tcPr>
            <w:tcW w:w="464" w:type="pct"/>
            <w:shd w:val="clear" w:color="auto" w:fill="auto"/>
            <w:noWrap/>
            <w:vAlign w:val="center"/>
            <w:hideMark/>
          </w:tcPr>
          <w:p w14:paraId="423AA3B9"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195</w:t>
            </w:r>
          </w:p>
        </w:tc>
        <w:tc>
          <w:tcPr>
            <w:tcW w:w="391" w:type="pct"/>
            <w:shd w:val="clear" w:color="auto" w:fill="auto"/>
            <w:noWrap/>
            <w:vAlign w:val="center"/>
            <w:hideMark/>
          </w:tcPr>
          <w:p w14:paraId="5EA7D4C2"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679A0D89"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1C0632AA"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650D45A2" w14:textId="77777777" w:rsidTr="00A10880">
        <w:trPr>
          <w:trHeight w:val="20"/>
        </w:trPr>
        <w:tc>
          <w:tcPr>
            <w:tcW w:w="399" w:type="pct"/>
            <w:shd w:val="clear" w:color="auto" w:fill="auto"/>
            <w:noWrap/>
            <w:vAlign w:val="center"/>
            <w:hideMark/>
          </w:tcPr>
          <w:p w14:paraId="04F36444"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13</w:t>
            </w:r>
          </w:p>
        </w:tc>
        <w:tc>
          <w:tcPr>
            <w:tcW w:w="2592" w:type="pct"/>
            <w:shd w:val="clear" w:color="auto" w:fill="auto"/>
            <w:vAlign w:val="center"/>
            <w:hideMark/>
          </w:tcPr>
          <w:p w14:paraId="085A31BD"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Kit Barreiras com 06 Cones demarcatórios perfurado com Barreiras Agilidade Treino</w:t>
            </w:r>
          </w:p>
        </w:tc>
        <w:tc>
          <w:tcPr>
            <w:tcW w:w="464" w:type="pct"/>
            <w:shd w:val="clear" w:color="auto" w:fill="auto"/>
            <w:noWrap/>
            <w:vAlign w:val="center"/>
            <w:hideMark/>
          </w:tcPr>
          <w:p w14:paraId="0732D982"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15</w:t>
            </w:r>
          </w:p>
        </w:tc>
        <w:tc>
          <w:tcPr>
            <w:tcW w:w="391" w:type="pct"/>
            <w:shd w:val="clear" w:color="auto" w:fill="auto"/>
            <w:noWrap/>
            <w:vAlign w:val="center"/>
            <w:hideMark/>
          </w:tcPr>
          <w:p w14:paraId="44CF0C6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 xml:space="preserve">KIT </w:t>
            </w:r>
          </w:p>
        </w:tc>
        <w:tc>
          <w:tcPr>
            <w:tcW w:w="556" w:type="pct"/>
            <w:shd w:val="clear" w:color="auto" w:fill="auto"/>
            <w:noWrap/>
            <w:vAlign w:val="center"/>
            <w:hideMark/>
          </w:tcPr>
          <w:p w14:paraId="561B530F"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714E5484"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38340087" w14:textId="77777777" w:rsidTr="00A10880">
        <w:trPr>
          <w:trHeight w:val="20"/>
        </w:trPr>
        <w:tc>
          <w:tcPr>
            <w:tcW w:w="399" w:type="pct"/>
            <w:shd w:val="clear" w:color="auto" w:fill="auto"/>
            <w:noWrap/>
            <w:vAlign w:val="center"/>
            <w:hideMark/>
          </w:tcPr>
          <w:p w14:paraId="49355774"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14</w:t>
            </w:r>
          </w:p>
        </w:tc>
        <w:tc>
          <w:tcPr>
            <w:tcW w:w="2592" w:type="pct"/>
            <w:shd w:val="clear" w:color="auto" w:fill="auto"/>
            <w:vAlign w:val="center"/>
            <w:hideMark/>
          </w:tcPr>
          <w:p w14:paraId="1E68E3CB"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Escada para circuito e treinamento de agilidade foi desenvolvida com 9 degraus. características. cor: amarela. lavável: sim. principais benefícios: indicada para treinamento de agilidade e coordenação motora. material: nylon. dimensões: aproximadamente 3,95x0,58cm (cxl). peso: 300g. garantia: contra defeitos de fabricação.</w:t>
            </w:r>
          </w:p>
        </w:tc>
        <w:tc>
          <w:tcPr>
            <w:tcW w:w="464" w:type="pct"/>
            <w:shd w:val="clear" w:color="auto" w:fill="auto"/>
            <w:noWrap/>
            <w:vAlign w:val="center"/>
            <w:hideMark/>
          </w:tcPr>
          <w:p w14:paraId="38F7B6BE"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5</w:t>
            </w:r>
          </w:p>
        </w:tc>
        <w:tc>
          <w:tcPr>
            <w:tcW w:w="391" w:type="pct"/>
            <w:shd w:val="clear" w:color="auto" w:fill="auto"/>
            <w:noWrap/>
            <w:vAlign w:val="center"/>
            <w:hideMark/>
          </w:tcPr>
          <w:p w14:paraId="122A6241"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7F08192C"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74BAAAB6"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4C7CAA49" w14:textId="77777777" w:rsidTr="00A10880">
        <w:trPr>
          <w:trHeight w:val="20"/>
        </w:trPr>
        <w:tc>
          <w:tcPr>
            <w:tcW w:w="399" w:type="pct"/>
            <w:shd w:val="clear" w:color="auto" w:fill="auto"/>
            <w:noWrap/>
            <w:vAlign w:val="center"/>
            <w:hideMark/>
          </w:tcPr>
          <w:p w14:paraId="3E0510FC"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15</w:t>
            </w:r>
          </w:p>
        </w:tc>
        <w:tc>
          <w:tcPr>
            <w:tcW w:w="2592" w:type="pct"/>
            <w:shd w:val="clear" w:color="auto" w:fill="auto"/>
            <w:vAlign w:val="center"/>
            <w:hideMark/>
          </w:tcPr>
          <w:p w14:paraId="63697A7F"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Corda de pular confeccionada em nylon ou sisal, tendo empunhadura de madeira ou plástico e med. 3m de comprimento</w:t>
            </w:r>
          </w:p>
        </w:tc>
        <w:tc>
          <w:tcPr>
            <w:tcW w:w="464" w:type="pct"/>
            <w:shd w:val="clear" w:color="auto" w:fill="auto"/>
            <w:noWrap/>
            <w:vAlign w:val="center"/>
            <w:hideMark/>
          </w:tcPr>
          <w:p w14:paraId="608D4A01"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115</w:t>
            </w:r>
          </w:p>
        </w:tc>
        <w:tc>
          <w:tcPr>
            <w:tcW w:w="391" w:type="pct"/>
            <w:shd w:val="clear" w:color="auto" w:fill="auto"/>
            <w:noWrap/>
            <w:vAlign w:val="center"/>
            <w:hideMark/>
          </w:tcPr>
          <w:p w14:paraId="275CE979"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32758A05"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623CAB18"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01C827C4" w14:textId="77777777" w:rsidTr="00A10880">
        <w:trPr>
          <w:trHeight w:val="20"/>
        </w:trPr>
        <w:tc>
          <w:tcPr>
            <w:tcW w:w="399" w:type="pct"/>
            <w:shd w:val="clear" w:color="auto" w:fill="auto"/>
            <w:noWrap/>
            <w:vAlign w:val="center"/>
            <w:hideMark/>
          </w:tcPr>
          <w:p w14:paraId="659D81F1"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16</w:t>
            </w:r>
          </w:p>
        </w:tc>
        <w:tc>
          <w:tcPr>
            <w:tcW w:w="2592" w:type="pct"/>
            <w:shd w:val="clear" w:color="auto" w:fill="auto"/>
            <w:vAlign w:val="center"/>
            <w:hideMark/>
          </w:tcPr>
          <w:p w14:paraId="668EE911"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Fita para marcação do Beach Soccer 27 x 38 m</w:t>
            </w:r>
          </w:p>
        </w:tc>
        <w:tc>
          <w:tcPr>
            <w:tcW w:w="464" w:type="pct"/>
            <w:shd w:val="clear" w:color="auto" w:fill="auto"/>
            <w:noWrap/>
            <w:vAlign w:val="center"/>
            <w:hideMark/>
          </w:tcPr>
          <w:p w14:paraId="13902E4F"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3</w:t>
            </w:r>
          </w:p>
        </w:tc>
        <w:tc>
          <w:tcPr>
            <w:tcW w:w="391" w:type="pct"/>
            <w:shd w:val="clear" w:color="auto" w:fill="auto"/>
            <w:noWrap/>
            <w:vAlign w:val="center"/>
            <w:hideMark/>
          </w:tcPr>
          <w:p w14:paraId="1D4D4D37"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3997F984"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164C222F"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1CB100F6" w14:textId="77777777" w:rsidTr="00A10880">
        <w:trPr>
          <w:trHeight w:val="20"/>
        </w:trPr>
        <w:tc>
          <w:tcPr>
            <w:tcW w:w="399" w:type="pct"/>
            <w:shd w:val="clear" w:color="auto" w:fill="auto"/>
            <w:noWrap/>
            <w:vAlign w:val="center"/>
            <w:hideMark/>
          </w:tcPr>
          <w:p w14:paraId="76AA30A3"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17</w:t>
            </w:r>
          </w:p>
        </w:tc>
        <w:tc>
          <w:tcPr>
            <w:tcW w:w="2592" w:type="pct"/>
            <w:shd w:val="clear" w:color="auto" w:fill="auto"/>
            <w:vAlign w:val="center"/>
            <w:hideMark/>
          </w:tcPr>
          <w:p w14:paraId="7A18E462"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Rede Futebol de Campo: Oficial para trave, medidas oficiais, confeccionada em polietileno (Nylon) de alta densidade, fio 5, malha 16x16. Medida padrão: 7,55m x 2,44m, modelo tradicional marca scalibu</w:t>
            </w:r>
          </w:p>
        </w:tc>
        <w:tc>
          <w:tcPr>
            <w:tcW w:w="464" w:type="pct"/>
            <w:shd w:val="clear" w:color="auto" w:fill="auto"/>
            <w:noWrap/>
            <w:vAlign w:val="center"/>
            <w:hideMark/>
          </w:tcPr>
          <w:p w14:paraId="27FE8E98"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23</w:t>
            </w:r>
          </w:p>
        </w:tc>
        <w:tc>
          <w:tcPr>
            <w:tcW w:w="391" w:type="pct"/>
            <w:shd w:val="clear" w:color="auto" w:fill="auto"/>
            <w:noWrap/>
            <w:vAlign w:val="center"/>
            <w:hideMark/>
          </w:tcPr>
          <w:p w14:paraId="6BB134F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 xml:space="preserve">PARES </w:t>
            </w:r>
          </w:p>
        </w:tc>
        <w:tc>
          <w:tcPr>
            <w:tcW w:w="556" w:type="pct"/>
            <w:shd w:val="clear" w:color="auto" w:fill="auto"/>
            <w:noWrap/>
            <w:vAlign w:val="center"/>
            <w:hideMark/>
          </w:tcPr>
          <w:p w14:paraId="08498FBF"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091C45DE"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109A2C6A" w14:textId="77777777" w:rsidTr="00A10880">
        <w:trPr>
          <w:trHeight w:val="20"/>
        </w:trPr>
        <w:tc>
          <w:tcPr>
            <w:tcW w:w="399" w:type="pct"/>
            <w:shd w:val="clear" w:color="auto" w:fill="auto"/>
            <w:noWrap/>
            <w:vAlign w:val="center"/>
            <w:hideMark/>
          </w:tcPr>
          <w:p w14:paraId="4D7E906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18</w:t>
            </w:r>
          </w:p>
        </w:tc>
        <w:tc>
          <w:tcPr>
            <w:tcW w:w="2592" w:type="pct"/>
            <w:shd w:val="clear" w:color="auto" w:fill="auto"/>
            <w:vAlign w:val="center"/>
            <w:hideMark/>
          </w:tcPr>
          <w:p w14:paraId="0B7640EC"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Rede Futebol de Areia, fio 5 mm traçados e virgem, polipropileno/seda, mala 5cm, tratamento antiraiosuv/sol e humidade/c huv a</w:t>
            </w:r>
          </w:p>
        </w:tc>
        <w:tc>
          <w:tcPr>
            <w:tcW w:w="464" w:type="pct"/>
            <w:shd w:val="clear" w:color="auto" w:fill="auto"/>
            <w:noWrap/>
            <w:vAlign w:val="center"/>
            <w:hideMark/>
          </w:tcPr>
          <w:p w14:paraId="52A5431F"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23</w:t>
            </w:r>
          </w:p>
        </w:tc>
        <w:tc>
          <w:tcPr>
            <w:tcW w:w="391" w:type="pct"/>
            <w:shd w:val="clear" w:color="auto" w:fill="auto"/>
            <w:noWrap/>
            <w:vAlign w:val="center"/>
            <w:hideMark/>
          </w:tcPr>
          <w:p w14:paraId="290CEE9B"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 xml:space="preserve">PARES </w:t>
            </w:r>
          </w:p>
        </w:tc>
        <w:tc>
          <w:tcPr>
            <w:tcW w:w="556" w:type="pct"/>
            <w:shd w:val="clear" w:color="auto" w:fill="auto"/>
            <w:noWrap/>
            <w:vAlign w:val="center"/>
            <w:hideMark/>
          </w:tcPr>
          <w:p w14:paraId="702A6AD3"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26511B89"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2A287A83" w14:textId="77777777" w:rsidTr="00A10880">
        <w:trPr>
          <w:trHeight w:val="20"/>
        </w:trPr>
        <w:tc>
          <w:tcPr>
            <w:tcW w:w="399" w:type="pct"/>
            <w:shd w:val="clear" w:color="auto" w:fill="auto"/>
            <w:noWrap/>
            <w:vAlign w:val="center"/>
            <w:hideMark/>
          </w:tcPr>
          <w:p w14:paraId="05A6A997"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19</w:t>
            </w:r>
          </w:p>
        </w:tc>
        <w:tc>
          <w:tcPr>
            <w:tcW w:w="2592" w:type="pct"/>
            <w:shd w:val="clear" w:color="auto" w:fill="auto"/>
            <w:vAlign w:val="center"/>
            <w:hideMark/>
          </w:tcPr>
          <w:p w14:paraId="65C4B97B"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 xml:space="preserve">Rede Futebol de Salão/Handebol: com medidas oficiais, confeccionada em polietileno (nylon), Resistência a raio UV com fio 5 de espessura, </w:t>
            </w:r>
            <w:r w:rsidRPr="00A10880">
              <w:rPr>
                <w:rFonts w:ascii="Century Gothic" w:hAnsi="Century Gothic" w:cs="Calibri"/>
                <w:color w:val="000000"/>
                <w:sz w:val="20"/>
                <w:szCs w:val="20"/>
                <w:lang w:val="pt-PT"/>
              </w:rPr>
              <w:lastRenderedPageBreak/>
              <w:t>malha de 15x15cm Medidas 3 x 2 x 1(Largura x Altura x profundidade)</w:t>
            </w:r>
          </w:p>
        </w:tc>
        <w:tc>
          <w:tcPr>
            <w:tcW w:w="464" w:type="pct"/>
            <w:shd w:val="clear" w:color="auto" w:fill="auto"/>
            <w:noWrap/>
            <w:vAlign w:val="center"/>
            <w:hideMark/>
          </w:tcPr>
          <w:p w14:paraId="470C834B"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lastRenderedPageBreak/>
              <w:t>23</w:t>
            </w:r>
          </w:p>
        </w:tc>
        <w:tc>
          <w:tcPr>
            <w:tcW w:w="391" w:type="pct"/>
            <w:shd w:val="clear" w:color="auto" w:fill="auto"/>
            <w:noWrap/>
            <w:vAlign w:val="center"/>
            <w:hideMark/>
          </w:tcPr>
          <w:p w14:paraId="4615A56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 xml:space="preserve">PARES </w:t>
            </w:r>
          </w:p>
        </w:tc>
        <w:tc>
          <w:tcPr>
            <w:tcW w:w="556" w:type="pct"/>
            <w:shd w:val="clear" w:color="auto" w:fill="auto"/>
            <w:noWrap/>
            <w:vAlign w:val="center"/>
            <w:hideMark/>
          </w:tcPr>
          <w:p w14:paraId="4776E2AA"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36E27ED5"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10D3EDE4" w14:textId="77777777" w:rsidTr="00A10880">
        <w:trPr>
          <w:trHeight w:val="20"/>
        </w:trPr>
        <w:tc>
          <w:tcPr>
            <w:tcW w:w="399" w:type="pct"/>
            <w:shd w:val="clear" w:color="auto" w:fill="auto"/>
            <w:noWrap/>
            <w:vAlign w:val="center"/>
            <w:hideMark/>
          </w:tcPr>
          <w:p w14:paraId="6DF0B1DA"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20</w:t>
            </w:r>
          </w:p>
        </w:tc>
        <w:tc>
          <w:tcPr>
            <w:tcW w:w="2592" w:type="pct"/>
            <w:shd w:val="clear" w:color="auto" w:fill="auto"/>
            <w:vAlign w:val="center"/>
            <w:hideMark/>
          </w:tcPr>
          <w:p w14:paraId="45E3F63A"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Rede de Vôlei com 2 lona de algodão com ilhós metálicos e revestido interno couro sintético nas ponta para amarração com costura dupla; Discrição:lona superior 7cm de largura e lona inferior com 5cm de largura med. 1,0x10,0 malhas, 10x10cm fio 2mm em nylon</w:t>
            </w:r>
          </w:p>
        </w:tc>
        <w:tc>
          <w:tcPr>
            <w:tcW w:w="464" w:type="pct"/>
            <w:shd w:val="clear" w:color="auto" w:fill="auto"/>
            <w:noWrap/>
            <w:vAlign w:val="center"/>
            <w:hideMark/>
          </w:tcPr>
          <w:p w14:paraId="5569D6A0"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23</w:t>
            </w:r>
          </w:p>
        </w:tc>
        <w:tc>
          <w:tcPr>
            <w:tcW w:w="391" w:type="pct"/>
            <w:shd w:val="clear" w:color="auto" w:fill="auto"/>
            <w:noWrap/>
            <w:vAlign w:val="center"/>
            <w:hideMark/>
          </w:tcPr>
          <w:p w14:paraId="585BA3DF"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4EAA837E"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7E835EAC"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58B8C6F8" w14:textId="77777777" w:rsidTr="00A10880">
        <w:trPr>
          <w:trHeight w:val="20"/>
        </w:trPr>
        <w:tc>
          <w:tcPr>
            <w:tcW w:w="399" w:type="pct"/>
            <w:shd w:val="clear" w:color="auto" w:fill="auto"/>
            <w:noWrap/>
            <w:vAlign w:val="center"/>
            <w:hideMark/>
          </w:tcPr>
          <w:p w14:paraId="2D59EB9E"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21</w:t>
            </w:r>
          </w:p>
        </w:tc>
        <w:tc>
          <w:tcPr>
            <w:tcW w:w="2592" w:type="pct"/>
            <w:shd w:val="clear" w:color="auto" w:fill="auto"/>
            <w:vAlign w:val="center"/>
            <w:hideMark/>
          </w:tcPr>
          <w:p w14:paraId="6DB0D12E"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Jogos de Equipagem com 12 Camisas e 12 Shorts personalizados em malha 100% poliéster estampada em sublimação total com numeração Frente e Costa TAM Variados</w:t>
            </w:r>
          </w:p>
        </w:tc>
        <w:tc>
          <w:tcPr>
            <w:tcW w:w="464" w:type="pct"/>
            <w:shd w:val="clear" w:color="auto" w:fill="auto"/>
            <w:noWrap/>
            <w:vAlign w:val="center"/>
            <w:hideMark/>
          </w:tcPr>
          <w:p w14:paraId="3355C82C"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45</w:t>
            </w:r>
          </w:p>
        </w:tc>
        <w:tc>
          <w:tcPr>
            <w:tcW w:w="391" w:type="pct"/>
            <w:shd w:val="clear" w:color="auto" w:fill="auto"/>
            <w:noWrap/>
            <w:vAlign w:val="center"/>
            <w:hideMark/>
          </w:tcPr>
          <w:p w14:paraId="7CED2090"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 xml:space="preserve">CONJ </w:t>
            </w:r>
          </w:p>
        </w:tc>
        <w:tc>
          <w:tcPr>
            <w:tcW w:w="556" w:type="pct"/>
            <w:shd w:val="clear" w:color="auto" w:fill="auto"/>
            <w:noWrap/>
            <w:vAlign w:val="center"/>
            <w:hideMark/>
          </w:tcPr>
          <w:p w14:paraId="300739B0"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203CD4B4"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1BBB75EF" w14:textId="77777777" w:rsidTr="00A10880">
        <w:trPr>
          <w:trHeight w:val="20"/>
        </w:trPr>
        <w:tc>
          <w:tcPr>
            <w:tcW w:w="399" w:type="pct"/>
            <w:shd w:val="clear" w:color="auto" w:fill="auto"/>
            <w:noWrap/>
            <w:vAlign w:val="center"/>
            <w:hideMark/>
          </w:tcPr>
          <w:p w14:paraId="43B6002B"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22</w:t>
            </w:r>
          </w:p>
        </w:tc>
        <w:tc>
          <w:tcPr>
            <w:tcW w:w="2592" w:type="pct"/>
            <w:shd w:val="clear" w:color="auto" w:fill="auto"/>
            <w:vAlign w:val="center"/>
            <w:hideMark/>
          </w:tcPr>
          <w:p w14:paraId="383156ED"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Jogos de Equipagem com 15 Camisas e 15 Shorts personalizados em malha 100% poliéster estampada em sublimação total com numeração Frente e Costa TAM Variados</w:t>
            </w:r>
          </w:p>
        </w:tc>
        <w:tc>
          <w:tcPr>
            <w:tcW w:w="464" w:type="pct"/>
            <w:shd w:val="clear" w:color="auto" w:fill="auto"/>
            <w:noWrap/>
            <w:vAlign w:val="center"/>
            <w:hideMark/>
          </w:tcPr>
          <w:p w14:paraId="57E08BC0"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25</w:t>
            </w:r>
          </w:p>
        </w:tc>
        <w:tc>
          <w:tcPr>
            <w:tcW w:w="391" w:type="pct"/>
            <w:shd w:val="clear" w:color="auto" w:fill="auto"/>
            <w:noWrap/>
            <w:vAlign w:val="center"/>
            <w:hideMark/>
          </w:tcPr>
          <w:p w14:paraId="5C5E33CB"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 xml:space="preserve">CONJ </w:t>
            </w:r>
          </w:p>
        </w:tc>
        <w:tc>
          <w:tcPr>
            <w:tcW w:w="556" w:type="pct"/>
            <w:shd w:val="clear" w:color="auto" w:fill="auto"/>
            <w:noWrap/>
            <w:vAlign w:val="center"/>
            <w:hideMark/>
          </w:tcPr>
          <w:p w14:paraId="24F5D3EE"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05D01B7E"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66612656" w14:textId="77777777" w:rsidTr="00A10880">
        <w:trPr>
          <w:trHeight w:val="20"/>
        </w:trPr>
        <w:tc>
          <w:tcPr>
            <w:tcW w:w="399" w:type="pct"/>
            <w:shd w:val="clear" w:color="auto" w:fill="auto"/>
            <w:noWrap/>
            <w:vAlign w:val="center"/>
            <w:hideMark/>
          </w:tcPr>
          <w:p w14:paraId="01A81E68"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23</w:t>
            </w:r>
          </w:p>
        </w:tc>
        <w:tc>
          <w:tcPr>
            <w:tcW w:w="2592" w:type="pct"/>
            <w:shd w:val="clear" w:color="auto" w:fill="auto"/>
            <w:vAlign w:val="center"/>
            <w:hideMark/>
          </w:tcPr>
          <w:p w14:paraId="29A32152"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Jogos de Equipagem com 20 Camisas e 20 Shorts personalizados em malha 100% poliéster estampada em sublimação total com numeração Frente e Costa TAM Variados</w:t>
            </w:r>
          </w:p>
        </w:tc>
        <w:tc>
          <w:tcPr>
            <w:tcW w:w="464" w:type="pct"/>
            <w:shd w:val="clear" w:color="auto" w:fill="auto"/>
            <w:noWrap/>
            <w:vAlign w:val="center"/>
            <w:hideMark/>
          </w:tcPr>
          <w:p w14:paraId="724220B4"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25</w:t>
            </w:r>
          </w:p>
        </w:tc>
        <w:tc>
          <w:tcPr>
            <w:tcW w:w="391" w:type="pct"/>
            <w:shd w:val="clear" w:color="auto" w:fill="auto"/>
            <w:noWrap/>
            <w:vAlign w:val="center"/>
            <w:hideMark/>
          </w:tcPr>
          <w:p w14:paraId="6DED7D88"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 xml:space="preserve">CONJ </w:t>
            </w:r>
          </w:p>
        </w:tc>
        <w:tc>
          <w:tcPr>
            <w:tcW w:w="556" w:type="pct"/>
            <w:shd w:val="clear" w:color="auto" w:fill="auto"/>
            <w:noWrap/>
            <w:vAlign w:val="center"/>
            <w:hideMark/>
          </w:tcPr>
          <w:p w14:paraId="4AF5AE6F"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4E31C50B"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0BAB75E5" w14:textId="77777777" w:rsidTr="00A10880">
        <w:trPr>
          <w:trHeight w:val="20"/>
        </w:trPr>
        <w:tc>
          <w:tcPr>
            <w:tcW w:w="399" w:type="pct"/>
            <w:shd w:val="clear" w:color="auto" w:fill="auto"/>
            <w:noWrap/>
            <w:vAlign w:val="center"/>
            <w:hideMark/>
          </w:tcPr>
          <w:p w14:paraId="3808AE4C"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24</w:t>
            </w:r>
          </w:p>
        </w:tc>
        <w:tc>
          <w:tcPr>
            <w:tcW w:w="2592" w:type="pct"/>
            <w:shd w:val="clear" w:color="auto" w:fill="auto"/>
            <w:vAlign w:val="center"/>
            <w:hideMark/>
          </w:tcPr>
          <w:p w14:paraId="40137985"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Jogos de Colete, 12 Coletes e 12 shorts personalizados em malha 100% poliéster, estampada em sublimação total com numeração frente e costa. TAM Variados marca aguia sport</w:t>
            </w:r>
          </w:p>
        </w:tc>
        <w:tc>
          <w:tcPr>
            <w:tcW w:w="464" w:type="pct"/>
            <w:shd w:val="clear" w:color="auto" w:fill="auto"/>
            <w:noWrap/>
            <w:vAlign w:val="center"/>
            <w:hideMark/>
          </w:tcPr>
          <w:p w14:paraId="4629A9F9"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25</w:t>
            </w:r>
          </w:p>
        </w:tc>
        <w:tc>
          <w:tcPr>
            <w:tcW w:w="391" w:type="pct"/>
            <w:shd w:val="clear" w:color="auto" w:fill="auto"/>
            <w:noWrap/>
            <w:vAlign w:val="center"/>
            <w:hideMark/>
          </w:tcPr>
          <w:p w14:paraId="476A9A4F"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 xml:space="preserve">CONJ </w:t>
            </w:r>
          </w:p>
        </w:tc>
        <w:tc>
          <w:tcPr>
            <w:tcW w:w="556" w:type="pct"/>
            <w:shd w:val="clear" w:color="auto" w:fill="auto"/>
            <w:noWrap/>
            <w:vAlign w:val="center"/>
            <w:hideMark/>
          </w:tcPr>
          <w:p w14:paraId="5FAEB545"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4C6CF979"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210E9A2F" w14:textId="77777777" w:rsidTr="00A10880">
        <w:trPr>
          <w:trHeight w:val="20"/>
        </w:trPr>
        <w:tc>
          <w:tcPr>
            <w:tcW w:w="399" w:type="pct"/>
            <w:shd w:val="clear" w:color="auto" w:fill="auto"/>
            <w:noWrap/>
            <w:vAlign w:val="center"/>
            <w:hideMark/>
          </w:tcPr>
          <w:p w14:paraId="4BD68AFD"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25</w:t>
            </w:r>
          </w:p>
        </w:tc>
        <w:tc>
          <w:tcPr>
            <w:tcW w:w="2592" w:type="pct"/>
            <w:shd w:val="clear" w:color="auto" w:fill="auto"/>
            <w:vAlign w:val="center"/>
            <w:hideMark/>
          </w:tcPr>
          <w:p w14:paraId="009ED99D"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 xml:space="preserve">Jogos de Colete, 15 Coletes e 15 shorts personalizados em malha 100% poliéster, estampada em sublimaçãototal com numeração frente e costa. TAM Variados marca aguia sport </w:t>
            </w:r>
          </w:p>
        </w:tc>
        <w:tc>
          <w:tcPr>
            <w:tcW w:w="464" w:type="pct"/>
            <w:shd w:val="clear" w:color="auto" w:fill="auto"/>
            <w:noWrap/>
            <w:vAlign w:val="center"/>
            <w:hideMark/>
          </w:tcPr>
          <w:p w14:paraId="690F1D5F"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25</w:t>
            </w:r>
          </w:p>
        </w:tc>
        <w:tc>
          <w:tcPr>
            <w:tcW w:w="391" w:type="pct"/>
            <w:shd w:val="clear" w:color="auto" w:fill="auto"/>
            <w:noWrap/>
            <w:vAlign w:val="center"/>
            <w:hideMark/>
          </w:tcPr>
          <w:p w14:paraId="03E6AE57"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 xml:space="preserve">CONJ </w:t>
            </w:r>
          </w:p>
        </w:tc>
        <w:tc>
          <w:tcPr>
            <w:tcW w:w="556" w:type="pct"/>
            <w:shd w:val="clear" w:color="auto" w:fill="auto"/>
            <w:noWrap/>
            <w:vAlign w:val="center"/>
            <w:hideMark/>
          </w:tcPr>
          <w:p w14:paraId="43BB02F7"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786DA2E1"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5C7C92DF" w14:textId="77777777" w:rsidTr="00A10880">
        <w:trPr>
          <w:trHeight w:val="20"/>
        </w:trPr>
        <w:tc>
          <w:tcPr>
            <w:tcW w:w="399" w:type="pct"/>
            <w:shd w:val="clear" w:color="auto" w:fill="auto"/>
            <w:noWrap/>
            <w:vAlign w:val="center"/>
            <w:hideMark/>
          </w:tcPr>
          <w:p w14:paraId="483DCE12"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26</w:t>
            </w:r>
          </w:p>
        </w:tc>
        <w:tc>
          <w:tcPr>
            <w:tcW w:w="2592" w:type="pct"/>
            <w:shd w:val="clear" w:color="auto" w:fill="auto"/>
            <w:vAlign w:val="center"/>
            <w:hideMark/>
          </w:tcPr>
          <w:p w14:paraId="06176FF2"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Jogos de Colete, 20 Coletes e 20 shorts personalizados em malha 100% poliéster, estampada em sublimação total com numeração frente e costa. TAM Variados</w:t>
            </w:r>
          </w:p>
        </w:tc>
        <w:tc>
          <w:tcPr>
            <w:tcW w:w="464" w:type="pct"/>
            <w:shd w:val="clear" w:color="auto" w:fill="auto"/>
            <w:noWrap/>
            <w:vAlign w:val="center"/>
            <w:hideMark/>
          </w:tcPr>
          <w:p w14:paraId="4C2E3D80"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25</w:t>
            </w:r>
          </w:p>
        </w:tc>
        <w:tc>
          <w:tcPr>
            <w:tcW w:w="391" w:type="pct"/>
            <w:shd w:val="clear" w:color="auto" w:fill="auto"/>
            <w:noWrap/>
            <w:vAlign w:val="center"/>
            <w:hideMark/>
          </w:tcPr>
          <w:p w14:paraId="24FA463F"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 xml:space="preserve">CONJ </w:t>
            </w:r>
          </w:p>
        </w:tc>
        <w:tc>
          <w:tcPr>
            <w:tcW w:w="556" w:type="pct"/>
            <w:shd w:val="clear" w:color="auto" w:fill="auto"/>
            <w:noWrap/>
            <w:vAlign w:val="center"/>
            <w:hideMark/>
          </w:tcPr>
          <w:p w14:paraId="3065A432"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4658ECAD"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39B52B9B" w14:textId="77777777" w:rsidTr="00A10880">
        <w:trPr>
          <w:trHeight w:val="20"/>
        </w:trPr>
        <w:tc>
          <w:tcPr>
            <w:tcW w:w="399" w:type="pct"/>
            <w:shd w:val="clear" w:color="auto" w:fill="auto"/>
            <w:noWrap/>
            <w:vAlign w:val="center"/>
            <w:hideMark/>
          </w:tcPr>
          <w:p w14:paraId="321B4FAD"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27</w:t>
            </w:r>
          </w:p>
        </w:tc>
        <w:tc>
          <w:tcPr>
            <w:tcW w:w="2592" w:type="pct"/>
            <w:shd w:val="clear" w:color="auto" w:fill="auto"/>
            <w:vAlign w:val="center"/>
            <w:hideMark/>
          </w:tcPr>
          <w:p w14:paraId="5CCC7171"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Troféu Confeccionado em Polietileno, cor dourada, com alrura minínima de 80 cm, base na cor preta para esporte, Honra ao Mérito: 1º Colocado</w:t>
            </w:r>
          </w:p>
        </w:tc>
        <w:tc>
          <w:tcPr>
            <w:tcW w:w="464" w:type="pct"/>
            <w:shd w:val="clear" w:color="auto" w:fill="auto"/>
            <w:noWrap/>
            <w:vAlign w:val="center"/>
            <w:hideMark/>
          </w:tcPr>
          <w:p w14:paraId="2A28F4D6"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35</w:t>
            </w:r>
          </w:p>
        </w:tc>
        <w:tc>
          <w:tcPr>
            <w:tcW w:w="391" w:type="pct"/>
            <w:shd w:val="clear" w:color="auto" w:fill="auto"/>
            <w:noWrap/>
            <w:vAlign w:val="center"/>
            <w:hideMark/>
          </w:tcPr>
          <w:p w14:paraId="00458818"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0682A5BD"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5D1CECCC"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2953D5CA" w14:textId="77777777" w:rsidTr="00A10880">
        <w:trPr>
          <w:trHeight w:val="20"/>
        </w:trPr>
        <w:tc>
          <w:tcPr>
            <w:tcW w:w="399" w:type="pct"/>
            <w:shd w:val="clear" w:color="auto" w:fill="auto"/>
            <w:noWrap/>
            <w:vAlign w:val="center"/>
            <w:hideMark/>
          </w:tcPr>
          <w:p w14:paraId="7656B6AB"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28</w:t>
            </w:r>
          </w:p>
        </w:tc>
        <w:tc>
          <w:tcPr>
            <w:tcW w:w="2592" w:type="pct"/>
            <w:shd w:val="clear" w:color="auto" w:fill="auto"/>
            <w:vAlign w:val="center"/>
            <w:hideMark/>
          </w:tcPr>
          <w:p w14:paraId="77AAA465"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Troféu Confeccionado em Polietileno, cor prata, com altura miníma de 67 cm, base na cor preta para esporte, Honra ao Mérito: 2º Colocado</w:t>
            </w:r>
          </w:p>
        </w:tc>
        <w:tc>
          <w:tcPr>
            <w:tcW w:w="464" w:type="pct"/>
            <w:shd w:val="clear" w:color="auto" w:fill="auto"/>
            <w:noWrap/>
            <w:vAlign w:val="center"/>
            <w:hideMark/>
          </w:tcPr>
          <w:p w14:paraId="6871B4A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35</w:t>
            </w:r>
          </w:p>
        </w:tc>
        <w:tc>
          <w:tcPr>
            <w:tcW w:w="391" w:type="pct"/>
            <w:shd w:val="clear" w:color="auto" w:fill="auto"/>
            <w:noWrap/>
            <w:vAlign w:val="center"/>
            <w:hideMark/>
          </w:tcPr>
          <w:p w14:paraId="6D2C04D1"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4CC1AED3"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3D5CB9E2"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1B8542F0" w14:textId="77777777" w:rsidTr="00A10880">
        <w:trPr>
          <w:trHeight w:val="20"/>
        </w:trPr>
        <w:tc>
          <w:tcPr>
            <w:tcW w:w="399" w:type="pct"/>
            <w:shd w:val="clear" w:color="auto" w:fill="auto"/>
            <w:noWrap/>
            <w:vAlign w:val="center"/>
            <w:hideMark/>
          </w:tcPr>
          <w:p w14:paraId="103D7330"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29</w:t>
            </w:r>
          </w:p>
        </w:tc>
        <w:tc>
          <w:tcPr>
            <w:tcW w:w="2592" w:type="pct"/>
            <w:shd w:val="clear" w:color="auto" w:fill="auto"/>
            <w:vAlign w:val="center"/>
            <w:hideMark/>
          </w:tcPr>
          <w:p w14:paraId="2078B2E2"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Troféu Confeccionado em Polietileno, cor bronze ou prata, com altura miníma de 50 cm, base na cor preta para esporte, Honra ao Mérito: 3º Colocado</w:t>
            </w:r>
          </w:p>
        </w:tc>
        <w:tc>
          <w:tcPr>
            <w:tcW w:w="464" w:type="pct"/>
            <w:shd w:val="clear" w:color="auto" w:fill="auto"/>
            <w:noWrap/>
            <w:vAlign w:val="center"/>
            <w:hideMark/>
          </w:tcPr>
          <w:p w14:paraId="517355A7"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35</w:t>
            </w:r>
          </w:p>
        </w:tc>
        <w:tc>
          <w:tcPr>
            <w:tcW w:w="391" w:type="pct"/>
            <w:shd w:val="clear" w:color="auto" w:fill="auto"/>
            <w:noWrap/>
            <w:vAlign w:val="center"/>
            <w:hideMark/>
          </w:tcPr>
          <w:p w14:paraId="50A9C16E"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1B6E8A08"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7AB20C0D"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3F4FC682" w14:textId="77777777" w:rsidTr="00A10880">
        <w:trPr>
          <w:trHeight w:val="20"/>
        </w:trPr>
        <w:tc>
          <w:tcPr>
            <w:tcW w:w="399" w:type="pct"/>
            <w:shd w:val="clear" w:color="auto" w:fill="auto"/>
            <w:noWrap/>
            <w:vAlign w:val="center"/>
            <w:hideMark/>
          </w:tcPr>
          <w:p w14:paraId="6265C089"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30</w:t>
            </w:r>
          </w:p>
        </w:tc>
        <w:tc>
          <w:tcPr>
            <w:tcW w:w="2592" w:type="pct"/>
            <w:shd w:val="clear" w:color="auto" w:fill="auto"/>
            <w:vAlign w:val="center"/>
            <w:hideMark/>
          </w:tcPr>
          <w:p w14:paraId="74982F51"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Troféu de Artilheiro confccionado em polietileno, com altura miníma 17cm</w:t>
            </w:r>
          </w:p>
        </w:tc>
        <w:tc>
          <w:tcPr>
            <w:tcW w:w="464" w:type="pct"/>
            <w:shd w:val="clear" w:color="auto" w:fill="auto"/>
            <w:noWrap/>
            <w:vAlign w:val="center"/>
            <w:hideMark/>
          </w:tcPr>
          <w:p w14:paraId="0D5C37AE"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35</w:t>
            </w:r>
          </w:p>
        </w:tc>
        <w:tc>
          <w:tcPr>
            <w:tcW w:w="391" w:type="pct"/>
            <w:shd w:val="clear" w:color="auto" w:fill="auto"/>
            <w:noWrap/>
            <w:vAlign w:val="center"/>
            <w:hideMark/>
          </w:tcPr>
          <w:p w14:paraId="25D0CE6D"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568BF89F"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52CDE179"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5FB5E711" w14:textId="77777777" w:rsidTr="00A10880">
        <w:trPr>
          <w:trHeight w:val="20"/>
        </w:trPr>
        <w:tc>
          <w:tcPr>
            <w:tcW w:w="399" w:type="pct"/>
            <w:shd w:val="clear" w:color="auto" w:fill="auto"/>
            <w:noWrap/>
            <w:vAlign w:val="center"/>
            <w:hideMark/>
          </w:tcPr>
          <w:p w14:paraId="727F441D"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31</w:t>
            </w:r>
          </w:p>
        </w:tc>
        <w:tc>
          <w:tcPr>
            <w:tcW w:w="2592" w:type="pct"/>
            <w:shd w:val="clear" w:color="auto" w:fill="auto"/>
            <w:vAlign w:val="center"/>
            <w:hideMark/>
          </w:tcPr>
          <w:p w14:paraId="1764F30A"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Troféu de Melhor Goleiro confccionado em polietileno, com altura miníma 17cm</w:t>
            </w:r>
          </w:p>
        </w:tc>
        <w:tc>
          <w:tcPr>
            <w:tcW w:w="464" w:type="pct"/>
            <w:shd w:val="clear" w:color="auto" w:fill="auto"/>
            <w:noWrap/>
            <w:vAlign w:val="center"/>
            <w:hideMark/>
          </w:tcPr>
          <w:p w14:paraId="16CC8CB2"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35</w:t>
            </w:r>
          </w:p>
        </w:tc>
        <w:tc>
          <w:tcPr>
            <w:tcW w:w="391" w:type="pct"/>
            <w:shd w:val="clear" w:color="auto" w:fill="auto"/>
            <w:noWrap/>
            <w:vAlign w:val="center"/>
            <w:hideMark/>
          </w:tcPr>
          <w:p w14:paraId="403E35C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2DA1ADBE"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2E93306F"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36939415" w14:textId="77777777" w:rsidTr="00A10880">
        <w:trPr>
          <w:trHeight w:val="20"/>
        </w:trPr>
        <w:tc>
          <w:tcPr>
            <w:tcW w:w="399" w:type="pct"/>
            <w:shd w:val="clear" w:color="auto" w:fill="auto"/>
            <w:noWrap/>
            <w:vAlign w:val="center"/>
            <w:hideMark/>
          </w:tcPr>
          <w:p w14:paraId="606E61B9"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lastRenderedPageBreak/>
              <w:t>32</w:t>
            </w:r>
          </w:p>
        </w:tc>
        <w:tc>
          <w:tcPr>
            <w:tcW w:w="2592" w:type="pct"/>
            <w:shd w:val="clear" w:color="auto" w:fill="auto"/>
            <w:vAlign w:val="center"/>
            <w:hideMark/>
          </w:tcPr>
          <w:p w14:paraId="05A7DB4A"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Medalhas de latão, pintada na cor ouro, medindo 2mm de espessura e 40 cm de diâmetro</w:t>
            </w:r>
          </w:p>
        </w:tc>
        <w:tc>
          <w:tcPr>
            <w:tcW w:w="464" w:type="pct"/>
            <w:shd w:val="clear" w:color="auto" w:fill="auto"/>
            <w:noWrap/>
            <w:vAlign w:val="center"/>
            <w:hideMark/>
          </w:tcPr>
          <w:p w14:paraId="13945AA3"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495</w:t>
            </w:r>
          </w:p>
        </w:tc>
        <w:tc>
          <w:tcPr>
            <w:tcW w:w="391" w:type="pct"/>
            <w:shd w:val="clear" w:color="auto" w:fill="auto"/>
            <w:noWrap/>
            <w:vAlign w:val="center"/>
            <w:hideMark/>
          </w:tcPr>
          <w:p w14:paraId="3D65CDE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0598AA41"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4CC82DD8"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05A6780C" w14:textId="77777777" w:rsidTr="00A10880">
        <w:trPr>
          <w:trHeight w:val="20"/>
        </w:trPr>
        <w:tc>
          <w:tcPr>
            <w:tcW w:w="399" w:type="pct"/>
            <w:shd w:val="clear" w:color="auto" w:fill="auto"/>
            <w:noWrap/>
            <w:vAlign w:val="center"/>
            <w:hideMark/>
          </w:tcPr>
          <w:p w14:paraId="56A4B096"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33</w:t>
            </w:r>
          </w:p>
        </w:tc>
        <w:tc>
          <w:tcPr>
            <w:tcW w:w="2592" w:type="pct"/>
            <w:shd w:val="clear" w:color="auto" w:fill="auto"/>
            <w:vAlign w:val="center"/>
            <w:hideMark/>
          </w:tcPr>
          <w:p w14:paraId="071744DC"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Medalhas de latão, pintada na cor prata, medindo 2mm de espessura e 40 cm de diâmetro</w:t>
            </w:r>
          </w:p>
        </w:tc>
        <w:tc>
          <w:tcPr>
            <w:tcW w:w="464" w:type="pct"/>
            <w:shd w:val="clear" w:color="auto" w:fill="auto"/>
            <w:noWrap/>
            <w:vAlign w:val="center"/>
            <w:hideMark/>
          </w:tcPr>
          <w:p w14:paraId="22B961A6"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495</w:t>
            </w:r>
          </w:p>
        </w:tc>
        <w:tc>
          <w:tcPr>
            <w:tcW w:w="391" w:type="pct"/>
            <w:shd w:val="clear" w:color="auto" w:fill="auto"/>
            <w:noWrap/>
            <w:vAlign w:val="center"/>
            <w:hideMark/>
          </w:tcPr>
          <w:p w14:paraId="3CE3D9D9"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0C292AAF"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22572EAD"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11DF7705" w14:textId="77777777" w:rsidTr="00A10880">
        <w:trPr>
          <w:trHeight w:val="20"/>
        </w:trPr>
        <w:tc>
          <w:tcPr>
            <w:tcW w:w="399" w:type="pct"/>
            <w:shd w:val="clear" w:color="auto" w:fill="auto"/>
            <w:noWrap/>
            <w:vAlign w:val="center"/>
            <w:hideMark/>
          </w:tcPr>
          <w:p w14:paraId="5E5805A0"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34</w:t>
            </w:r>
          </w:p>
        </w:tc>
        <w:tc>
          <w:tcPr>
            <w:tcW w:w="2592" w:type="pct"/>
            <w:shd w:val="clear" w:color="auto" w:fill="auto"/>
            <w:vAlign w:val="center"/>
            <w:hideMark/>
          </w:tcPr>
          <w:p w14:paraId="71DCBDD6"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Medalhas de bronze, pintada na cor bronze, medindo 2mm de espessura e 40 cm de diâmetro</w:t>
            </w:r>
          </w:p>
        </w:tc>
        <w:tc>
          <w:tcPr>
            <w:tcW w:w="464" w:type="pct"/>
            <w:shd w:val="clear" w:color="auto" w:fill="auto"/>
            <w:noWrap/>
            <w:vAlign w:val="center"/>
            <w:hideMark/>
          </w:tcPr>
          <w:p w14:paraId="3C6BBE77"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495</w:t>
            </w:r>
          </w:p>
        </w:tc>
        <w:tc>
          <w:tcPr>
            <w:tcW w:w="391" w:type="pct"/>
            <w:shd w:val="clear" w:color="auto" w:fill="auto"/>
            <w:noWrap/>
            <w:vAlign w:val="center"/>
            <w:hideMark/>
          </w:tcPr>
          <w:p w14:paraId="0C76C1A9"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42F02F7C"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135A7FA4"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41960E40" w14:textId="77777777" w:rsidTr="00A10880">
        <w:trPr>
          <w:trHeight w:val="20"/>
        </w:trPr>
        <w:tc>
          <w:tcPr>
            <w:tcW w:w="399" w:type="pct"/>
            <w:shd w:val="clear" w:color="auto" w:fill="auto"/>
            <w:noWrap/>
            <w:vAlign w:val="center"/>
            <w:hideMark/>
          </w:tcPr>
          <w:p w14:paraId="44E5B662"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35</w:t>
            </w:r>
          </w:p>
        </w:tc>
        <w:tc>
          <w:tcPr>
            <w:tcW w:w="2592" w:type="pct"/>
            <w:shd w:val="clear" w:color="auto" w:fill="auto"/>
            <w:vAlign w:val="center"/>
            <w:hideMark/>
          </w:tcPr>
          <w:p w14:paraId="3B92B6F4"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Bambolê Várias Cores para pratica esportiva pct com 12 unidades</w:t>
            </w:r>
          </w:p>
        </w:tc>
        <w:tc>
          <w:tcPr>
            <w:tcW w:w="464" w:type="pct"/>
            <w:shd w:val="clear" w:color="auto" w:fill="auto"/>
            <w:noWrap/>
            <w:vAlign w:val="center"/>
            <w:hideMark/>
          </w:tcPr>
          <w:p w14:paraId="068170F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95</w:t>
            </w:r>
          </w:p>
        </w:tc>
        <w:tc>
          <w:tcPr>
            <w:tcW w:w="391" w:type="pct"/>
            <w:shd w:val="clear" w:color="auto" w:fill="auto"/>
            <w:noWrap/>
            <w:vAlign w:val="center"/>
            <w:hideMark/>
          </w:tcPr>
          <w:p w14:paraId="2ED710F7"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 xml:space="preserve">KIT </w:t>
            </w:r>
          </w:p>
        </w:tc>
        <w:tc>
          <w:tcPr>
            <w:tcW w:w="556" w:type="pct"/>
            <w:shd w:val="clear" w:color="auto" w:fill="auto"/>
            <w:noWrap/>
            <w:vAlign w:val="center"/>
            <w:hideMark/>
          </w:tcPr>
          <w:p w14:paraId="0BB2A2C9"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5F1B9E55"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32FFBCF1" w14:textId="77777777" w:rsidTr="00A10880">
        <w:trPr>
          <w:trHeight w:val="20"/>
        </w:trPr>
        <w:tc>
          <w:tcPr>
            <w:tcW w:w="399" w:type="pct"/>
            <w:shd w:val="clear" w:color="auto" w:fill="auto"/>
            <w:noWrap/>
            <w:vAlign w:val="center"/>
            <w:hideMark/>
          </w:tcPr>
          <w:p w14:paraId="34AD9241"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36</w:t>
            </w:r>
          </w:p>
        </w:tc>
        <w:tc>
          <w:tcPr>
            <w:tcW w:w="2592" w:type="pct"/>
            <w:shd w:val="clear" w:color="auto" w:fill="auto"/>
            <w:vAlign w:val="center"/>
            <w:hideMark/>
          </w:tcPr>
          <w:p w14:paraId="01D09BC3"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Bola de Futebol de Campo Infantil: Tamanho infantil, confeccionada em PVC e PU, costurada, câmara butil, medindo entre 64-66cm, 360-390 gramas. Com válvula. A marca deve ser ou ter sido aprovada pela confederação Brasileira de futebol (CBF), ou pela Federação Internacional de Futebol (FIFA) ou por, no mínimo, 1 Federação estadual de futebol de campo naciona</w:t>
            </w:r>
          </w:p>
        </w:tc>
        <w:tc>
          <w:tcPr>
            <w:tcW w:w="464" w:type="pct"/>
            <w:shd w:val="clear" w:color="auto" w:fill="auto"/>
            <w:noWrap/>
            <w:vAlign w:val="center"/>
            <w:hideMark/>
          </w:tcPr>
          <w:p w14:paraId="3AF43AA4"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25</w:t>
            </w:r>
          </w:p>
        </w:tc>
        <w:tc>
          <w:tcPr>
            <w:tcW w:w="391" w:type="pct"/>
            <w:shd w:val="clear" w:color="auto" w:fill="auto"/>
            <w:noWrap/>
            <w:vAlign w:val="center"/>
            <w:hideMark/>
          </w:tcPr>
          <w:p w14:paraId="467A8544"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65574A75"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60D052A7"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22977328" w14:textId="77777777" w:rsidTr="00A10880">
        <w:trPr>
          <w:trHeight w:val="20"/>
        </w:trPr>
        <w:tc>
          <w:tcPr>
            <w:tcW w:w="399" w:type="pct"/>
            <w:shd w:val="clear" w:color="auto" w:fill="auto"/>
            <w:noWrap/>
            <w:vAlign w:val="center"/>
            <w:hideMark/>
          </w:tcPr>
          <w:p w14:paraId="18002F16"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37</w:t>
            </w:r>
          </w:p>
        </w:tc>
        <w:tc>
          <w:tcPr>
            <w:tcW w:w="2592" w:type="pct"/>
            <w:shd w:val="clear" w:color="auto" w:fill="auto"/>
            <w:vAlign w:val="center"/>
            <w:hideMark/>
          </w:tcPr>
          <w:p w14:paraId="5A1B280C"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Bola de Futebol de Salão Infantil: Tamanho Infantil, confeccionada em PVC, dupla laminação, costurada, 30 gomos, com câmara butil, medindo entre 55 e 59cm, pesando entre 350 e 380 gramas. Com válvula. A marca deve ser ou ter sido aprovada pela confederação Brasileira de Futebol de salão (CBFS) ou pela Federação Internacional de futebol (FIFA APROVED) ou pela liga Nacional de Futsal, no ano vigente.</w:t>
            </w:r>
          </w:p>
        </w:tc>
        <w:tc>
          <w:tcPr>
            <w:tcW w:w="464" w:type="pct"/>
            <w:shd w:val="clear" w:color="auto" w:fill="auto"/>
            <w:noWrap/>
            <w:vAlign w:val="center"/>
            <w:hideMark/>
          </w:tcPr>
          <w:p w14:paraId="5EDC320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25</w:t>
            </w:r>
          </w:p>
        </w:tc>
        <w:tc>
          <w:tcPr>
            <w:tcW w:w="391" w:type="pct"/>
            <w:shd w:val="clear" w:color="auto" w:fill="auto"/>
            <w:noWrap/>
            <w:vAlign w:val="center"/>
            <w:hideMark/>
          </w:tcPr>
          <w:p w14:paraId="4077C59B"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4DE49257"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54CEF4F0"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3EC41CD9" w14:textId="77777777" w:rsidTr="00A10880">
        <w:trPr>
          <w:trHeight w:val="20"/>
        </w:trPr>
        <w:tc>
          <w:tcPr>
            <w:tcW w:w="399" w:type="pct"/>
            <w:shd w:val="clear" w:color="auto" w:fill="auto"/>
            <w:noWrap/>
            <w:vAlign w:val="center"/>
            <w:hideMark/>
          </w:tcPr>
          <w:p w14:paraId="27298273"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38</w:t>
            </w:r>
          </w:p>
        </w:tc>
        <w:tc>
          <w:tcPr>
            <w:tcW w:w="2592" w:type="pct"/>
            <w:shd w:val="clear" w:color="auto" w:fill="auto"/>
            <w:vAlign w:val="center"/>
            <w:hideMark/>
          </w:tcPr>
          <w:p w14:paraId="7E7E431A" w14:textId="77777777" w:rsidR="00A10880" w:rsidRPr="00A10880" w:rsidRDefault="00A10880" w:rsidP="00A10880">
            <w:pPr>
              <w:jc w:val="both"/>
              <w:rPr>
                <w:rFonts w:ascii="Century Gothic" w:hAnsi="Century Gothic" w:cs="Calibri"/>
                <w:color w:val="000000"/>
                <w:sz w:val="20"/>
                <w:szCs w:val="20"/>
              </w:rPr>
            </w:pPr>
            <w:r w:rsidRPr="00A10880">
              <w:rPr>
                <w:rFonts w:ascii="Century Gothic" w:hAnsi="Century Gothic" w:cs="Calibri"/>
                <w:color w:val="000000"/>
                <w:sz w:val="20"/>
                <w:szCs w:val="20"/>
                <w:lang w:val="pt-PT"/>
              </w:rPr>
              <w:t>Bola de Handebol Infanto: Costurada, confeccionada em PVC, com câmara butil, medindo entre 54-56cm, pesando entre 325 e 400 gramas. Com válvula. A marca deve ser ou ter sido aprovada pela Confederação Brasileira de Handebol (CBHB), ou pela Federação Internacional de Handebol (IHF), ou por, no mínimo, 1 Federação Estadual de Handebol nacional. marca dal ponte</w:t>
            </w:r>
          </w:p>
        </w:tc>
        <w:tc>
          <w:tcPr>
            <w:tcW w:w="464" w:type="pct"/>
            <w:shd w:val="clear" w:color="auto" w:fill="auto"/>
            <w:noWrap/>
            <w:vAlign w:val="center"/>
            <w:hideMark/>
          </w:tcPr>
          <w:p w14:paraId="4CE127AB"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25</w:t>
            </w:r>
          </w:p>
        </w:tc>
        <w:tc>
          <w:tcPr>
            <w:tcW w:w="391" w:type="pct"/>
            <w:shd w:val="clear" w:color="auto" w:fill="auto"/>
            <w:noWrap/>
            <w:vAlign w:val="center"/>
            <w:hideMark/>
          </w:tcPr>
          <w:p w14:paraId="74BBA243"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5D4CC7B1"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6595CC1B"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58333568" w14:textId="77777777" w:rsidTr="00A10880">
        <w:trPr>
          <w:trHeight w:val="20"/>
        </w:trPr>
        <w:tc>
          <w:tcPr>
            <w:tcW w:w="399" w:type="pct"/>
            <w:shd w:val="clear" w:color="auto" w:fill="auto"/>
            <w:noWrap/>
            <w:vAlign w:val="center"/>
            <w:hideMark/>
          </w:tcPr>
          <w:p w14:paraId="04938009"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39</w:t>
            </w:r>
          </w:p>
        </w:tc>
        <w:tc>
          <w:tcPr>
            <w:tcW w:w="2592" w:type="pct"/>
            <w:shd w:val="clear" w:color="auto" w:fill="auto"/>
            <w:vAlign w:val="center"/>
            <w:hideMark/>
          </w:tcPr>
          <w:p w14:paraId="29A38C86" w14:textId="77777777" w:rsidR="00A10880" w:rsidRPr="00A10880" w:rsidRDefault="00A10880" w:rsidP="00A10880">
            <w:pPr>
              <w:rPr>
                <w:rFonts w:ascii="Century Gothic" w:hAnsi="Century Gothic" w:cs="Calibri"/>
                <w:color w:val="000000"/>
                <w:sz w:val="20"/>
                <w:szCs w:val="20"/>
              </w:rPr>
            </w:pPr>
            <w:r w:rsidRPr="00A10880">
              <w:rPr>
                <w:rFonts w:ascii="Century Gothic" w:hAnsi="Century Gothic" w:cs="Calibri"/>
                <w:color w:val="000000"/>
                <w:sz w:val="20"/>
                <w:szCs w:val="20"/>
                <w:lang w:val="pt-PT"/>
              </w:rPr>
              <w:t>Jogo Xadrez Escolar Oficial Tabuleiro Napa Peças Maciças</w:t>
            </w:r>
          </w:p>
        </w:tc>
        <w:tc>
          <w:tcPr>
            <w:tcW w:w="464" w:type="pct"/>
            <w:shd w:val="clear" w:color="auto" w:fill="auto"/>
            <w:noWrap/>
            <w:vAlign w:val="center"/>
            <w:hideMark/>
          </w:tcPr>
          <w:p w14:paraId="0252AD73"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45</w:t>
            </w:r>
          </w:p>
        </w:tc>
        <w:tc>
          <w:tcPr>
            <w:tcW w:w="391" w:type="pct"/>
            <w:shd w:val="clear" w:color="auto" w:fill="auto"/>
            <w:noWrap/>
            <w:vAlign w:val="center"/>
            <w:hideMark/>
          </w:tcPr>
          <w:p w14:paraId="38D4D42B"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57DC42B9"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37F8A087"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13E2FC69" w14:textId="77777777" w:rsidTr="00A10880">
        <w:trPr>
          <w:trHeight w:val="20"/>
        </w:trPr>
        <w:tc>
          <w:tcPr>
            <w:tcW w:w="399" w:type="pct"/>
            <w:shd w:val="clear" w:color="auto" w:fill="auto"/>
            <w:noWrap/>
            <w:vAlign w:val="center"/>
            <w:hideMark/>
          </w:tcPr>
          <w:p w14:paraId="3F94B2DE"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40</w:t>
            </w:r>
          </w:p>
        </w:tc>
        <w:tc>
          <w:tcPr>
            <w:tcW w:w="2592" w:type="pct"/>
            <w:shd w:val="clear" w:color="auto" w:fill="auto"/>
            <w:vAlign w:val="center"/>
            <w:hideMark/>
          </w:tcPr>
          <w:p w14:paraId="469ED18E" w14:textId="77777777" w:rsidR="00A10880" w:rsidRPr="00A10880" w:rsidRDefault="00A10880" w:rsidP="00A10880">
            <w:pPr>
              <w:rPr>
                <w:rFonts w:ascii="Century Gothic" w:hAnsi="Century Gothic" w:cs="Calibri"/>
                <w:color w:val="000000"/>
                <w:sz w:val="20"/>
                <w:szCs w:val="20"/>
              </w:rPr>
            </w:pPr>
            <w:r w:rsidRPr="00A10880">
              <w:rPr>
                <w:rFonts w:ascii="Century Gothic" w:hAnsi="Century Gothic" w:cs="Calibri"/>
                <w:color w:val="000000"/>
                <w:sz w:val="20"/>
                <w:szCs w:val="20"/>
                <w:lang w:val="pt-PT"/>
              </w:rPr>
              <w:t>Jogos de Dama Escolar Oficial Tabuleiro Napa</w:t>
            </w:r>
          </w:p>
        </w:tc>
        <w:tc>
          <w:tcPr>
            <w:tcW w:w="464" w:type="pct"/>
            <w:shd w:val="clear" w:color="auto" w:fill="auto"/>
            <w:noWrap/>
            <w:vAlign w:val="center"/>
            <w:hideMark/>
          </w:tcPr>
          <w:p w14:paraId="55DA056F"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45</w:t>
            </w:r>
          </w:p>
        </w:tc>
        <w:tc>
          <w:tcPr>
            <w:tcW w:w="391" w:type="pct"/>
            <w:shd w:val="clear" w:color="auto" w:fill="auto"/>
            <w:noWrap/>
            <w:vAlign w:val="center"/>
            <w:hideMark/>
          </w:tcPr>
          <w:p w14:paraId="280F4CCA"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6E01B693"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52C61365"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6418121B" w14:textId="77777777" w:rsidTr="00A10880">
        <w:trPr>
          <w:trHeight w:val="20"/>
        </w:trPr>
        <w:tc>
          <w:tcPr>
            <w:tcW w:w="399" w:type="pct"/>
            <w:shd w:val="clear" w:color="auto" w:fill="auto"/>
            <w:noWrap/>
            <w:vAlign w:val="center"/>
            <w:hideMark/>
          </w:tcPr>
          <w:p w14:paraId="05F9FF2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41</w:t>
            </w:r>
          </w:p>
        </w:tc>
        <w:tc>
          <w:tcPr>
            <w:tcW w:w="2592" w:type="pct"/>
            <w:shd w:val="clear" w:color="auto" w:fill="auto"/>
            <w:vAlign w:val="center"/>
            <w:hideMark/>
          </w:tcPr>
          <w:p w14:paraId="62BDEE5A" w14:textId="77777777" w:rsidR="00A10880" w:rsidRPr="00A10880" w:rsidRDefault="00A10880" w:rsidP="00A10880">
            <w:pPr>
              <w:rPr>
                <w:rFonts w:ascii="Century Gothic" w:hAnsi="Century Gothic" w:cs="Calibri"/>
                <w:color w:val="000000"/>
                <w:sz w:val="20"/>
                <w:szCs w:val="20"/>
              </w:rPr>
            </w:pPr>
            <w:r w:rsidRPr="00A10880">
              <w:rPr>
                <w:rFonts w:ascii="Century Gothic" w:hAnsi="Century Gothic" w:cs="Calibri"/>
                <w:color w:val="000000"/>
                <w:sz w:val="20"/>
                <w:szCs w:val="20"/>
                <w:lang w:val="pt-PT"/>
              </w:rPr>
              <w:t>Dominó Profissional De Osso - Estojo Com 28 Peças</w:t>
            </w:r>
          </w:p>
        </w:tc>
        <w:tc>
          <w:tcPr>
            <w:tcW w:w="464" w:type="pct"/>
            <w:shd w:val="clear" w:color="auto" w:fill="auto"/>
            <w:noWrap/>
            <w:vAlign w:val="center"/>
            <w:hideMark/>
          </w:tcPr>
          <w:p w14:paraId="2B6DF094"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45</w:t>
            </w:r>
          </w:p>
        </w:tc>
        <w:tc>
          <w:tcPr>
            <w:tcW w:w="391" w:type="pct"/>
            <w:shd w:val="clear" w:color="auto" w:fill="auto"/>
            <w:noWrap/>
            <w:vAlign w:val="center"/>
            <w:hideMark/>
          </w:tcPr>
          <w:p w14:paraId="33B3173D"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788F3ED9"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2A6AF3CF"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245EB4C2" w14:textId="77777777" w:rsidTr="00A10880">
        <w:trPr>
          <w:trHeight w:val="20"/>
        </w:trPr>
        <w:tc>
          <w:tcPr>
            <w:tcW w:w="399" w:type="pct"/>
            <w:shd w:val="clear" w:color="auto" w:fill="auto"/>
            <w:noWrap/>
            <w:vAlign w:val="center"/>
            <w:hideMark/>
          </w:tcPr>
          <w:p w14:paraId="0A7B81B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42</w:t>
            </w:r>
          </w:p>
        </w:tc>
        <w:tc>
          <w:tcPr>
            <w:tcW w:w="2592" w:type="pct"/>
            <w:shd w:val="clear" w:color="auto" w:fill="auto"/>
            <w:vAlign w:val="center"/>
            <w:hideMark/>
          </w:tcPr>
          <w:p w14:paraId="3F2BC5CF" w14:textId="77777777" w:rsidR="00A10880" w:rsidRPr="00A10880" w:rsidRDefault="00A10880" w:rsidP="00A10880">
            <w:pPr>
              <w:rPr>
                <w:rFonts w:ascii="Century Gothic" w:hAnsi="Century Gothic" w:cs="Calibri"/>
                <w:color w:val="000000"/>
                <w:sz w:val="20"/>
                <w:szCs w:val="20"/>
              </w:rPr>
            </w:pPr>
            <w:r w:rsidRPr="00A10880">
              <w:rPr>
                <w:rFonts w:ascii="Century Gothic" w:hAnsi="Century Gothic" w:cs="Calibri"/>
                <w:color w:val="000000"/>
                <w:sz w:val="20"/>
                <w:szCs w:val="20"/>
                <w:lang w:val="pt-PT"/>
              </w:rPr>
              <w:t>Jogos de Quebra Cabeça</w:t>
            </w:r>
          </w:p>
        </w:tc>
        <w:tc>
          <w:tcPr>
            <w:tcW w:w="464" w:type="pct"/>
            <w:shd w:val="clear" w:color="auto" w:fill="auto"/>
            <w:noWrap/>
            <w:vAlign w:val="center"/>
            <w:hideMark/>
          </w:tcPr>
          <w:p w14:paraId="0D5073DD"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45</w:t>
            </w:r>
          </w:p>
        </w:tc>
        <w:tc>
          <w:tcPr>
            <w:tcW w:w="391" w:type="pct"/>
            <w:shd w:val="clear" w:color="auto" w:fill="auto"/>
            <w:noWrap/>
            <w:vAlign w:val="center"/>
            <w:hideMark/>
          </w:tcPr>
          <w:p w14:paraId="62799AB5"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lang w:val="pt-PT"/>
              </w:rPr>
              <w:t>UNID</w:t>
            </w:r>
          </w:p>
        </w:tc>
        <w:tc>
          <w:tcPr>
            <w:tcW w:w="556" w:type="pct"/>
            <w:shd w:val="clear" w:color="auto" w:fill="auto"/>
            <w:noWrap/>
            <w:vAlign w:val="center"/>
            <w:hideMark/>
          </w:tcPr>
          <w:p w14:paraId="6E30FF26"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c>
          <w:tcPr>
            <w:tcW w:w="598" w:type="pct"/>
            <w:shd w:val="clear" w:color="auto" w:fill="auto"/>
            <w:noWrap/>
            <w:vAlign w:val="center"/>
            <w:hideMark/>
          </w:tcPr>
          <w:p w14:paraId="68B93622"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r w:rsidR="00A10880" w:rsidRPr="00A10880" w14:paraId="5A883782" w14:textId="77777777" w:rsidTr="00A10880">
        <w:trPr>
          <w:trHeight w:val="20"/>
        </w:trPr>
        <w:tc>
          <w:tcPr>
            <w:tcW w:w="4402" w:type="pct"/>
            <w:gridSpan w:val="5"/>
            <w:shd w:val="clear" w:color="auto" w:fill="auto"/>
            <w:noWrap/>
            <w:vAlign w:val="center"/>
            <w:hideMark/>
          </w:tcPr>
          <w:p w14:paraId="60493A5C" w14:textId="77777777" w:rsidR="00A10880" w:rsidRPr="00A10880" w:rsidRDefault="00A10880" w:rsidP="00A10880">
            <w:pPr>
              <w:jc w:val="center"/>
              <w:rPr>
                <w:rFonts w:ascii="Century Gothic" w:hAnsi="Century Gothic" w:cs="Calibri"/>
                <w:color w:val="000000"/>
                <w:sz w:val="20"/>
                <w:szCs w:val="20"/>
              </w:rPr>
            </w:pPr>
            <w:r w:rsidRPr="00A10880">
              <w:rPr>
                <w:rFonts w:ascii="Century Gothic" w:hAnsi="Century Gothic" w:cs="Calibri"/>
                <w:color w:val="000000"/>
                <w:sz w:val="20"/>
                <w:szCs w:val="20"/>
              </w:rPr>
              <w:t>VALOR TOTAL</w:t>
            </w:r>
          </w:p>
        </w:tc>
        <w:tc>
          <w:tcPr>
            <w:tcW w:w="598" w:type="pct"/>
            <w:shd w:val="clear" w:color="auto" w:fill="auto"/>
            <w:noWrap/>
            <w:vAlign w:val="center"/>
            <w:hideMark/>
          </w:tcPr>
          <w:p w14:paraId="7450CAFD" w14:textId="77777777" w:rsidR="00A10880" w:rsidRPr="00A10880" w:rsidRDefault="00A10880" w:rsidP="00A10880">
            <w:pPr>
              <w:jc w:val="center"/>
              <w:rPr>
                <w:rFonts w:ascii="Century Gothic" w:hAnsi="Century Gothic" w:cs="Arial"/>
                <w:color w:val="000000"/>
                <w:sz w:val="20"/>
                <w:szCs w:val="20"/>
              </w:rPr>
            </w:pPr>
            <w:r w:rsidRPr="00A10880">
              <w:rPr>
                <w:rFonts w:ascii="Century Gothic" w:hAnsi="Century Gothic" w:cs="Arial"/>
                <w:color w:val="000000"/>
                <w:sz w:val="20"/>
                <w:szCs w:val="20"/>
              </w:rPr>
              <w:t>SIGILOSO</w:t>
            </w:r>
          </w:p>
        </w:tc>
      </w:tr>
    </w:tbl>
    <w:p w14:paraId="09C8FACB" w14:textId="30319137" w:rsidR="00A10880" w:rsidRDefault="00A10880" w:rsidP="00A10880">
      <w:pPr>
        <w:spacing w:before="240" w:after="240"/>
        <w:jc w:val="both"/>
        <w:rPr>
          <w:rFonts w:ascii="Century Gothic" w:hAnsi="Century Gothic" w:cstheme="majorHAnsi"/>
          <w:b/>
          <w:bCs/>
          <w:i/>
          <w:iCs/>
          <w:sz w:val="20"/>
        </w:rPr>
      </w:pPr>
      <w:r w:rsidRPr="00D06CC0">
        <w:rPr>
          <w:rFonts w:ascii="Century Gothic" w:hAnsi="Century Gothic" w:cstheme="majorHAnsi"/>
          <w:sz w:val="22"/>
          <w:szCs w:val="22"/>
        </w:rPr>
        <w:t>1.2.</w:t>
      </w:r>
      <w:r>
        <w:rPr>
          <w:rFonts w:ascii="Century Gothic" w:hAnsi="Century Gothic" w:cstheme="majorHAnsi"/>
          <w:sz w:val="22"/>
          <w:szCs w:val="22"/>
        </w:rPr>
        <w:t>2</w:t>
      </w:r>
      <w:r w:rsidRPr="00D06CC0">
        <w:rPr>
          <w:rFonts w:ascii="Century Gothic" w:hAnsi="Century Gothic" w:cstheme="majorHAnsi"/>
          <w:sz w:val="22"/>
          <w:szCs w:val="22"/>
        </w:rPr>
        <w:t xml:space="preserve">. </w:t>
      </w:r>
      <w:r>
        <w:rPr>
          <w:rFonts w:ascii="Century Gothic" w:hAnsi="Century Gothic" w:cstheme="majorHAnsi"/>
          <w:b/>
          <w:bCs/>
          <w:i/>
          <w:iCs/>
          <w:sz w:val="20"/>
        </w:rPr>
        <w:t>QUANTIDADES ORGÃO GERENCIADO E PARTICIPANTES</w:t>
      </w:r>
      <w:r w:rsidRPr="00D06CC0">
        <w:rPr>
          <w:rFonts w:ascii="Century Gothic" w:hAnsi="Century Gothic" w:cstheme="majorHAnsi"/>
          <w:b/>
          <w:bCs/>
          <w:i/>
          <w:iCs/>
          <w:sz w:val="20"/>
        </w:rPr>
        <w:t>.</w:t>
      </w:r>
    </w:p>
    <w:p w14:paraId="789CABF1" w14:textId="77777777" w:rsidR="0094751D" w:rsidRDefault="0094751D" w:rsidP="00A10880">
      <w:pPr>
        <w:spacing w:before="240" w:after="240"/>
        <w:jc w:val="both"/>
        <w:rPr>
          <w:rFonts w:ascii="Century Gothic" w:hAnsi="Century Gothic" w:cstheme="majorHAnsi"/>
          <w:b/>
          <w:bCs/>
          <w:i/>
          <w:iCs/>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1"/>
        <w:gridCol w:w="4397"/>
        <w:gridCol w:w="691"/>
        <w:gridCol w:w="691"/>
        <w:gridCol w:w="691"/>
        <w:gridCol w:w="764"/>
        <w:gridCol w:w="691"/>
        <w:gridCol w:w="778"/>
      </w:tblGrid>
      <w:tr w:rsidR="00A10880" w:rsidRPr="00A10880" w14:paraId="0ED6A238" w14:textId="77777777" w:rsidTr="00A10880">
        <w:trPr>
          <w:trHeight w:val="20"/>
        </w:trPr>
        <w:tc>
          <w:tcPr>
            <w:tcW w:w="445" w:type="pct"/>
            <w:shd w:val="clear" w:color="auto" w:fill="auto"/>
            <w:noWrap/>
            <w:vAlign w:val="center"/>
            <w:hideMark/>
          </w:tcPr>
          <w:p w14:paraId="50A4B17E" w14:textId="77777777" w:rsidR="00A10880" w:rsidRPr="00A10880" w:rsidRDefault="00A10880" w:rsidP="0094751D">
            <w:pPr>
              <w:jc w:val="center"/>
              <w:rPr>
                <w:rFonts w:ascii="Century Gothic" w:hAnsi="Century Gothic" w:cstheme="majorHAnsi"/>
                <w:b/>
                <w:bCs/>
                <w:color w:val="000000"/>
                <w:sz w:val="18"/>
                <w:szCs w:val="18"/>
              </w:rPr>
            </w:pPr>
            <w:r w:rsidRPr="00A10880">
              <w:rPr>
                <w:rFonts w:ascii="Century Gothic" w:hAnsi="Century Gothic" w:cstheme="majorHAnsi"/>
                <w:b/>
                <w:bCs/>
                <w:color w:val="000000"/>
                <w:sz w:val="18"/>
                <w:szCs w:val="18"/>
                <w:lang w:val="pt-PT"/>
              </w:rPr>
              <w:lastRenderedPageBreak/>
              <w:t>ITEM</w:t>
            </w:r>
          </w:p>
        </w:tc>
        <w:tc>
          <w:tcPr>
            <w:tcW w:w="1800" w:type="pct"/>
            <w:shd w:val="clear" w:color="auto" w:fill="auto"/>
            <w:noWrap/>
            <w:vAlign w:val="center"/>
            <w:hideMark/>
          </w:tcPr>
          <w:p w14:paraId="593A1C2B" w14:textId="77777777" w:rsidR="00A10880" w:rsidRPr="00A10880" w:rsidRDefault="00A10880" w:rsidP="0094751D">
            <w:pPr>
              <w:jc w:val="center"/>
              <w:rPr>
                <w:rFonts w:ascii="Century Gothic" w:hAnsi="Century Gothic" w:cstheme="majorHAnsi"/>
                <w:b/>
                <w:bCs/>
                <w:color w:val="000000"/>
                <w:sz w:val="18"/>
                <w:szCs w:val="18"/>
              </w:rPr>
            </w:pPr>
            <w:r w:rsidRPr="00A10880">
              <w:rPr>
                <w:rFonts w:ascii="Century Gothic" w:hAnsi="Century Gothic" w:cstheme="majorHAnsi"/>
                <w:b/>
                <w:bCs/>
                <w:color w:val="000000"/>
                <w:sz w:val="18"/>
                <w:szCs w:val="18"/>
                <w:lang w:val="pt-PT"/>
              </w:rPr>
              <w:t>DESCRIÇÃO DO PRODUTO</w:t>
            </w:r>
          </w:p>
        </w:tc>
        <w:tc>
          <w:tcPr>
            <w:tcW w:w="445" w:type="pct"/>
            <w:shd w:val="clear" w:color="auto" w:fill="auto"/>
            <w:noWrap/>
            <w:vAlign w:val="center"/>
            <w:hideMark/>
          </w:tcPr>
          <w:p w14:paraId="25577EF4" w14:textId="77777777" w:rsidR="00A10880" w:rsidRPr="00A10880" w:rsidRDefault="00A10880" w:rsidP="0094751D">
            <w:pPr>
              <w:jc w:val="center"/>
              <w:rPr>
                <w:rFonts w:ascii="Century Gothic" w:hAnsi="Century Gothic" w:cstheme="majorHAnsi"/>
                <w:b/>
                <w:bCs/>
                <w:color w:val="000000"/>
                <w:sz w:val="18"/>
                <w:szCs w:val="18"/>
              </w:rPr>
            </w:pPr>
            <w:r w:rsidRPr="00A10880">
              <w:rPr>
                <w:rFonts w:ascii="Century Gothic" w:hAnsi="Century Gothic" w:cstheme="majorHAnsi"/>
                <w:b/>
                <w:bCs/>
                <w:color w:val="000000"/>
                <w:sz w:val="18"/>
                <w:szCs w:val="18"/>
                <w:lang w:val="pt-PT"/>
              </w:rPr>
              <w:t>UNID.</w:t>
            </w:r>
          </w:p>
        </w:tc>
        <w:tc>
          <w:tcPr>
            <w:tcW w:w="445" w:type="pct"/>
            <w:shd w:val="clear" w:color="auto" w:fill="auto"/>
            <w:noWrap/>
            <w:vAlign w:val="center"/>
            <w:hideMark/>
          </w:tcPr>
          <w:p w14:paraId="28AE2E9C" w14:textId="77777777" w:rsidR="00A10880" w:rsidRPr="00A10880" w:rsidRDefault="00A10880" w:rsidP="0094751D">
            <w:pPr>
              <w:jc w:val="center"/>
              <w:rPr>
                <w:rFonts w:ascii="Century Gothic" w:hAnsi="Century Gothic" w:cstheme="majorHAnsi"/>
                <w:b/>
                <w:bCs/>
                <w:color w:val="000000"/>
                <w:sz w:val="18"/>
                <w:szCs w:val="18"/>
              </w:rPr>
            </w:pPr>
            <w:r w:rsidRPr="00A10880">
              <w:rPr>
                <w:rFonts w:ascii="Century Gothic" w:hAnsi="Century Gothic" w:cstheme="majorHAnsi"/>
                <w:b/>
                <w:bCs/>
                <w:color w:val="000000"/>
                <w:sz w:val="18"/>
                <w:szCs w:val="18"/>
              </w:rPr>
              <w:t>EDU</w:t>
            </w:r>
          </w:p>
        </w:tc>
        <w:tc>
          <w:tcPr>
            <w:tcW w:w="445" w:type="pct"/>
            <w:shd w:val="clear" w:color="auto" w:fill="auto"/>
            <w:noWrap/>
            <w:vAlign w:val="center"/>
            <w:hideMark/>
          </w:tcPr>
          <w:p w14:paraId="3D3ED397" w14:textId="77777777" w:rsidR="00A10880" w:rsidRPr="00A10880" w:rsidRDefault="00A10880" w:rsidP="0094751D">
            <w:pPr>
              <w:jc w:val="center"/>
              <w:rPr>
                <w:rFonts w:ascii="Century Gothic" w:hAnsi="Century Gothic" w:cstheme="majorHAnsi"/>
                <w:b/>
                <w:bCs/>
                <w:color w:val="000000"/>
                <w:sz w:val="18"/>
                <w:szCs w:val="18"/>
              </w:rPr>
            </w:pPr>
            <w:r w:rsidRPr="00A10880">
              <w:rPr>
                <w:rFonts w:ascii="Century Gothic" w:hAnsi="Century Gothic" w:cstheme="majorHAnsi"/>
                <w:b/>
                <w:bCs/>
                <w:color w:val="000000"/>
                <w:sz w:val="18"/>
                <w:szCs w:val="18"/>
              </w:rPr>
              <w:t>ADM</w:t>
            </w:r>
          </w:p>
        </w:tc>
        <w:tc>
          <w:tcPr>
            <w:tcW w:w="484" w:type="pct"/>
            <w:shd w:val="clear" w:color="auto" w:fill="auto"/>
            <w:noWrap/>
            <w:vAlign w:val="center"/>
            <w:hideMark/>
          </w:tcPr>
          <w:p w14:paraId="2E48152F" w14:textId="77777777" w:rsidR="00A10880" w:rsidRPr="00A10880" w:rsidRDefault="00A10880" w:rsidP="0094751D">
            <w:pPr>
              <w:jc w:val="center"/>
              <w:rPr>
                <w:rFonts w:ascii="Century Gothic" w:hAnsi="Century Gothic" w:cstheme="majorHAnsi"/>
                <w:b/>
                <w:bCs/>
                <w:color w:val="000000"/>
                <w:sz w:val="18"/>
                <w:szCs w:val="18"/>
              </w:rPr>
            </w:pPr>
            <w:r w:rsidRPr="00A10880">
              <w:rPr>
                <w:rFonts w:ascii="Century Gothic" w:hAnsi="Century Gothic" w:cstheme="majorHAnsi"/>
                <w:b/>
                <w:bCs/>
                <w:color w:val="000000"/>
                <w:sz w:val="18"/>
                <w:szCs w:val="18"/>
              </w:rPr>
              <w:t>SAUDE</w:t>
            </w:r>
          </w:p>
        </w:tc>
        <w:tc>
          <w:tcPr>
            <w:tcW w:w="445" w:type="pct"/>
            <w:shd w:val="clear" w:color="auto" w:fill="auto"/>
            <w:noWrap/>
            <w:vAlign w:val="center"/>
            <w:hideMark/>
          </w:tcPr>
          <w:p w14:paraId="1E6170F0" w14:textId="77777777" w:rsidR="00A10880" w:rsidRPr="00A10880" w:rsidRDefault="00A10880" w:rsidP="0094751D">
            <w:pPr>
              <w:jc w:val="center"/>
              <w:rPr>
                <w:rFonts w:ascii="Century Gothic" w:hAnsi="Century Gothic" w:cstheme="majorHAnsi"/>
                <w:b/>
                <w:bCs/>
                <w:color w:val="000000"/>
                <w:sz w:val="18"/>
                <w:szCs w:val="18"/>
              </w:rPr>
            </w:pPr>
            <w:r w:rsidRPr="00A10880">
              <w:rPr>
                <w:rFonts w:ascii="Century Gothic" w:hAnsi="Century Gothic" w:cstheme="majorHAnsi"/>
                <w:b/>
                <w:bCs/>
                <w:color w:val="000000"/>
                <w:sz w:val="18"/>
                <w:szCs w:val="18"/>
              </w:rPr>
              <w:t>ASSIS</w:t>
            </w:r>
          </w:p>
        </w:tc>
        <w:tc>
          <w:tcPr>
            <w:tcW w:w="491" w:type="pct"/>
            <w:shd w:val="clear" w:color="auto" w:fill="auto"/>
            <w:noWrap/>
            <w:vAlign w:val="center"/>
            <w:hideMark/>
          </w:tcPr>
          <w:p w14:paraId="1B3657E5" w14:textId="77777777" w:rsidR="00A10880" w:rsidRPr="00A10880" w:rsidRDefault="00A10880" w:rsidP="0094751D">
            <w:pPr>
              <w:jc w:val="center"/>
              <w:rPr>
                <w:rFonts w:ascii="Century Gothic" w:hAnsi="Century Gothic" w:cstheme="majorHAnsi"/>
                <w:b/>
                <w:bCs/>
                <w:color w:val="000000"/>
                <w:sz w:val="18"/>
                <w:szCs w:val="18"/>
              </w:rPr>
            </w:pPr>
            <w:r w:rsidRPr="00A10880">
              <w:rPr>
                <w:rFonts w:ascii="Century Gothic" w:hAnsi="Century Gothic" w:cstheme="majorHAnsi"/>
                <w:b/>
                <w:bCs/>
                <w:color w:val="000000"/>
                <w:sz w:val="18"/>
                <w:szCs w:val="18"/>
              </w:rPr>
              <w:t>TOTAL</w:t>
            </w:r>
          </w:p>
        </w:tc>
      </w:tr>
      <w:tr w:rsidR="00A10880" w:rsidRPr="00A10880" w14:paraId="4E81FB69" w14:textId="77777777" w:rsidTr="0094751D">
        <w:trPr>
          <w:trHeight w:val="20"/>
        </w:trPr>
        <w:tc>
          <w:tcPr>
            <w:tcW w:w="445" w:type="pct"/>
            <w:shd w:val="clear" w:color="auto" w:fill="auto"/>
            <w:noWrap/>
            <w:vAlign w:val="center"/>
            <w:hideMark/>
          </w:tcPr>
          <w:p w14:paraId="5B19F065"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1</w:t>
            </w:r>
          </w:p>
        </w:tc>
        <w:tc>
          <w:tcPr>
            <w:tcW w:w="1800" w:type="pct"/>
            <w:shd w:val="clear" w:color="auto" w:fill="auto"/>
            <w:vAlign w:val="center"/>
            <w:hideMark/>
          </w:tcPr>
          <w:p w14:paraId="0D28396C"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Apito 40 profissional, material plástico, sem esfera, som nítido, para uso na arbitragem de várias modalidades esportivas</w:t>
            </w:r>
          </w:p>
        </w:tc>
        <w:tc>
          <w:tcPr>
            <w:tcW w:w="445" w:type="pct"/>
            <w:shd w:val="clear" w:color="auto" w:fill="auto"/>
            <w:noWrap/>
            <w:vAlign w:val="center"/>
            <w:hideMark/>
          </w:tcPr>
          <w:p w14:paraId="5B2F98D5"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4C0710D9"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18</w:t>
            </w:r>
          </w:p>
        </w:tc>
        <w:tc>
          <w:tcPr>
            <w:tcW w:w="445" w:type="pct"/>
            <w:shd w:val="clear" w:color="auto" w:fill="auto"/>
            <w:noWrap/>
            <w:vAlign w:val="center"/>
            <w:hideMark/>
          </w:tcPr>
          <w:p w14:paraId="461E3D2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84" w:type="pct"/>
            <w:shd w:val="clear" w:color="auto" w:fill="auto"/>
            <w:noWrap/>
            <w:vAlign w:val="center"/>
            <w:hideMark/>
          </w:tcPr>
          <w:p w14:paraId="111C1533"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w:t>
            </w:r>
          </w:p>
        </w:tc>
        <w:tc>
          <w:tcPr>
            <w:tcW w:w="445" w:type="pct"/>
            <w:shd w:val="clear" w:color="auto" w:fill="auto"/>
            <w:noWrap/>
            <w:vAlign w:val="center"/>
            <w:hideMark/>
          </w:tcPr>
          <w:p w14:paraId="7D6602D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w:t>
            </w:r>
          </w:p>
        </w:tc>
        <w:tc>
          <w:tcPr>
            <w:tcW w:w="491" w:type="pct"/>
            <w:shd w:val="clear" w:color="auto" w:fill="auto"/>
            <w:noWrap/>
            <w:vAlign w:val="center"/>
            <w:hideMark/>
          </w:tcPr>
          <w:p w14:paraId="4D86FC1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45</w:t>
            </w:r>
          </w:p>
        </w:tc>
      </w:tr>
      <w:tr w:rsidR="00A10880" w:rsidRPr="00A10880" w14:paraId="01730CE5" w14:textId="77777777" w:rsidTr="0094751D">
        <w:trPr>
          <w:trHeight w:val="20"/>
        </w:trPr>
        <w:tc>
          <w:tcPr>
            <w:tcW w:w="445" w:type="pct"/>
            <w:shd w:val="clear" w:color="auto" w:fill="auto"/>
            <w:noWrap/>
            <w:vAlign w:val="center"/>
            <w:hideMark/>
          </w:tcPr>
          <w:p w14:paraId="6B96CB0D"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2</w:t>
            </w:r>
          </w:p>
        </w:tc>
        <w:tc>
          <w:tcPr>
            <w:tcW w:w="1800" w:type="pct"/>
            <w:shd w:val="clear" w:color="auto" w:fill="auto"/>
            <w:vAlign w:val="center"/>
            <w:hideMark/>
          </w:tcPr>
          <w:p w14:paraId="12F89EBF"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Bola de Futebol de Campo Adulto: Tamanho oficial adulto, confeccionada em PVC e PU, costurada, câmara butil, medindo entre 68-70cm, 410-450 gramas. Com válvula. A marca deve ser ou ter sido aprovada pela confederação Brasileira de futebol (CBF), ou pela Federação Internacional de Futebol (FIFA) ou por, no mínimo, 1 Federação estadual de futebol de campo nacional.</w:t>
            </w:r>
          </w:p>
        </w:tc>
        <w:tc>
          <w:tcPr>
            <w:tcW w:w="445" w:type="pct"/>
            <w:shd w:val="clear" w:color="auto" w:fill="auto"/>
            <w:noWrap/>
            <w:vAlign w:val="center"/>
            <w:hideMark/>
          </w:tcPr>
          <w:p w14:paraId="66EEC3F3"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70E034D0"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30</w:t>
            </w:r>
          </w:p>
        </w:tc>
        <w:tc>
          <w:tcPr>
            <w:tcW w:w="445" w:type="pct"/>
            <w:shd w:val="clear" w:color="auto" w:fill="auto"/>
            <w:noWrap/>
            <w:vAlign w:val="center"/>
            <w:hideMark/>
          </w:tcPr>
          <w:p w14:paraId="6457133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23</w:t>
            </w:r>
          </w:p>
        </w:tc>
        <w:tc>
          <w:tcPr>
            <w:tcW w:w="484" w:type="pct"/>
            <w:shd w:val="clear" w:color="auto" w:fill="auto"/>
            <w:noWrap/>
            <w:vAlign w:val="center"/>
            <w:hideMark/>
          </w:tcPr>
          <w:p w14:paraId="7B88DDF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15</w:t>
            </w:r>
          </w:p>
        </w:tc>
        <w:tc>
          <w:tcPr>
            <w:tcW w:w="445" w:type="pct"/>
            <w:shd w:val="clear" w:color="auto" w:fill="auto"/>
            <w:noWrap/>
            <w:vAlign w:val="center"/>
            <w:hideMark/>
          </w:tcPr>
          <w:p w14:paraId="4CB9889B"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w:t>
            </w:r>
          </w:p>
        </w:tc>
        <w:tc>
          <w:tcPr>
            <w:tcW w:w="491" w:type="pct"/>
            <w:shd w:val="clear" w:color="auto" w:fill="auto"/>
            <w:noWrap/>
            <w:vAlign w:val="center"/>
            <w:hideMark/>
          </w:tcPr>
          <w:p w14:paraId="04BA7DA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75</w:t>
            </w:r>
          </w:p>
        </w:tc>
      </w:tr>
      <w:tr w:rsidR="00A10880" w:rsidRPr="00A10880" w14:paraId="3F387E11" w14:textId="77777777" w:rsidTr="0094751D">
        <w:trPr>
          <w:trHeight w:val="20"/>
        </w:trPr>
        <w:tc>
          <w:tcPr>
            <w:tcW w:w="445" w:type="pct"/>
            <w:shd w:val="clear" w:color="auto" w:fill="auto"/>
            <w:noWrap/>
            <w:vAlign w:val="center"/>
            <w:hideMark/>
          </w:tcPr>
          <w:p w14:paraId="35C25A86"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3</w:t>
            </w:r>
          </w:p>
        </w:tc>
        <w:tc>
          <w:tcPr>
            <w:tcW w:w="1800" w:type="pct"/>
            <w:shd w:val="clear" w:color="auto" w:fill="auto"/>
            <w:vAlign w:val="center"/>
            <w:hideMark/>
          </w:tcPr>
          <w:p w14:paraId="7C179C65"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Bola de Futebol de Salão Adulto: Tamanho oficial Adultol, confeccionada em PVC, dupla laminação, costurada, 30 gomos, com câmara butil, medindo entre 61-64cm, pesando entre 410-440 gramas. Com válvula. A marca deve ser ou ter sido aprovada pela confederação Brasileira de Futebol de salão (CBFS) ou pela Federação Internacional de futebol (FIFA APROVED) ou pela liga Nacional de Futsal, no ano vigente.</w:t>
            </w:r>
          </w:p>
        </w:tc>
        <w:tc>
          <w:tcPr>
            <w:tcW w:w="445" w:type="pct"/>
            <w:shd w:val="clear" w:color="auto" w:fill="auto"/>
            <w:noWrap/>
            <w:vAlign w:val="center"/>
            <w:hideMark/>
          </w:tcPr>
          <w:p w14:paraId="30D7D291"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62B5D28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30</w:t>
            </w:r>
          </w:p>
        </w:tc>
        <w:tc>
          <w:tcPr>
            <w:tcW w:w="445" w:type="pct"/>
            <w:shd w:val="clear" w:color="auto" w:fill="auto"/>
            <w:noWrap/>
            <w:vAlign w:val="center"/>
            <w:hideMark/>
          </w:tcPr>
          <w:p w14:paraId="745A5450"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23</w:t>
            </w:r>
          </w:p>
        </w:tc>
        <w:tc>
          <w:tcPr>
            <w:tcW w:w="484" w:type="pct"/>
            <w:shd w:val="clear" w:color="auto" w:fill="auto"/>
            <w:noWrap/>
            <w:vAlign w:val="center"/>
            <w:hideMark/>
          </w:tcPr>
          <w:p w14:paraId="4861880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15</w:t>
            </w:r>
          </w:p>
        </w:tc>
        <w:tc>
          <w:tcPr>
            <w:tcW w:w="445" w:type="pct"/>
            <w:shd w:val="clear" w:color="auto" w:fill="auto"/>
            <w:noWrap/>
            <w:vAlign w:val="center"/>
            <w:hideMark/>
          </w:tcPr>
          <w:p w14:paraId="60AB93C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w:t>
            </w:r>
          </w:p>
        </w:tc>
        <w:tc>
          <w:tcPr>
            <w:tcW w:w="491" w:type="pct"/>
            <w:shd w:val="clear" w:color="auto" w:fill="auto"/>
            <w:noWrap/>
            <w:vAlign w:val="center"/>
            <w:hideMark/>
          </w:tcPr>
          <w:p w14:paraId="3152594C"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75</w:t>
            </w:r>
          </w:p>
        </w:tc>
      </w:tr>
      <w:tr w:rsidR="00A10880" w:rsidRPr="00A10880" w14:paraId="416E9DAC" w14:textId="77777777" w:rsidTr="0094751D">
        <w:trPr>
          <w:trHeight w:val="20"/>
        </w:trPr>
        <w:tc>
          <w:tcPr>
            <w:tcW w:w="445" w:type="pct"/>
            <w:shd w:val="clear" w:color="auto" w:fill="auto"/>
            <w:noWrap/>
            <w:vAlign w:val="center"/>
            <w:hideMark/>
          </w:tcPr>
          <w:p w14:paraId="75493A9F"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4</w:t>
            </w:r>
          </w:p>
        </w:tc>
        <w:tc>
          <w:tcPr>
            <w:tcW w:w="1800" w:type="pct"/>
            <w:shd w:val="clear" w:color="auto" w:fill="auto"/>
            <w:vAlign w:val="center"/>
            <w:hideMark/>
          </w:tcPr>
          <w:p w14:paraId="155AEDE9"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Bola de Futebol de Areia (beach soccer) oficial, adulto aprovada pela confederação Brasileira de Beach Soccer</w:t>
            </w:r>
          </w:p>
        </w:tc>
        <w:tc>
          <w:tcPr>
            <w:tcW w:w="445" w:type="pct"/>
            <w:shd w:val="clear" w:color="auto" w:fill="auto"/>
            <w:noWrap/>
            <w:vAlign w:val="center"/>
            <w:hideMark/>
          </w:tcPr>
          <w:p w14:paraId="5C65B8C4"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456E2F17"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18</w:t>
            </w:r>
          </w:p>
        </w:tc>
        <w:tc>
          <w:tcPr>
            <w:tcW w:w="445" w:type="pct"/>
            <w:shd w:val="clear" w:color="auto" w:fill="auto"/>
            <w:noWrap/>
            <w:vAlign w:val="center"/>
            <w:hideMark/>
          </w:tcPr>
          <w:p w14:paraId="2F1150C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84" w:type="pct"/>
            <w:shd w:val="clear" w:color="auto" w:fill="auto"/>
            <w:noWrap/>
            <w:vAlign w:val="center"/>
            <w:hideMark/>
          </w:tcPr>
          <w:p w14:paraId="4655EBAB"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w:t>
            </w:r>
          </w:p>
        </w:tc>
        <w:tc>
          <w:tcPr>
            <w:tcW w:w="445" w:type="pct"/>
            <w:shd w:val="clear" w:color="auto" w:fill="auto"/>
            <w:noWrap/>
            <w:vAlign w:val="center"/>
            <w:hideMark/>
          </w:tcPr>
          <w:p w14:paraId="693ECA1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w:t>
            </w:r>
          </w:p>
        </w:tc>
        <w:tc>
          <w:tcPr>
            <w:tcW w:w="491" w:type="pct"/>
            <w:shd w:val="clear" w:color="auto" w:fill="auto"/>
            <w:noWrap/>
            <w:vAlign w:val="center"/>
            <w:hideMark/>
          </w:tcPr>
          <w:p w14:paraId="28DD00A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45</w:t>
            </w:r>
          </w:p>
        </w:tc>
      </w:tr>
      <w:tr w:rsidR="00A10880" w:rsidRPr="00A10880" w14:paraId="7DC8AC28" w14:textId="77777777" w:rsidTr="0094751D">
        <w:trPr>
          <w:trHeight w:val="20"/>
        </w:trPr>
        <w:tc>
          <w:tcPr>
            <w:tcW w:w="445" w:type="pct"/>
            <w:shd w:val="clear" w:color="auto" w:fill="auto"/>
            <w:noWrap/>
            <w:vAlign w:val="center"/>
            <w:hideMark/>
          </w:tcPr>
          <w:p w14:paraId="4BA3A042"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5</w:t>
            </w:r>
          </w:p>
        </w:tc>
        <w:tc>
          <w:tcPr>
            <w:tcW w:w="1800" w:type="pct"/>
            <w:shd w:val="clear" w:color="auto" w:fill="auto"/>
            <w:vAlign w:val="center"/>
            <w:hideMark/>
          </w:tcPr>
          <w:p w14:paraId="5F47D679"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Bola de Vôlei oficial, vulcanizada, categoria adulta, confeccionada em microfibra, câmara de butil, miolo removível, sistema auto lubrificado, peso entre 260 e 280 gramas e circunferência entre 65 e 67 cm.</w:t>
            </w:r>
          </w:p>
        </w:tc>
        <w:tc>
          <w:tcPr>
            <w:tcW w:w="445" w:type="pct"/>
            <w:shd w:val="clear" w:color="auto" w:fill="auto"/>
            <w:noWrap/>
            <w:vAlign w:val="center"/>
            <w:hideMark/>
          </w:tcPr>
          <w:p w14:paraId="61FBB945"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10FF79B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10</w:t>
            </w:r>
          </w:p>
        </w:tc>
        <w:tc>
          <w:tcPr>
            <w:tcW w:w="445" w:type="pct"/>
            <w:shd w:val="clear" w:color="auto" w:fill="auto"/>
            <w:noWrap/>
            <w:vAlign w:val="center"/>
            <w:hideMark/>
          </w:tcPr>
          <w:p w14:paraId="33EC24D0"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8</w:t>
            </w:r>
          </w:p>
        </w:tc>
        <w:tc>
          <w:tcPr>
            <w:tcW w:w="484" w:type="pct"/>
            <w:shd w:val="clear" w:color="auto" w:fill="auto"/>
            <w:noWrap/>
            <w:vAlign w:val="center"/>
            <w:hideMark/>
          </w:tcPr>
          <w:p w14:paraId="054D0B2B"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77B22EA9"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09B4F28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25</w:t>
            </w:r>
          </w:p>
        </w:tc>
      </w:tr>
      <w:tr w:rsidR="00A10880" w:rsidRPr="00A10880" w14:paraId="483B1C94" w14:textId="77777777" w:rsidTr="0094751D">
        <w:trPr>
          <w:trHeight w:val="20"/>
        </w:trPr>
        <w:tc>
          <w:tcPr>
            <w:tcW w:w="445" w:type="pct"/>
            <w:shd w:val="clear" w:color="auto" w:fill="auto"/>
            <w:noWrap/>
            <w:vAlign w:val="center"/>
            <w:hideMark/>
          </w:tcPr>
          <w:p w14:paraId="1681848D"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6</w:t>
            </w:r>
          </w:p>
        </w:tc>
        <w:tc>
          <w:tcPr>
            <w:tcW w:w="1800" w:type="pct"/>
            <w:shd w:val="clear" w:color="auto" w:fill="auto"/>
            <w:vAlign w:val="center"/>
            <w:hideMark/>
          </w:tcPr>
          <w:p w14:paraId="01C6DF2E"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Bola de Basquete Adulto Unissex:, confeccionada em Borracha Moldada/câmara de Buti/mioloRemovível, medindo entre 75-76cm, pesando entre 567 e 623 gramas. Com válvula. A marca deve ser ou ter sido aprovada pela Confederação Brasileira de Basquete ou por, no mínimo, 1 Federação Estadual de Basquete nacional.</w:t>
            </w:r>
          </w:p>
        </w:tc>
        <w:tc>
          <w:tcPr>
            <w:tcW w:w="445" w:type="pct"/>
            <w:shd w:val="clear" w:color="auto" w:fill="auto"/>
            <w:noWrap/>
            <w:vAlign w:val="center"/>
            <w:hideMark/>
          </w:tcPr>
          <w:p w14:paraId="456CA5E7"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74255F9D"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18</w:t>
            </w:r>
          </w:p>
        </w:tc>
        <w:tc>
          <w:tcPr>
            <w:tcW w:w="445" w:type="pct"/>
            <w:shd w:val="clear" w:color="auto" w:fill="auto"/>
            <w:noWrap/>
            <w:vAlign w:val="center"/>
            <w:hideMark/>
          </w:tcPr>
          <w:p w14:paraId="58D212E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84" w:type="pct"/>
            <w:shd w:val="clear" w:color="auto" w:fill="auto"/>
            <w:noWrap/>
            <w:vAlign w:val="center"/>
            <w:hideMark/>
          </w:tcPr>
          <w:p w14:paraId="0E2D08E9"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w:t>
            </w:r>
          </w:p>
        </w:tc>
        <w:tc>
          <w:tcPr>
            <w:tcW w:w="445" w:type="pct"/>
            <w:shd w:val="clear" w:color="auto" w:fill="auto"/>
            <w:noWrap/>
            <w:vAlign w:val="center"/>
            <w:hideMark/>
          </w:tcPr>
          <w:p w14:paraId="70BB7AF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w:t>
            </w:r>
          </w:p>
        </w:tc>
        <w:tc>
          <w:tcPr>
            <w:tcW w:w="491" w:type="pct"/>
            <w:shd w:val="clear" w:color="auto" w:fill="auto"/>
            <w:noWrap/>
            <w:vAlign w:val="center"/>
            <w:hideMark/>
          </w:tcPr>
          <w:p w14:paraId="6368D83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45</w:t>
            </w:r>
          </w:p>
        </w:tc>
      </w:tr>
      <w:tr w:rsidR="00A10880" w:rsidRPr="00A10880" w14:paraId="2F9BCB09" w14:textId="77777777" w:rsidTr="0094751D">
        <w:trPr>
          <w:trHeight w:val="20"/>
        </w:trPr>
        <w:tc>
          <w:tcPr>
            <w:tcW w:w="445" w:type="pct"/>
            <w:shd w:val="clear" w:color="auto" w:fill="auto"/>
            <w:noWrap/>
            <w:vAlign w:val="center"/>
            <w:hideMark/>
          </w:tcPr>
          <w:p w14:paraId="1EC443DE"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7</w:t>
            </w:r>
          </w:p>
        </w:tc>
        <w:tc>
          <w:tcPr>
            <w:tcW w:w="1800" w:type="pct"/>
            <w:shd w:val="clear" w:color="auto" w:fill="auto"/>
            <w:vAlign w:val="center"/>
            <w:hideMark/>
          </w:tcPr>
          <w:p w14:paraId="6A6C56EA"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Bomba de Ar com sistema de dupla ação que infla e libera o ar nos dois sentidos, com com mangueira flexível e bico 1 bico de metal para bolas</w:t>
            </w:r>
          </w:p>
        </w:tc>
        <w:tc>
          <w:tcPr>
            <w:tcW w:w="445" w:type="pct"/>
            <w:shd w:val="clear" w:color="auto" w:fill="auto"/>
            <w:noWrap/>
            <w:vAlign w:val="center"/>
            <w:hideMark/>
          </w:tcPr>
          <w:p w14:paraId="594F42D9"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50C451A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10</w:t>
            </w:r>
          </w:p>
        </w:tc>
        <w:tc>
          <w:tcPr>
            <w:tcW w:w="445" w:type="pct"/>
            <w:shd w:val="clear" w:color="auto" w:fill="auto"/>
            <w:noWrap/>
            <w:vAlign w:val="center"/>
            <w:hideMark/>
          </w:tcPr>
          <w:p w14:paraId="167C5C5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8</w:t>
            </w:r>
          </w:p>
        </w:tc>
        <w:tc>
          <w:tcPr>
            <w:tcW w:w="484" w:type="pct"/>
            <w:shd w:val="clear" w:color="auto" w:fill="auto"/>
            <w:noWrap/>
            <w:vAlign w:val="center"/>
            <w:hideMark/>
          </w:tcPr>
          <w:p w14:paraId="3BEE4633"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3F07E3E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2CBED270"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25</w:t>
            </w:r>
          </w:p>
        </w:tc>
      </w:tr>
      <w:tr w:rsidR="00A10880" w:rsidRPr="00A10880" w14:paraId="02F3F217" w14:textId="77777777" w:rsidTr="0094751D">
        <w:trPr>
          <w:trHeight w:val="20"/>
        </w:trPr>
        <w:tc>
          <w:tcPr>
            <w:tcW w:w="445" w:type="pct"/>
            <w:shd w:val="clear" w:color="auto" w:fill="auto"/>
            <w:noWrap/>
            <w:vAlign w:val="center"/>
            <w:hideMark/>
          </w:tcPr>
          <w:p w14:paraId="06C8E287"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8</w:t>
            </w:r>
          </w:p>
        </w:tc>
        <w:tc>
          <w:tcPr>
            <w:tcW w:w="1800" w:type="pct"/>
            <w:shd w:val="clear" w:color="auto" w:fill="auto"/>
            <w:vAlign w:val="center"/>
            <w:hideMark/>
          </w:tcPr>
          <w:p w14:paraId="63A708BE"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Calibrador Digital Original Precisão: +ou- 1% da escala Resolução: 0.05 Libras/Pol² Escala: 0.05 a 19,95 Libras/Pol²Temperatura Operacional: -10 °C a 40 °C Consumo de Energia: 4 MW Bateria: CR2092 PSI: LBS</w:t>
            </w:r>
          </w:p>
        </w:tc>
        <w:tc>
          <w:tcPr>
            <w:tcW w:w="445" w:type="pct"/>
            <w:shd w:val="clear" w:color="auto" w:fill="auto"/>
            <w:noWrap/>
            <w:vAlign w:val="center"/>
            <w:hideMark/>
          </w:tcPr>
          <w:p w14:paraId="1A07479A"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2452ABF9"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45" w:type="pct"/>
            <w:shd w:val="clear" w:color="auto" w:fill="auto"/>
            <w:noWrap/>
            <w:vAlign w:val="center"/>
            <w:hideMark/>
          </w:tcPr>
          <w:p w14:paraId="129C3EC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84" w:type="pct"/>
            <w:shd w:val="clear" w:color="auto" w:fill="auto"/>
            <w:noWrap/>
            <w:vAlign w:val="center"/>
            <w:hideMark/>
          </w:tcPr>
          <w:p w14:paraId="0F224C6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w:t>
            </w:r>
          </w:p>
        </w:tc>
        <w:tc>
          <w:tcPr>
            <w:tcW w:w="445" w:type="pct"/>
            <w:shd w:val="clear" w:color="auto" w:fill="auto"/>
            <w:noWrap/>
            <w:vAlign w:val="center"/>
            <w:hideMark/>
          </w:tcPr>
          <w:p w14:paraId="31D94CDB"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0</w:t>
            </w:r>
          </w:p>
        </w:tc>
        <w:tc>
          <w:tcPr>
            <w:tcW w:w="491" w:type="pct"/>
            <w:shd w:val="clear" w:color="auto" w:fill="auto"/>
            <w:noWrap/>
            <w:vAlign w:val="center"/>
            <w:hideMark/>
          </w:tcPr>
          <w:p w14:paraId="78662DB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r>
      <w:tr w:rsidR="00A10880" w:rsidRPr="00A10880" w14:paraId="4F5F79C8" w14:textId="77777777" w:rsidTr="0094751D">
        <w:trPr>
          <w:trHeight w:val="20"/>
        </w:trPr>
        <w:tc>
          <w:tcPr>
            <w:tcW w:w="445" w:type="pct"/>
            <w:shd w:val="clear" w:color="auto" w:fill="auto"/>
            <w:noWrap/>
            <w:vAlign w:val="center"/>
            <w:hideMark/>
          </w:tcPr>
          <w:p w14:paraId="639B0989"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9</w:t>
            </w:r>
          </w:p>
        </w:tc>
        <w:tc>
          <w:tcPr>
            <w:tcW w:w="1800" w:type="pct"/>
            <w:shd w:val="clear" w:color="auto" w:fill="auto"/>
            <w:vAlign w:val="center"/>
            <w:hideMark/>
          </w:tcPr>
          <w:p w14:paraId="4DC9BAEA"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Cronometro Digital Profissional com despertador, hora e alarme.</w:t>
            </w:r>
          </w:p>
        </w:tc>
        <w:tc>
          <w:tcPr>
            <w:tcW w:w="445" w:type="pct"/>
            <w:shd w:val="clear" w:color="auto" w:fill="auto"/>
            <w:noWrap/>
            <w:vAlign w:val="center"/>
            <w:hideMark/>
          </w:tcPr>
          <w:p w14:paraId="4F14944C"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638A1A0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10</w:t>
            </w:r>
          </w:p>
        </w:tc>
        <w:tc>
          <w:tcPr>
            <w:tcW w:w="445" w:type="pct"/>
            <w:shd w:val="clear" w:color="auto" w:fill="auto"/>
            <w:noWrap/>
            <w:vAlign w:val="center"/>
            <w:hideMark/>
          </w:tcPr>
          <w:p w14:paraId="4415400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8</w:t>
            </w:r>
          </w:p>
        </w:tc>
        <w:tc>
          <w:tcPr>
            <w:tcW w:w="484" w:type="pct"/>
            <w:shd w:val="clear" w:color="auto" w:fill="auto"/>
            <w:noWrap/>
            <w:vAlign w:val="center"/>
            <w:hideMark/>
          </w:tcPr>
          <w:p w14:paraId="7E46434D"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6890DD5A"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1888B39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25</w:t>
            </w:r>
          </w:p>
        </w:tc>
      </w:tr>
      <w:tr w:rsidR="00A10880" w:rsidRPr="00A10880" w14:paraId="0B7A3FE1" w14:textId="77777777" w:rsidTr="0094751D">
        <w:trPr>
          <w:trHeight w:val="20"/>
        </w:trPr>
        <w:tc>
          <w:tcPr>
            <w:tcW w:w="445" w:type="pct"/>
            <w:shd w:val="clear" w:color="auto" w:fill="auto"/>
            <w:noWrap/>
            <w:vAlign w:val="center"/>
            <w:hideMark/>
          </w:tcPr>
          <w:p w14:paraId="1CCFCF24"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10</w:t>
            </w:r>
          </w:p>
        </w:tc>
        <w:tc>
          <w:tcPr>
            <w:tcW w:w="1800" w:type="pct"/>
            <w:shd w:val="clear" w:color="auto" w:fill="auto"/>
            <w:noWrap/>
            <w:vAlign w:val="center"/>
            <w:hideMark/>
          </w:tcPr>
          <w:p w14:paraId="6B4A579D"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Cone Médio em PVC, sedo tamanho 50cm</w:t>
            </w:r>
          </w:p>
        </w:tc>
        <w:tc>
          <w:tcPr>
            <w:tcW w:w="445" w:type="pct"/>
            <w:shd w:val="clear" w:color="auto" w:fill="auto"/>
            <w:noWrap/>
            <w:vAlign w:val="center"/>
            <w:hideMark/>
          </w:tcPr>
          <w:p w14:paraId="1E102370"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6C2C4DD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58</w:t>
            </w:r>
          </w:p>
        </w:tc>
        <w:tc>
          <w:tcPr>
            <w:tcW w:w="445" w:type="pct"/>
            <w:shd w:val="clear" w:color="auto" w:fill="auto"/>
            <w:noWrap/>
            <w:vAlign w:val="center"/>
            <w:hideMark/>
          </w:tcPr>
          <w:p w14:paraId="7AB2F5E3"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44</w:t>
            </w:r>
          </w:p>
        </w:tc>
        <w:tc>
          <w:tcPr>
            <w:tcW w:w="484" w:type="pct"/>
            <w:shd w:val="clear" w:color="auto" w:fill="auto"/>
            <w:noWrap/>
            <w:vAlign w:val="center"/>
            <w:hideMark/>
          </w:tcPr>
          <w:p w14:paraId="3E8FFC1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29</w:t>
            </w:r>
          </w:p>
        </w:tc>
        <w:tc>
          <w:tcPr>
            <w:tcW w:w="445" w:type="pct"/>
            <w:shd w:val="clear" w:color="auto" w:fill="auto"/>
            <w:noWrap/>
            <w:vAlign w:val="center"/>
            <w:hideMark/>
          </w:tcPr>
          <w:p w14:paraId="34C6536C"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91" w:type="pct"/>
            <w:shd w:val="clear" w:color="auto" w:fill="auto"/>
            <w:noWrap/>
            <w:vAlign w:val="center"/>
            <w:hideMark/>
          </w:tcPr>
          <w:p w14:paraId="377B2D0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145</w:t>
            </w:r>
          </w:p>
        </w:tc>
      </w:tr>
      <w:tr w:rsidR="00A10880" w:rsidRPr="00A10880" w14:paraId="60F26A67" w14:textId="77777777" w:rsidTr="0094751D">
        <w:trPr>
          <w:trHeight w:val="20"/>
        </w:trPr>
        <w:tc>
          <w:tcPr>
            <w:tcW w:w="445" w:type="pct"/>
            <w:shd w:val="clear" w:color="auto" w:fill="auto"/>
            <w:noWrap/>
            <w:vAlign w:val="center"/>
            <w:hideMark/>
          </w:tcPr>
          <w:p w14:paraId="6BF15D46"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11</w:t>
            </w:r>
          </w:p>
        </w:tc>
        <w:tc>
          <w:tcPr>
            <w:tcW w:w="1800" w:type="pct"/>
            <w:shd w:val="clear" w:color="auto" w:fill="auto"/>
            <w:noWrap/>
            <w:vAlign w:val="center"/>
            <w:hideMark/>
          </w:tcPr>
          <w:p w14:paraId="25942BA9"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Cone pequeno, em PVC, sendo tamanho 24 cm</w:t>
            </w:r>
          </w:p>
        </w:tc>
        <w:tc>
          <w:tcPr>
            <w:tcW w:w="445" w:type="pct"/>
            <w:shd w:val="clear" w:color="auto" w:fill="auto"/>
            <w:noWrap/>
            <w:vAlign w:val="center"/>
            <w:hideMark/>
          </w:tcPr>
          <w:p w14:paraId="405BB528"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1941934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78</w:t>
            </w:r>
          </w:p>
        </w:tc>
        <w:tc>
          <w:tcPr>
            <w:tcW w:w="445" w:type="pct"/>
            <w:shd w:val="clear" w:color="auto" w:fill="auto"/>
            <w:noWrap/>
            <w:vAlign w:val="center"/>
            <w:hideMark/>
          </w:tcPr>
          <w:p w14:paraId="03BCCDAA"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59</w:t>
            </w:r>
          </w:p>
        </w:tc>
        <w:tc>
          <w:tcPr>
            <w:tcW w:w="484" w:type="pct"/>
            <w:shd w:val="clear" w:color="auto" w:fill="auto"/>
            <w:noWrap/>
            <w:vAlign w:val="center"/>
            <w:hideMark/>
          </w:tcPr>
          <w:p w14:paraId="7D2A9A5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39</w:t>
            </w:r>
          </w:p>
        </w:tc>
        <w:tc>
          <w:tcPr>
            <w:tcW w:w="445" w:type="pct"/>
            <w:shd w:val="clear" w:color="auto" w:fill="auto"/>
            <w:noWrap/>
            <w:vAlign w:val="center"/>
            <w:hideMark/>
          </w:tcPr>
          <w:p w14:paraId="666F120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19</w:t>
            </w:r>
          </w:p>
        </w:tc>
        <w:tc>
          <w:tcPr>
            <w:tcW w:w="491" w:type="pct"/>
            <w:shd w:val="clear" w:color="auto" w:fill="auto"/>
            <w:noWrap/>
            <w:vAlign w:val="center"/>
            <w:hideMark/>
          </w:tcPr>
          <w:p w14:paraId="4E13997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195</w:t>
            </w:r>
          </w:p>
        </w:tc>
      </w:tr>
      <w:tr w:rsidR="00A10880" w:rsidRPr="00A10880" w14:paraId="0863F067" w14:textId="77777777" w:rsidTr="0094751D">
        <w:trPr>
          <w:trHeight w:val="20"/>
        </w:trPr>
        <w:tc>
          <w:tcPr>
            <w:tcW w:w="445" w:type="pct"/>
            <w:shd w:val="clear" w:color="auto" w:fill="auto"/>
            <w:noWrap/>
            <w:vAlign w:val="center"/>
            <w:hideMark/>
          </w:tcPr>
          <w:p w14:paraId="4EE8CFE7"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12</w:t>
            </w:r>
          </w:p>
        </w:tc>
        <w:tc>
          <w:tcPr>
            <w:tcW w:w="1800" w:type="pct"/>
            <w:shd w:val="clear" w:color="auto" w:fill="auto"/>
            <w:vAlign w:val="center"/>
            <w:hideMark/>
          </w:tcPr>
          <w:p w14:paraId="547CACA1"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Cone Chinês para Treino Funcional Agilidade feito em PVC flexível</w:t>
            </w:r>
          </w:p>
        </w:tc>
        <w:tc>
          <w:tcPr>
            <w:tcW w:w="445" w:type="pct"/>
            <w:shd w:val="clear" w:color="auto" w:fill="auto"/>
            <w:noWrap/>
            <w:vAlign w:val="center"/>
            <w:hideMark/>
          </w:tcPr>
          <w:p w14:paraId="4DF782EA"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2B66307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78</w:t>
            </w:r>
          </w:p>
        </w:tc>
        <w:tc>
          <w:tcPr>
            <w:tcW w:w="445" w:type="pct"/>
            <w:shd w:val="clear" w:color="auto" w:fill="auto"/>
            <w:noWrap/>
            <w:vAlign w:val="center"/>
            <w:hideMark/>
          </w:tcPr>
          <w:p w14:paraId="0A5DF67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59</w:t>
            </w:r>
          </w:p>
        </w:tc>
        <w:tc>
          <w:tcPr>
            <w:tcW w:w="484" w:type="pct"/>
            <w:shd w:val="clear" w:color="auto" w:fill="auto"/>
            <w:noWrap/>
            <w:vAlign w:val="center"/>
            <w:hideMark/>
          </w:tcPr>
          <w:p w14:paraId="51C4CD4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39</w:t>
            </w:r>
          </w:p>
        </w:tc>
        <w:tc>
          <w:tcPr>
            <w:tcW w:w="445" w:type="pct"/>
            <w:shd w:val="clear" w:color="auto" w:fill="auto"/>
            <w:noWrap/>
            <w:vAlign w:val="center"/>
            <w:hideMark/>
          </w:tcPr>
          <w:p w14:paraId="06050B45"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19</w:t>
            </w:r>
          </w:p>
        </w:tc>
        <w:tc>
          <w:tcPr>
            <w:tcW w:w="491" w:type="pct"/>
            <w:shd w:val="clear" w:color="auto" w:fill="auto"/>
            <w:noWrap/>
            <w:vAlign w:val="center"/>
            <w:hideMark/>
          </w:tcPr>
          <w:p w14:paraId="0A8E190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195</w:t>
            </w:r>
          </w:p>
        </w:tc>
      </w:tr>
      <w:tr w:rsidR="00A10880" w:rsidRPr="00A10880" w14:paraId="3915DE46" w14:textId="77777777" w:rsidTr="0094751D">
        <w:trPr>
          <w:trHeight w:val="20"/>
        </w:trPr>
        <w:tc>
          <w:tcPr>
            <w:tcW w:w="445" w:type="pct"/>
            <w:shd w:val="clear" w:color="auto" w:fill="auto"/>
            <w:noWrap/>
            <w:vAlign w:val="center"/>
            <w:hideMark/>
          </w:tcPr>
          <w:p w14:paraId="7D0A4960"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lastRenderedPageBreak/>
              <w:t>13</w:t>
            </w:r>
          </w:p>
        </w:tc>
        <w:tc>
          <w:tcPr>
            <w:tcW w:w="1800" w:type="pct"/>
            <w:shd w:val="clear" w:color="auto" w:fill="auto"/>
            <w:vAlign w:val="center"/>
            <w:hideMark/>
          </w:tcPr>
          <w:p w14:paraId="0EADDD4A"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Kit Barreiras com 06 Cones demarcatórios perfurado com Barreiras Agilidade Treino</w:t>
            </w:r>
          </w:p>
        </w:tc>
        <w:tc>
          <w:tcPr>
            <w:tcW w:w="445" w:type="pct"/>
            <w:shd w:val="clear" w:color="auto" w:fill="auto"/>
            <w:noWrap/>
            <w:vAlign w:val="center"/>
            <w:hideMark/>
          </w:tcPr>
          <w:p w14:paraId="3F0F2BA3"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 xml:space="preserve">KIT </w:t>
            </w:r>
          </w:p>
        </w:tc>
        <w:tc>
          <w:tcPr>
            <w:tcW w:w="445" w:type="pct"/>
            <w:shd w:val="clear" w:color="auto" w:fill="auto"/>
            <w:noWrap/>
            <w:vAlign w:val="center"/>
            <w:hideMark/>
          </w:tcPr>
          <w:p w14:paraId="4409D83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6</w:t>
            </w:r>
          </w:p>
        </w:tc>
        <w:tc>
          <w:tcPr>
            <w:tcW w:w="445" w:type="pct"/>
            <w:shd w:val="clear" w:color="auto" w:fill="auto"/>
            <w:noWrap/>
            <w:vAlign w:val="center"/>
            <w:hideMark/>
          </w:tcPr>
          <w:p w14:paraId="48B7B0A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84" w:type="pct"/>
            <w:shd w:val="clear" w:color="auto" w:fill="auto"/>
            <w:noWrap/>
            <w:vAlign w:val="center"/>
            <w:hideMark/>
          </w:tcPr>
          <w:p w14:paraId="4A01FE1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w:t>
            </w:r>
          </w:p>
        </w:tc>
        <w:tc>
          <w:tcPr>
            <w:tcW w:w="445" w:type="pct"/>
            <w:shd w:val="clear" w:color="auto" w:fill="auto"/>
            <w:noWrap/>
            <w:vAlign w:val="center"/>
            <w:hideMark/>
          </w:tcPr>
          <w:p w14:paraId="497DB45D"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w:t>
            </w:r>
          </w:p>
        </w:tc>
        <w:tc>
          <w:tcPr>
            <w:tcW w:w="491" w:type="pct"/>
            <w:shd w:val="clear" w:color="auto" w:fill="auto"/>
            <w:noWrap/>
            <w:vAlign w:val="center"/>
            <w:hideMark/>
          </w:tcPr>
          <w:p w14:paraId="767D1EDC"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15</w:t>
            </w:r>
          </w:p>
        </w:tc>
      </w:tr>
      <w:tr w:rsidR="00A10880" w:rsidRPr="00A10880" w14:paraId="1EB60325" w14:textId="77777777" w:rsidTr="0094751D">
        <w:trPr>
          <w:trHeight w:val="20"/>
        </w:trPr>
        <w:tc>
          <w:tcPr>
            <w:tcW w:w="445" w:type="pct"/>
            <w:shd w:val="clear" w:color="auto" w:fill="auto"/>
            <w:noWrap/>
            <w:vAlign w:val="center"/>
            <w:hideMark/>
          </w:tcPr>
          <w:p w14:paraId="16FD031E"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14</w:t>
            </w:r>
          </w:p>
        </w:tc>
        <w:tc>
          <w:tcPr>
            <w:tcW w:w="1800" w:type="pct"/>
            <w:shd w:val="clear" w:color="auto" w:fill="auto"/>
            <w:vAlign w:val="center"/>
            <w:hideMark/>
          </w:tcPr>
          <w:p w14:paraId="036D47A8"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Escada para circuito e treinamento de agilidade foi desenvolvida com 9 degraus. características. cor: amarela. lavável: sim. principais benefícios: indicada para treinamento de agilidade e coordenação motora. material: nylon. dimensões: aproximadamente 3,95x0,58cm (cxl). peso: 300g. garantia: contra defeitos de fabricação.</w:t>
            </w:r>
          </w:p>
        </w:tc>
        <w:tc>
          <w:tcPr>
            <w:tcW w:w="445" w:type="pct"/>
            <w:shd w:val="clear" w:color="auto" w:fill="auto"/>
            <w:noWrap/>
            <w:vAlign w:val="center"/>
            <w:hideMark/>
          </w:tcPr>
          <w:p w14:paraId="12629C86"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6C1B85C3"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45" w:type="pct"/>
            <w:shd w:val="clear" w:color="auto" w:fill="auto"/>
            <w:noWrap/>
            <w:vAlign w:val="center"/>
            <w:hideMark/>
          </w:tcPr>
          <w:p w14:paraId="76E775C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84" w:type="pct"/>
            <w:shd w:val="clear" w:color="auto" w:fill="auto"/>
            <w:noWrap/>
            <w:vAlign w:val="center"/>
            <w:hideMark/>
          </w:tcPr>
          <w:p w14:paraId="289F7CAA"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w:t>
            </w:r>
          </w:p>
        </w:tc>
        <w:tc>
          <w:tcPr>
            <w:tcW w:w="445" w:type="pct"/>
            <w:shd w:val="clear" w:color="auto" w:fill="auto"/>
            <w:noWrap/>
            <w:vAlign w:val="center"/>
            <w:hideMark/>
          </w:tcPr>
          <w:p w14:paraId="097E3FFB"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0</w:t>
            </w:r>
          </w:p>
        </w:tc>
        <w:tc>
          <w:tcPr>
            <w:tcW w:w="491" w:type="pct"/>
            <w:shd w:val="clear" w:color="auto" w:fill="auto"/>
            <w:noWrap/>
            <w:vAlign w:val="center"/>
            <w:hideMark/>
          </w:tcPr>
          <w:p w14:paraId="4B6938D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r>
      <w:tr w:rsidR="00A10880" w:rsidRPr="00A10880" w14:paraId="3CEF0B26" w14:textId="77777777" w:rsidTr="0094751D">
        <w:trPr>
          <w:trHeight w:val="20"/>
        </w:trPr>
        <w:tc>
          <w:tcPr>
            <w:tcW w:w="445" w:type="pct"/>
            <w:shd w:val="clear" w:color="auto" w:fill="auto"/>
            <w:noWrap/>
            <w:vAlign w:val="center"/>
            <w:hideMark/>
          </w:tcPr>
          <w:p w14:paraId="47A36C05"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15</w:t>
            </w:r>
          </w:p>
        </w:tc>
        <w:tc>
          <w:tcPr>
            <w:tcW w:w="1800" w:type="pct"/>
            <w:shd w:val="clear" w:color="auto" w:fill="auto"/>
            <w:vAlign w:val="center"/>
            <w:hideMark/>
          </w:tcPr>
          <w:p w14:paraId="6373E3E4"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Corda de pular confeccionada em nylon ou sisal, tendo empunhadura de madeira ou plástico e med. 3m de comprimento</w:t>
            </w:r>
          </w:p>
        </w:tc>
        <w:tc>
          <w:tcPr>
            <w:tcW w:w="445" w:type="pct"/>
            <w:shd w:val="clear" w:color="auto" w:fill="auto"/>
            <w:noWrap/>
            <w:vAlign w:val="center"/>
            <w:hideMark/>
          </w:tcPr>
          <w:p w14:paraId="6FFA8721"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791EED0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46</w:t>
            </w:r>
          </w:p>
        </w:tc>
        <w:tc>
          <w:tcPr>
            <w:tcW w:w="445" w:type="pct"/>
            <w:shd w:val="clear" w:color="auto" w:fill="auto"/>
            <w:noWrap/>
            <w:vAlign w:val="center"/>
            <w:hideMark/>
          </w:tcPr>
          <w:p w14:paraId="32772E7C"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35</w:t>
            </w:r>
          </w:p>
        </w:tc>
        <w:tc>
          <w:tcPr>
            <w:tcW w:w="484" w:type="pct"/>
            <w:shd w:val="clear" w:color="auto" w:fill="auto"/>
            <w:noWrap/>
            <w:vAlign w:val="center"/>
            <w:hideMark/>
          </w:tcPr>
          <w:p w14:paraId="213F0CE9"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23</w:t>
            </w:r>
          </w:p>
        </w:tc>
        <w:tc>
          <w:tcPr>
            <w:tcW w:w="445" w:type="pct"/>
            <w:shd w:val="clear" w:color="auto" w:fill="auto"/>
            <w:noWrap/>
            <w:vAlign w:val="center"/>
            <w:hideMark/>
          </w:tcPr>
          <w:p w14:paraId="0ADF138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11</w:t>
            </w:r>
          </w:p>
        </w:tc>
        <w:tc>
          <w:tcPr>
            <w:tcW w:w="491" w:type="pct"/>
            <w:shd w:val="clear" w:color="auto" w:fill="auto"/>
            <w:noWrap/>
            <w:vAlign w:val="center"/>
            <w:hideMark/>
          </w:tcPr>
          <w:p w14:paraId="2AFCBD1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115</w:t>
            </w:r>
          </w:p>
        </w:tc>
      </w:tr>
      <w:tr w:rsidR="00A10880" w:rsidRPr="00A10880" w14:paraId="4825992B" w14:textId="77777777" w:rsidTr="0094751D">
        <w:trPr>
          <w:trHeight w:val="20"/>
        </w:trPr>
        <w:tc>
          <w:tcPr>
            <w:tcW w:w="445" w:type="pct"/>
            <w:shd w:val="clear" w:color="auto" w:fill="auto"/>
            <w:noWrap/>
            <w:vAlign w:val="center"/>
            <w:hideMark/>
          </w:tcPr>
          <w:p w14:paraId="398B8AF2"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16</w:t>
            </w:r>
          </w:p>
        </w:tc>
        <w:tc>
          <w:tcPr>
            <w:tcW w:w="1800" w:type="pct"/>
            <w:shd w:val="clear" w:color="auto" w:fill="auto"/>
            <w:vAlign w:val="center"/>
            <w:hideMark/>
          </w:tcPr>
          <w:p w14:paraId="395E2D19"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Fita para marcação do Beach Soccer 27 x 38 m</w:t>
            </w:r>
          </w:p>
        </w:tc>
        <w:tc>
          <w:tcPr>
            <w:tcW w:w="445" w:type="pct"/>
            <w:shd w:val="clear" w:color="auto" w:fill="auto"/>
            <w:noWrap/>
            <w:vAlign w:val="center"/>
            <w:hideMark/>
          </w:tcPr>
          <w:p w14:paraId="6CF4E0FC"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096819A3"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w:t>
            </w:r>
          </w:p>
        </w:tc>
        <w:tc>
          <w:tcPr>
            <w:tcW w:w="445" w:type="pct"/>
            <w:shd w:val="clear" w:color="auto" w:fill="auto"/>
            <w:noWrap/>
            <w:vAlign w:val="center"/>
            <w:hideMark/>
          </w:tcPr>
          <w:p w14:paraId="79AC3FE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w:t>
            </w:r>
          </w:p>
        </w:tc>
        <w:tc>
          <w:tcPr>
            <w:tcW w:w="484" w:type="pct"/>
            <w:shd w:val="clear" w:color="auto" w:fill="auto"/>
            <w:noWrap/>
            <w:vAlign w:val="center"/>
            <w:hideMark/>
          </w:tcPr>
          <w:p w14:paraId="601B876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w:t>
            </w:r>
          </w:p>
        </w:tc>
        <w:tc>
          <w:tcPr>
            <w:tcW w:w="445" w:type="pct"/>
            <w:shd w:val="clear" w:color="auto" w:fill="auto"/>
            <w:noWrap/>
            <w:vAlign w:val="center"/>
            <w:hideMark/>
          </w:tcPr>
          <w:p w14:paraId="1B25A32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0</w:t>
            </w:r>
          </w:p>
        </w:tc>
        <w:tc>
          <w:tcPr>
            <w:tcW w:w="491" w:type="pct"/>
            <w:shd w:val="clear" w:color="auto" w:fill="auto"/>
            <w:noWrap/>
            <w:vAlign w:val="center"/>
            <w:hideMark/>
          </w:tcPr>
          <w:p w14:paraId="0DEFEB6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w:t>
            </w:r>
          </w:p>
        </w:tc>
      </w:tr>
      <w:tr w:rsidR="00A10880" w:rsidRPr="00A10880" w14:paraId="212246C3" w14:textId="77777777" w:rsidTr="0094751D">
        <w:trPr>
          <w:trHeight w:val="20"/>
        </w:trPr>
        <w:tc>
          <w:tcPr>
            <w:tcW w:w="445" w:type="pct"/>
            <w:shd w:val="clear" w:color="auto" w:fill="auto"/>
            <w:noWrap/>
            <w:vAlign w:val="center"/>
            <w:hideMark/>
          </w:tcPr>
          <w:p w14:paraId="6571D18C"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17</w:t>
            </w:r>
          </w:p>
        </w:tc>
        <w:tc>
          <w:tcPr>
            <w:tcW w:w="1800" w:type="pct"/>
            <w:shd w:val="clear" w:color="auto" w:fill="auto"/>
            <w:vAlign w:val="center"/>
            <w:hideMark/>
          </w:tcPr>
          <w:p w14:paraId="5A80DA46"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Rede Futebol de Campo: Oficial para trave, medidas oficiais, confeccionada em polietileno (Nylon) de alta densidade, fio 5, malha 16x16. Medida padrão: 7,55m x 2,44m, modelo tradicional marca scalibu</w:t>
            </w:r>
          </w:p>
        </w:tc>
        <w:tc>
          <w:tcPr>
            <w:tcW w:w="445" w:type="pct"/>
            <w:shd w:val="clear" w:color="auto" w:fill="auto"/>
            <w:noWrap/>
            <w:vAlign w:val="center"/>
            <w:hideMark/>
          </w:tcPr>
          <w:p w14:paraId="1C429748"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 xml:space="preserve">PARES </w:t>
            </w:r>
          </w:p>
        </w:tc>
        <w:tc>
          <w:tcPr>
            <w:tcW w:w="445" w:type="pct"/>
            <w:shd w:val="clear" w:color="auto" w:fill="auto"/>
            <w:noWrap/>
            <w:vAlign w:val="center"/>
            <w:hideMark/>
          </w:tcPr>
          <w:p w14:paraId="41B2758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w:t>
            </w:r>
          </w:p>
        </w:tc>
        <w:tc>
          <w:tcPr>
            <w:tcW w:w="445" w:type="pct"/>
            <w:shd w:val="clear" w:color="auto" w:fill="auto"/>
            <w:noWrap/>
            <w:vAlign w:val="center"/>
            <w:hideMark/>
          </w:tcPr>
          <w:p w14:paraId="76549E9A"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w:t>
            </w:r>
          </w:p>
        </w:tc>
        <w:tc>
          <w:tcPr>
            <w:tcW w:w="484" w:type="pct"/>
            <w:shd w:val="clear" w:color="auto" w:fill="auto"/>
            <w:noWrap/>
            <w:vAlign w:val="center"/>
            <w:hideMark/>
          </w:tcPr>
          <w:p w14:paraId="275567D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127E751C"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185F7543"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23</w:t>
            </w:r>
          </w:p>
        </w:tc>
      </w:tr>
      <w:tr w:rsidR="00A10880" w:rsidRPr="00A10880" w14:paraId="51272D03" w14:textId="77777777" w:rsidTr="0094751D">
        <w:trPr>
          <w:trHeight w:val="20"/>
        </w:trPr>
        <w:tc>
          <w:tcPr>
            <w:tcW w:w="445" w:type="pct"/>
            <w:shd w:val="clear" w:color="auto" w:fill="auto"/>
            <w:noWrap/>
            <w:vAlign w:val="center"/>
            <w:hideMark/>
          </w:tcPr>
          <w:p w14:paraId="3B015BE4"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18</w:t>
            </w:r>
          </w:p>
        </w:tc>
        <w:tc>
          <w:tcPr>
            <w:tcW w:w="1800" w:type="pct"/>
            <w:shd w:val="clear" w:color="auto" w:fill="auto"/>
            <w:vAlign w:val="center"/>
            <w:hideMark/>
          </w:tcPr>
          <w:p w14:paraId="3E2F0462"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Rede Futebol de Areia, fio 5 mm traçados e virgem, polipropileno/seda, mala 5cm, tratamento antiraiosuv/sol e humidade/c huv a</w:t>
            </w:r>
          </w:p>
        </w:tc>
        <w:tc>
          <w:tcPr>
            <w:tcW w:w="445" w:type="pct"/>
            <w:shd w:val="clear" w:color="auto" w:fill="auto"/>
            <w:noWrap/>
            <w:vAlign w:val="center"/>
            <w:hideMark/>
          </w:tcPr>
          <w:p w14:paraId="2CC7F32D"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 xml:space="preserve">PARES </w:t>
            </w:r>
          </w:p>
        </w:tc>
        <w:tc>
          <w:tcPr>
            <w:tcW w:w="445" w:type="pct"/>
            <w:shd w:val="clear" w:color="auto" w:fill="auto"/>
            <w:noWrap/>
            <w:vAlign w:val="center"/>
            <w:hideMark/>
          </w:tcPr>
          <w:p w14:paraId="0DC8DB7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w:t>
            </w:r>
          </w:p>
        </w:tc>
        <w:tc>
          <w:tcPr>
            <w:tcW w:w="445" w:type="pct"/>
            <w:shd w:val="clear" w:color="auto" w:fill="auto"/>
            <w:noWrap/>
            <w:vAlign w:val="center"/>
            <w:hideMark/>
          </w:tcPr>
          <w:p w14:paraId="6D974C93"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w:t>
            </w:r>
          </w:p>
        </w:tc>
        <w:tc>
          <w:tcPr>
            <w:tcW w:w="484" w:type="pct"/>
            <w:shd w:val="clear" w:color="auto" w:fill="auto"/>
            <w:noWrap/>
            <w:vAlign w:val="center"/>
            <w:hideMark/>
          </w:tcPr>
          <w:p w14:paraId="60618B07"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191F6D7A"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65B7A44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23</w:t>
            </w:r>
          </w:p>
        </w:tc>
      </w:tr>
      <w:tr w:rsidR="00A10880" w:rsidRPr="00A10880" w14:paraId="36D1EEDB" w14:textId="77777777" w:rsidTr="0094751D">
        <w:trPr>
          <w:trHeight w:val="20"/>
        </w:trPr>
        <w:tc>
          <w:tcPr>
            <w:tcW w:w="445" w:type="pct"/>
            <w:shd w:val="clear" w:color="auto" w:fill="auto"/>
            <w:noWrap/>
            <w:vAlign w:val="center"/>
            <w:hideMark/>
          </w:tcPr>
          <w:p w14:paraId="66F69C69"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19</w:t>
            </w:r>
          </w:p>
        </w:tc>
        <w:tc>
          <w:tcPr>
            <w:tcW w:w="1800" w:type="pct"/>
            <w:shd w:val="clear" w:color="auto" w:fill="auto"/>
            <w:vAlign w:val="center"/>
            <w:hideMark/>
          </w:tcPr>
          <w:p w14:paraId="1DDB5D8F"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Rede Futebol de Salão/Handebol: com medidas oficiais, confeccionada em polietileno (nylon), Resistência a raio UV com fio 5 de espessura, malha de 15x15cm Medidas 3 x 2 x 1(Largura x Altura x profundidade)</w:t>
            </w:r>
          </w:p>
        </w:tc>
        <w:tc>
          <w:tcPr>
            <w:tcW w:w="445" w:type="pct"/>
            <w:shd w:val="clear" w:color="auto" w:fill="auto"/>
            <w:noWrap/>
            <w:vAlign w:val="center"/>
            <w:hideMark/>
          </w:tcPr>
          <w:p w14:paraId="03A102A1"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 xml:space="preserve">PARES </w:t>
            </w:r>
          </w:p>
        </w:tc>
        <w:tc>
          <w:tcPr>
            <w:tcW w:w="445" w:type="pct"/>
            <w:shd w:val="clear" w:color="auto" w:fill="auto"/>
            <w:noWrap/>
            <w:vAlign w:val="center"/>
            <w:hideMark/>
          </w:tcPr>
          <w:p w14:paraId="52EE9F7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w:t>
            </w:r>
          </w:p>
        </w:tc>
        <w:tc>
          <w:tcPr>
            <w:tcW w:w="445" w:type="pct"/>
            <w:shd w:val="clear" w:color="auto" w:fill="auto"/>
            <w:noWrap/>
            <w:vAlign w:val="center"/>
            <w:hideMark/>
          </w:tcPr>
          <w:p w14:paraId="2769B02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w:t>
            </w:r>
          </w:p>
        </w:tc>
        <w:tc>
          <w:tcPr>
            <w:tcW w:w="484" w:type="pct"/>
            <w:shd w:val="clear" w:color="auto" w:fill="auto"/>
            <w:noWrap/>
            <w:vAlign w:val="center"/>
            <w:hideMark/>
          </w:tcPr>
          <w:p w14:paraId="1C97293A"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6E1548D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419972B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23</w:t>
            </w:r>
          </w:p>
        </w:tc>
      </w:tr>
      <w:tr w:rsidR="00A10880" w:rsidRPr="00A10880" w14:paraId="73D4C934" w14:textId="77777777" w:rsidTr="0094751D">
        <w:trPr>
          <w:trHeight w:val="20"/>
        </w:trPr>
        <w:tc>
          <w:tcPr>
            <w:tcW w:w="445" w:type="pct"/>
            <w:shd w:val="clear" w:color="auto" w:fill="auto"/>
            <w:noWrap/>
            <w:vAlign w:val="center"/>
            <w:hideMark/>
          </w:tcPr>
          <w:p w14:paraId="2EC51962"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20</w:t>
            </w:r>
          </w:p>
        </w:tc>
        <w:tc>
          <w:tcPr>
            <w:tcW w:w="1800" w:type="pct"/>
            <w:shd w:val="clear" w:color="auto" w:fill="auto"/>
            <w:vAlign w:val="center"/>
            <w:hideMark/>
          </w:tcPr>
          <w:p w14:paraId="5A6B8590"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Rede de Vôlei com 2 lona de algodão com ilhós metálicos e revestido interno couro sintético nas ponta para amarração com costura dupla; Discrição:lona superior 7cm de largura e lona inferior com 5cm de largura med. 1,0x10,0 malhas, 10x10cm fio 2mm em nylon</w:t>
            </w:r>
          </w:p>
        </w:tc>
        <w:tc>
          <w:tcPr>
            <w:tcW w:w="445" w:type="pct"/>
            <w:shd w:val="clear" w:color="auto" w:fill="auto"/>
            <w:noWrap/>
            <w:vAlign w:val="center"/>
            <w:hideMark/>
          </w:tcPr>
          <w:p w14:paraId="69EFD1A8"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304B0CE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w:t>
            </w:r>
          </w:p>
        </w:tc>
        <w:tc>
          <w:tcPr>
            <w:tcW w:w="445" w:type="pct"/>
            <w:shd w:val="clear" w:color="auto" w:fill="auto"/>
            <w:noWrap/>
            <w:vAlign w:val="center"/>
            <w:hideMark/>
          </w:tcPr>
          <w:p w14:paraId="4A3A987D"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w:t>
            </w:r>
          </w:p>
        </w:tc>
        <w:tc>
          <w:tcPr>
            <w:tcW w:w="484" w:type="pct"/>
            <w:shd w:val="clear" w:color="auto" w:fill="auto"/>
            <w:noWrap/>
            <w:vAlign w:val="center"/>
            <w:hideMark/>
          </w:tcPr>
          <w:p w14:paraId="44F8D17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1887DAA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2EDD1E0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23</w:t>
            </w:r>
          </w:p>
        </w:tc>
      </w:tr>
      <w:tr w:rsidR="00A10880" w:rsidRPr="00A10880" w14:paraId="5ACCECBF" w14:textId="77777777" w:rsidTr="0094751D">
        <w:trPr>
          <w:trHeight w:val="20"/>
        </w:trPr>
        <w:tc>
          <w:tcPr>
            <w:tcW w:w="445" w:type="pct"/>
            <w:shd w:val="clear" w:color="auto" w:fill="auto"/>
            <w:noWrap/>
            <w:vAlign w:val="center"/>
            <w:hideMark/>
          </w:tcPr>
          <w:p w14:paraId="4537BC9D"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21</w:t>
            </w:r>
          </w:p>
        </w:tc>
        <w:tc>
          <w:tcPr>
            <w:tcW w:w="1800" w:type="pct"/>
            <w:shd w:val="clear" w:color="auto" w:fill="auto"/>
            <w:vAlign w:val="center"/>
            <w:hideMark/>
          </w:tcPr>
          <w:p w14:paraId="064B9C18"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Jogos de Equipagem com 12 Camisas e 12 Shorts personalizados em malha 100% poliéster estampada em sublimação total com numeração Frente e Costa TAM Variados</w:t>
            </w:r>
          </w:p>
        </w:tc>
        <w:tc>
          <w:tcPr>
            <w:tcW w:w="445" w:type="pct"/>
            <w:shd w:val="clear" w:color="auto" w:fill="auto"/>
            <w:noWrap/>
            <w:vAlign w:val="center"/>
            <w:hideMark/>
          </w:tcPr>
          <w:p w14:paraId="1DAFFC05"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 xml:space="preserve">CONJ </w:t>
            </w:r>
          </w:p>
        </w:tc>
        <w:tc>
          <w:tcPr>
            <w:tcW w:w="445" w:type="pct"/>
            <w:shd w:val="clear" w:color="auto" w:fill="auto"/>
            <w:noWrap/>
            <w:vAlign w:val="center"/>
            <w:hideMark/>
          </w:tcPr>
          <w:p w14:paraId="0364013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18</w:t>
            </w:r>
          </w:p>
        </w:tc>
        <w:tc>
          <w:tcPr>
            <w:tcW w:w="445" w:type="pct"/>
            <w:shd w:val="clear" w:color="auto" w:fill="auto"/>
            <w:noWrap/>
            <w:vAlign w:val="center"/>
            <w:hideMark/>
          </w:tcPr>
          <w:p w14:paraId="2E906E8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84" w:type="pct"/>
            <w:shd w:val="clear" w:color="auto" w:fill="auto"/>
            <w:noWrap/>
            <w:vAlign w:val="center"/>
            <w:hideMark/>
          </w:tcPr>
          <w:p w14:paraId="75EE1EEA"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w:t>
            </w:r>
          </w:p>
        </w:tc>
        <w:tc>
          <w:tcPr>
            <w:tcW w:w="445" w:type="pct"/>
            <w:shd w:val="clear" w:color="auto" w:fill="auto"/>
            <w:noWrap/>
            <w:vAlign w:val="center"/>
            <w:hideMark/>
          </w:tcPr>
          <w:p w14:paraId="4B24F55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w:t>
            </w:r>
          </w:p>
        </w:tc>
        <w:tc>
          <w:tcPr>
            <w:tcW w:w="491" w:type="pct"/>
            <w:shd w:val="clear" w:color="auto" w:fill="auto"/>
            <w:noWrap/>
            <w:vAlign w:val="center"/>
            <w:hideMark/>
          </w:tcPr>
          <w:p w14:paraId="63E4C7AC"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45</w:t>
            </w:r>
          </w:p>
        </w:tc>
      </w:tr>
      <w:tr w:rsidR="00A10880" w:rsidRPr="00A10880" w14:paraId="41A9ED83" w14:textId="77777777" w:rsidTr="0094751D">
        <w:trPr>
          <w:trHeight w:val="20"/>
        </w:trPr>
        <w:tc>
          <w:tcPr>
            <w:tcW w:w="445" w:type="pct"/>
            <w:shd w:val="clear" w:color="auto" w:fill="auto"/>
            <w:noWrap/>
            <w:vAlign w:val="center"/>
            <w:hideMark/>
          </w:tcPr>
          <w:p w14:paraId="02A33E5F"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22</w:t>
            </w:r>
          </w:p>
        </w:tc>
        <w:tc>
          <w:tcPr>
            <w:tcW w:w="1800" w:type="pct"/>
            <w:shd w:val="clear" w:color="auto" w:fill="auto"/>
            <w:vAlign w:val="center"/>
            <w:hideMark/>
          </w:tcPr>
          <w:p w14:paraId="4B9C73F7"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Jogos de Equipagem com 15 Camisas e 15 Shorts personalizados em malha 100% poliéster estampada em sublimação total com numeração Frente e Costa TAM Variados</w:t>
            </w:r>
          </w:p>
        </w:tc>
        <w:tc>
          <w:tcPr>
            <w:tcW w:w="445" w:type="pct"/>
            <w:shd w:val="clear" w:color="auto" w:fill="auto"/>
            <w:noWrap/>
            <w:vAlign w:val="center"/>
            <w:hideMark/>
          </w:tcPr>
          <w:p w14:paraId="4C19A013"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 xml:space="preserve">CONJ </w:t>
            </w:r>
          </w:p>
        </w:tc>
        <w:tc>
          <w:tcPr>
            <w:tcW w:w="445" w:type="pct"/>
            <w:shd w:val="clear" w:color="auto" w:fill="auto"/>
            <w:noWrap/>
            <w:vAlign w:val="center"/>
            <w:hideMark/>
          </w:tcPr>
          <w:p w14:paraId="0E1EE57A"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10</w:t>
            </w:r>
          </w:p>
        </w:tc>
        <w:tc>
          <w:tcPr>
            <w:tcW w:w="445" w:type="pct"/>
            <w:shd w:val="clear" w:color="auto" w:fill="auto"/>
            <w:noWrap/>
            <w:vAlign w:val="center"/>
            <w:hideMark/>
          </w:tcPr>
          <w:p w14:paraId="5256345D"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8</w:t>
            </w:r>
          </w:p>
        </w:tc>
        <w:tc>
          <w:tcPr>
            <w:tcW w:w="484" w:type="pct"/>
            <w:shd w:val="clear" w:color="auto" w:fill="auto"/>
            <w:noWrap/>
            <w:vAlign w:val="center"/>
            <w:hideMark/>
          </w:tcPr>
          <w:p w14:paraId="5023B2B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048C1C0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0E1B201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25</w:t>
            </w:r>
          </w:p>
        </w:tc>
      </w:tr>
      <w:tr w:rsidR="00A10880" w:rsidRPr="00A10880" w14:paraId="0D1F752C" w14:textId="77777777" w:rsidTr="0094751D">
        <w:trPr>
          <w:trHeight w:val="20"/>
        </w:trPr>
        <w:tc>
          <w:tcPr>
            <w:tcW w:w="445" w:type="pct"/>
            <w:shd w:val="clear" w:color="auto" w:fill="auto"/>
            <w:noWrap/>
            <w:vAlign w:val="center"/>
            <w:hideMark/>
          </w:tcPr>
          <w:p w14:paraId="2F09A36A"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23</w:t>
            </w:r>
          </w:p>
        </w:tc>
        <w:tc>
          <w:tcPr>
            <w:tcW w:w="1800" w:type="pct"/>
            <w:shd w:val="clear" w:color="auto" w:fill="auto"/>
            <w:vAlign w:val="center"/>
            <w:hideMark/>
          </w:tcPr>
          <w:p w14:paraId="1FCEF7C5"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Jogos de Equipagem com 20 Camisas e 20 Shorts personalizados em malha 100% poliéster estampada em sublimação total com numeração Frente e Costa TAM Variados</w:t>
            </w:r>
          </w:p>
        </w:tc>
        <w:tc>
          <w:tcPr>
            <w:tcW w:w="445" w:type="pct"/>
            <w:shd w:val="clear" w:color="auto" w:fill="auto"/>
            <w:noWrap/>
            <w:vAlign w:val="center"/>
            <w:hideMark/>
          </w:tcPr>
          <w:p w14:paraId="6204075F"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 xml:space="preserve">CONJ </w:t>
            </w:r>
          </w:p>
        </w:tc>
        <w:tc>
          <w:tcPr>
            <w:tcW w:w="445" w:type="pct"/>
            <w:shd w:val="clear" w:color="auto" w:fill="auto"/>
            <w:noWrap/>
            <w:vAlign w:val="center"/>
            <w:hideMark/>
          </w:tcPr>
          <w:p w14:paraId="4F9BBA4D"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10</w:t>
            </w:r>
          </w:p>
        </w:tc>
        <w:tc>
          <w:tcPr>
            <w:tcW w:w="445" w:type="pct"/>
            <w:shd w:val="clear" w:color="auto" w:fill="auto"/>
            <w:noWrap/>
            <w:vAlign w:val="center"/>
            <w:hideMark/>
          </w:tcPr>
          <w:p w14:paraId="2447004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8</w:t>
            </w:r>
          </w:p>
        </w:tc>
        <w:tc>
          <w:tcPr>
            <w:tcW w:w="484" w:type="pct"/>
            <w:shd w:val="clear" w:color="auto" w:fill="auto"/>
            <w:noWrap/>
            <w:vAlign w:val="center"/>
            <w:hideMark/>
          </w:tcPr>
          <w:p w14:paraId="52E36C2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79B805E0"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23C6650D"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25</w:t>
            </w:r>
          </w:p>
        </w:tc>
      </w:tr>
      <w:tr w:rsidR="00A10880" w:rsidRPr="00A10880" w14:paraId="40B3861D" w14:textId="77777777" w:rsidTr="0094751D">
        <w:trPr>
          <w:trHeight w:val="20"/>
        </w:trPr>
        <w:tc>
          <w:tcPr>
            <w:tcW w:w="445" w:type="pct"/>
            <w:shd w:val="clear" w:color="auto" w:fill="auto"/>
            <w:noWrap/>
            <w:vAlign w:val="center"/>
            <w:hideMark/>
          </w:tcPr>
          <w:p w14:paraId="0ADEDD79"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24</w:t>
            </w:r>
          </w:p>
        </w:tc>
        <w:tc>
          <w:tcPr>
            <w:tcW w:w="1800" w:type="pct"/>
            <w:shd w:val="clear" w:color="auto" w:fill="auto"/>
            <w:vAlign w:val="center"/>
            <w:hideMark/>
          </w:tcPr>
          <w:p w14:paraId="22E31F2F"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Jogos de Colete, 12 Coletes e 12 shorts personalizados em malha 100% poliéster, estampada em sublimação total com numeração frente e costa. TAM Variados marca aguia sport</w:t>
            </w:r>
          </w:p>
        </w:tc>
        <w:tc>
          <w:tcPr>
            <w:tcW w:w="445" w:type="pct"/>
            <w:shd w:val="clear" w:color="auto" w:fill="auto"/>
            <w:noWrap/>
            <w:vAlign w:val="center"/>
            <w:hideMark/>
          </w:tcPr>
          <w:p w14:paraId="7E3018B3"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 xml:space="preserve">CONJ </w:t>
            </w:r>
          </w:p>
        </w:tc>
        <w:tc>
          <w:tcPr>
            <w:tcW w:w="445" w:type="pct"/>
            <w:shd w:val="clear" w:color="auto" w:fill="auto"/>
            <w:noWrap/>
            <w:vAlign w:val="center"/>
            <w:hideMark/>
          </w:tcPr>
          <w:p w14:paraId="163087F0"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10</w:t>
            </w:r>
          </w:p>
        </w:tc>
        <w:tc>
          <w:tcPr>
            <w:tcW w:w="445" w:type="pct"/>
            <w:shd w:val="clear" w:color="auto" w:fill="auto"/>
            <w:noWrap/>
            <w:vAlign w:val="center"/>
            <w:hideMark/>
          </w:tcPr>
          <w:p w14:paraId="5EDBADD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8</w:t>
            </w:r>
          </w:p>
        </w:tc>
        <w:tc>
          <w:tcPr>
            <w:tcW w:w="484" w:type="pct"/>
            <w:shd w:val="clear" w:color="auto" w:fill="auto"/>
            <w:noWrap/>
            <w:vAlign w:val="center"/>
            <w:hideMark/>
          </w:tcPr>
          <w:p w14:paraId="2CAA19E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14AFACB9"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328202D5"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25</w:t>
            </w:r>
          </w:p>
        </w:tc>
      </w:tr>
      <w:tr w:rsidR="00A10880" w:rsidRPr="00A10880" w14:paraId="1C530621" w14:textId="77777777" w:rsidTr="0094751D">
        <w:trPr>
          <w:trHeight w:val="20"/>
        </w:trPr>
        <w:tc>
          <w:tcPr>
            <w:tcW w:w="445" w:type="pct"/>
            <w:shd w:val="clear" w:color="auto" w:fill="auto"/>
            <w:noWrap/>
            <w:vAlign w:val="center"/>
            <w:hideMark/>
          </w:tcPr>
          <w:p w14:paraId="422CCD1E"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25</w:t>
            </w:r>
          </w:p>
        </w:tc>
        <w:tc>
          <w:tcPr>
            <w:tcW w:w="1800" w:type="pct"/>
            <w:shd w:val="clear" w:color="auto" w:fill="auto"/>
            <w:vAlign w:val="center"/>
            <w:hideMark/>
          </w:tcPr>
          <w:p w14:paraId="4BC5D5C8"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 xml:space="preserve">Jogos de Colete, 15 Coletes e 15 shorts personalizados em malha 100% poliéster, estampada em sublimaçãototal com </w:t>
            </w:r>
            <w:r w:rsidRPr="00A10880">
              <w:rPr>
                <w:rFonts w:ascii="Century Gothic" w:hAnsi="Century Gothic" w:cstheme="majorHAnsi"/>
                <w:color w:val="000000"/>
                <w:sz w:val="18"/>
                <w:szCs w:val="18"/>
                <w:lang w:val="pt-PT"/>
              </w:rPr>
              <w:lastRenderedPageBreak/>
              <w:t xml:space="preserve">numeração frente e costa. TAM Variados marca aguia sport </w:t>
            </w:r>
          </w:p>
        </w:tc>
        <w:tc>
          <w:tcPr>
            <w:tcW w:w="445" w:type="pct"/>
            <w:shd w:val="clear" w:color="auto" w:fill="auto"/>
            <w:noWrap/>
            <w:vAlign w:val="center"/>
            <w:hideMark/>
          </w:tcPr>
          <w:p w14:paraId="7FA74A58"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lastRenderedPageBreak/>
              <w:t xml:space="preserve">CONJ </w:t>
            </w:r>
          </w:p>
        </w:tc>
        <w:tc>
          <w:tcPr>
            <w:tcW w:w="445" w:type="pct"/>
            <w:shd w:val="clear" w:color="auto" w:fill="auto"/>
            <w:noWrap/>
            <w:vAlign w:val="center"/>
            <w:hideMark/>
          </w:tcPr>
          <w:p w14:paraId="4FDC195D"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10</w:t>
            </w:r>
          </w:p>
        </w:tc>
        <w:tc>
          <w:tcPr>
            <w:tcW w:w="445" w:type="pct"/>
            <w:shd w:val="clear" w:color="auto" w:fill="auto"/>
            <w:noWrap/>
            <w:vAlign w:val="center"/>
            <w:hideMark/>
          </w:tcPr>
          <w:p w14:paraId="49C5E75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8</w:t>
            </w:r>
          </w:p>
        </w:tc>
        <w:tc>
          <w:tcPr>
            <w:tcW w:w="484" w:type="pct"/>
            <w:shd w:val="clear" w:color="auto" w:fill="auto"/>
            <w:noWrap/>
            <w:vAlign w:val="center"/>
            <w:hideMark/>
          </w:tcPr>
          <w:p w14:paraId="4847E2CB"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08D473D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596BEC3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25</w:t>
            </w:r>
          </w:p>
        </w:tc>
      </w:tr>
      <w:tr w:rsidR="00A10880" w:rsidRPr="00A10880" w14:paraId="6F46A9B1" w14:textId="77777777" w:rsidTr="0094751D">
        <w:trPr>
          <w:trHeight w:val="20"/>
        </w:trPr>
        <w:tc>
          <w:tcPr>
            <w:tcW w:w="445" w:type="pct"/>
            <w:shd w:val="clear" w:color="auto" w:fill="auto"/>
            <w:noWrap/>
            <w:vAlign w:val="center"/>
            <w:hideMark/>
          </w:tcPr>
          <w:p w14:paraId="381EE047"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26</w:t>
            </w:r>
          </w:p>
        </w:tc>
        <w:tc>
          <w:tcPr>
            <w:tcW w:w="1800" w:type="pct"/>
            <w:shd w:val="clear" w:color="auto" w:fill="auto"/>
            <w:vAlign w:val="center"/>
            <w:hideMark/>
          </w:tcPr>
          <w:p w14:paraId="138ED7CA"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Jogos de Colete, 20 Coletes e 20 shorts personalizados em malha 100% poliéster, estampada em sublimação total com numeração frente e costa. TAM Variados</w:t>
            </w:r>
          </w:p>
        </w:tc>
        <w:tc>
          <w:tcPr>
            <w:tcW w:w="445" w:type="pct"/>
            <w:shd w:val="clear" w:color="auto" w:fill="auto"/>
            <w:noWrap/>
            <w:vAlign w:val="center"/>
            <w:hideMark/>
          </w:tcPr>
          <w:p w14:paraId="69F92B9C"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 xml:space="preserve">CONJ </w:t>
            </w:r>
          </w:p>
        </w:tc>
        <w:tc>
          <w:tcPr>
            <w:tcW w:w="445" w:type="pct"/>
            <w:shd w:val="clear" w:color="auto" w:fill="auto"/>
            <w:noWrap/>
            <w:vAlign w:val="center"/>
            <w:hideMark/>
          </w:tcPr>
          <w:p w14:paraId="170AE79A"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10</w:t>
            </w:r>
          </w:p>
        </w:tc>
        <w:tc>
          <w:tcPr>
            <w:tcW w:w="445" w:type="pct"/>
            <w:shd w:val="clear" w:color="auto" w:fill="auto"/>
            <w:noWrap/>
            <w:vAlign w:val="center"/>
            <w:hideMark/>
          </w:tcPr>
          <w:p w14:paraId="1863AFF3"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8</w:t>
            </w:r>
          </w:p>
        </w:tc>
        <w:tc>
          <w:tcPr>
            <w:tcW w:w="484" w:type="pct"/>
            <w:shd w:val="clear" w:color="auto" w:fill="auto"/>
            <w:noWrap/>
            <w:vAlign w:val="center"/>
            <w:hideMark/>
          </w:tcPr>
          <w:p w14:paraId="4361CF2D"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1A55B94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65B1C10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25</w:t>
            </w:r>
          </w:p>
        </w:tc>
      </w:tr>
      <w:tr w:rsidR="00A10880" w:rsidRPr="00A10880" w14:paraId="55789AC1" w14:textId="77777777" w:rsidTr="0094751D">
        <w:trPr>
          <w:trHeight w:val="20"/>
        </w:trPr>
        <w:tc>
          <w:tcPr>
            <w:tcW w:w="445" w:type="pct"/>
            <w:shd w:val="clear" w:color="auto" w:fill="auto"/>
            <w:noWrap/>
            <w:vAlign w:val="center"/>
            <w:hideMark/>
          </w:tcPr>
          <w:p w14:paraId="04E8D315"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27</w:t>
            </w:r>
          </w:p>
        </w:tc>
        <w:tc>
          <w:tcPr>
            <w:tcW w:w="1800" w:type="pct"/>
            <w:shd w:val="clear" w:color="auto" w:fill="auto"/>
            <w:vAlign w:val="center"/>
            <w:hideMark/>
          </w:tcPr>
          <w:p w14:paraId="72F66FC4"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Troféu Confeccionado em Polietileno, cor dourada, com alrura minínima de 80 cm, base na cor preta para esporte, Honra ao Mérito: 1º Colocado</w:t>
            </w:r>
          </w:p>
        </w:tc>
        <w:tc>
          <w:tcPr>
            <w:tcW w:w="445" w:type="pct"/>
            <w:shd w:val="clear" w:color="auto" w:fill="auto"/>
            <w:noWrap/>
            <w:vAlign w:val="center"/>
            <w:hideMark/>
          </w:tcPr>
          <w:p w14:paraId="732AB9AC"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4921E4E9"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45" w:type="pct"/>
            <w:shd w:val="clear" w:color="auto" w:fill="auto"/>
            <w:noWrap/>
            <w:vAlign w:val="center"/>
            <w:hideMark/>
          </w:tcPr>
          <w:p w14:paraId="34578800"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11</w:t>
            </w:r>
          </w:p>
        </w:tc>
        <w:tc>
          <w:tcPr>
            <w:tcW w:w="484" w:type="pct"/>
            <w:shd w:val="clear" w:color="auto" w:fill="auto"/>
            <w:noWrap/>
            <w:vAlign w:val="center"/>
            <w:hideMark/>
          </w:tcPr>
          <w:p w14:paraId="1D093B2C"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w:t>
            </w:r>
          </w:p>
        </w:tc>
        <w:tc>
          <w:tcPr>
            <w:tcW w:w="445" w:type="pct"/>
            <w:shd w:val="clear" w:color="auto" w:fill="auto"/>
            <w:noWrap/>
            <w:vAlign w:val="center"/>
            <w:hideMark/>
          </w:tcPr>
          <w:p w14:paraId="062FD24B"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w:t>
            </w:r>
          </w:p>
        </w:tc>
        <w:tc>
          <w:tcPr>
            <w:tcW w:w="491" w:type="pct"/>
            <w:shd w:val="clear" w:color="auto" w:fill="auto"/>
            <w:noWrap/>
            <w:vAlign w:val="center"/>
            <w:hideMark/>
          </w:tcPr>
          <w:p w14:paraId="73A32969"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35</w:t>
            </w:r>
          </w:p>
        </w:tc>
      </w:tr>
      <w:tr w:rsidR="00A10880" w:rsidRPr="00A10880" w14:paraId="6DC064E0" w14:textId="77777777" w:rsidTr="0094751D">
        <w:trPr>
          <w:trHeight w:val="20"/>
        </w:trPr>
        <w:tc>
          <w:tcPr>
            <w:tcW w:w="445" w:type="pct"/>
            <w:shd w:val="clear" w:color="auto" w:fill="auto"/>
            <w:noWrap/>
            <w:vAlign w:val="center"/>
            <w:hideMark/>
          </w:tcPr>
          <w:p w14:paraId="0ED5B076"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28</w:t>
            </w:r>
          </w:p>
        </w:tc>
        <w:tc>
          <w:tcPr>
            <w:tcW w:w="1800" w:type="pct"/>
            <w:shd w:val="clear" w:color="auto" w:fill="auto"/>
            <w:vAlign w:val="center"/>
            <w:hideMark/>
          </w:tcPr>
          <w:p w14:paraId="36DF6A3F"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Troféu Confeccionado em Polietileno, cor prata, com altura miníma de 67 cm, base na cor preta para esporte, Honra ao Mérito: 2º Colocado</w:t>
            </w:r>
          </w:p>
        </w:tc>
        <w:tc>
          <w:tcPr>
            <w:tcW w:w="445" w:type="pct"/>
            <w:shd w:val="clear" w:color="auto" w:fill="auto"/>
            <w:noWrap/>
            <w:vAlign w:val="center"/>
            <w:hideMark/>
          </w:tcPr>
          <w:p w14:paraId="33FBC263"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5C5D1F1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45" w:type="pct"/>
            <w:shd w:val="clear" w:color="auto" w:fill="auto"/>
            <w:noWrap/>
            <w:vAlign w:val="center"/>
            <w:hideMark/>
          </w:tcPr>
          <w:p w14:paraId="7B7E8800"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11</w:t>
            </w:r>
          </w:p>
        </w:tc>
        <w:tc>
          <w:tcPr>
            <w:tcW w:w="484" w:type="pct"/>
            <w:shd w:val="clear" w:color="auto" w:fill="auto"/>
            <w:noWrap/>
            <w:vAlign w:val="center"/>
            <w:hideMark/>
          </w:tcPr>
          <w:p w14:paraId="40344F40"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w:t>
            </w:r>
          </w:p>
        </w:tc>
        <w:tc>
          <w:tcPr>
            <w:tcW w:w="445" w:type="pct"/>
            <w:shd w:val="clear" w:color="auto" w:fill="auto"/>
            <w:noWrap/>
            <w:vAlign w:val="center"/>
            <w:hideMark/>
          </w:tcPr>
          <w:p w14:paraId="31D12FC7"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w:t>
            </w:r>
          </w:p>
        </w:tc>
        <w:tc>
          <w:tcPr>
            <w:tcW w:w="491" w:type="pct"/>
            <w:shd w:val="clear" w:color="auto" w:fill="auto"/>
            <w:noWrap/>
            <w:vAlign w:val="center"/>
            <w:hideMark/>
          </w:tcPr>
          <w:p w14:paraId="4122C3DA"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35</w:t>
            </w:r>
          </w:p>
        </w:tc>
      </w:tr>
      <w:tr w:rsidR="00A10880" w:rsidRPr="00A10880" w14:paraId="6D6A470F" w14:textId="77777777" w:rsidTr="0094751D">
        <w:trPr>
          <w:trHeight w:val="20"/>
        </w:trPr>
        <w:tc>
          <w:tcPr>
            <w:tcW w:w="445" w:type="pct"/>
            <w:shd w:val="clear" w:color="auto" w:fill="auto"/>
            <w:noWrap/>
            <w:vAlign w:val="center"/>
            <w:hideMark/>
          </w:tcPr>
          <w:p w14:paraId="08EAC7AF"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29</w:t>
            </w:r>
          </w:p>
        </w:tc>
        <w:tc>
          <w:tcPr>
            <w:tcW w:w="1800" w:type="pct"/>
            <w:shd w:val="clear" w:color="auto" w:fill="auto"/>
            <w:vAlign w:val="center"/>
            <w:hideMark/>
          </w:tcPr>
          <w:p w14:paraId="31FB440A"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Troféu Confeccionado em Polietileno, cor bronze ou prata, com altura miníma de 50 cm, base na cor preta para esporte, Honra ao Mérito: 3º Colocado</w:t>
            </w:r>
          </w:p>
        </w:tc>
        <w:tc>
          <w:tcPr>
            <w:tcW w:w="445" w:type="pct"/>
            <w:shd w:val="clear" w:color="auto" w:fill="auto"/>
            <w:noWrap/>
            <w:vAlign w:val="center"/>
            <w:hideMark/>
          </w:tcPr>
          <w:p w14:paraId="0F6E07B5"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0B2A5697"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45" w:type="pct"/>
            <w:shd w:val="clear" w:color="auto" w:fill="auto"/>
            <w:noWrap/>
            <w:vAlign w:val="center"/>
            <w:hideMark/>
          </w:tcPr>
          <w:p w14:paraId="72489C4B"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11</w:t>
            </w:r>
          </w:p>
        </w:tc>
        <w:tc>
          <w:tcPr>
            <w:tcW w:w="484" w:type="pct"/>
            <w:shd w:val="clear" w:color="auto" w:fill="auto"/>
            <w:noWrap/>
            <w:vAlign w:val="center"/>
            <w:hideMark/>
          </w:tcPr>
          <w:p w14:paraId="66A0E759"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w:t>
            </w:r>
          </w:p>
        </w:tc>
        <w:tc>
          <w:tcPr>
            <w:tcW w:w="445" w:type="pct"/>
            <w:shd w:val="clear" w:color="auto" w:fill="auto"/>
            <w:noWrap/>
            <w:vAlign w:val="center"/>
            <w:hideMark/>
          </w:tcPr>
          <w:p w14:paraId="45D83625"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w:t>
            </w:r>
          </w:p>
        </w:tc>
        <w:tc>
          <w:tcPr>
            <w:tcW w:w="491" w:type="pct"/>
            <w:shd w:val="clear" w:color="auto" w:fill="auto"/>
            <w:noWrap/>
            <w:vAlign w:val="center"/>
            <w:hideMark/>
          </w:tcPr>
          <w:p w14:paraId="12A20A1A"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35</w:t>
            </w:r>
          </w:p>
        </w:tc>
      </w:tr>
      <w:tr w:rsidR="00A10880" w:rsidRPr="00A10880" w14:paraId="127B08D2" w14:textId="77777777" w:rsidTr="0094751D">
        <w:trPr>
          <w:trHeight w:val="20"/>
        </w:trPr>
        <w:tc>
          <w:tcPr>
            <w:tcW w:w="445" w:type="pct"/>
            <w:shd w:val="clear" w:color="auto" w:fill="auto"/>
            <w:noWrap/>
            <w:vAlign w:val="center"/>
            <w:hideMark/>
          </w:tcPr>
          <w:p w14:paraId="2134EC75"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30</w:t>
            </w:r>
          </w:p>
        </w:tc>
        <w:tc>
          <w:tcPr>
            <w:tcW w:w="1800" w:type="pct"/>
            <w:shd w:val="clear" w:color="auto" w:fill="auto"/>
            <w:vAlign w:val="center"/>
            <w:hideMark/>
          </w:tcPr>
          <w:p w14:paraId="06600E76"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Troféu de Artilheiro confccionado em polietileno, com altura miníma 17cm</w:t>
            </w:r>
          </w:p>
        </w:tc>
        <w:tc>
          <w:tcPr>
            <w:tcW w:w="445" w:type="pct"/>
            <w:shd w:val="clear" w:color="auto" w:fill="auto"/>
            <w:noWrap/>
            <w:vAlign w:val="center"/>
            <w:hideMark/>
          </w:tcPr>
          <w:p w14:paraId="2E17830F"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570BA725"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45" w:type="pct"/>
            <w:shd w:val="clear" w:color="auto" w:fill="auto"/>
            <w:noWrap/>
            <w:vAlign w:val="center"/>
            <w:hideMark/>
          </w:tcPr>
          <w:p w14:paraId="7518285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11</w:t>
            </w:r>
          </w:p>
        </w:tc>
        <w:tc>
          <w:tcPr>
            <w:tcW w:w="484" w:type="pct"/>
            <w:shd w:val="clear" w:color="auto" w:fill="auto"/>
            <w:noWrap/>
            <w:vAlign w:val="center"/>
            <w:hideMark/>
          </w:tcPr>
          <w:p w14:paraId="3AD0225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w:t>
            </w:r>
          </w:p>
        </w:tc>
        <w:tc>
          <w:tcPr>
            <w:tcW w:w="445" w:type="pct"/>
            <w:shd w:val="clear" w:color="auto" w:fill="auto"/>
            <w:noWrap/>
            <w:vAlign w:val="center"/>
            <w:hideMark/>
          </w:tcPr>
          <w:p w14:paraId="5DC1446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w:t>
            </w:r>
          </w:p>
        </w:tc>
        <w:tc>
          <w:tcPr>
            <w:tcW w:w="491" w:type="pct"/>
            <w:shd w:val="clear" w:color="auto" w:fill="auto"/>
            <w:noWrap/>
            <w:vAlign w:val="center"/>
            <w:hideMark/>
          </w:tcPr>
          <w:p w14:paraId="5A693DF7"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35</w:t>
            </w:r>
          </w:p>
        </w:tc>
      </w:tr>
      <w:tr w:rsidR="00A10880" w:rsidRPr="00A10880" w14:paraId="32400799" w14:textId="77777777" w:rsidTr="0094751D">
        <w:trPr>
          <w:trHeight w:val="20"/>
        </w:trPr>
        <w:tc>
          <w:tcPr>
            <w:tcW w:w="445" w:type="pct"/>
            <w:shd w:val="clear" w:color="auto" w:fill="auto"/>
            <w:noWrap/>
            <w:vAlign w:val="center"/>
            <w:hideMark/>
          </w:tcPr>
          <w:p w14:paraId="150E1CD6"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31</w:t>
            </w:r>
          </w:p>
        </w:tc>
        <w:tc>
          <w:tcPr>
            <w:tcW w:w="1800" w:type="pct"/>
            <w:shd w:val="clear" w:color="auto" w:fill="auto"/>
            <w:vAlign w:val="center"/>
            <w:hideMark/>
          </w:tcPr>
          <w:p w14:paraId="5974E83A"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Troféu de Melhor Goleiro confccionado em polietileno, com altura miníma 17cm</w:t>
            </w:r>
          </w:p>
        </w:tc>
        <w:tc>
          <w:tcPr>
            <w:tcW w:w="445" w:type="pct"/>
            <w:shd w:val="clear" w:color="auto" w:fill="auto"/>
            <w:noWrap/>
            <w:vAlign w:val="center"/>
            <w:hideMark/>
          </w:tcPr>
          <w:p w14:paraId="74FDD288"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4882A6F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45" w:type="pct"/>
            <w:shd w:val="clear" w:color="auto" w:fill="auto"/>
            <w:noWrap/>
            <w:vAlign w:val="center"/>
            <w:hideMark/>
          </w:tcPr>
          <w:p w14:paraId="574C1970"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11</w:t>
            </w:r>
          </w:p>
        </w:tc>
        <w:tc>
          <w:tcPr>
            <w:tcW w:w="484" w:type="pct"/>
            <w:shd w:val="clear" w:color="auto" w:fill="auto"/>
            <w:noWrap/>
            <w:vAlign w:val="center"/>
            <w:hideMark/>
          </w:tcPr>
          <w:p w14:paraId="1D78B103"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7</w:t>
            </w:r>
          </w:p>
        </w:tc>
        <w:tc>
          <w:tcPr>
            <w:tcW w:w="445" w:type="pct"/>
            <w:shd w:val="clear" w:color="auto" w:fill="auto"/>
            <w:noWrap/>
            <w:vAlign w:val="center"/>
            <w:hideMark/>
          </w:tcPr>
          <w:p w14:paraId="3A2B72F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w:t>
            </w:r>
          </w:p>
        </w:tc>
        <w:tc>
          <w:tcPr>
            <w:tcW w:w="491" w:type="pct"/>
            <w:shd w:val="clear" w:color="auto" w:fill="auto"/>
            <w:noWrap/>
            <w:vAlign w:val="center"/>
            <w:hideMark/>
          </w:tcPr>
          <w:p w14:paraId="2FE6546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35</w:t>
            </w:r>
          </w:p>
        </w:tc>
      </w:tr>
      <w:tr w:rsidR="00A10880" w:rsidRPr="00A10880" w14:paraId="2402AFC6" w14:textId="77777777" w:rsidTr="0094751D">
        <w:trPr>
          <w:trHeight w:val="20"/>
        </w:trPr>
        <w:tc>
          <w:tcPr>
            <w:tcW w:w="445" w:type="pct"/>
            <w:shd w:val="clear" w:color="auto" w:fill="auto"/>
            <w:noWrap/>
            <w:vAlign w:val="center"/>
            <w:hideMark/>
          </w:tcPr>
          <w:p w14:paraId="5D7043CF"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32</w:t>
            </w:r>
          </w:p>
        </w:tc>
        <w:tc>
          <w:tcPr>
            <w:tcW w:w="1800" w:type="pct"/>
            <w:shd w:val="clear" w:color="auto" w:fill="auto"/>
            <w:vAlign w:val="center"/>
            <w:hideMark/>
          </w:tcPr>
          <w:p w14:paraId="36E64420"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Medalhas de latão, pintada na cor ouro, medindo 2mm de espessura e 40 cm de diâmetro</w:t>
            </w:r>
          </w:p>
        </w:tc>
        <w:tc>
          <w:tcPr>
            <w:tcW w:w="445" w:type="pct"/>
            <w:shd w:val="clear" w:color="auto" w:fill="auto"/>
            <w:noWrap/>
            <w:vAlign w:val="center"/>
            <w:hideMark/>
          </w:tcPr>
          <w:p w14:paraId="3AD056FE"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65A6202B"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198</w:t>
            </w:r>
          </w:p>
        </w:tc>
        <w:tc>
          <w:tcPr>
            <w:tcW w:w="445" w:type="pct"/>
            <w:shd w:val="clear" w:color="auto" w:fill="auto"/>
            <w:noWrap/>
            <w:vAlign w:val="center"/>
            <w:hideMark/>
          </w:tcPr>
          <w:p w14:paraId="312CFFEB"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149</w:t>
            </w:r>
          </w:p>
        </w:tc>
        <w:tc>
          <w:tcPr>
            <w:tcW w:w="484" w:type="pct"/>
            <w:shd w:val="clear" w:color="auto" w:fill="auto"/>
            <w:noWrap/>
            <w:vAlign w:val="center"/>
            <w:hideMark/>
          </w:tcPr>
          <w:p w14:paraId="26629C3C"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99</w:t>
            </w:r>
          </w:p>
        </w:tc>
        <w:tc>
          <w:tcPr>
            <w:tcW w:w="445" w:type="pct"/>
            <w:shd w:val="clear" w:color="auto" w:fill="auto"/>
            <w:noWrap/>
            <w:vAlign w:val="center"/>
            <w:hideMark/>
          </w:tcPr>
          <w:p w14:paraId="301076AD"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49</w:t>
            </w:r>
          </w:p>
        </w:tc>
        <w:tc>
          <w:tcPr>
            <w:tcW w:w="491" w:type="pct"/>
            <w:shd w:val="clear" w:color="auto" w:fill="auto"/>
            <w:noWrap/>
            <w:vAlign w:val="center"/>
            <w:hideMark/>
          </w:tcPr>
          <w:p w14:paraId="02A58C4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495</w:t>
            </w:r>
          </w:p>
        </w:tc>
      </w:tr>
      <w:tr w:rsidR="00A10880" w:rsidRPr="00A10880" w14:paraId="6570C5C8" w14:textId="77777777" w:rsidTr="0094751D">
        <w:trPr>
          <w:trHeight w:val="20"/>
        </w:trPr>
        <w:tc>
          <w:tcPr>
            <w:tcW w:w="445" w:type="pct"/>
            <w:shd w:val="clear" w:color="auto" w:fill="auto"/>
            <w:noWrap/>
            <w:vAlign w:val="center"/>
            <w:hideMark/>
          </w:tcPr>
          <w:p w14:paraId="161DF2B6"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33</w:t>
            </w:r>
          </w:p>
        </w:tc>
        <w:tc>
          <w:tcPr>
            <w:tcW w:w="1800" w:type="pct"/>
            <w:shd w:val="clear" w:color="auto" w:fill="auto"/>
            <w:vAlign w:val="center"/>
            <w:hideMark/>
          </w:tcPr>
          <w:p w14:paraId="15F4E7F1"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Medalhas de latão, pintada na cor prata, medindo 2mm de espessura e 40 cm de diâmetro</w:t>
            </w:r>
          </w:p>
        </w:tc>
        <w:tc>
          <w:tcPr>
            <w:tcW w:w="445" w:type="pct"/>
            <w:shd w:val="clear" w:color="auto" w:fill="auto"/>
            <w:noWrap/>
            <w:vAlign w:val="center"/>
            <w:hideMark/>
          </w:tcPr>
          <w:p w14:paraId="6F72C863"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217E74E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198</w:t>
            </w:r>
          </w:p>
        </w:tc>
        <w:tc>
          <w:tcPr>
            <w:tcW w:w="445" w:type="pct"/>
            <w:shd w:val="clear" w:color="auto" w:fill="auto"/>
            <w:noWrap/>
            <w:vAlign w:val="center"/>
            <w:hideMark/>
          </w:tcPr>
          <w:p w14:paraId="0B56996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149</w:t>
            </w:r>
          </w:p>
        </w:tc>
        <w:tc>
          <w:tcPr>
            <w:tcW w:w="484" w:type="pct"/>
            <w:shd w:val="clear" w:color="auto" w:fill="auto"/>
            <w:noWrap/>
            <w:vAlign w:val="center"/>
            <w:hideMark/>
          </w:tcPr>
          <w:p w14:paraId="1447F11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99</w:t>
            </w:r>
          </w:p>
        </w:tc>
        <w:tc>
          <w:tcPr>
            <w:tcW w:w="445" w:type="pct"/>
            <w:shd w:val="clear" w:color="auto" w:fill="auto"/>
            <w:noWrap/>
            <w:vAlign w:val="center"/>
            <w:hideMark/>
          </w:tcPr>
          <w:p w14:paraId="26F7DB3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49</w:t>
            </w:r>
          </w:p>
        </w:tc>
        <w:tc>
          <w:tcPr>
            <w:tcW w:w="491" w:type="pct"/>
            <w:shd w:val="clear" w:color="auto" w:fill="auto"/>
            <w:noWrap/>
            <w:vAlign w:val="center"/>
            <w:hideMark/>
          </w:tcPr>
          <w:p w14:paraId="0DA09B4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495</w:t>
            </w:r>
          </w:p>
        </w:tc>
      </w:tr>
      <w:tr w:rsidR="00A10880" w:rsidRPr="00A10880" w14:paraId="3396867C" w14:textId="77777777" w:rsidTr="0094751D">
        <w:trPr>
          <w:trHeight w:val="20"/>
        </w:trPr>
        <w:tc>
          <w:tcPr>
            <w:tcW w:w="445" w:type="pct"/>
            <w:shd w:val="clear" w:color="auto" w:fill="auto"/>
            <w:noWrap/>
            <w:vAlign w:val="center"/>
            <w:hideMark/>
          </w:tcPr>
          <w:p w14:paraId="32607A33"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34</w:t>
            </w:r>
          </w:p>
        </w:tc>
        <w:tc>
          <w:tcPr>
            <w:tcW w:w="1800" w:type="pct"/>
            <w:shd w:val="clear" w:color="auto" w:fill="auto"/>
            <w:vAlign w:val="center"/>
            <w:hideMark/>
          </w:tcPr>
          <w:p w14:paraId="3A3CC9A0"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Medalhas de bronze, pintada na cor bronze, medindo 2mm de espessura e 40 cm de diâmetro</w:t>
            </w:r>
          </w:p>
        </w:tc>
        <w:tc>
          <w:tcPr>
            <w:tcW w:w="445" w:type="pct"/>
            <w:shd w:val="clear" w:color="auto" w:fill="auto"/>
            <w:noWrap/>
            <w:vAlign w:val="center"/>
            <w:hideMark/>
          </w:tcPr>
          <w:p w14:paraId="490FC376"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7CCA528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198</w:t>
            </w:r>
          </w:p>
        </w:tc>
        <w:tc>
          <w:tcPr>
            <w:tcW w:w="445" w:type="pct"/>
            <w:shd w:val="clear" w:color="auto" w:fill="auto"/>
            <w:noWrap/>
            <w:vAlign w:val="center"/>
            <w:hideMark/>
          </w:tcPr>
          <w:p w14:paraId="78CC8B2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149</w:t>
            </w:r>
          </w:p>
        </w:tc>
        <w:tc>
          <w:tcPr>
            <w:tcW w:w="484" w:type="pct"/>
            <w:shd w:val="clear" w:color="auto" w:fill="auto"/>
            <w:noWrap/>
            <w:vAlign w:val="center"/>
            <w:hideMark/>
          </w:tcPr>
          <w:p w14:paraId="5A04866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99</w:t>
            </w:r>
          </w:p>
        </w:tc>
        <w:tc>
          <w:tcPr>
            <w:tcW w:w="445" w:type="pct"/>
            <w:shd w:val="clear" w:color="auto" w:fill="auto"/>
            <w:noWrap/>
            <w:vAlign w:val="center"/>
            <w:hideMark/>
          </w:tcPr>
          <w:p w14:paraId="7AA41E43"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49</w:t>
            </w:r>
          </w:p>
        </w:tc>
        <w:tc>
          <w:tcPr>
            <w:tcW w:w="491" w:type="pct"/>
            <w:shd w:val="clear" w:color="auto" w:fill="auto"/>
            <w:noWrap/>
            <w:vAlign w:val="center"/>
            <w:hideMark/>
          </w:tcPr>
          <w:p w14:paraId="0529E72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495</w:t>
            </w:r>
          </w:p>
        </w:tc>
      </w:tr>
      <w:tr w:rsidR="00A10880" w:rsidRPr="00A10880" w14:paraId="12371255" w14:textId="77777777" w:rsidTr="0094751D">
        <w:trPr>
          <w:trHeight w:val="20"/>
        </w:trPr>
        <w:tc>
          <w:tcPr>
            <w:tcW w:w="445" w:type="pct"/>
            <w:shd w:val="clear" w:color="auto" w:fill="auto"/>
            <w:noWrap/>
            <w:vAlign w:val="center"/>
            <w:hideMark/>
          </w:tcPr>
          <w:p w14:paraId="30B2146C"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35</w:t>
            </w:r>
          </w:p>
        </w:tc>
        <w:tc>
          <w:tcPr>
            <w:tcW w:w="1800" w:type="pct"/>
            <w:shd w:val="clear" w:color="auto" w:fill="auto"/>
            <w:vAlign w:val="center"/>
            <w:hideMark/>
          </w:tcPr>
          <w:p w14:paraId="3AC630C0"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Bambolê Várias Cores para pratica esportiva pct com 12 unidades</w:t>
            </w:r>
          </w:p>
        </w:tc>
        <w:tc>
          <w:tcPr>
            <w:tcW w:w="445" w:type="pct"/>
            <w:shd w:val="clear" w:color="auto" w:fill="auto"/>
            <w:noWrap/>
            <w:vAlign w:val="center"/>
            <w:hideMark/>
          </w:tcPr>
          <w:p w14:paraId="60491475"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 xml:space="preserve">KIT </w:t>
            </w:r>
          </w:p>
        </w:tc>
        <w:tc>
          <w:tcPr>
            <w:tcW w:w="445" w:type="pct"/>
            <w:shd w:val="clear" w:color="auto" w:fill="auto"/>
            <w:noWrap/>
            <w:vAlign w:val="center"/>
            <w:hideMark/>
          </w:tcPr>
          <w:p w14:paraId="6EA2BD1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38</w:t>
            </w:r>
          </w:p>
        </w:tc>
        <w:tc>
          <w:tcPr>
            <w:tcW w:w="445" w:type="pct"/>
            <w:shd w:val="clear" w:color="auto" w:fill="auto"/>
            <w:noWrap/>
            <w:vAlign w:val="center"/>
            <w:hideMark/>
          </w:tcPr>
          <w:p w14:paraId="743E2853"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29</w:t>
            </w:r>
          </w:p>
        </w:tc>
        <w:tc>
          <w:tcPr>
            <w:tcW w:w="484" w:type="pct"/>
            <w:shd w:val="clear" w:color="auto" w:fill="auto"/>
            <w:noWrap/>
            <w:vAlign w:val="center"/>
            <w:hideMark/>
          </w:tcPr>
          <w:p w14:paraId="0F9DDEE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19</w:t>
            </w:r>
          </w:p>
        </w:tc>
        <w:tc>
          <w:tcPr>
            <w:tcW w:w="445" w:type="pct"/>
            <w:shd w:val="clear" w:color="auto" w:fill="auto"/>
            <w:noWrap/>
            <w:vAlign w:val="center"/>
            <w:hideMark/>
          </w:tcPr>
          <w:p w14:paraId="367C38C7"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w:t>
            </w:r>
          </w:p>
        </w:tc>
        <w:tc>
          <w:tcPr>
            <w:tcW w:w="491" w:type="pct"/>
            <w:shd w:val="clear" w:color="auto" w:fill="auto"/>
            <w:noWrap/>
            <w:vAlign w:val="center"/>
            <w:hideMark/>
          </w:tcPr>
          <w:p w14:paraId="569AF85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95</w:t>
            </w:r>
          </w:p>
        </w:tc>
      </w:tr>
      <w:tr w:rsidR="00A10880" w:rsidRPr="00A10880" w14:paraId="3ED6ACD1" w14:textId="77777777" w:rsidTr="0094751D">
        <w:trPr>
          <w:trHeight w:val="20"/>
        </w:trPr>
        <w:tc>
          <w:tcPr>
            <w:tcW w:w="445" w:type="pct"/>
            <w:shd w:val="clear" w:color="auto" w:fill="auto"/>
            <w:noWrap/>
            <w:vAlign w:val="center"/>
            <w:hideMark/>
          </w:tcPr>
          <w:p w14:paraId="65C6F4BC"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36</w:t>
            </w:r>
          </w:p>
        </w:tc>
        <w:tc>
          <w:tcPr>
            <w:tcW w:w="1800" w:type="pct"/>
            <w:shd w:val="clear" w:color="auto" w:fill="auto"/>
            <w:vAlign w:val="center"/>
            <w:hideMark/>
          </w:tcPr>
          <w:p w14:paraId="1CA7B06F"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Bola de Futebol de Campo Infantil: Tamanho infantil, confeccionada em PVC e PU, costurada, câmara butil, medindo entre 64-66cm, 360-390 gramas. Com válvula. A marca deve ser ou ter sido aprovada pela confederação Brasileira de futebol (CBF), ou pela Federação Internacional de Futebol (FIFA) ou por, no mínimo, 1 Federação estadual de futebol de campo naciona</w:t>
            </w:r>
          </w:p>
        </w:tc>
        <w:tc>
          <w:tcPr>
            <w:tcW w:w="445" w:type="pct"/>
            <w:shd w:val="clear" w:color="auto" w:fill="auto"/>
            <w:noWrap/>
            <w:vAlign w:val="center"/>
            <w:hideMark/>
          </w:tcPr>
          <w:p w14:paraId="68284785"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6C4CB82B"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10</w:t>
            </w:r>
          </w:p>
        </w:tc>
        <w:tc>
          <w:tcPr>
            <w:tcW w:w="445" w:type="pct"/>
            <w:shd w:val="clear" w:color="auto" w:fill="auto"/>
            <w:noWrap/>
            <w:vAlign w:val="center"/>
            <w:hideMark/>
          </w:tcPr>
          <w:p w14:paraId="56423751"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8</w:t>
            </w:r>
          </w:p>
        </w:tc>
        <w:tc>
          <w:tcPr>
            <w:tcW w:w="484" w:type="pct"/>
            <w:shd w:val="clear" w:color="auto" w:fill="auto"/>
            <w:noWrap/>
            <w:vAlign w:val="center"/>
            <w:hideMark/>
          </w:tcPr>
          <w:p w14:paraId="4550F545"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4DDE1F8C"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5D6D22A3"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25</w:t>
            </w:r>
          </w:p>
        </w:tc>
      </w:tr>
      <w:tr w:rsidR="00A10880" w:rsidRPr="00A10880" w14:paraId="1E71BAA8" w14:textId="77777777" w:rsidTr="0094751D">
        <w:trPr>
          <w:trHeight w:val="20"/>
        </w:trPr>
        <w:tc>
          <w:tcPr>
            <w:tcW w:w="445" w:type="pct"/>
            <w:shd w:val="clear" w:color="auto" w:fill="auto"/>
            <w:noWrap/>
            <w:vAlign w:val="center"/>
            <w:hideMark/>
          </w:tcPr>
          <w:p w14:paraId="4CB0B374"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37</w:t>
            </w:r>
          </w:p>
        </w:tc>
        <w:tc>
          <w:tcPr>
            <w:tcW w:w="1800" w:type="pct"/>
            <w:shd w:val="clear" w:color="auto" w:fill="auto"/>
            <w:vAlign w:val="center"/>
            <w:hideMark/>
          </w:tcPr>
          <w:p w14:paraId="31E147B4"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Bola de Futebol de Salão Infantil: Tamanho Infantil, confeccionada em PVC, dupla laminação, costurada, 30 gomos, com câmara butil, medindo entre 55 e 59cm, pesando entre 350 e 380 gramas. Com válvula. A marca deve ser ou ter sido aprovada pela confederação Brasileira de Futebol de salão (CBFS) ou pela Federação Internacional de futebol (FIFA APROVED) ou pela liga Nacional de Futsal, no ano vigente.</w:t>
            </w:r>
          </w:p>
        </w:tc>
        <w:tc>
          <w:tcPr>
            <w:tcW w:w="445" w:type="pct"/>
            <w:shd w:val="clear" w:color="auto" w:fill="auto"/>
            <w:noWrap/>
            <w:vAlign w:val="center"/>
            <w:hideMark/>
          </w:tcPr>
          <w:p w14:paraId="2A8880B6"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51BE820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10</w:t>
            </w:r>
          </w:p>
        </w:tc>
        <w:tc>
          <w:tcPr>
            <w:tcW w:w="445" w:type="pct"/>
            <w:shd w:val="clear" w:color="auto" w:fill="auto"/>
            <w:noWrap/>
            <w:vAlign w:val="center"/>
            <w:hideMark/>
          </w:tcPr>
          <w:p w14:paraId="14905F4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8</w:t>
            </w:r>
          </w:p>
        </w:tc>
        <w:tc>
          <w:tcPr>
            <w:tcW w:w="484" w:type="pct"/>
            <w:shd w:val="clear" w:color="auto" w:fill="auto"/>
            <w:noWrap/>
            <w:vAlign w:val="center"/>
            <w:hideMark/>
          </w:tcPr>
          <w:p w14:paraId="01A3FAD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0ADBC27C"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2BC0CC7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25</w:t>
            </w:r>
          </w:p>
        </w:tc>
      </w:tr>
      <w:tr w:rsidR="00A10880" w:rsidRPr="00A10880" w14:paraId="0AAD7D24" w14:textId="77777777" w:rsidTr="0094751D">
        <w:trPr>
          <w:trHeight w:val="20"/>
        </w:trPr>
        <w:tc>
          <w:tcPr>
            <w:tcW w:w="445" w:type="pct"/>
            <w:shd w:val="clear" w:color="auto" w:fill="auto"/>
            <w:noWrap/>
            <w:vAlign w:val="center"/>
            <w:hideMark/>
          </w:tcPr>
          <w:p w14:paraId="0C1275B2"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38</w:t>
            </w:r>
          </w:p>
        </w:tc>
        <w:tc>
          <w:tcPr>
            <w:tcW w:w="1800" w:type="pct"/>
            <w:shd w:val="clear" w:color="auto" w:fill="auto"/>
            <w:vAlign w:val="center"/>
            <w:hideMark/>
          </w:tcPr>
          <w:p w14:paraId="3B39E167" w14:textId="77777777" w:rsidR="00A10880" w:rsidRPr="00A10880" w:rsidRDefault="00A10880" w:rsidP="00A10880">
            <w:pPr>
              <w:jc w:val="both"/>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 xml:space="preserve">Bola de Handebol Infanto: Costurada, confeccionada em PVC, com câmara butil, medindo entre 54-56cm, pesando entre 325 e 400 gramas. Com válvula. A marca deve ser ou </w:t>
            </w:r>
            <w:r w:rsidRPr="00A10880">
              <w:rPr>
                <w:rFonts w:ascii="Century Gothic" w:hAnsi="Century Gothic" w:cstheme="majorHAnsi"/>
                <w:color w:val="000000"/>
                <w:sz w:val="18"/>
                <w:szCs w:val="18"/>
                <w:lang w:val="pt-PT"/>
              </w:rPr>
              <w:lastRenderedPageBreak/>
              <w:t>ter sido aprovada pela Confederação Brasileira de Handebol (CBHB), ou pela Federação Internacional de Handebol (IHF), ou por, no mínimo, 1 Federação Estadual de Handebol nacional. marca dal ponte</w:t>
            </w:r>
          </w:p>
        </w:tc>
        <w:tc>
          <w:tcPr>
            <w:tcW w:w="445" w:type="pct"/>
            <w:shd w:val="clear" w:color="auto" w:fill="auto"/>
            <w:noWrap/>
            <w:vAlign w:val="center"/>
            <w:hideMark/>
          </w:tcPr>
          <w:p w14:paraId="3689034C"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lastRenderedPageBreak/>
              <w:t>UNID</w:t>
            </w:r>
          </w:p>
        </w:tc>
        <w:tc>
          <w:tcPr>
            <w:tcW w:w="445" w:type="pct"/>
            <w:shd w:val="clear" w:color="auto" w:fill="auto"/>
            <w:noWrap/>
            <w:vAlign w:val="center"/>
            <w:hideMark/>
          </w:tcPr>
          <w:p w14:paraId="415058B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10</w:t>
            </w:r>
          </w:p>
        </w:tc>
        <w:tc>
          <w:tcPr>
            <w:tcW w:w="445" w:type="pct"/>
            <w:shd w:val="clear" w:color="auto" w:fill="auto"/>
            <w:noWrap/>
            <w:vAlign w:val="center"/>
            <w:hideMark/>
          </w:tcPr>
          <w:p w14:paraId="42686A1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8</w:t>
            </w:r>
          </w:p>
        </w:tc>
        <w:tc>
          <w:tcPr>
            <w:tcW w:w="484" w:type="pct"/>
            <w:shd w:val="clear" w:color="auto" w:fill="auto"/>
            <w:noWrap/>
            <w:vAlign w:val="center"/>
            <w:hideMark/>
          </w:tcPr>
          <w:p w14:paraId="3ABA55E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5</w:t>
            </w:r>
          </w:p>
        </w:tc>
        <w:tc>
          <w:tcPr>
            <w:tcW w:w="445" w:type="pct"/>
            <w:shd w:val="clear" w:color="auto" w:fill="auto"/>
            <w:noWrap/>
            <w:vAlign w:val="center"/>
            <w:hideMark/>
          </w:tcPr>
          <w:p w14:paraId="197F956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w:t>
            </w:r>
          </w:p>
        </w:tc>
        <w:tc>
          <w:tcPr>
            <w:tcW w:w="491" w:type="pct"/>
            <w:shd w:val="clear" w:color="auto" w:fill="auto"/>
            <w:noWrap/>
            <w:vAlign w:val="center"/>
            <w:hideMark/>
          </w:tcPr>
          <w:p w14:paraId="4E93799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25</w:t>
            </w:r>
          </w:p>
        </w:tc>
      </w:tr>
      <w:tr w:rsidR="00A10880" w:rsidRPr="00A10880" w14:paraId="11727752" w14:textId="77777777" w:rsidTr="0094751D">
        <w:trPr>
          <w:trHeight w:val="20"/>
        </w:trPr>
        <w:tc>
          <w:tcPr>
            <w:tcW w:w="445" w:type="pct"/>
            <w:shd w:val="clear" w:color="auto" w:fill="auto"/>
            <w:noWrap/>
            <w:vAlign w:val="center"/>
            <w:hideMark/>
          </w:tcPr>
          <w:p w14:paraId="3CA68048"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39</w:t>
            </w:r>
          </w:p>
        </w:tc>
        <w:tc>
          <w:tcPr>
            <w:tcW w:w="1800" w:type="pct"/>
            <w:shd w:val="clear" w:color="auto" w:fill="auto"/>
            <w:vAlign w:val="center"/>
            <w:hideMark/>
          </w:tcPr>
          <w:p w14:paraId="5A941874" w14:textId="77777777" w:rsidR="00A10880" w:rsidRPr="00A10880" w:rsidRDefault="00A10880" w:rsidP="00A10880">
            <w:pP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Jogo Xadrez Escolar Oficial Tabuleiro Napa Peças Maciças</w:t>
            </w:r>
          </w:p>
        </w:tc>
        <w:tc>
          <w:tcPr>
            <w:tcW w:w="445" w:type="pct"/>
            <w:shd w:val="clear" w:color="auto" w:fill="auto"/>
            <w:noWrap/>
            <w:vAlign w:val="center"/>
            <w:hideMark/>
          </w:tcPr>
          <w:p w14:paraId="7E7B1339"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529D5FED"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18</w:t>
            </w:r>
          </w:p>
        </w:tc>
        <w:tc>
          <w:tcPr>
            <w:tcW w:w="445" w:type="pct"/>
            <w:shd w:val="clear" w:color="auto" w:fill="auto"/>
            <w:noWrap/>
            <w:vAlign w:val="center"/>
            <w:hideMark/>
          </w:tcPr>
          <w:p w14:paraId="7A75E86D"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84" w:type="pct"/>
            <w:shd w:val="clear" w:color="auto" w:fill="auto"/>
            <w:noWrap/>
            <w:vAlign w:val="center"/>
            <w:hideMark/>
          </w:tcPr>
          <w:p w14:paraId="18629BE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w:t>
            </w:r>
          </w:p>
        </w:tc>
        <w:tc>
          <w:tcPr>
            <w:tcW w:w="445" w:type="pct"/>
            <w:shd w:val="clear" w:color="auto" w:fill="auto"/>
            <w:noWrap/>
            <w:vAlign w:val="center"/>
            <w:hideMark/>
          </w:tcPr>
          <w:p w14:paraId="1A04B68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w:t>
            </w:r>
          </w:p>
        </w:tc>
        <w:tc>
          <w:tcPr>
            <w:tcW w:w="491" w:type="pct"/>
            <w:shd w:val="clear" w:color="auto" w:fill="auto"/>
            <w:noWrap/>
            <w:vAlign w:val="center"/>
            <w:hideMark/>
          </w:tcPr>
          <w:p w14:paraId="41DB344E"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45</w:t>
            </w:r>
          </w:p>
        </w:tc>
      </w:tr>
      <w:tr w:rsidR="00A10880" w:rsidRPr="00A10880" w14:paraId="18EC0ACE" w14:textId="77777777" w:rsidTr="0094751D">
        <w:trPr>
          <w:trHeight w:val="20"/>
        </w:trPr>
        <w:tc>
          <w:tcPr>
            <w:tcW w:w="445" w:type="pct"/>
            <w:shd w:val="clear" w:color="auto" w:fill="auto"/>
            <w:noWrap/>
            <w:vAlign w:val="center"/>
            <w:hideMark/>
          </w:tcPr>
          <w:p w14:paraId="6F58363D"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40</w:t>
            </w:r>
          </w:p>
        </w:tc>
        <w:tc>
          <w:tcPr>
            <w:tcW w:w="1800" w:type="pct"/>
            <w:shd w:val="clear" w:color="auto" w:fill="auto"/>
            <w:vAlign w:val="center"/>
            <w:hideMark/>
          </w:tcPr>
          <w:p w14:paraId="2625BDDE" w14:textId="77777777" w:rsidR="00A10880" w:rsidRPr="00A10880" w:rsidRDefault="00A10880" w:rsidP="00A10880">
            <w:pP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Jogos de Dama Escolar Oficial Tabuleiro Napa</w:t>
            </w:r>
          </w:p>
        </w:tc>
        <w:tc>
          <w:tcPr>
            <w:tcW w:w="445" w:type="pct"/>
            <w:shd w:val="clear" w:color="auto" w:fill="auto"/>
            <w:noWrap/>
            <w:vAlign w:val="center"/>
            <w:hideMark/>
          </w:tcPr>
          <w:p w14:paraId="10F1C34B"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25DDDF53"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18</w:t>
            </w:r>
          </w:p>
        </w:tc>
        <w:tc>
          <w:tcPr>
            <w:tcW w:w="445" w:type="pct"/>
            <w:shd w:val="clear" w:color="auto" w:fill="auto"/>
            <w:noWrap/>
            <w:vAlign w:val="center"/>
            <w:hideMark/>
          </w:tcPr>
          <w:p w14:paraId="4BCD4D2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84" w:type="pct"/>
            <w:shd w:val="clear" w:color="auto" w:fill="auto"/>
            <w:noWrap/>
            <w:vAlign w:val="center"/>
            <w:hideMark/>
          </w:tcPr>
          <w:p w14:paraId="1E153DB0"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w:t>
            </w:r>
          </w:p>
        </w:tc>
        <w:tc>
          <w:tcPr>
            <w:tcW w:w="445" w:type="pct"/>
            <w:shd w:val="clear" w:color="auto" w:fill="auto"/>
            <w:noWrap/>
            <w:vAlign w:val="center"/>
            <w:hideMark/>
          </w:tcPr>
          <w:p w14:paraId="2FEC5A1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w:t>
            </w:r>
          </w:p>
        </w:tc>
        <w:tc>
          <w:tcPr>
            <w:tcW w:w="491" w:type="pct"/>
            <w:shd w:val="clear" w:color="auto" w:fill="auto"/>
            <w:noWrap/>
            <w:vAlign w:val="center"/>
            <w:hideMark/>
          </w:tcPr>
          <w:p w14:paraId="1948CCF8"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45</w:t>
            </w:r>
          </w:p>
        </w:tc>
      </w:tr>
      <w:tr w:rsidR="00A10880" w:rsidRPr="00A10880" w14:paraId="040EE013" w14:textId="77777777" w:rsidTr="0094751D">
        <w:trPr>
          <w:trHeight w:val="20"/>
        </w:trPr>
        <w:tc>
          <w:tcPr>
            <w:tcW w:w="445" w:type="pct"/>
            <w:shd w:val="clear" w:color="auto" w:fill="auto"/>
            <w:noWrap/>
            <w:vAlign w:val="center"/>
            <w:hideMark/>
          </w:tcPr>
          <w:p w14:paraId="326749F8"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41</w:t>
            </w:r>
          </w:p>
        </w:tc>
        <w:tc>
          <w:tcPr>
            <w:tcW w:w="1800" w:type="pct"/>
            <w:shd w:val="clear" w:color="auto" w:fill="auto"/>
            <w:vAlign w:val="center"/>
            <w:hideMark/>
          </w:tcPr>
          <w:p w14:paraId="3F8D6D5C" w14:textId="77777777" w:rsidR="00A10880" w:rsidRPr="00A10880" w:rsidRDefault="00A10880" w:rsidP="00A10880">
            <w:pP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Dominó Profissional De Osso - Estojo Com 28 Peças</w:t>
            </w:r>
          </w:p>
        </w:tc>
        <w:tc>
          <w:tcPr>
            <w:tcW w:w="445" w:type="pct"/>
            <w:shd w:val="clear" w:color="auto" w:fill="auto"/>
            <w:noWrap/>
            <w:vAlign w:val="center"/>
            <w:hideMark/>
          </w:tcPr>
          <w:p w14:paraId="2FA93A17"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0A264BC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18</w:t>
            </w:r>
          </w:p>
        </w:tc>
        <w:tc>
          <w:tcPr>
            <w:tcW w:w="445" w:type="pct"/>
            <w:shd w:val="clear" w:color="auto" w:fill="auto"/>
            <w:noWrap/>
            <w:vAlign w:val="center"/>
            <w:hideMark/>
          </w:tcPr>
          <w:p w14:paraId="7A3555A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84" w:type="pct"/>
            <w:shd w:val="clear" w:color="auto" w:fill="auto"/>
            <w:noWrap/>
            <w:vAlign w:val="center"/>
            <w:hideMark/>
          </w:tcPr>
          <w:p w14:paraId="6B23AB07"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w:t>
            </w:r>
          </w:p>
        </w:tc>
        <w:tc>
          <w:tcPr>
            <w:tcW w:w="445" w:type="pct"/>
            <w:shd w:val="clear" w:color="auto" w:fill="auto"/>
            <w:noWrap/>
            <w:vAlign w:val="center"/>
            <w:hideMark/>
          </w:tcPr>
          <w:p w14:paraId="526510C5"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w:t>
            </w:r>
          </w:p>
        </w:tc>
        <w:tc>
          <w:tcPr>
            <w:tcW w:w="491" w:type="pct"/>
            <w:shd w:val="clear" w:color="auto" w:fill="auto"/>
            <w:noWrap/>
            <w:vAlign w:val="center"/>
            <w:hideMark/>
          </w:tcPr>
          <w:p w14:paraId="0A413EB2"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45</w:t>
            </w:r>
          </w:p>
        </w:tc>
      </w:tr>
      <w:tr w:rsidR="00A10880" w:rsidRPr="00A10880" w14:paraId="2C0D419E" w14:textId="77777777" w:rsidTr="0094751D">
        <w:trPr>
          <w:trHeight w:val="20"/>
        </w:trPr>
        <w:tc>
          <w:tcPr>
            <w:tcW w:w="445" w:type="pct"/>
            <w:shd w:val="clear" w:color="auto" w:fill="auto"/>
            <w:noWrap/>
            <w:vAlign w:val="center"/>
            <w:hideMark/>
          </w:tcPr>
          <w:p w14:paraId="49B6EF3A"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42</w:t>
            </w:r>
          </w:p>
        </w:tc>
        <w:tc>
          <w:tcPr>
            <w:tcW w:w="1800" w:type="pct"/>
            <w:shd w:val="clear" w:color="auto" w:fill="auto"/>
            <w:vAlign w:val="center"/>
            <w:hideMark/>
          </w:tcPr>
          <w:p w14:paraId="0A045200" w14:textId="77777777" w:rsidR="00A10880" w:rsidRPr="00A10880" w:rsidRDefault="00A10880" w:rsidP="00A10880">
            <w:pP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Jogos de Quebra Cabeça</w:t>
            </w:r>
          </w:p>
        </w:tc>
        <w:tc>
          <w:tcPr>
            <w:tcW w:w="445" w:type="pct"/>
            <w:shd w:val="clear" w:color="auto" w:fill="auto"/>
            <w:noWrap/>
            <w:vAlign w:val="center"/>
            <w:hideMark/>
          </w:tcPr>
          <w:p w14:paraId="62CA79E1" w14:textId="77777777" w:rsidR="00A10880" w:rsidRPr="00A10880" w:rsidRDefault="00A10880" w:rsidP="00A10880">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lang w:val="pt-PT"/>
              </w:rPr>
              <w:t>UNID</w:t>
            </w:r>
          </w:p>
        </w:tc>
        <w:tc>
          <w:tcPr>
            <w:tcW w:w="445" w:type="pct"/>
            <w:shd w:val="clear" w:color="auto" w:fill="auto"/>
            <w:noWrap/>
            <w:vAlign w:val="center"/>
            <w:hideMark/>
          </w:tcPr>
          <w:p w14:paraId="0CB2893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18</w:t>
            </w:r>
          </w:p>
        </w:tc>
        <w:tc>
          <w:tcPr>
            <w:tcW w:w="445" w:type="pct"/>
            <w:shd w:val="clear" w:color="auto" w:fill="auto"/>
            <w:noWrap/>
            <w:vAlign w:val="center"/>
            <w:hideMark/>
          </w:tcPr>
          <w:p w14:paraId="384648E9"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14</w:t>
            </w:r>
          </w:p>
        </w:tc>
        <w:tc>
          <w:tcPr>
            <w:tcW w:w="484" w:type="pct"/>
            <w:shd w:val="clear" w:color="auto" w:fill="auto"/>
            <w:noWrap/>
            <w:vAlign w:val="center"/>
            <w:hideMark/>
          </w:tcPr>
          <w:p w14:paraId="7B67F53F"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9</w:t>
            </w:r>
          </w:p>
        </w:tc>
        <w:tc>
          <w:tcPr>
            <w:tcW w:w="445" w:type="pct"/>
            <w:shd w:val="clear" w:color="auto" w:fill="auto"/>
            <w:noWrap/>
            <w:vAlign w:val="center"/>
            <w:hideMark/>
          </w:tcPr>
          <w:p w14:paraId="5E387396"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w:t>
            </w:r>
          </w:p>
        </w:tc>
        <w:tc>
          <w:tcPr>
            <w:tcW w:w="491" w:type="pct"/>
            <w:shd w:val="clear" w:color="auto" w:fill="auto"/>
            <w:noWrap/>
            <w:vAlign w:val="center"/>
            <w:hideMark/>
          </w:tcPr>
          <w:p w14:paraId="36B72B84" w14:textId="77777777" w:rsidR="00A10880" w:rsidRPr="00A10880" w:rsidRDefault="00A10880" w:rsidP="0094751D">
            <w:pPr>
              <w:jc w:val="center"/>
              <w:rPr>
                <w:rFonts w:ascii="Century Gothic" w:hAnsi="Century Gothic" w:cstheme="majorHAnsi"/>
                <w:color w:val="000000"/>
                <w:sz w:val="18"/>
                <w:szCs w:val="18"/>
              </w:rPr>
            </w:pPr>
            <w:r w:rsidRPr="00A10880">
              <w:rPr>
                <w:rFonts w:ascii="Century Gothic" w:hAnsi="Century Gothic" w:cstheme="majorHAnsi"/>
                <w:color w:val="000000"/>
                <w:sz w:val="18"/>
                <w:szCs w:val="18"/>
              </w:rPr>
              <w:t>45</w:t>
            </w:r>
          </w:p>
        </w:tc>
      </w:tr>
    </w:tbl>
    <w:p w14:paraId="17B3580B" w14:textId="064A31C6" w:rsidR="00D06CC0" w:rsidRPr="00D06CC0" w:rsidRDefault="00D06CC0" w:rsidP="00D06CC0">
      <w:pPr>
        <w:spacing w:before="240" w:after="240"/>
        <w:jc w:val="both"/>
        <w:rPr>
          <w:rFonts w:ascii="Century Gothic" w:hAnsi="Century Gothic" w:cstheme="majorHAnsi"/>
          <w:b/>
          <w:bCs/>
          <w:i/>
          <w:iCs/>
          <w:sz w:val="20"/>
        </w:rPr>
      </w:pPr>
      <w:bookmarkStart w:id="41" w:name="_GoBack"/>
      <w:bookmarkEnd w:id="41"/>
      <w:r w:rsidRPr="00D06CC0">
        <w:rPr>
          <w:rFonts w:ascii="Century Gothic" w:hAnsi="Century Gothic" w:cstheme="majorHAnsi"/>
          <w:sz w:val="22"/>
          <w:szCs w:val="22"/>
        </w:rPr>
        <w:t>1.2.</w:t>
      </w:r>
      <w:r w:rsidR="00A10880">
        <w:rPr>
          <w:rFonts w:ascii="Century Gothic" w:hAnsi="Century Gothic" w:cstheme="majorHAnsi"/>
          <w:sz w:val="22"/>
          <w:szCs w:val="22"/>
        </w:rPr>
        <w:t>3</w:t>
      </w:r>
      <w:r w:rsidRPr="00D06CC0">
        <w:rPr>
          <w:rFonts w:ascii="Century Gothic" w:hAnsi="Century Gothic" w:cstheme="majorHAnsi"/>
          <w:sz w:val="22"/>
          <w:szCs w:val="22"/>
        </w:rPr>
        <w:t xml:space="preserve">. </w:t>
      </w:r>
      <w:r w:rsidRPr="00D06CC0">
        <w:rPr>
          <w:rFonts w:ascii="Century Gothic" w:hAnsi="Century Gothic" w:cstheme="majorHAnsi"/>
          <w:b/>
          <w:bCs/>
          <w:i/>
          <w:iCs/>
          <w:sz w:val="20"/>
        </w:rPr>
        <w:t>JUSTIFICATIVA PARA ORÇAMENTO SIGILOSO.</w:t>
      </w:r>
    </w:p>
    <w:p w14:paraId="56456B79" w14:textId="77777777" w:rsidR="00D06CC0" w:rsidRPr="00D06CC0" w:rsidRDefault="00D06CC0" w:rsidP="00D06CC0">
      <w:pPr>
        <w:spacing w:before="240" w:after="240"/>
        <w:jc w:val="both"/>
        <w:rPr>
          <w:rFonts w:ascii="Century Gothic" w:hAnsi="Century Gothic" w:cstheme="majorHAnsi"/>
          <w:sz w:val="20"/>
        </w:rPr>
      </w:pPr>
      <w:r w:rsidRPr="00D06CC0">
        <w:rPr>
          <w:rFonts w:ascii="Century Gothic" w:hAnsi="Century Gothic" w:cstheme="majorHAnsi"/>
          <w:sz w:val="20"/>
        </w:rPr>
        <w:t>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w:t>
      </w:r>
    </w:p>
    <w:p w14:paraId="4038D3C1" w14:textId="77777777" w:rsidR="00D06CC0" w:rsidRPr="00D06CC0" w:rsidRDefault="00D06CC0" w:rsidP="00D06CC0">
      <w:pPr>
        <w:spacing w:before="240" w:after="240"/>
        <w:jc w:val="both"/>
        <w:rPr>
          <w:rFonts w:ascii="Century Gothic" w:hAnsi="Century Gothic" w:cstheme="majorHAnsi"/>
          <w:sz w:val="20"/>
        </w:rPr>
      </w:pPr>
      <w:r w:rsidRPr="00D06CC0">
        <w:rPr>
          <w:rFonts w:ascii="Century Gothic" w:hAnsi="Century Gothic" w:cstheme="majorHAnsi"/>
          <w:sz w:val="20"/>
        </w:rPr>
        <w:t>Para aplicar o sigilo ao orçamento estimado da contratação é necessário entender que sua utilização influenciará na obtenção da melhor oferta. Lembrando que a apresentação da proposta se baseia em diversas circunstâncias e critérios que se definem com base na necessidade, oportunidade ou ainda interesse em determinado objeto.</w:t>
      </w:r>
    </w:p>
    <w:p w14:paraId="5F2061F0" w14:textId="77777777" w:rsidR="00D06CC0" w:rsidRPr="00D06CC0" w:rsidRDefault="00D06CC0" w:rsidP="00D06CC0">
      <w:pPr>
        <w:spacing w:before="240" w:after="240"/>
        <w:jc w:val="both"/>
        <w:rPr>
          <w:rFonts w:ascii="Century Gothic" w:hAnsi="Century Gothic" w:cstheme="majorHAnsi"/>
          <w:sz w:val="20"/>
        </w:rPr>
      </w:pPr>
      <w:r w:rsidRPr="00D06CC0">
        <w:rPr>
          <w:rFonts w:ascii="Century Gothic" w:hAnsi="Century Gothic" w:cstheme="majorHAnsi"/>
          <w:sz w:val="20"/>
        </w:rPr>
        <w:t>Dessa forma, optar por não disponibilizar no processo licitatório, seja ele realizado na modalidade pregão ou na modalidade concorrência, o preço definido pelo órgão como máximo a ser pago, será útil no sentido de que as empresas participantes apresentem suas propostas com base em suas estimativas de custos, o que permitirá, dessa forma, a o aumento do índice de contratos bem-sucedidos.</w:t>
      </w:r>
    </w:p>
    <w:p w14:paraId="785A1152" w14:textId="77777777" w:rsidR="00D06CC0" w:rsidRPr="00D06CC0" w:rsidRDefault="00D06CC0" w:rsidP="00D06CC0">
      <w:pPr>
        <w:spacing w:before="240" w:after="240"/>
        <w:jc w:val="both"/>
        <w:rPr>
          <w:rFonts w:ascii="Century Gothic" w:hAnsi="Century Gothic" w:cstheme="majorHAnsi"/>
          <w:sz w:val="20"/>
        </w:rPr>
      </w:pPr>
      <w:r w:rsidRPr="00D06CC0">
        <w:rPr>
          <w:rFonts w:ascii="Century Gothic" w:hAnsi="Century Gothic" w:cstheme="majorHAnsi"/>
          <w:sz w:val="20"/>
        </w:rPr>
        <w:t>Sendo assim, a depender do objeto que se queira adquirir o que se pretenda contratar, será de extrema utilidade omitir o preço estimado. Vamos pensar de forma prática, em um pregão eletrônico que tenha como objeto a contratação de serviços comuns de engenharia, caso não seja disponibilizado o valor estimado pela Administração, as propostas serão apresentadas com base no preço comum que as empresas licitantes normalmente praticam, pois o intuito é que sua proposta seja a vencedora. Portanto, a probabilidade de se obter o melhor preço é real, principalmente em modo de disputa aberto e fechado, onde as empresas tenderão, ao final, a ofertar seu melhor lance para a obtenção de sucesso.</w:t>
      </w:r>
    </w:p>
    <w:p w14:paraId="32576E87" w14:textId="77777777" w:rsidR="00D06CC0" w:rsidRPr="00D06CC0" w:rsidRDefault="00D06CC0" w:rsidP="00D06CC0">
      <w:pPr>
        <w:spacing w:before="240" w:after="240"/>
        <w:jc w:val="both"/>
        <w:rPr>
          <w:rFonts w:ascii="Century Gothic" w:hAnsi="Century Gothic" w:cstheme="majorHAnsi"/>
          <w:sz w:val="20"/>
        </w:rPr>
      </w:pPr>
      <w:r w:rsidRPr="00D06CC0">
        <w:rPr>
          <w:rFonts w:ascii="Century Gothic" w:hAnsi="Century Gothic" w:cstheme="majorHAnsi"/>
          <w:sz w:val="20"/>
        </w:rPr>
        <w:t>Em complemento, Egon Bockmann Moreira e Fernando Vernalha Guimarães lembram que:</w:t>
      </w:r>
    </w:p>
    <w:p w14:paraId="5F37EEB5" w14:textId="77777777" w:rsidR="00D06CC0" w:rsidRPr="00D06CC0" w:rsidRDefault="00D06CC0" w:rsidP="00D06CC0">
      <w:pPr>
        <w:spacing w:before="240" w:after="240"/>
        <w:jc w:val="both"/>
        <w:rPr>
          <w:rFonts w:ascii="Century Gothic" w:hAnsi="Century Gothic" w:cstheme="majorHAnsi"/>
          <w:sz w:val="20"/>
        </w:rPr>
      </w:pPr>
      <w:r w:rsidRPr="00D06CC0">
        <w:rPr>
          <w:rFonts w:ascii="Century Gothic" w:hAnsi="Century Gothic" w:cstheme="majorHAnsi"/>
          <w:sz w:val="20"/>
        </w:rPr>
        <w:t>“[...] o orçamento sigiloso, além de ultrapassar a proteção contra conluios, garante a obtenção de propostas mais vantajosas, mesmo em um procedimento sem corrupção, dificultando a prévia coordenação entre os concorrentes. Segundo os autores, a veiculação precedente do orçamento pode inibir a prática de descontos mais significativos, eis que os interessados têm incentivos para oferecer preços mais aproximados àquele que a Administração já estimou para a contratação.” (Moreira; Guimarães, 2012, p. 158).</w:t>
      </w:r>
    </w:p>
    <w:p w14:paraId="7FCD8265" w14:textId="475B6BB2"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1.3. O objeto desta contratação não se enquadra como sendo de bem de luxo, conforme Decreto</w:t>
      </w:r>
      <w:r w:rsidRPr="00D06CC0">
        <w:rPr>
          <w:rFonts w:ascii="Century Gothic" w:hAnsi="Century Gothic" w:cstheme="majorHAnsi"/>
          <w:b/>
          <w:bCs/>
          <w:sz w:val="22"/>
          <w:szCs w:val="22"/>
        </w:rPr>
        <w:t xml:space="preserve"> Municipal nº 0</w:t>
      </w:r>
      <w:r>
        <w:rPr>
          <w:rFonts w:ascii="Century Gothic" w:hAnsi="Century Gothic" w:cstheme="majorHAnsi"/>
          <w:b/>
          <w:bCs/>
          <w:sz w:val="22"/>
          <w:szCs w:val="22"/>
        </w:rPr>
        <w:t>4</w:t>
      </w:r>
      <w:r w:rsidRPr="00D06CC0">
        <w:rPr>
          <w:rFonts w:ascii="Century Gothic" w:hAnsi="Century Gothic" w:cstheme="majorHAnsi"/>
          <w:b/>
          <w:bCs/>
          <w:sz w:val="22"/>
          <w:szCs w:val="22"/>
        </w:rPr>
        <w:t>/2025</w:t>
      </w:r>
      <w:r w:rsidRPr="00D06CC0">
        <w:rPr>
          <w:rFonts w:ascii="Century Gothic" w:hAnsi="Century Gothic" w:cstheme="majorHAnsi"/>
          <w:sz w:val="22"/>
          <w:szCs w:val="22"/>
        </w:rPr>
        <w:t>.</w:t>
      </w:r>
    </w:p>
    <w:p w14:paraId="0A106B6F"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lastRenderedPageBreak/>
        <w:t>1.4. Os itens objeto desta contratação são caracterizados como comuns, conforme justificativa constante no Estudo Técnico Preliminar.</w:t>
      </w:r>
    </w:p>
    <w:p w14:paraId="32F635DA"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1.5. O prazo de vigência da contratação é de 12 (doze) meses, contados da assinatura, na forma do art. 105 da Lei 14.133, de 2021.</w:t>
      </w:r>
    </w:p>
    <w:p w14:paraId="2A7CAC56" w14:textId="77777777" w:rsidR="00D06CC0" w:rsidRPr="00D06CC0" w:rsidRDefault="00D06CC0" w:rsidP="00D06CC0">
      <w:pPr>
        <w:jc w:val="both"/>
        <w:rPr>
          <w:rFonts w:ascii="Century Gothic" w:hAnsi="Century Gothic" w:cstheme="majorHAnsi"/>
        </w:rPr>
      </w:pPr>
      <w:r w:rsidRPr="00D06CC0">
        <w:rPr>
          <w:rFonts w:ascii="Century Gothic" w:hAnsi="Century Gothic" w:cstheme="majorHAnsi"/>
        </w:rPr>
        <w:t>1.6. O fornecimento de bens é enquadrado como continuado tendo em vista que a entrega do bem é necessária e permanente, sendo a vigência plurianual mais vantajosa considerando a economia de mercado, conforme o Estudo Técnico Preliminar.</w:t>
      </w:r>
    </w:p>
    <w:p w14:paraId="0BEC254E"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1.7. O contrato oferece maior detalhamento das regras que serão aplicadas em relação à vigência da contratação.</w:t>
      </w:r>
    </w:p>
    <w:p w14:paraId="7D5FCE70"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2. FUNDAMENTAÇÃO E DESCRIÇÃO DA NECESSIDADE DA CONTRATAÇÃO</w:t>
      </w:r>
    </w:p>
    <w:p w14:paraId="5F7FAC3A"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eastAsia="Calibri" w:hAnsi="Century Gothic" w:cstheme="majorHAnsi"/>
          <w:sz w:val="22"/>
          <w:szCs w:val="22"/>
        </w:rPr>
        <w:t>2.1. A fundamentação da contratação e de seus quantitativos encontram-se pormenorizada em tópicos específicos dos Estudos Técnicos Preliminares, apêndice deste Termo de Referência.</w:t>
      </w:r>
    </w:p>
    <w:p w14:paraId="3FFF0B8E"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2.2. O objeto da contratação está previsto na LOA para este exercício.</w:t>
      </w:r>
    </w:p>
    <w:p w14:paraId="366B224D"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2.3. A presente aquisição faz-se necessária para atendimento à demanda das atividades desenvolvidas pelas Secretarias. </w:t>
      </w:r>
    </w:p>
    <w:p w14:paraId="470FA409"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2.4. Ademais, destaca-se que a demanda foi apresentada no </w:t>
      </w:r>
      <w:r w:rsidRPr="00D06CC0">
        <w:rPr>
          <w:rFonts w:ascii="Century Gothic" w:hAnsi="Century Gothic" w:cstheme="majorHAnsi"/>
          <w:b/>
          <w:bCs/>
          <w:sz w:val="22"/>
          <w:szCs w:val="22"/>
        </w:rPr>
        <w:t>DFD e</w:t>
      </w:r>
      <w:r w:rsidRPr="00D06CC0">
        <w:rPr>
          <w:rFonts w:ascii="Century Gothic" w:hAnsi="Century Gothic" w:cstheme="majorHAnsi"/>
          <w:sz w:val="22"/>
          <w:szCs w:val="22"/>
        </w:rPr>
        <w:t xml:space="preserve"> aprovada por meio de despacho das Autoridades competentes.</w:t>
      </w:r>
    </w:p>
    <w:p w14:paraId="3E14D2B9"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3. DESCRIÇÃO DA SOLUÇÃO COMO UM TODO CONSIDERADO O CICLO DE VIDA DO OBJETO E ESPECIFICAÇÃO DO PRODUTO.</w:t>
      </w:r>
    </w:p>
    <w:p w14:paraId="3FE4DACC"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3.1. A descrição da solução como um todo encontra-se pormenorizada em tópico específico dos Estudos Técnicos Preliminares, apêndice deste Termo de Referência. </w:t>
      </w:r>
    </w:p>
    <w:p w14:paraId="49AAAAE9"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4. REQUISITOS DA CONTRATAÇÃO</w:t>
      </w:r>
    </w:p>
    <w:p w14:paraId="336B8E94"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Sustentabilidade</w:t>
      </w:r>
    </w:p>
    <w:p w14:paraId="404986C0"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 xml:space="preserve">4.1 Além dos critérios de sustentabilidade eventualmente inseridos na descrição do objeto, devem ser atendidos os seguintes requisitos, que se baseiam no Guia Nacional de Contratações Sustentáveis: </w:t>
      </w:r>
    </w:p>
    <w:p w14:paraId="5FC35C6C"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hAnsi="Century Gothic" w:cstheme="majorHAnsi"/>
          <w:sz w:val="22"/>
          <w:szCs w:val="22"/>
        </w:rPr>
        <w:t xml:space="preserve">4.2. </w:t>
      </w:r>
      <w:r w:rsidRPr="00D06CC0">
        <w:rPr>
          <w:rFonts w:ascii="Century Gothic" w:eastAsiaTheme="minorHAnsi" w:hAnsi="Century Gothic" w:cstheme="majorHAnsi"/>
          <w:sz w:val="22"/>
          <w:szCs w:val="22"/>
        </w:rPr>
        <w:t xml:space="preserve">Será dada prioridade as contratações através de microempresas e empresas de pequeno porte; </w:t>
      </w:r>
    </w:p>
    <w:p w14:paraId="64BD91EB"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Subcontratação</w:t>
      </w:r>
    </w:p>
    <w:p w14:paraId="5793D9C8"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lastRenderedPageBreak/>
        <w:t>4.3. Não é admitida a subcontratação do objeto contratual.</w:t>
      </w:r>
    </w:p>
    <w:p w14:paraId="5E16BFB2"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Garantia da contratação</w:t>
      </w:r>
    </w:p>
    <w:p w14:paraId="29C4FB0A"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4.4. Não será exigida a garantia da contratação</w:t>
      </w:r>
    </w:p>
    <w:p w14:paraId="04DF6D47"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Garantia de Proposta</w:t>
      </w:r>
    </w:p>
    <w:p w14:paraId="0A6FEA94"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4.5. Não será exigida. </w:t>
      </w:r>
    </w:p>
    <w:p w14:paraId="0286E292"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Vistoria</w:t>
      </w:r>
    </w:p>
    <w:p w14:paraId="0BAEB45D" w14:textId="77777777" w:rsidR="00D06CC0" w:rsidRPr="00D06CC0" w:rsidRDefault="00D06CC0" w:rsidP="00D06CC0">
      <w:pPr>
        <w:jc w:val="both"/>
        <w:rPr>
          <w:rFonts w:ascii="Century Gothic" w:hAnsi="Century Gothic" w:cstheme="majorHAnsi"/>
          <w:sz w:val="22"/>
          <w:szCs w:val="22"/>
        </w:rPr>
      </w:pPr>
      <w:r w:rsidRPr="00D06CC0">
        <w:rPr>
          <w:rFonts w:ascii="Century Gothic" w:hAnsi="Century Gothic" w:cstheme="majorHAnsi"/>
          <w:sz w:val="22"/>
          <w:szCs w:val="22"/>
        </w:rPr>
        <w:t>4.6. Não há necessidade de realização vistoria.</w:t>
      </w:r>
    </w:p>
    <w:p w14:paraId="484A058A"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5. MODELO DE EXECUÇÃO DO OBJETO</w:t>
      </w:r>
    </w:p>
    <w:p w14:paraId="5AC360FA"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Condição de Entrega</w:t>
      </w:r>
    </w:p>
    <w:p w14:paraId="146C5048"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5.1. Os </w:t>
      </w:r>
      <w:r w:rsidRPr="00D06CC0">
        <w:rPr>
          <w:rFonts w:ascii="Century Gothic" w:eastAsiaTheme="minorHAnsi" w:hAnsi="Century Gothic" w:cstheme="majorHAnsi"/>
          <w:sz w:val="22"/>
          <w:szCs w:val="22"/>
        </w:rPr>
        <w:t xml:space="preserve">itens deverão estar de acordo com as especificações da proposta de preço apresentada. </w:t>
      </w:r>
    </w:p>
    <w:p w14:paraId="1A509E7E"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5.2. O prazo de entrega dos bens é de 5 (cinco) dias, contados do recebimento da ordem de fornecimento.</w:t>
      </w:r>
    </w:p>
    <w:p w14:paraId="21DD146D"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5.3.  </w:t>
      </w:r>
      <w:r w:rsidRPr="00D06CC0">
        <w:rPr>
          <w:rFonts w:ascii="Century Gothic" w:eastAsiaTheme="minorHAnsi" w:hAnsi="Century Gothic" w:cstheme="majorHAnsi"/>
          <w:sz w:val="22"/>
          <w:szCs w:val="22"/>
        </w:rPr>
        <w:t>O fornecedor está sujeito à fiscalização dos itens no ato da entrega reservando-se o responsável pelo recebimento o direito de não receber, caso não se encontre em condições satisfatórias.</w:t>
      </w:r>
    </w:p>
    <w:p w14:paraId="39656C78"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Local de entrega dos produtos</w:t>
      </w:r>
    </w:p>
    <w:p w14:paraId="02FF0D64" w14:textId="0610A0F2"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5.4. Os itens deverão ser entregues no endereço indicado pela Secretaria solicitante, constante na ordem de compra, no Município de </w:t>
      </w:r>
      <w:r w:rsidR="004B7742">
        <w:rPr>
          <w:rFonts w:ascii="Century Gothic" w:hAnsi="Century Gothic" w:cstheme="majorHAnsi"/>
          <w:sz w:val="22"/>
          <w:szCs w:val="22"/>
        </w:rPr>
        <w:t>Cachoeira Grande</w:t>
      </w:r>
      <w:r w:rsidRPr="00D06CC0">
        <w:rPr>
          <w:rFonts w:ascii="Century Gothic" w:hAnsi="Century Gothic" w:cstheme="majorHAnsi"/>
          <w:sz w:val="22"/>
          <w:szCs w:val="22"/>
        </w:rPr>
        <w:t>/MA.</w:t>
      </w:r>
    </w:p>
    <w:p w14:paraId="0DB167FC"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Procedimentos de transição e finalização do contrato</w:t>
      </w:r>
    </w:p>
    <w:p w14:paraId="69EED9EE"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5.5. Não serão necessários procedimentos de transição e finalização do contrato devido às características do objeto.</w:t>
      </w:r>
    </w:p>
    <w:p w14:paraId="0B2B76D3"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6. MODELO DE GESTÃO DO CONTRATO</w:t>
      </w:r>
    </w:p>
    <w:p w14:paraId="1D7A3DB1"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6.1. O contrato deverá ser executado fielmente pelas partes, de acordo com as cláusulas avençadas e as normas da Lei nº 14.133, de 2021, e cada parte responderá pelas consequências de sua inexecução total ou parcial.</w:t>
      </w:r>
    </w:p>
    <w:p w14:paraId="759D7C40"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6.2. Em caso de impedimento, ordem de paralisação ou suspensão do contrato, o cronograma de execução será prorrogado automaticamente pelo tempo correspondente, anotadas tais circunstâncias mediante simples apostila.</w:t>
      </w:r>
    </w:p>
    <w:p w14:paraId="35B491FF"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lastRenderedPageBreak/>
        <w:t>6.3. As comunicações entre o órgão ou entidade e a contratada devem ser realizadas por escrito sempre que o ato exigir tal formalidade, admitindo-se o uso de mensagem eletrônica para esse fim.</w:t>
      </w:r>
    </w:p>
    <w:p w14:paraId="6B51A918"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6.4. O órgão ou entidade poderá convocar representante da empresa para adoção de providências que devam ser cumpridas de imediato.</w:t>
      </w:r>
    </w:p>
    <w:p w14:paraId="36D0E62B"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1AE18E"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Fiscalização</w:t>
      </w:r>
    </w:p>
    <w:p w14:paraId="2D4BC793" w14:textId="3017782F"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 xml:space="preserve">6.6. Compete aos fiscais de contratos a fiscalização e o acompanhamento da execução do objeto contratual, e especialmente: (Decreto Municipal </w:t>
      </w:r>
      <w:r>
        <w:rPr>
          <w:rFonts w:ascii="Century Gothic" w:eastAsiaTheme="minorHAnsi" w:hAnsi="Century Gothic" w:cstheme="majorHAnsi"/>
          <w:sz w:val="22"/>
          <w:szCs w:val="22"/>
        </w:rPr>
        <w:t>04//2025</w:t>
      </w:r>
      <w:r w:rsidRPr="00D06CC0">
        <w:rPr>
          <w:rFonts w:ascii="Century Gothic" w:eastAsiaTheme="minorHAnsi" w:hAnsi="Century Gothic" w:cstheme="majorHAnsi"/>
          <w:sz w:val="22"/>
          <w:szCs w:val="22"/>
        </w:rPr>
        <w:t>).</w:t>
      </w:r>
    </w:p>
    <w:p w14:paraId="4F3414B7"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I - agir com transparência e observando, rigorosamente, os princípios legais e éticos em todos os atos inerentes;</w:t>
      </w:r>
    </w:p>
    <w:p w14:paraId="1C0B80CE"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II - conhecer o inteiro teor de editais e de seus anexos, de atas de registro de preços, de instrumentos contratuais e de todos os seus anexos, especialmente o projeto básico/termo de referência, além de eventuais aditivos e apostilamentos;</w:t>
      </w:r>
    </w:p>
    <w:p w14:paraId="00592DE4"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78422924"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IV - 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1D313574"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V - assegurar-se do cumprimento integral das obrigações contratuais assumidas pela contratada;</w:t>
      </w:r>
    </w:p>
    <w:p w14:paraId="03DC703F"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VI - certificar-se de que:</w:t>
      </w:r>
    </w:p>
    <w:p w14:paraId="3ACAD0D7"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a) contratada é quem executa o contrato;</w:t>
      </w:r>
    </w:p>
    <w:p w14:paraId="11BAAB8A"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b) existe cessão ou subcontratação fora das hipóteses legais e previstas no contrato;</w:t>
      </w:r>
    </w:p>
    <w:p w14:paraId="41538208"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lastRenderedPageBreak/>
        <w:t>VII - verificar se a contratada mantém um responsável técnico acompanhando as obras e os serviços, quando assim determinar o contrato;</w:t>
      </w:r>
    </w:p>
    <w:p w14:paraId="3BB04FE3"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VIII - atestar, em documento hábil, juntamente com os gestor(es) de contratos, o fornecimento ou a entrega de bens e a prestação do serviço, após conferência prévia do objeto contratado, recusando-os quando irregulares ou em desacordo com as condições estabelecidas;</w:t>
      </w:r>
    </w:p>
    <w:p w14:paraId="75F58F47"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IX - 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14:paraId="6886927F"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X - apresentar, periodicamente ou quando necessário, relatório circunstanciado de acompanhamento da execução dos serviços ou dos bens entregues, que deverá ser instruído com registros fotográficos e demais documentos probatórios, quando for o caso;</w:t>
      </w:r>
    </w:p>
    <w:p w14:paraId="0DAF0E25"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XI - atuar, com eficiência e celeridade, na solução dos problemas que porventura venham a ocorrer ao longo da execução contratual, encaminhando as questões que ultrapassarem sua competência ao(s) gestor(es) do contrato ou à autoridade competente;</w:t>
      </w:r>
    </w:p>
    <w:p w14:paraId="0FBE6C86"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XII - observar os prazos contratuais para a regularização de eventuais falhas e, no caso da inexistência de sua previsão, estabelecer juntamente com o(s) gestor(es) do contrato, prazo razoável para a medida saneadora;</w:t>
      </w:r>
    </w:p>
    <w:p w14:paraId="1756044F"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59F003F1"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XIV - indicar, expressamente, a necessidade de eventuais descontos a serem realizados em razão da inexecução ou da má execução do contrato, por meio de glosas que serão escritas no verso da nota ou do documento equivalente;</w:t>
      </w:r>
    </w:p>
    <w:p w14:paraId="67D42C0F"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XV - dar ciência ao(s) gestor(es) do contrato acerca da possibilidade de não conclusão do objeto na data pactuada, com as justificativas apresentadas pela contratada;</w:t>
      </w:r>
    </w:p>
    <w:p w14:paraId="51AB30C9"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2F7B7A18" w14:textId="7777777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lastRenderedPageBreak/>
        <w:t>XVII - comunicar ao(s) gestor(es) do contrato, formalmente e com antecedência, o afastamento das atividades de fiscalização para que, caso necessário, seja designado seu substituto;</w:t>
      </w:r>
    </w:p>
    <w:p w14:paraId="2F07B3DA" w14:textId="77777777" w:rsidR="00D06CC0" w:rsidRPr="00D06CC0" w:rsidRDefault="00D06CC0" w:rsidP="00D06CC0">
      <w:pPr>
        <w:spacing w:before="240" w:after="240"/>
        <w:jc w:val="both"/>
        <w:rPr>
          <w:rFonts w:ascii="Century Gothic" w:eastAsia="Calibri" w:hAnsi="Century Gothic" w:cstheme="majorHAnsi"/>
          <w:sz w:val="22"/>
          <w:szCs w:val="22"/>
        </w:rPr>
      </w:pPr>
      <w:r w:rsidRPr="00D06CC0">
        <w:rPr>
          <w:rFonts w:ascii="Century Gothic" w:eastAsiaTheme="minorHAnsi" w:hAnsi="Century Gothic" w:cstheme="majorHAnsi"/>
          <w:sz w:val="22"/>
          <w:szCs w:val="22"/>
        </w:rPr>
        <w:t>XVIII - informar a seus superiores, em tempo hábil para a adoção das medidas convenientes, sobre quaisquer situações que demandem decisão ou providência que ultrapasse sua competência</w:t>
      </w:r>
    </w:p>
    <w:p w14:paraId="558B7076" w14:textId="77777777" w:rsidR="00D06CC0" w:rsidRPr="00D06CC0" w:rsidRDefault="00D06CC0" w:rsidP="00D06CC0">
      <w:pPr>
        <w:spacing w:before="240" w:after="240"/>
        <w:jc w:val="both"/>
        <w:rPr>
          <w:rFonts w:ascii="Century Gothic" w:eastAsia="Calibri" w:hAnsi="Century Gothic" w:cstheme="majorHAnsi"/>
          <w:b/>
          <w:bCs/>
          <w:sz w:val="22"/>
          <w:szCs w:val="22"/>
        </w:rPr>
      </w:pPr>
      <w:r w:rsidRPr="00D06CC0">
        <w:rPr>
          <w:rFonts w:ascii="Century Gothic" w:eastAsia="Calibri" w:hAnsi="Century Gothic" w:cstheme="majorHAnsi"/>
          <w:b/>
          <w:bCs/>
          <w:sz w:val="22"/>
          <w:szCs w:val="22"/>
        </w:rPr>
        <w:t>Gestor do Contrato</w:t>
      </w:r>
    </w:p>
    <w:p w14:paraId="61663688" w14:textId="008C6E1C"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 xml:space="preserve">6.7. Compete aos gestores de contratos o exercício de atividades gerenciais, técnicas e operacionais relacionadas à gestão da execução dos contratos, e especialmente: (Decreto Municipal </w:t>
      </w:r>
      <w:r>
        <w:rPr>
          <w:rFonts w:ascii="Century Gothic" w:eastAsiaTheme="minorHAnsi" w:hAnsi="Century Gothic" w:cstheme="majorHAnsi"/>
          <w:sz w:val="22"/>
          <w:szCs w:val="22"/>
        </w:rPr>
        <w:t>04//2025</w:t>
      </w:r>
      <w:r w:rsidRPr="00D06CC0">
        <w:rPr>
          <w:rFonts w:ascii="Century Gothic" w:eastAsiaTheme="minorHAnsi" w:hAnsi="Century Gothic" w:cstheme="majorHAnsi"/>
          <w:sz w:val="22"/>
          <w:szCs w:val="22"/>
        </w:rPr>
        <w:t>).</w:t>
      </w:r>
    </w:p>
    <w:p w14:paraId="2946ED2E" w14:textId="20465AE7"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 xml:space="preserve">6.7.1. acompanhar a celebração e a execução dos contratos e dos termos aditivos, com a coleta das assinaturas, providenciando, posteriormente, a juntada dos comprovantes de publicação do extrato e o encaminhamento ao Tribunal de Contas do Estado, pelo sistema, quando for o caso; (Decreto Municipal </w:t>
      </w:r>
      <w:r>
        <w:rPr>
          <w:rFonts w:ascii="Century Gothic" w:eastAsiaTheme="minorHAnsi" w:hAnsi="Century Gothic" w:cstheme="majorHAnsi"/>
          <w:sz w:val="22"/>
          <w:szCs w:val="22"/>
        </w:rPr>
        <w:t>04//2025</w:t>
      </w:r>
      <w:r w:rsidRPr="00D06CC0">
        <w:rPr>
          <w:rFonts w:ascii="Century Gothic" w:eastAsiaTheme="minorHAnsi" w:hAnsi="Century Gothic" w:cstheme="majorHAnsi"/>
          <w:sz w:val="22"/>
          <w:szCs w:val="22"/>
        </w:rPr>
        <w:t>)</w:t>
      </w:r>
    </w:p>
    <w:p w14:paraId="2105B529" w14:textId="70612B85"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 xml:space="preserve">6.7.2.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(Decreto Municipal </w:t>
      </w:r>
      <w:r>
        <w:rPr>
          <w:rFonts w:ascii="Century Gothic" w:eastAsiaTheme="minorHAnsi" w:hAnsi="Century Gothic" w:cstheme="majorHAnsi"/>
          <w:sz w:val="22"/>
          <w:szCs w:val="22"/>
        </w:rPr>
        <w:t>04//2025</w:t>
      </w:r>
      <w:r w:rsidRPr="00D06CC0">
        <w:rPr>
          <w:rFonts w:ascii="Century Gothic" w:eastAsiaTheme="minorHAnsi" w:hAnsi="Century Gothic" w:cstheme="majorHAnsi"/>
          <w:sz w:val="22"/>
          <w:szCs w:val="22"/>
        </w:rPr>
        <w:t>).</w:t>
      </w:r>
    </w:p>
    <w:p w14:paraId="7303A941" w14:textId="639B0558"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 xml:space="preserve">6.7.3. adotar as medidas preparatórias para a aplicação de sanções e para a rescisão contratual, conforme previsão contida no edital e/ou no instrumento contratual, ou ainda, na legislação de regência, com aprovação da autoridade competente; (Decreto Municipal </w:t>
      </w:r>
      <w:r>
        <w:rPr>
          <w:rFonts w:ascii="Century Gothic" w:eastAsiaTheme="minorHAnsi" w:hAnsi="Century Gothic" w:cstheme="majorHAnsi"/>
          <w:sz w:val="22"/>
          <w:szCs w:val="22"/>
        </w:rPr>
        <w:t>04//2025</w:t>
      </w:r>
      <w:r w:rsidRPr="00D06CC0">
        <w:rPr>
          <w:rFonts w:ascii="Century Gothic" w:eastAsiaTheme="minorHAnsi" w:hAnsi="Century Gothic" w:cstheme="majorHAnsi"/>
          <w:sz w:val="22"/>
          <w:szCs w:val="22"/>
        </w:rPr>
        <w:t>)</w:t>
      </w:r>
    </w:p>
    <w:p w14:paraId="6E8107C4" w14:textId="382A71A6"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 xml:space="preserve">6.7.4. certificar-se de que a contratada mantém, durante toda a execução do contrato, as condições de habilitação e de qualificação exigidas na licitação e/ou na contratação, solicitando os documentos necessários à comprovação da manutenção das referidas condições; (Decreto Municipal </w:t>
      </w:r>
      <w:r>
        <w:rPr>
          <w:rFonts w:ascii="Century Gothic" w:eastAsiaTheme="minorHAnsi" w:hAnsi="Century Gothic" w:cstheme="majorHAnsi"/>
          <w:sz w:val="22"/>
          <w:szCs w:val="22"/>
        </w:rPr>
        <w:t>04//2025</w:t>
      </w:r>
      <w:r w:rsidRPr="00D06CC0">
        <w:rPr>
          <w:rFonts w:ascii="Century Gothic" w:eastAsiaTheme="minorHAnsi" w:hAnsi="Century Gothic" w:cstheme="majorHAnsi"/>
          <w:sz w:val="22"/>
          <w:szCs w:val="22"/>
        </w:rPr>
        <w:t>)</w:t>
      </w:r>
    </w:p>
    <w:p w14:paraId="6713CC6F" w14:textId="4FD20039" w:rsidR="00D06CC0" w:rsidRPr="00D06CC0" w:rsidRDefault="00D06CC0" w:rsidP="00D06CC0">
      <w:pPr>
        <w:spacing w:before="240" w:after="240"/>
        <w:jc w:val="both"/>
        <w:rPr>
          <w:rFonts w:ascii="Century Gothic" w:eastAsiaTheme="minorHAnsi" w:hAnsi="Century Gothic" w:cstheme="majorHAnsi"/>
          <w:sz w:val="22"/>
          <w:szCs w:val="22"/>
        </w:rPr>
      </w:pPr>
      <w:r w:rsidRPr="00D06CC0">
        <w:rPr>
          <w:rFonts w:ascii="Century Gothic" w:eastAsiaTheme="minorHAnsi" w:hAnsi="Century Gothic" w:cstheme="majorHAnsi"/>
          <w:sz w:val="22"/>
          <w:szCs w:val="22"/>
        </w:rPr>
        <w:t xml:space="preserve">6.7.5. constituir o relatório final de que trata a alínea “d” do inciso VI do § 3º do art. 174 da Lei Federal nº 14.133, de 2021, com as informações obtidas durante a execução do contrato, como forma de aprimoramento das atividades da Administração Pública Municipal; (Decreto Municipal </w:t>
      </w:r>
      <w:r>
        <w:rPr>
          <w:rFonts w:ascii="Century Gothic" w:eastAsiaTheme="minorHAnsi" w:hAnsi="Century Gothic" w:cstheme="majorHAnsi"/>
          <w:sz w:val="22"/>
          <w:szCs w:val="22"/>
        </w:rPr>
        <w:t>04//2025</w:t>
      </w:r>
      <w:r w:rsidRPr="00D06CC0">
        <w:rPr>
          <w:rFonts w:ascii="Century Gothic" w:eastAsiaTheme="minorHAnsi" w:hAnsi="Century Gothic" w:cstheme="majorHAnsi"/>
          <w:sz w:val="22"/>
          <w:szCs w:val="22"/>
        </w:rPr>
        <w:t>).</w:t>
      </w:r>
    </w:p>
    <w:p w14:paraId="7D969D41"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7. CRITÉRIOS DE MEDIÇÃO E DE PAGAMENTO</w:t>
      </w:r>
    </w:p>
    <w:p w14:paraId="161BCC23"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Recebimento</w:t>
      </w:r>
    </w:p>
    <w:p w14:paraId="43732891"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7.1. Os bens serão recebidos provisoriamente, de forma sumária, no ato da entrega, juntamente com a </w:t>
      </w:r>
      <w:r w:rsidRPr="00D06CC0">
        <w:rPr>
          <w:rFonts w:ascii="Century Gothic" w:eastAsia="Calibri" w:hAnsi="Century Gothic" w:cstheme="majorHAnsi"/>
          <w:sz w:val="22"/>
          <w:szCs w:val="22"/>
        </w:rPr>
        <w:t>nota</w:t>
      </w:r>
      <w:r w:rsidRPr="00D06CC0">
        <w:rPr>
          <w:rFonts w:ascii="Century Gothic" w:hAnsi="Century Gothic" w:cstheme="majorHAnsi"/>
          <w:sz w:val="22"/>
          <w:szCs w:val="22"/>
        </w:rPr>
        <w:t xml:space="preserve"> fiscal ou instrumento de cobrança equivalente, pelo(a) responsável pelo acompanhamento e fiscalização do contrato, para efeito de posterior </w:t>
      </w:r>
      <w:r w:rsidRPr="00D06CC0">
        <w:rPr>
          <w:rFonts w:ascii="Century Gothic" w:hAnsi="Century Gothic" w:cstheme="majorHAnsi"/>
          <w:sz w:val="22"/>
          <w:szCs w:val="22"/>
        </w:rPr>
        <w:lastRenderedPageBreak/>
        <w:t>verificação de sua conformidade com as especificações constantes no Termo de Referência e na proposta.</w:t>
      </w:r>
    </w:p>
    <w:p w14:paraId="33E811F3"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7.2. 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690577DC"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11D411EF"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FC0BD97"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7.5. No caso de controvérsia sobre a execução do objeto, quanto à dimensão, qualidade e quantidade, deverá ser observado o teor do </w:t>
      </w:r>
      <w:hyperlink r:id="rId43" w:anchor="art143">
        <w:r w:rsidRPr="00D06CC0">
          <w:rPr>
            <w:rStyle w:val="Hyperlink"/>
            <w:rFonts w:ascii="Century Gothic" w:hAnsi="Century Gothic" w:cstheme="majorHAnsi"/>
            <w:sz w:val="22"/>
            <w:szCs w:val="22"/>
          </w:rPr>
          <w:t>art. 143 da Lei nº 14.133, de 2021</w:t>
        </w:r>
      </w:hyperlink>
      <w:r w:rsidRPr="00D06CC0">
        <w:rPr>
          <w:rFonts w:ascii="Century Gothic" w:hAnsi="Century Gothic" w:cstheme="majorHAnsi"/>
          <w:sz w:val="22"/>
          <w:szCs w:val="22"/>
        </w:rPr>
        <w:t>, comunicando-se à empresa para emissão de Nota Fiscal no que pertine à parcela incontroversa da execução do objeto, para efeito de liquidação e pagamento.</w:t>
      </w:r>
    </w:p>
    <w:p w14:paraId="7036136F"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5947166"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7.7. O recebimento provisório ou definitivo não excluirá a responsabilidade civil pela solidez e pela segurança dos bens nem a responsabilidade ético-profissional pela perfeita execução do contrato.</w:t>
      </w:r>
    </w:p>
    <w:p w14:paraId="0ACF3B70"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Liquidação</w:t>
      </w:r>
    </w:p>
    <w:p w14:paraId="4B27E1F2"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7.8. Recebida a Nota Fiscal ou documento de cobrança equivalente, correrá o prazo de dez dias úteis para fins de liquidação, na forma desta seção, prorrogáveis por igual período.</w:t>
      </w:r>
    </w:p>
    <w:p w14:paraId="5413EBD6"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7.9. Para fins de liquidação, o setor competente deverá verificar se a nota fiscal ou instrumento de cobrança equivalente apresentado expressa os elementos necessários e essenciais do documento, tais como: </w:t>
      </w:r>
    </w:p>
    <w:p w14:paraId="1B4B524D"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7.9.1. o prazo de validade;</w:t>
      </w:r>
    </w:p>
    <w:p w14:paraId="33A11A7B"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7.9.2. a data da emissão; </w:t>
      </w:r>
    </w:p>
    <w:p w14:paraId="4681B79A"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lastRenderedPageBreak/>
        <w:t xml:space="preserve">7.9.3. os dados do contrato e do órgão contratante; </w:t>
      </w:r>
    </w:p>
    <w:p w14:paraId="796D5D64"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7.9.4. o período respectivo de execução do contrato; </w:t>
      </w:r>
    </w:p>
    <w:p w14:paraId="73A4CC59"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7.9.5. o valor a pagar; e </w:t>
      </w:r>
    </w:p>
    <w:p w14:paraId="14405876"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7.9.6. eventual destaque do valor de retenções tributárias cabíveis.</w:t>
      </w:r>
    </w:p>
    <w:p w14:paraId="038E7087"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eastAsia="Calibri" w:hAnsi="Century Gothic" w:cstheme="majorHAnsi"/>
          <w:sz w:val="22"/>
          <w:szCs w:val="22"/>
        </w:rPr>
        <w:t xml:space="preserve">7.10. Havendo erro na apresentação da nota fiscal ou instrumento de cobrança equivalente, ou circunstância que impeça a </w:t>
      </w:r>
      <w:r w:rsidRPr="00D06CC0">
        <w:rPr>
          <w:rFonts w:ascii="Century Gothic" w:hAnsi="Century Gothic" w:cstheme="majorHAnsi"/>
          <w:sz w:val="22"/>
          <w:szCs w:val="22"/>
        </w:rPr>
        <w:t>liquidação da despesa, esta ficará sobrestada até que o contratado providencie as medidas saneadoras, reiniciando-se o prazo após a comprovação da regularização da situação, sem ônus ao contratante;</w:t>
      </w:r>
    </w:p>
    <w:p w14:paraId="0A7F8D5D"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4" w:anchor="art68">
        <w:r w:rsidRPr="00D06CC0">
          <w:rPr>
            <w:rStyle w:val="Hyperlink"/>
            <w:rFonts w:ascii="Century Gothic" w:hAnsi="Century Gothic" w:cstheme="majorHAnsi"/>
            <w:sz w:val="22"/>
            <w:szCs w:val="22"/>
          </w:rPr>
          <w:t xml:space="preserve">art. 68 da Lei nº 14.133, de 2021.  </w:t>
        </w:r>
      </w:hyperlink>
    </w:p>
    <w:p w14:paraId="5A5EE39A"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7.12. A Administração deverá realizar consulta aos site oficiais 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054E7B57"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EDE7DC4"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88B94C8"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7.15. Persistindo a irregularidade, o contratante deverá adotar as medidas necessárias à rescisão contratual nos autos do processo administrativo correspondente, assegurada ao contratado a ampla defesa. </w:t>
      </w:r>
    </w:p>
    <w:p w14:paraId="0DD78890"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7.16. Havendo a efetiva execução do objeto, os pagamentos serão realizados normalmente, até que se decida pela rescisão do contrato, caso o contratado não regularize sua situação.</w:t>
      </w:r>
    </w:p>
    <w:p w14:paraId="209EAFDE"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lastRenderedPageBreak/>
        <w:t>Prazo de pagamento</w:t>
      </w:r>
    </w:p>
    <w:p w14:paraId="02CD89EE"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7.17. O pagamento será efetuado no prazo de até 10 (dez) dias úteis contados da finalização da liquidação da despesa, conforme seção anterior.</w:t>
      </w:r>
    </w:p>
    <w:p w14:paraId="22311E5E"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7.18. No caso de atraso pelo Contratante, os valores devidos ao contratado serão atualizados monetariamente entre o termo final do prazo de pagamento até a data de sua efetiva realização, mediante aplicação do índice IPCA/IBGE de correção monetária.</w:t>
      </w:r>
    </w:p>
    <w:p w14:paraId="5166CAC0"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Forma de pagamento</w:t>
      </w:r>
    </w:p>
    <w:p w14:paraId="6F7D06FB"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7.19. O pagamento será realizado por meio de ordem bancária, para crédito em banco, agência e conta corrente indicados pelo contratado.</w:t>
      </w:r>
    </w:p>
    <w:p w14:paraId="2A81C638"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7.20. Será considerada data do pagamento o dia em que constar como emitida a ordem bancária para pagamento.</w:t>
      </w:r>
    </w:p>
    <w:p w14:paraId="4F9E0FB6"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7.21. Quando do pagamento, será efetuada a retenção tributária prevista na legislação aplicável.</w:t>
      </w:r>
    </w:p>
    <w:p w14:paraId="7DCD89E3"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7.22. O contratado regularmente optante pelo Simples Nacional, nos termos da </w:t>
      </w:r>
      <w:hyperlink r:id="rId45">
        <w:r w:rsidRPr="00D06CC0">
          <w:rPr>
            <w:rStyle w:val="Hyperlink"/>
            <w:rFonts w:ascii="Century Gothic" w:hAnsi="Century Gothic" w:cstheme="majorHAnsi"/>
            <w:sz w:val="22"/>
            <w:szCs w:val="22"/>
          </w:rPr>
          <w:t>Lei Complementar nº 123, de 2006</w:t>
        </w:r>
      </w:hyperlink>
      <w:r w:rsidRPr="00D06CC0">
        <w:rPr>
          <w:rFonts w:ascii="Century Gothic" w:hAnsi="Century Gothic"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2FC253"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7.23. Deverá ser prosseguida a retenção de imposto de renda – IR.</w:t>
      </w:r>
    </w:p>
    <w:p w14:paraId="303EC38B"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8. FORMA E CRITÉRIOS DE SELEÇÃO DO FORNECEDOR E FORMA DE FORNECIMENTO</w:t>
      </w:r>
    </w:p>
    <w:p w14:paraId="72E079B8"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Forma de seleção e critério de julgamento da proposta</w:t>
      </w:r>
    </w:p>
    <w:p w14:paraId="28AA79F6"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8.1. O fornecedor será selecionado por meio da realização de procedimento de LICITAÇÃO, na modalidade PREGÃO, sob a forma ELETRÔNICA, com adoção do critério de julgamento pelo MENOR PREÇO.</w:t>
      </w:r>
    </w:p>
    <w:p w14:paraId="2F159E6C"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Forma de fornecimento</w:t>
      </w:r>
    </w:p>
    <w:p w14:paraId="6B6B56B8"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8.2. O fornecimento do objeto será parcelado.</w:t>
      </w:r>
    </w:p>
    <w:p w14:paraId="0FEAC79C"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Exigências de habilitação</w:t>
      </w:r>
    </w:p>
    <w:p w14:paraId="3CF85B67"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8.3. Para fins de habilitação, deverá o licitante comprovar os seguintes requisitos:</w:t>
      </w:r>
    </w:p>
    <w:p w14:paraId="1ED74CF2"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Habilitação jurídica</w:t>
      </w:r>
    </w:p>
    <w:p w14:paraId="44AFA12D"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lastRenderedPageBreak/>
        <w:t>8.4. Pessoa física: cédula de identidade (RG) ou documento equivalente que, por força de lei, tenha validade para fins de identificação em todo o território nacional.</w:t>
      </w:r>
    </w:p>
    <w:p w14:paraId="20C71D35"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8.5. Empresário individual: inscrição no Registro Público de Empresas Mercantis, a cargo da Junta Comercial da respectiva sede; </w:t>
      </w:r>
    </w:p>
    <w:p w14:paraId="11B83646"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8.6. Microempreendedor Individual - MEI: Certificado da Condição de Microempreendedor Individual - CCMEI, cuja aceitação ficará condicionada à verificação da autenticidade no sítio </w:t>
      </w:r>
      <w:hyperlink r:id="rId46">
        <w:r w:rsidRPr="00D06CC0">
          <w:rPr>
            <w:rStyle w:val="Hyperlink"/>
            <w:rFonts w:ascii="Century Gothic" w:hAnsi="Century Gothic" w:cstheme="majorHAnsi"/>
            <w:sz w:val="22"/>
            <w:szCs w:val="22"/>
          </w:rPr>
          <w:t>https://www.gov.br/empresas-e-negocios/pt-br/empreendedor</w:t>
        </w:r>
      </w:hyperlink>
      <w:r w:rsidRPr="00D06CC0">
        <w:rPr>
          <w:rFonts w:ascii="Century Gothic" w:hAnsi="Century Gothic" w:cstheme="majorHAnsi"/>
          <w:sz w:val="22"/>
          <w:szCs w:val="22"/>
        </w:rPr>
        <w:t xml:space="preserve">; </w:t>
      </w:r>
    </w:p>
    <w:p w14:paraId="6306E1DC"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13AB3C"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8.8.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7">
        <w:r w:rsidRPr="00D06CC0">
          <w:rPr>
            <w:rStyle w:val="Hyperlink"/>
            <w:rFonts w:ascii="Century Gothic" w:hAnsi="Century Gothic" w:cstheme="majorHAnsi"/>
            <w:sz w:val="22"/>
            <w:szCs w:val="22"/>
          </w:rPr>
          <w:t>Normativa DREI/ME n.º 77, de 18 de março de 2020</w:t>
        </w:r>
      </w:hyperlink>
      <w:r w:rsidRPr="00D06CC0">
        <w:rPr>
          <w:rFonts w:ascii="Century Gothic" w:hAnsi="Century Gothic" w:cstheme="majorHAnsi"/>
          <w:sz w:val="22"/>
          <w:szCs w:val="22"/>
        </w:rPr>
        <w:t>.</w:t>
      </w:r>
    </w:p>
    <w:p w14:paraId="7F9CEF5D"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8.9. Sociedade simples: inscrição do ato constitutivo no Registro Civil de Pessoas Jurídicas do local de sua sede, acompanhada de documento comprobatório de seus administradores;</w:t>
      </w:r>
    </w:p>
    <w:p w14:paraId="4297C96E"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8.10.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2" w:name="_Int_ySfCXwr4"/>
      <w:r w:rsidRPr="00D06CC0">
        <w:rPr>
          <w:rFonts w:ascii="Century Gothic" w:hAnsi="Century Gothic" w:cstheme="majorHAnsi"/>
          <w:sz w:val="22"/>
          <w:szCs w:val="22"/>
        </w:rPr>
        <w:t>Mercantis onde</w:t>
      </w:r>
      <w:bookmarkEnd w:id="42"/>
      <w:r w:rsidRPr="00D06CC0">
        <w:rPr>
          <w:rFonts w:ascii="Century Gothic" w:hAnsi="Century Gothic" w:cstheme="majorHAnsi"/>
          <w:sz w:val="22"/>
          <w:szCs w:val="22"/>
        </w:rPr>
        <w:t xml:space="preserve"> opera, com averbação no Registro onde tem sede a matriz</w:t>
      </w:r>
    </w:p>
    <w:p w14:paraId="54176A89"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8.11. Sociedade cooperativa: ata de fundação e estatuto social, com a ata da assembleia que o aprovou, devidamente arquivado na Junta Comercial ou inscrito no Registro Civil das Pessoas Jurídicas da respectiva sede, além do registro de que trata o </w:t>
      </w:r>
      <w:hyperlink r:id="rId48" w:anchor="art107">
        <w:r w:rsidRPr="00D06CC0">
          <w:rPr>
            <w:rStyle w:val="Hyperlink"/>
            <w:rFonts w:ascii="Century Gothic" w:hAnsi="Century Gothic" w:cstheme="majorHAnsi"/>
            <w:sz w:val="22"/>
            <w:szCs w:val="22"/>
          </w:rPr>
          <w:t>art. 107 da Lei nº 5.764, de 16 de dezembro 1971</w:t>
        </w:r>
      </w:hyperlink>
      <w:r w:rsidRPr="00D06CC0">
        <w:rPr>
          <w:rFonts w:ascii="Century Gothic" w:hAnsi="Century Gothic" w:cstheme="majorHAnsi"/>
          <w:sz w:val="22"/>
          <w:szCs w:val="22"/>
        </w:rPr>
        <w:t>.</w:t>
      </w:r>
    </w:p>
    <w:p w14:paraId="215EE0FD"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8.12. Agricultor familiar: Declaração de Aptidão ao Pronaf – DAP ou DAP-P válida, ou, ainda, outros documentos definidos pela Secretaria Especial de Agricultura Familiar e do Desenvolvimento Agrário, nos termos do</w:t>
      </w:r>
      <w:hyperlink r:id="rId49" w:anchor="art4§2">
        <w:r w:rsidRPr="00D06CC0">
          <w:rPr>
            <w:rStyle w:val="Hyperlink"/>
            <w:rFonts w:ascii="Century Gothic" w:hAnsi="Century Gothic" w:cstheme="majorHAnsi"/>
            <w:sz w:val="22"/>
            <w:szCs w:val="22"/>
          </w:rPr>
          <w:t xml:space="preserve"> art. 4º, §2º do Decreto nº 10.880, de 2 de dezembro de 2021</w:t>
        </w:r>
      </w:hyperlink>
      <w:r w:rsidRPr="00D06CC0">
        <w:rPr>
          <w:rFonts w:ascii="Century Gothic" w:hAnsi="Century Gothic" w:cstheme="majorHAnsi"/>
          <w:sz w:val="22"/>
          <w:szCs w:val="22"/>
        </w:rPr>
        <w:t>.</w:t>
      </w:r>
    </w:p>
    <w:p w14:paraId="4FEA0DDF"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8.13. Produtor Rural: matrícula no Cadastro Específico do INSS – CEI, que comprove a qualificação como produtor rural pessoa física, nos termos da </w:t>
      </w:r>
      <w:hyperlink r:id="rId50">
        <w:r w:rsidRPr="00D06CC0">
          <w:rPr>
            <w:rStyle w:val="Hyperlink"/>
            <w:rFonts w:ascii="Century Gothic" w:hAnsi="Century Gothic" w:cstheme="majorHAnsi"/>
            <w:sz w:val="22"/>
            <w:szCs w:val="22"/>
          </w:rPr>
          <w:t>Instrução Normativa RFB n. 971, de 13 de novembro de 2009</w:t>
        </w:r>
      </w:hyperlink>
      <w:r w:rsidRPr="00D06CC0">
        <w:rPr>
          <w:rFonts w:ascii="Century Gothic" w:hAnsi="Century Gothic" w:cstheme="majorHAnsi"/>
          <w:sz w:val="22"/>
          <w:szCs w:val="22"/>
        </w:rPr>
        <w:t xml:space="preserve"> (arts. 17 a 19 e 165).</w:t>
      </w:r>
    </w:p>
    <w:p w14:paraId="6122F42F"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lastRenderedPageBreak/>
        <w:t>8.14. Os documentos apresentados deverão estar acompanhados de todas as alterações e da consolidação respectiva.</w:t>
      </w:r>
    </w:p>
    <w:p w14:paraId="14FE968E"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Habilitação fiscal, social e trabalhista</w:t>
      </w:r>
    </w:p>
    <w:p w14:paraId="05E27325"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8.15. Prova de inscrição no Cadastro Nacional de Pessoas Jurídicas ou no Cadastro de Pessoas Físicas, conforme o caso</w:t>
      </w:r>
    </w:p>
    <w:p w14:paraId="5B6816B3"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33BBD13"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8.17. Prova de regularidade com o Fundo de Garantia do Tempo de Serviço (FGTS);</w:t>
      </w:r>
    </w:p>
    <w:p w14:paraId="65D158E4"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B4C1E9C"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8.19. Prova de inscrição no cadastro de contribuintes Estadual ou Municipal relativo ao domicílio ou sede do fornecedor, pertinente ao seu ramo de atividade e compatível com o objeto contratual.</w:t>
      </w:r>
    </w:p>
    <w:p w14:paraId="223F2336"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8.20. Prova de regularidade com a Fazenda Estadual ou Municipal do domicílio ou sede do fornecedor, relativa à atividade em cujo exercício contrata ou concorre.</w:t>
      </w:r>
    </w:p>
    <w:p w14:paraId="6B368E9B"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8.21.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2709AECC"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8.22.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837D89"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Qualificação Econômico-financeira</w:t>
      </w:r>
    </w:p>
    <w:p w14:paraId="0473B7CE"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 xml:space="preserve">8.23. Certidão negativa de falência expedida pelo distribuidor da sede do fornecedor - </w:t>
      </w:r>
      <w:hyperlink r:id="rId51" w:anchor="art69">
        <w:r w:rsidRPr="00D06CC0">
          <w:rPr>
            <w:rStyle w:val="Hyperlink"/>
            <w:rFonts w:ascii="Century Gothic" w:hAnsi="Century Gothic" w:cstheme="majorHAnsi"/>
            <w:sz w:val="22"/>
            <w:szCs w:val="22"/>
          </w:rPr>
          <w:t>Lei nº 14.133, de 2021, art. 69, caput, inciso II</w:t>
        </w:r>
      </w:hyperlink>
      <w:r w:rsidRPr="00D06CC0">
        <w:rPr>
          <w:rFonts w:ascii="Century Gothic" w:hAnsi="Century Gothic" w:cstheme="majorHAnsi"/>
          <w:sz w:val="22"/>
          <w:szCs w:val="22"/>
        </w:rPr>
        <w:t>);</w:t>
      </w:r>
    </w:p>
    <w:p w14:paraId="665F14CD"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lastRenderedPageBreak/>
        <w:t>8.25. Balanço patrimonial, demonstração de resultado de exercício e demais demonstrações contábeis dos 2 (dois) últimos exercícios sociais, comprovando;</w:t>
      </w:r>
    </w:p>
    <w:p w14:paraId="68ADFACD"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8.25.1. índices de Liquidez Geral (LG), Liquidez Corrente (LC), e Solvência Geral (SG) superiores a 1 (um);</w:t>
      </w:r>
    </w:p>
    <w:p w14:paraId="757B6DC0"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8.26. As empresas criadas no exercício financeiro da licitação deverão atender a todas as exigências da habilitação e poderão substituir os demonstrativos contábeis pelo balanço de abertura.</w:t>
      </w:r>
    </w:p>
    <w:p w14:paraId="1B2E5271"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8.27. Os documentos referidos acima limitar-se-ão ao último exercício no caso de a pessoa jurídica ter sido constituída há menos de 2 (dois) anos;</w:t>
      </w:r>
    </w:p>
    <w:p w14:paraId="5B1D7DE9"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Qualificação técnica</w:t>
      </w:r>
    </w:p>
    <w:p w14:paraId="15742AB7"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8.30. Comprovação de aptidão no desempenho de pertinente e compatível em características, quantidades e prazos com o objeto da licitação – Atestado(s) de capacidade técnica, que demonstre que o licitante tenha fornecido material similar ao objeto da licitação.</w:t>
      </w:r>
    </w:p>
    <w:p w14:paraId="24976481"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8.31. Declaração de que o licitante tomou conhecimento de todas as informações e das condições locais para o cumprimento das obrigações objeto da licitação;</w:t>
      </w:r>
    </w:p>
    <w:p w14:paraId="5EF78147" w14:textId="77777777" w:rsidR="00D06CC0" w:rsidRPr="00D06CC0" w:rsidRDefault="00D06CC0" w:rsidP="00D06CC0">
      <w:pPr>
        <w:spacing w:before="240" w:after="240"/>
        <w:jc w:val="both"/>
        <w:rPr>
          <w:rFonts w:ascii="Century Gothic" w:eastAsia="MS Mincho" w:hAnsi="Century Gothic" w:cstheme="majorHAnsi"/>
          <w:b/>
          <w:bCs/>
          <w:sz w:val="22"/>
          <w:szCs w:val="22"/>
        </w:rPr>
      </w:pPr>
      <w:r w:rsidRPr="00D06CC0">
        <w:rPr>
          <w:rFonts w:ascii="Century Gothic" w:eastAsia="MS Mincho" w:hAnsi="Century Gothic" w:cstheme="majorHAnsi"/>
          <w:b/>
          <w:bCs/>
          <w:sz w:val="22"/>
          <w:szCs w:val="22"/>
        </w:rPr>
        <w:t>9. DA COMPROVAÇÃO DE MICROEMPRESA E EMPRESA DE PEQUENO PORTE</w:t>
      </w:r>
    </w:p>
    <w:p w14:paraId="58276785" w14:textId="77777777" w:rsidR="00D06CC0" w:rsidRPr="00D06CC0" w:rsidRDefault="00D06CC0" w:rsidP="00D06CC0">
      <w:pPr>
        <w:spacing w:before="240" w:after="240"/>
        <w:jc w:val="both"/>
        <w:rPr>
          <w:rFonts w:ascii="Century Gothic" w:hAnsi="Century Gothic" w:cstheme="majorHAnsi"/>
          <w:sz w:val="22"/>
          <w:szCs w:val="22"/>
          <w:lang w:eastAsia="en-US"/>
        </w:rPr>
      </w:pPr>
      <w:r w:rsidRPr="00D06CC0">
        <w:rPr>
          <w:rFonts w:ascii="Century Gothic" w:hAnsi="Century Gothic" w:cstheme="majorHAnsi"/>
          <w:sz w:val="22"/>
          <w:szCs w:val="22"/>
          <w:lang w:eastAsia="en-US"/>
        </w:rPr>
        <w:t xml:space="preserve">9.1 As Microempresas e as Empresas de Pequeno Porte deverão apresentar toda a documentação exigida para efeito de comprovação de Regularidade Fiscal, mesmo que esta apresente alguma restrição. </w:t>
      </w:r>
    </w:p>
    <w:p w14:paraId="7ABB3447" w14:textId="77777777" w:rsidR="00D06CC0" w:rsidRPr="00D06CC0" w:rsidRDefault="00D06CC0" w:rsidP="00D06CC0">
      <w:pPr>
        <w:spacing w:before="240" w:after="240"/>
        <w:jc w:val="both"/>
        <w:rPr>
          <w:rFonts w:ascii="Century Gothic" w:hAnsi="Century Gothic" w:cstheme="majorHAnsi"/>
          <w:sz w:val="22"/>
          <w:szCs w:val="22"/>
          <w:lang w:eastAsia="en-US"/>
        </w:rPr>
      </w:pPr>
      <w:r w:rsidRPr="00D06CC0">
        <w:rPr>
          <w:rFonts w:ascii="Century Gothic" w:hAnsi="Century Gothic" w:cstheme="majorHAnsi"/>
          <w:sz w:val="22"/>
          <w:szCs w:val="22"/>
          <w:lang w:eastAsia="en-US"/>
        </w:rPr>
        <w:t xml:space="preserve">9.1.1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7AD17543" w14:textId="77777777" w:rsidR="00D06CC0" w:rsidRPr="00D06CC0" w:rsidRDefault="00D06CC0" w:rsidP="00D06CC0">
      <w:pPr>
        <w:spacing w:before="240" w:after="240"/>
        <w:jc w:val="both"/>
        <w:rPr>
          <w:rFonts w:ascii="Century Gothic" w:eastAsia="Calibri" w:hAnsi="Century Gothic" w:cstheme="majorHAnsi"/>
          <w:sz w:val="22"/>
          <w:szCs w:val="22"/>
        </w:rPr>
      </w:pPr>
      <w:r w:rsidRPr="00D06CC0">
        <w:rPr>
          <w:rFonts w:ascii="Century Gothic" w:hAnsi="Century Gothic" w:cstheme="majorHAnsi"/>
          <w:sz w:val="22"/>
          <w:szCs w:val="22"/>
          <w:lang w:eastAsia="en-US"/>
        </w:rPr>
        <w:t xml:space="preserve">9.11.2 </w:t>
      </w:r>
      <w:r w:rsidRPr="00D06CC0">
        <w:rPr>
          <w:rFonts w:ascii="Century Gothic" w:hAnsi="Century Gothic" w:cstheme="majorHAnsi"/>
          <w:b/>
          <w:bCs/>
          <w:sz w:val="22"/>
          <w:szCs w:val="22"/>
          <w:lang w:eastAsia="en-US"/>
        </w:rPr>
        <w:t>A não regularização da documentação no prazo previsto no subitem 9.10.1 implicará decadência do direito à contratação</w:t>
      </w:r>
      <w:r w:rsidRPr="00D06CC0">
        <w:rPr>
          <w:rFonts w:ascii="Century Gothic" w:hAnsi="Century Gothic" w:cstheme="majorHAnsi"/>
          <w:sz w:val="22"/>
          <w:szCs w:val="22"/>
          <w:lang w:eastAsia="en-US"/>
        </w:rPr>
        <w:t>, sem prejuízo das sanções previstas em lei, sendo facultada à Administração a convocação das licitantes remanescentes, na ordem de classificação, para assinatura do Contrato, ou revogar a licitação.</w:t>
      </w:r>
    </w:p>
    <w:p w14:paraId="508C73B7"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t>10. ESTIMATIVAS DO VALOR DA CONTRATAÇÃO</w:t>
      </w:r>
    </w:p>
    <w:p w14:paraId="37400E5F"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sz w:val="22"/>
          <w:szCs w:val="22"/>
        </w:rPr>
        <w:t>10.1. O custo estimado total da contratação é SIGILOSO, conforme custos unitários apostos na tabela acima. (</w:t>
      </w:r>
      <w:r w:rsidRPr="00D06CC0">
        <w:rPr>
          <w:rFonts w:ascii="Century Gothic" w:hAnsi="Century Gothic" w:cstheme="majorHAnsi"/>
          <w:b/>
          <w:bCs/>
          <w:sz w:val="22"/>
          <w:szCs w:val="22"/>
        </w:rPr>
        <w:t>item 1.1.).</w:t>
      </w:r>
    </w:p>
    <w:p w14:paraId="2F7412A7" w14:textId="77777777" w:rsidR="00D06CC0" w:rsidRPr="00D06CC0" w:rsidRDefault="00D06CC0" w:rsidP="00D06CC0">
      <w:pPr>
        <w:spacing w:before="240" w:after="240"/>
        <w:jc w:val="both"/>
        <w:rPr>
          <w:rFonts w:ascii="Century Gothic" w:hAnsi="Century Gothic" w:cstheme="majorHAnsi"/>
          <w:b/>
          <w:bCs/>
          <w:sz w:val="22"/>
          <w:szCs w:val="22"/>
        </w:rPr>
      </w:pPr>
      <w:r w:rsidRPr="00D06CC0">
        <w:rPr>
          <w:rFonts w:ascii="Century Gothic" w:hAnsi="Century Gothic" w:cstheme="majorHAnsi"/>
          <w:b/>
          <w:bCs/>
          <w:sz w:val="22"/>
          <w:szCs w:val="22"/>
        </w:rPr>
        <w:lastRenderedPageBreak/>
        <w:t>11. ADEQUAÇÃO ORÇAMENTÁRIA</w:t>
      </w:r>
    </w:p>
    <w:p w14:paraId="12FC56BB" w14:textId="77777777" w:rsidR="00D06CC0" w:rsidRPr="00D06CC0" w:rsidRDefault="00D06CC0" w:rsidP="00D06CC0">
      <w:pPr>
        <w:spacing w:before="240" w:after="240"/>
        <w:jc w:val="both"/>
        <w:rPr>
          <w:rFonts w:ascii="Century Gothic" w:hAnsi="Century Gothic" w:cstheme="majorHAnsi"/>
          <w:sz w:val="22"/>
          <w:szCs w:val="22"/>
        </w:rPr>
      </w:pPr>
      <w:r w:rsidRPr="00D06CC0">
        <w:rPr>
          <w:rFonts w:ascii="Century Gothic" w:hAnsi="Century Gothic" w:cstheme="majorHAnsi"/>
          <w:sz w:val="22"/>
          <w:szCs w:val="22"/>
        </w:rPr>
        <w:t>11.1. As despesas decorrentes da presente contratação correrão à conta de recursos específicos consignados no Orçamento Geral do município.</w:t>
      </w:r>
    </w:p>
    <w:p w14:paraId="24BFE682" w14:textId="77777777" w:rsidR="00D06CC0" w:rsidRPr="00D06CC0" w:rsidRDefault="00D06CC0" w:rsidP="00D06CC0">
      <w:pPr>
        <w:ind w:left="709"/>
        <w:jc w:val="both"/>
        <w:rPr>
          <w:rFonts w:ascii="Century Gothic" w:hAnsi="Century Gothic" w:cstheme="majorHAnsi"/>
          <w:sz w:val="20"/>
          <w:highlight w:val="yellow"/>
        </w:rPr>
      </w:pPr>
    </w:p>
    <w:p w14:paraId="70FADDBE" w14:textId="77777777" w:rsidR="00D06CC0" w:rsidRPr="00D06CC0" w:rsidRDefault="00D06CC0" w:rsidP="00D06CC0">
      <w:pPr>
        <w:ind w:left="709"/>
        <w:jc w:val="both"/>
        <w:rPr>
          <w:rFonts w:ascii="Century Gothic" w:hAnsi="Century Gothic" w:cstheme="majorHAnsi"/>
          <w:sz w:val="20"/>
          <w:highlight w:val="yellow"/>
        </w:rPr>
      </w:pPr>
    </w:p>
    <w:p w14:paraId="471864C1" w14:textId="023A2E1E" w:rsidR="004B7742" w:rsidRDefault="004B7742" w:rsidP="004B7742">
      <w:pPr>
        <w:spacing w:line="276" w:lineRule="auto"/>
        <w:jc w:val="right"/>
        <w:rPr>
          <w:rFonts w:ascii="Century Gothic" w:eastAsia="MS Mincho" w:hAnsi="Century Gothic" w:cs="Arial"/>
          <w:color w:val="000000"/>
        </w:rPr>
      </w:pPr>
      <w:r>
        <w:rPr>
          <w:rFonts w:ascii="Century Gothic" w:eastAsia="MS Mincho" w:hAnsi="Century Gothic" w:cs="Arial"/>
          <w:color w:val="000000"/>
        </w:rPr>
        <w:t>Cachoeira Grande/MA, 08 de Maio de 2025.</w:t>
      </w:r>
    </w:p>
    <w:p w14:paraId="0DDE165C" w14:textId="77777777" w:rsidR="004B7742" w:rsidRDefault="004B7742" w:rsidP="004B7742">
      <w:pPr>
        <w:spacing w:beforeLines="120" w:before="288" w:afterLines="120" w:after="288" w:line="276" w:lineRule="auto"/>
        <w:ind w:firstLine="567"/>
        <w:jc w:val="right"/>
        <w:rPr>
          <w:rFonts w:ascii="Century Gothic" w:eastAsia="MS Mincho" w:hAnsi="Century Gothic" w:cs="Arial"/>
          <w:color w:val="000000"/>
        </w:rPr>
      </w:pPr>
    </w:p>
    <w:p w14:paraId="1C0C7D86" w14:textId="77777777" w:rsidR="004B7742" w:rsidRDefault="004B7742" w:rsidP="004B7742">
      <w:pPr>
        <w:spacing w:line="276" w:lineRule="auto"/>
        <w:jc w:val="center"/>
        <w:rPr>
          <w:rFonts w:ascii="Century Gothic" w:hAnsi="Century Gothic" w:cstheme="majorHAnsi"/>
          <w:b/>
          <w:bCs/>
        </w:rPr>
      </w:pPr>
      <w:r>
        <w:rPr>
          <w:rFonts w:ascii="Century Gothic" w:hAnsi="Century Gothic" w:cstheme="majorHAnsi"/>
          <w:b/>
          <w:bCs/>
        </w:rPr>
        <w:t>DANIEL COIMBRA ABREU</w:t>
      </w:r>
    </w:p>
    <w:p w14:paraId="263836B4" w14:textId="77777777" w:rsidR="004B7742" w:rsidRDefault="004B7742" w:rsidP="004B7742">
      <w:pPr>
        <w:spacing w:line="276" w:lineRule="auto"/>
        <w:jc w:val="center"/>
        <w:rPr>
          <w:rFonts w:ascii="Century Gothic" w:hAnsi="Century Gothic" w:cstheme="majorHAnsi"/>
        </w:rPr>
      </w:pPr>
      <w:r>
        <w:rPr>
          <w:rFonts w:ascii="Century Gothic" w:hAnsi="Century Gothic" w:cstheme="majorHAnsi"/>
        </w:rPr>
        <w:t>Secretário Municipal de Administração e Planejamento</w:t>
      </w:r>
    </w:p>
    <w:p w14:paraId="559753A2" w14:textId="77777777" w:rsidR="004B7742" w:rsidRDefault="004B7742" w:rsidP="004B7742">
      <w:pPr>
        <w:spacing w:line="276" w:lineRule="auto"/>
        <w:jc w:val="center"/>
        <w:rPr>
          <w:rFonts w:ascii="Century Gothic" w:eastAsia="MS Mincho" w:hAnsi="Century Gothic" w:cs="Arial"/>
          <w:b/>
          <w:bCs/>
        </w:rPr>
      </w:pPr>
      <w:r>
        <w:rPr>
          <w:rFonts w:ascii="Century Gothic" w:hAnsi="Century Gothic" w:cstheme="majorHAnsi"/>
        </w:rPr>
        <w:t>Portaria Nº 01/2025</w:t>
      </w:r>
    </w:p>
    <w:p w14:paraId="3566368A" w14:textId="2D470A06" w:rsidR="00276019" w:rsidRPr="00D06CC0" w:rsidRDefault="00276019" w:rsidP="0052677B">
      <w:pPr>
        <w:ind w:left="720"/>
        <w:rPr>
          <w:rFonts w:ascii="Century Gothic" w:hAnsi="Century Gothic" w:cstheme="majorHAnsi"/>
          <w:b/>
          <w:sz w:val="22"/>
          <w:szCs w:val="22"/>
        </w:rPr>
      </w:pPr>
    </w:p>
    <w:p w14:paraId="1958635F" w14:textId="1F683727" w:rsidR="00D06CC0" w:rsidRPr="00D06CC0" w:rsidRDefault="00D06CC0">
      <w:pPr>
        <w:rPr>
          <w:rFonts w:ascii="Century Gothic" w:hAnsi="Century Gothic" w:cstheme="majorHAnsi"/>
          <w:b/>
          <w:sz w:val="22"/>
          <w:szCs w:val="22"/>
        </w:rPr>
      </w:pPr>
      <w:r w:rsidRPr="00D06CC0">
        <w:rPr>
          <w:rFonts w:ascii="Century Gothic" w:hAnsi="Century Gothic" w:cstheme="majorHAnsi"/>
          <w:b/>
          <w:sz w:val="22"/>
          <w:szCs w:val="22"/>
        </w:rPr>
        <w:br w:type="page"/>
      </w:r>
    </w:p>
    <w:p w14:paraId="124FB056" w14:textId="77777777" w:rsidR="00276019" w:rsidRPr="00D06CC0" w:rsidRDefault="00276019" w:rsidP="00276019">
      <w:pPr>
        <w:pStyle w:val="Nivel010"/>
        <w:rPr>
          <w:rFonts w:ascii="Century Gothic" w:eastAsia="Calibri" w:hAnsi="Century Gothic" w:cstheme="majorHAnsi"/>
        </w:rPr>
      </w:pPr>
      <w:r w:rsidRPr="00D06CC0">
        <w:rPr>
          <w:rFonts w:ascii="Century Gothic" w:eastAsia="Calibri" w:hAnsi="Century Gothic" w:cstheme="majorHAnsi"/>
        </w:rPr>
        <w:lastRenderedPageBreak/>
        <w:t>ANEXO II – PROPOSTA DE PREÇOS (MODELO)</w:t>
      </w:r>
    </w:p>
    <w:p w14:paraId="61B4F1A8" w14:textId="77777777" w:rsidR="00F730F9" w:rsidRPr="00D06CC0" w:rsidRDefault="00F730F9" w:rsidP="0099467B">
      <w:pPr>
        <w:jc w:val="both"/>
        <w:rPr>
          <w:rFonts w:ascii="Century Gothic" w:eastAsia="Calibri" w:hAnsi="Century Gothic" w:cstheme="majorHAnsi"/>
          <w:b/>
        </w:rPr>
      </w:pPr>
    </w:p>
    <w:p w14:paraId="75A79238"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Pregão ELETRÔNICA Nº ***</w:t>
      </w:r>
    </w:p>
    <w:p w14:paraId="38A16688"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PROCESSO ADMINISTRATIVO Nº ***</w:t>
      </w:r>
    </w:p>
    <w:p w14:paraId="22E7305F" w14:textId="77777777" w:rsidR="00F730F9" w:rsidRPr="00D06CC0" w:rsidRDefault="00F730F9" w:rsidP="0099467B">
      <w:pPr>
        <w:jc w:val="both"/>
        <w:rPr>
          <w:rFonts w:ascii="Century Gothic" w:eastAsia="Calibri" w:hAnsi="Century Gothic" w:cstheme="majorHAnsi"/>
          <w:b/>
        </w:rPr>
      </w:pPr>
    </w:p>
    <w:p w14:paraId="1A37727F"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rPr>
        <w:t>SESSÃO PÚBLICA: ----/----/20**, ÀS ----H----MIN (----) HORAS.</w:t>
      </w:r>
    </w:p>
    <w:p w14:paraId="5C303EA3"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rPr>
        <w:t xml:space="preserve">LOCAL:  *** </w:t>
      </w:r>
      <w:r w:rsidRPr="00D06CC0">
        <w:rPr>
          <w:rFonts w:ascii="Century Gothic" w:eastAsia="Calibri" w:hAnsi="Century Gothic" w:cstheme="majorHAnsi"/>
          <w:b/>
        </w:rPr>
        <w:t>ÓRGÃO LICITANTE</w:t>
      </w:r>
    </w:p>
    <w:p w14:paraId="41DFDE83" w14:textId="77777777" w:rsidR="00F730F9" w:rsidRPr="00D06CC0" w:rsidRDefault="00F730F9" w:rsidP="0099467B">
      <w:pPr>
        <w:jc w:val="both"/>
        <w:rPr>
          <w:rFonts w:ascii="Century Gothic" w:eastAsia="Calibri" w:hAnsi="Century Gothic" w:cstheme="majorHAnsi"/>
        </w:rPr>
      </w:pPr>
    </w:p>
    <w:p w14:paraId="446825A0"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rPr>
        <w:t>IDENTIFICAÇÃO DA PROPONENTE</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F730F9" w:rsidRPr="00D06CC0" w14:paraId="22BE2C1F" w14:textId="77777777" w:rsidTr="001C3656">
        <w:trPr>
          <w:cantSplit/>
          <w:trHeight w:val="97"/>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6A784363"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NOME DE FANTASIA:</w:t>
            </w:r>
          </w:p>
        </w:tc>
      </w:tr>
      <w:tr w:rsidR="00F730F9" w:rsidRPr="00D06CC0" w14:paraId="06B9F82C"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4AF5E1A"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RAZÃO SOCIAL:</w:t>
            </w:r>
          </w:p>
        </w:tc>
      </w:tr>
      <w:tr w:rsidR="00F730F9" w:rsidRPr="00D06CC0" w14:paraId="67DA9482"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277252AE"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CNPJ:</w:t>
            </w:r>
          </w:p>
        </w:tc>
      </w:tr>
      <w:tr w:rsidR="00F730F9" w:rsidRPr="00D06CC0" w14:paraId="18992F7D"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801B03"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INSC. EST.:</w:t>
            </w:r>
          </w:p>
        </w:tc>
      </w:tr>
      <w:tr w:rsidR="00F730F9" w:rsidRPr="00D06CC0" w14:paraId="1A062635"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BF8961"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OPTANTE PELO SIMPLES? SIM (    ) NÃO(    )</w:t>
            </w:r>
          </w:p>
        </w:tc>
      </w:tr>
      <w:tr w:rsidR="00F730F9" w:rsidRPr="00D06CC0" w14:paraId="564C714F" w14:textId="77777777" w:rsidTr="001C3656">
        <w:trPr>
          <w:cantSplit/>
          <w:trHeight w:val="109"/>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8F47C2B"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ENDEREÇO:</w:t>
            </w:r>
          </w:p>
        </w:tc>
      </w:tr>
      <w:tr w:rsidR="00F730F9" w:rsidRPr="00D06CC0" w14:paraId="3A1936DC" w14:textId="77777777" w:rsidTr="001C3656">
        <w:trPr>
          <w:cantSplit/>
          <w:trHeight w:val="96"/>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DA3CEEC"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20460ACE"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CIDADE:</w:t>
            </w:r>
          </w:p>
        </w:tc>
      </w:tr>
      <w:tr w:rsidR="00F730F9" w:rsidRPr="00D06CC0" w14:paraId="779C6821" w14:textId="77777777" w:rsidTr="001C3656">
        <w:trPr>
          <w:cantSplit/>
          <w:trHeight w:val="9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745A6E56"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4C47BFF8"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E-MAIL:</w:t>
            </w:r>
          </w:p>
        </w:tc>
      </w:tr>
      <w:tr w:rsidR="00F730F9" w:rsidRPr="00D06CC0" w14:paraId="1C6DB942" w14:textId="77777777" w:rsidTr="001C3656">
        <w:trPr>
          <w:cantSplit/>
          <w:trHeight w:val="73"/>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653AE6D"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13576FEE"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FAX:</w:t>
            </w:r>
          </w:p>
        </w:tc>
      </w:tr>
      <w:tr w:rsidR="00F730F9" w:rsidRPr="00D06CC0" w14:paraId="1A73F6CC"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3868CA81"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272D932D"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TELEFONE:</w:t>
            </w:r>
          </w:p>
        </w:tc>
      </w:tr>
      <w:tr w:rsidR="00F730F9" w:rsidRPr="00D06CC0" w14:paraId="1CFBA0E8"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6DCFB497"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545005CE"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CONTA BANCÁRIA DA LICITANTE:</w:t>
            </w:r>
          </w:p>
        </w:tc>
      </w:tr>
      <w:tr w:rsidR="00F730F9" w:rsidRPr="00D06CC0" w14:paraId="6E4F98CF" w14:textId="77777777" w:rsidTr="001C3656">
        <w:trPr>
          <w:cantSplit/>
          <w:trHeight w:val="133"/>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C589B6D"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Nº DA AGÊNCIA:</w:t>
            </w:r>
          </w:p>
        </w:tc>
      </w:tr>
      <w:tr w:rsidR="00F730F9" w:rsidRPr="00D06CC0" w14:paraId="20A53836"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32E8" w14:textId="77777777" w:rsidR="00F730F9" w:rsidRPr="00D06CC0" w:rsidRDefault="00F730F9" w:rsidP="0099467B">
            <w:pPr>
              <w:jc w:val="center"/>
              <w:rPr>
                <w:rFonts w:ascii="Century Gothic" w:eastAsia="Calibri" w:hAnsi="Century Gothic" w:cstheme="majorHAnsi"/>
                <w:b/>
              </w:rPr>
            </w:pPr>
            <w:r w:rsidRPr="00D06CC0">
              <w:rPr>
                <w:rFonts w:ascii="Century Gothic" w:eastAsia="Calibri" w:hAnsi="Century Gothic" w:cstheme="majorHAnsi"/>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48FBFC45" w14:textId="77777777" w:rsidR="00F730F9" w:rsidRPr="00D06CC0" w:rsidRDefault="00F730F9" w:rsidP="0099467B">
            <w:pPr>
              <w:jc w:val="center"/>
              <w:rPr>
                <w:rFonts w:ascii="Century Gothic" w:eastAsia="Calibri" w:hAnsi="Century Gothic" w:cstheme="majorHAnsi"/>
                <w:b/>
              </w:rPr>
            </w:pPr>
            <w:r w:rsidRPr="00D06CC0">
              <w:rPr>
                <w:rFonts w:ascii="Century Gothic" w:eastAsia="Calibri" w:hAnsi="Century Gothic" w:cstheme="majorHAnsi"/>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609C500" w14:textId="77777777" w:rsidR="00F730F9" w:rsidRPr="00D06CC0" w:rsidRDefault="00F730F9" w:rsidP="0099467B">
            <w:pPr>
              <w:jc w:val="center"/>
              <w:rPr>
                <w:rFonts w:ascii="Century Gothic" w:eastAsia="Calibri" w:hAnsi="Century Gothic" w:cstheme="majorHAnsi"/>
                <w:b/>
              </w:rPr>
            </w:pPr>
            <w:r w:rsidRPr="00D06CC0">
              <w:rPr>
                <w:rFonts w:ascii="Century Gothic" w:eastAsia="Calibri" w:hAnsi="Century Gothic" w:cstheme="majorHAnsi"/>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3FD753FC" w14:textId="77777777" w:rsidR="00F730F9" w:rsidRPr="00D06CC0" w:rsidRDefault="00F730F9" w:rsidP="0099467B">
            <w:pPr>
              <w:jc w:val="center"/>
              <w:rPr>
                <w:rFonts w:ascii="Century Gothic" w:eastAsia="Calibri" w:hAnsi="Century Gothic" w:cstheme="majorHAnsi"/>
                <w:b/>
              </w:rPr>
            </w:pPr>
            <w:r w:rsidRPr="00D06CC0">
              <w:rPr>
                <w:rFonts w:ascii="Century Gothic" w:eastAsia="Calibri" w:hAnsi="Century Gothic" w:cstheme="majorHAnsi"/>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42BDD339" w14:textId="77777777" w:rsidR="00F730F9" w:rsidRPr="00D06CC0" w:rsidRDefault="00F730F9" w:rsidP="0099467B">
            <w:pPr>
              <w:jc w:val="center"/>
              <w:rPr>
                <w:rFonts w:ascii="Century Gothic" w:eastAsia="Calibri" w:hAnsi="Century Gothic" w:cstheme="majorHAnsi"/>
                <w:b/>
              </w:rPr>
            </w:pPr>
            <w:r w:rsidRPr="00D06CC0">
              <w:rPr>
                <w:rFonts w:ascii="Century Gothic" w:eastAsia="Calibri" w:hAnsi="Century Gothic" w:cstheme="majorHAnsi"/>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075D0209" w14:textId="77777777" w:rsidR="00F730F9" w:rsidRPr="00D06CC0" w:rsidRDefault="00F730F9" w:rsidP="0099467B">
            <w:pPr>
              <w:jc w:val="center"/>
              <w:rPr>
                <w:rFonts w:ascii="Century Gothic" w:eastAsia="Calibri" w:hAnsi="Century Gothic" w:cstheme="majorHAnsi"/>
                <w:b/>
              </w:rPr>
            </w:pPr>
            <w:r w:rsidRPr="00D06CC0">
              <w:rPr>
                <w:rFonts w:ascii="Century Gothic" w:eastAsia="Calibri" w:hAnsi="Century Gothic" w:cstheme="majorHAnsi"/>
                <w:b/>
              </w:rPr>
              <w:t>VALOR</w:t>
            </w:r>
          </w:p>
          <w:p w14:paraId="1623BBF5" w14:textId="77777777" w:rsidR="00F730F9" w:rsidRPr="00D06CC0" w:rsidRDefault="00F730F9" w:rsidP="0099467B">
            <w:pPr>
              <w:jc w:val="center"/>
              <w:rPr>
                <w:rFonts w:ascii="Century Gothic" w:eastAsia="Calibri" w:hAnsi="Century Gothic" w:cstheme="majorHAnsi"/>
                <w:b/>
              </w:rPr>
            </w:pPr>
            <w:r w:rsidRPr="00D06CC0">
              <w:rPr>
                <w:rFonts w:ascii="Century Gothic" w:eastAsia="Calibri" w:hAnsi="Century Gothic" w:cstheme="majorHAnsi"/>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73EE71AE" w14:textId="77777777" w:rsidR="00F730F9" w:rsidRPr="00D06CC0" w:rsidRDefault="00F730F9" w:rsidP="0099467B">
            <w:pPr>
              <w:jc w:val="center"/>
              <w:rPr>
                <w:rFonts w:ascii="Century Gothic" w:eastAsia="Calibri" w:hAnsi="Century Gothic" w:cstheme="majorHAnsi"/>
                <w:b/>
              </w:rPr>
            </w:pPr>
            <w:r w:rsidRPr="00D06CC0">
              <w:rPr>
                <w:rFonts w:ascii="Century Gothic" w:eastAsia="Calibri" w:hAnsi="Century Gothic" w:cstheme="majorHAnsi"/>
                <w:b/>
              </w:rPr>
              <w:t>VALOR</w:t>
            </w:r>
          </w:p>
          <w:p w14:paraId="1D8C0B96" w14:textId="77777777" w:rsidR="00F730F9" w:rsidRPr="00D06CC0" w:rsidRDefault="00F730F9" w:rsidP="0099467B">
            <w:pPr>
              <w:jc w:val="center"/>
              <w:rPr>
                <w:rFonts w:ascii="Century Gothic" w:eastAsia="Calibri" w:hAnsi="Century Gothic" w:cstheme="majorHAnsi"/>
                <w:b/>
              </w:rPr>
            </w:pPr>
            <w:r w:rsidRPr="00D06CC0">
              <w:rPr>
                <w:rFonts w:ascii="Century Gothic" w:eastAsia="Calibri" w:hAnsi="Century Gothic" w:cstheme="majorHAnsi"/>
                <w:b/>
              </w:rPr>
              <w:t>TOTAL R$</w:t>
            </w:r>
          </w:p>
        </w:tc>
      </w:tr>
      <w:tr w:rsidR="00F730F9" w:rsidRPr="00D06CC0" w14:paraId="7017E01F"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A245D" w14:textId="77777777" w:rsidR="00F730F9" w:rsidRPr="00D06CC0" w:rsidRDefault="00F730F9" w:rsidP="00655B0D">
            <w:pPr>
              <w:numPr>
                <w:ilvl w:val="0"/>
                <w:numId w:val="18"/>
              </w:numPr>
              <w:pBdr>
                <w:top w:val="nil"/>
                <w:left w:val="nil"/>
                <w:bottom w:val="nil"/>
                <w:right w:val="nil"/>
                <w:between w:val="nil"/>
              </w:pBdr>
              <w:ind w:hanging="360"/>
              <w:jc w:val="center"/>
              <w:rPr>
                <w:rFonts w:ascii="Century Gothic" w:eastAsia="Calibri" w:hAnsi="Century Gothic" w:cstheme="majorHAnsi"/>
                <w:b/>
                <w:color w:val="00000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6C01FF31" w14:textId="77777777" w:rsidR="00F730F9" w:rsidRPr="00D06CC0" w:rsidRDefault="00F730F9" w:rsidP="0099467B">
            <w:pPr>
              <w:jc w:val="both"/>
              <w:rPr>
                <w:rFonts w:ascii="Century Gothic" w:eastAsia="Calibri" w:hAnsi="Century Gothic" w:cstheme="majorHAnsi"/>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3A7DAF0" w14:textId="77777777" w:rsidR="00F730F9" w:rsidRPr="00D06CC0" w:rsidRDefault="00F730F9" w:rsidP="0099467B">
            <w:pPr>
              <w:jc w:val="center"/>
              <w:rPr>
                <w:rFonts w:ascii="Century Gothic" w:eastAsia="Calibri" w:hAnsi="Century Gothic" w:cstheme="majorHAnsi"/>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7986DE75" w14:textId="77777777" w:rsidR="00F730F9" w:rsidRPr="00D06CC0" w:rsidRDefault="00F730F9" w:rsidP="0099467B">
            <w:pPr>
              <w:jc w:val="center"/>
              <w:rPr>
                <w:rFonts w:ascii="Century Gothic" w:eastAsia="Calibri" w:hAnsi="Century Gothic" w:cstheme="majorHAnsi"/>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46113453" w14:textId="77777777" w:rsidR="00F730F9" w:rsidRPr="00D06CC0" w:rsidRDefault="00F730F9" w:rsidP="0099467B">
            <w:pPr>
              <w:jc w:val="center"/>
              <w:rPr>
                <w:rFonts w:ascii="Century Gothic" w:eastAsia="Calibri" w:hAnsi="Century Gothic" w:cstheme="majorHAnsi"/>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D113DE1" w14:textId="77777777" w:rsidR="00F730F9" w:rsidRPr="00D06CC0" w:rsidRDefault="00F730F9" w:rsidP="0099467B">
            <w:pPr>
              <w:jc w:val="right"/>
              <w:rPr>
                <w:rFonts w:ascii="Century Gothic" w:eastAsia="Calibri" w:hAnsi="Century Gothic" w:cstheme="majorHAnsi"/>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397F9F87" w14:textId="77777777" w:rsidR="00F730F9" w:rsidRPr="00D06CC0" w:rsidRDefault="00F730F9" w:rsidP="0099467B">
            <w:pPr>
              <w:jc w:val="right"/>
              <w:rPr>
                <w:rFonts w:ascii="Century Gothic" w:eastAsia="Calibri" w:hAnsi="Century Gothic" w:cstheme="majorHAnsi"/>
              </w:rPr>
            </w:pPr>
          </w:p>
        </w:tc>
      </w:tr>
      <w:tr w:rsidR="00F730F9" w:rsidRPr="00D06CC0" w14:paraId="195D7952" w14:textId="77777777" w:rsidTr="001C3656">
        <w:trPr>
          <w:trHeight w:val="64"/>
          <w:jc w:val="cent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5EFDFC8C" w14:textId="77777777" w:rsidR="00F730F9" w:rsidRPr="00D06CC0" w:rsidRDefault="00F730F9" w:rsidP="0099467B">
            <w:pPr>
              <w:rPr>
                <w:rFonts w:ascii="Century Gothic" w:eastAsia="Calibri" w:hAnsi="Century Gothic" w:cstheme="majorHAnsi"/>
                <w:b/>
              </w:rPr>
            </w:pPr>
            <w:r w:rsidRPr="00D06CC0">
              <w:rPr>
                <w:rFonts w:ascii="Century Gothic" w:eastAsia="Calibri" w:hAnsi="Century Gothic" w:cstheme="majorHAnsi"/>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0CE674B" w14:textId="77777777" w:rsidR="00F730F9" w:rsidRPr="00D06CC0" w:rsidRDefault="00F730F9" w:rsidP="0099467B">
            <w:pPr>
              <w:jc w:val="right"/>
              <w:rPr>
                <w:rFonts w:ascii="Century Gothic" w:eastAsia="Calibri" w:hAnsi="Century Gothic" w:cstheme="majorHAnsi"/>
                <w:b/>
              </w:rPr>
            </w:pPr>
          </w:p>
        </w:tc>
      </w:tr>
    </w:tbl>
    <w:p w14:paraId="320406CC" w14:textId="77777777" w:rsidR="00F730F9" w:rsidRPr="00D06CC0" w:rsidRDefault="00F730F9" w:rsidP="0099467B">
      <w:pPr>
        <w:pBdr>
          <w:top w:val="nil"/>
          <w:left w:val="nil"/>
          <w:bottom w:val="nil"/>
          <w:right w:val="nil"/>
          <w:between w:val="nil"/>
        </w:pBdr>
        <w:jc w:val="both"/>
        <w:rPr>
          <w:rFonts w:ascii="Century Gothic" w:eastAsia="Calibri" w:hAnsi="Century Gothic" w:cstheme="majorHAnsi"/>
          <w:color w:val="000000"/>
        </w:rPr>
      </w:pPr>
      <w:r w:rsidRPr="00D06CC0">
        <w:rPr>
          <w:rFonts w:ascii="Century Gothic" w:eastAsia="Calibri" w:hAnsi="Century Gothic" w:cstheme="majorHAnsi"/>
          <w:color w:val="000000"/>
        </w:rPr>
        <w:t>A EMPRESA: ............................................ DECLARA QUE:</w:t>
      </w:r>
    </w:p>
    <w:p w14:paraId="5F8588F0" w14:textId="77777777" w:rsidR="00F730F9" w:rsidRPr="00D06CC0" w:rsidRDefault="00F730F9" w:rsidP="00655B0D">
      <w:pPr>
        <w:numPr>
          <w:ilvl w:val="0"/>
          <w:numId w:val="17"/>
        </w:numPr>
        <w:pBdr>
          <w:top w:val="nil"/>
          <w:left w:val="nil"/>
          <w:bottom w:val="nil"/>
          <w:right w:val="nil"/>
          <w:between w:val="nil"/>
        </w:pBdr>
        <w:tabs>
          <w:tab w:val="left" w:pos="284"/>
        </w:tabs>
        <w:ind w:left="0" w:firstLine="0"/>
        <w:jc w:val="both"/>
        <w:rPr>
          <w:rFonts w:ascii="Century Gothic" w:eastAsia="Calibri" w:hAnsi="Century Gothic" w:cstheme="majorHAnsi"/>
          <w:color w:val="000000"/>
        </w:rPr>
      </w:pPr>
      <w:r w:rsidRPr="00D06CC0">
        <w:rPr>
          <w:rFonts w:ascii="Century Gothic" w:eastAsia="Calibri" w:hAnsi="Century Gothic" w:cstheme="majorHAnsi"/>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0E34E4F" w14:textId="77777777" w:rsidR="00F730F9" w:rsidRPr="00D06CC0" w:rsidRDefault="00F730F9" w:rsidP="00655B0D">
      <w:pPr>
        <w:numPr>
          <w:ilvl w:val="0"/>
          <w:numId w:val="17"/>
        </w:numPr>
        <w:pBdr>
          <w:top w:val="nil"/>
          <w:left w:val="nil"/>
          <w:bottom w:val="nil"/>
          <w:right w:val="nil"/>
          <w:between w:val="nil"/>
        </w:pBdr>
        <w:tabs>
          <w:tab w:val="left" w:pos="284"/>
        </w:tabs>
        <w:ind w:left="0" w:firstLine="0"/>
        <w:jc w:val="both"/>
        <w:rPr>
          <w:rFonts w:ascii="Century Gothic" w:eastAsia="Calibri" w:hAnsi="Century Gothic" w:cstheme="majorHAnsi"/>
          <w:color w:val="000000"/>
        </w:rPr>
      </w:pPr>
      <w:r w:rsidRPr="00D06CC0">
        <w:rPr>
          <w:rFonts w:ascii="Century Gothic" w:eastAsia="Calibri" w:hAnsi="Century Gothic" w:cstheme="majorHAnsi"/>
          <w:color w:val="000000"/>
        </w:rPr>
        <w:t>VALIDADE DA PROPOSTA: 60 (SESSENTA) DIAS.</w:t>
      </w:r>
    </w:p>
    <w:p w14:paraId="4B3FEE7C" w14:textId="77777777" w:rsidR="00F730F9" w:rsidRPr="00D06CC0" w:rsidRDefault="00F730F9" w:rsidP="00655B0D">
      <w:pPr>
        <w:numPr>
          <w:ilvl w:val="0"/>
          <w:numId w:val="17"/>
        </w:numPr>
        <w:pBdr>
          <w:top w:val="nil"/>
          <w:left w:val="nil"/>
          <w:bottom w:val="nil"/>
          <w:right w:val="nil"/>
          <w:between w:val="nil"/>
        </w:pBdr>
        <w:tabs>
          <w:tab w:val="left" w:pos="284"/>
        </w:tabs>
        <w:ind w:left="0" w:firstLine="0"/>
        <w:jc w:val="both"/>
        <w:rPr>
          <w:rFonts w:ascii="Century Gothic" w:eastAsia="Calibri" w:hAnsi="Century Gothic" w:cstheme="majorHAnsi"/>
          <w:color w:val="000000"/>
        </w:rPr>
      </w:pPr>
      <w:r w:rsidRPr="00D06CC0">
        <w:rPr>
          <w:rFonts w:ascii="Century Gothic" w:eastAsia="Calibri" w:hAnsi="Century Gothic" w:cstheme="majorHAnsi"/>
          <w:color w:val="000000"/>
        </w:rPr>
        <w:t>PRAZO DE INICIO DE FORNECIMENTO/EXECUÇÃO DOS SERVIÇOS DE ACORDO COM O ESTABELECIDO NO TERMO DE REFERENCIA (ANEXO I) DO EDITAL DESSE PROCESSO.</w:t>
      </w:r>
    </w:p>
    <w:p w14:paraId="6EACF751" w14:textId="77777777" w:rsidR="00F730F9" w:rsidRPr="00D06CC0" w:rsidRDefault="00F730F9" w:rsidP="00655B0D">
      <w:pPr>
        <w:numPr>
          <w:ilvl w:val="0"/>
          <w:numId w:val="17"/>
        </w:numPr>
        <w:pBdr>
          <w:top w:val="nil"/>
          <w:left w:val="nil"/>
          <w:bottom w:val="nil"/>
          <w:right w:val="nil"/>
          <w:between w:val="nil"/>
        </w:pBdr>
        <w:tabs>
          <w:tab w:val="left" w:pos="284"/>
        </w:tabs>
        <w:ind w:left="0" w:firstLine="0"/>
        <w:jc w:val="both"/>
        <w:rPr>
          <w:rFonts w:ascii="Century Gothic" w:eastAsia="Calibri" w:hAnsi="Century Gothic" w:cstheme="majorHAnsi"/>
          <w:color w:val="000000"/>
        </w:rPr>
      </w:pPr>
      <w:r w:rsidRPr="00D06CC0">
        <w:rPr>
          <w:rFonts w:ascii="Century Gothic" w:eastAsia="Calibri" w:hAnsi="Century Gothic" w:cstheme="majorHAnsi"/>
          <w:color w:val="000000"/>
        </w:rPr>
        <w:t>QUE NÃO INCIDE NAS VEDAÇÕES PREVISTAS NA LEI Nº 14.133/2021.</w:t>
      </w:r>
    </w:p>
    <w:p w14:paraId="7C98CA52" w14:textId="77777777" w:rsidR="00F730F9" w:rsidRPr="00D06CC0" w:rsidRDefault="00F730F9" w:rsidP="00655B0D">
      <w:pPr>
        <w:numPr>
          <w:ilvl w:val="0"/>
          <w:numId w:val="17"/>
        </w:numPr>
        <w:pBdr>
          <w:top w:val="nil"/>
          <w:left w:val="nil"/>
          <w:bottom w:val="nil"/>
          <w:right w:val="nil"/>
          <w:between w:val="nil"/>
        </w:pBdr>
        <w:tabs>
          <w:tab w:val="left" w:pos="284"/>
        </w:tabs>
        <w:ind w:left="0" w:firstLine="0"/>
        <w:jc w:val="both"/>
        <w:rPr>
          <w:rFonts w:ascii="Century Gothic" w:eastAsia="Calibri" w:hAnsi="Century Gothic" w:cstheme="majorHAnsi"/>
          <w:color w:val="000000"/>
        </w:rPr>
      </w:pPr>
      <w:r w:rsidRPr="00D06CC0">
        <w:rPr>
          <w:rFonts w:ascii="Century Gothic" w:eastAsia="Calibri" w:hAnsi="Century Gothic" w:cstheme="majorHAnsi"/>
          <w:color w:val="000000"/>
        </w:rPr>
        <w:t xml:space="preserve">QUE O PRAZO DE INICIO DA ENTREGA DOS EQUIPAMENTOS SERÁ DE ACORDO COM OS TERMOS ESTABELECIDOS NO ANEXO I, DESTE EDITAL A CONTAR DO RECEBIMENTO, POR PARTE DA CONTRATADA, DA ORDEM DE COMPRA OU </w:t>
      </w:r>
      <w:r w:rsidRPr="00D06CC0">
        <w:rPr>
          <w:rFonts w:ascii="Century Gothic" w:eastAsia="Calibri" w:hAnsi="Century Gothic" w:cstheme="majorHAnsi"/>
          <w:color w:val="000000"/>
        </w:rPr>
        <w:lastRenderedPageBreak/>
        <w:t xml:space="preserve">DOCUMENTO SIMILAR, </w:t>
      </w:r>
      <w:r w:rsidRPr="00D06CC0">
        <w:rPr>
          <w:rFonts w:ascii="Century Gothic" w:eastAsia="Calibri" w:hAnsi="Century Gothic" w:cstheme="majorHAnsi"/>
        </w:rPr>
        <w:t xml:space="preserve">NA *** endereço, TODOS </w:t>
      </w:r>
      <w:r w:rsidRPr="00D06CC0">
        <w:rPr>
          <w:rFonts w:ascii="Century Gothic" w:eastAsia="Calibri" w:hAnsi="Century Gothic" w:cstheme="majorHAnsi"/>
          <w:color w:val="000000"/>
        </w:rPr>
        <w:t>OS BENS SERÃO AVALIADOS, SOB PENA DE DEVOLUÇÃO DE NÃO ACEITE, CASO NÃO ATENDA A DESCRIMINAÇÃO DO TERMO DE REFERÊNCIA DO REFERIDO EDITAL OU DE MÁ QUALIDADE.</w:t>
      </w:r>
    </w:p>
    <w:p w14:paraId="0C969B36" w14:textId="77777777" w:rsidR="00F730F9" w:rsidRPr="00D06CC0" w:rsidRDefault="00F730F9" w:rsidP="0099467B">
      <w:pPr>
        <w:jc w:val="right"/>
        <w:rPr>
          <w:rFonts w:ascii="Century Gothic" w:eastAsia="Calibri" w:hAnsi="Century Gothic" w:cstheme="majorHAnsi"/>
        </w:rPr>
      </w:pPr>
    </w:p>
    <w:p w14:paraId="08CD1DFE" w14:textId="77777777" w:rsidR="00F730F9" w:rsidRPr="00D06CC0" w:rsidRDefault="00F730F9" w:rsidP="0099467B">
      <w:pPr>
        <w:jc w:val="right"/>
        <w:rPr>
          <w:rFonts w:ascii="Century Gothic" w:eastAsia="Calibri" w:hAnsi="Century Gothic" w:cstheme="majorHAnsi"/>
        </w:rPr>
      </w:pPr>
      <w:r w:rsidRPr="00D06CC0">
        <w:rPr>
          <w:rFonts w:ascii="Century Gothic" w:eastAsia="Calibri" w:hAnsi="Century Gothic" w:cstheme="majorHAnsi"/>
        </w:rPr>
        <w:t>LOCAL E DATA</w:t>
      </w:r>
    </w:p>
    <w:p w14:paraId="400455AA" w14:textId="77777777" w:rsidR="00F730F9" w:rsidRPr="00D06CC0" w:rsidRDefault="00F730F9" w:rsidP="0099467B">
      <w:pPr>
        <w:jc w:val="center"/>
        <w:rPr>
          <w:rFonts w:ascii="Century Gothic" w:eastAsia="Calibri" w:hAnsi="Century Gothic" w:cstheme="majorHAnsi"/>
        </w:rPr>
      </w:pPr>
      <w:r w:rsidRPr="00D06CC0">
        <w:rPr>
          <w:rFonts w:ascii="Century Gothic" w:eastAsia="Calibri" w:hAnsi="Century Gothic" w:cstheme="majorHAnsi"/>
        </w:rPr>
        <w:t>_____________________________________</w:t>
      </w:r>
    </w:p>
    <w:p w14:paraId="01574409" w14:textId="77777777" w:rsidR="00F730F9" w:rsidRPr="00D06CC0" w:rsidRDefault="00F730F9" w:rsidP="0099467B">
      <w:pPr>
        <w:jc w:val="center"/>
        <w:rPr>
          <w:rFonts w:ascii="Century Gothic" w:eastAsia="Calibri" w:hAnsi="Century Gothic" w:cstheme="majorHAnsi"/>
        </w:rPr>
      </w:pPr>
      <w:r w:rsidRPr="00D06CC0">
        <w:rPr>
          <w:rFonts w:ascii="Century Gothic" w:eastAsia="Calibri" w:hAnsi="Century Gothic" w:cstheme="majorHAnsi"/>
        </w:rPr>
        <w:t>CARIMBO DA EMPRESA/ASSINATURA DO RESPONSÁVEL</w:t>
      </w:r>
    </w:p>
    <w:p w14:paraId="0BD9C89E" w14:textId="77777777" w:rsidR="00F730F9" w:rsidRPr="00D06CC0" w:rsidRDefault="00F730F9" w:rsidP="0099467B">
      <w:pPr>
        <w:jc w:val="center"/>
        <w:rPr>
          <w:rFonts w:ascii="Century Gothic" w:eastAsia="Calibri" w:hAnsi="Century Gothic" w:cstheme="majorHAnsi"/>
        </w:rPr>
      </w:pPr>
    </w:p>
    <w:p w14:paraId="3CF2037B"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b/>
        </w:rPr>
        <w:t xml:space="preserve">OBS. </w:t>
      </w:r>
      <w:r w:rsidRPr="00D06CC0">
        <w:rPr>
          <w:rFonts w:ascii="Century Gothic" w:eastAsia="Calibri" w:hAnsi="Century Gothic" w:cstheme="majorHAnsi"/>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B7C5FDD" w14:textId="77777777" w:rsidR="00F730F9" w:rsidRPr="00D06CC0" w:rsidRDefault="00F730F9" w:rsidP="0099467B">
      <w:pPr>
        <w:jc w:val="both"/>
        <w:rPr>
          <w:rFonts w:ascii="Century Gothic" w:eastAsia="Calibri" w:hAnsi="Century Gothic" w:cstheme="majorHAnsi"/>
        </w:rPr>
      </w:pPr>
    </w:p>
    <w:p w14:paraId="5D7658BB" w14:textId="77777777" w:rsidR="00F730F9" w:rsidRPr="00D06CC0" w:rsidRDefault="00F730F9" w:rsidP="0099467B">
      <w:pPr>
        <w:spacing w:after="200"/>
        <w:jc w:val="both"/>
        <w:rPr>
          <w:rFonts w:ascii="Century Gothic" w:eastAsia="Calibri" w:hAnsi="Century Gothic" w:cstheme="majorHAnsi"/>
        </w:rPr>
      </w:pPr>
      <w:r w:rsidRPr="00D06CC0">
        <w:rPr>
          <w:rFonts w:ascii="Century Gothic" w:eastAsia="Calibri" w:hAnsi="Century Gothic" w:cstheme="majorHAnsi"/>
        </w:rPr>
        <w:br w:type="page"/>
      </w:r>
    </w:p>
    <w:p w14:paraId="2036E7A9" w14:textId="77777777" w:rsidR="00F730F9" w:rsidRPr="00D06CC0" w:rsidRDefault="00F730F9" w:rsidP="00262785">
      <w:pPr>
        <w:pStyle w:val="Nivel010"/>
        <w:rPr>
          <w:rFonts w:ascii="Century Gothic" w:eastAsia="Calibri" w:hAnsi="Century Gothic" w:cstheme="majorHAnsi"/>
        </w:rPr>
      </w:pPr>
      <w:r w:rsidRPr="00D06CC0">
        <w:rPr>
          <w:rFonts w:ascii="Century Gothic" w:eastAsia="Calibri" w:hAnsi="Century Gothic" w:cstheme="majorHAnsi"/>
        </w:rPr>
        <w:lastRenderedPageBreak/>
        <w:t>ANEXO III – DECLARAÇÃO DE SUJEIÇÃO ÀS CONDIÇÕES ESTABELECIDAS NO EDITAL E DE INEXISTÊNCIA DE FATOS SUPERVENIENTES IMPEDITIVOS DA HABILITAÇÃO</w:t>
      </w:r>
    </w:p>
    <w:p w14:paraId="4B3AD628"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Pregão ELETRÔNICA Nº ***</w:t>
      </w:r>
    </w:p>
    <w:p w14:paraId="2B368D88"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PROCESSO ADMINISTRATIVO Nº ***</w:t>
      </w:r>
    </w:p>
    <w:p w14:paraId="66E05B71" w14:textId="77777777" w:rsidR="00F730F9" w:rsidRPr="00D06CC0" w:rsidRDefault="00F730F9" w:rsidP="0099467B">
      <w:pPr>
        <w:jc w:val="both"/>
        <w:rPr>
          <w:rFonts w:ascii="Century Gothic" w:eastAsia="Calibri" w:hAnsi="Century Gothic" w:cstheme="majorHAnsi"/>
        </w:rPr>
      </w:pPr>
    </w:p>
    <w:p w14:paraId="4820F15E"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rPr>
        <w:t>À</w:t>
      </w:r>
    </w:p>
    <w:p w14:paraId="32D86B88" w14:textId="77777777" w:rsidR="00F730F9" w:rsidRPr="00D06CC0" w:rsidRDefault="00F730F9" w:rsidP="0099467B">
      <w:pPr>
        <w:pBdr>
          <w:top w:val="nil"/>
          <w:left w:val="nil"/>
          <w:bottom w:val="nil"/>
          <w:right w:val="nil"/>
          <w:between w:val="nil"/>
        </w:pBdr>
        <w:tabs>
          <w:tab w:val="center" w:pos="4252"/>
          <w:tab w:val="right" w:pos="8504"/>
        </w:tabs>
        <w:jc w:val="both"/>
        <w:rPr>
          <w:rFonts w:ascii="Century Gothic" w:eastAsia="Calibri" w:hAnsi="Century Gothic" w:cstheme="majorHAnsi"/>
        </w:rPr>
      </w:pPr>
      <w:r w:rsidRPr="00D06CC0">
        <w:rPr>
          <w:rFonts w:ascii="Century Gothic" w:eastAsia="Calibri" w:hAnsi="Century Gothic" w:cstheme="majorHAnsi"/>
        </w:rPr>
        <w:t xml:space="preserve">*** </w:t>
      </w:r>
      <w:r w:rsidRPr="00D06CC0">
        <w:rPr>
          <w:rFonts w:ascii="Century Gothic" w:eastAsia="Calibri" w:hAnsi="Century Gothic" w:cstheme="majorHAnsi"/>
          <w:b/>
        </w:rPr>
        <w:t>ÓRGÃO LICITANTE</w:t>
      </w:r>
      <w:r w:rsidRPr="00D06CC0">
        <w:rPr>
          <w:rFonts w:ascii="Century Gothic" w:eastAsia="Calibri" w:hAnsi="Century Gothic" w:cstheme="majorHAnsi"/>
        </w:rPr>
        <w:t xml:space="preserve"> </w:t>
      </w:r>
    </w:p>
    <w:p w14:paraId="33A205B7" w14:textId="77777777" w:rsidR="00F730F9" w:rsidRPr="00D06CC0" w:rsidRDefault="00F730F9" w:rsidP="0099467B">
      <w:pPr>
        <w:pBdr>
          <w:top w:val="nil"/>
          <w:left w:val="nil"/>
          <w:bottom w:val="nil"/>
          <w:right w:val="nil"/>
          <w:between w:val="nil"/>
        </w:pBdr>
        <w:tabs>
          <w:tab w:val="center" w:pos="4252"/>
          <w:tab w:val="right" w:pos="8504"/>
        </w:tabs>
        <w:jc w:val="both"/>
        <w:rPr>
          <w:rFonts w:ascii="Century Gothic" w:eastAsia="Calibri" w:hAnsi="Century Gothic" w:cstheme="majorHAnsi"/>
        </w:rPr>
      </w:pPr>
      <w:r w:rsidRPr="00D06CC0">
        <w:rPr>
          <w:rFonts w:ascii="Century Gothic" w:eastAsia="Calibri" w:hAnsi="Century Gothic" w:cstheme="majorHAnsi"/>
        </w:rPr>
        <w:t>AO Pregoeiro E EQUIPE DE APOIO.</w:t>
      </w:r>
    </w:p>
    <w:p w14:paraId="69C217FE" w14:textId="77777777" w:rsidR="00F730F9" w:rsidRPr="00D06CC0" w:rsidRDefault="00F730F9" w:rsidP="0099467B">
      <w:pPr>
        <w:pBdr>
          <w:top w:val="nil"/>
          <w:left w:val="nil"/>
          <w:bottom w:val="nil"/>
          <w:right w:val="nil"/>
          <w:between w:val="nil"/>
        </w:pBdr>
        <w:tabs>
          <w:tab w:val="center" w:pos="4252"/>
          <w:tab w:val="right" w:pos="8504"/>
        </w:tabs>
        <w:jc w:val="both"/>
        <w:rPr>
          <w:rFonts w:ascii="Century Gothic" w:eastAsia="Calibri" w:hAnsi="Century Gothic" w:cstheme="majorHAnsi"/>
          <w:color w:val="000000"/>
        </w:rPr>
      </w:pPr>
    </w:p>
    <w:p w14:paraId="561F554C" w14:textId="77777777" w:rsidR="00F730F9" w:rsidRPr="00D06CC0" w:rsidRDefault="00F730F9" w:rsidP="0099467B">
      <w:pPr>
        <w:jc w:val="both"/>
        <w:rPr>
          <w:rFonts w:ascii="Century Gothic" w:eastAsia="Calibri" w:hAnsi="Century Gothic" w:cstheme="majorHAnsi"/>
        </w:rPr>
      </w:pPr>
    </w:p>
    <w:p w14:paraId="0B181F47"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7749207" w14:textId="77777777" w:rsidR="00F730F9" w:rsidRPr="00D06CC0" w:rsidRDefault="00F730F9" w:rsidP="0099467B">
      <w:pPr>
        <w:ind w:firstLine="2500"/>
        <w:jc w:val="both"/>
        <w:rPr>
          <w:rFonts w:ascii="Century Gothic" w:eastAsia="Calibri" w:hAnsi="Century Gothic" w:cstheme="majorHAnsi"/>
        </w:rPr>
      </w:pPr>
    </w:p>
    <w:p w14:paraId="0E12E8F8"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rPr>
        <w:t>DECLARA, AINDA, PARA TODOS OS FINS DE DIREITO, A INEXISTÊNCIA DE FATOS SUPERVENIENTES IMPEDITIVOS DA HABILITAÇÃO OU QUE COMPROMETA A IDONEIDADE DA PROPONENTE.</w:t>
      </w:r>
    </w:p>
    <w:p w14:paraId="06801E15" w14:textId="77777777" w:rsidR="00F730F9" w:rsidRPr="00D06CC0" w:rsidRDefault="00F730F9" w:rsidP="0099467B">
      <w:pPr>
        <w:jc w:val="both"/>
        <w:rPr>
          <w:rFonts w:ascii="Century Gothic" w:eastAsia="Calibri" w:hAnsi="Century Gothic" w:cstheme="majorHAnsi"/>
        </w:rPr>
      </w:pPr>
    </w:p>
    <w:p w14:paraId="7C0EB0A4" w14:textId="77777777" w:rsidR="00F730F9" w:rsidRPr="00D06CC0" w:rsidRDefault="00F730F9" w:rsidP="0099467B">
      <w:pPr>
        <w:jc w:val="both"/>
        <w:rPr>
          <w:rFonts w:ascii="Century Gothic" w:eastAsia="Calibri" w:hAnsi="Century Gothic" w:cstheme="majorHAnsi"/>
        </w:rPr>
      </w:pPr>
    </w:p>
    <w:p w14:paraId="5A9B7970" w14:textId="77777777" w:rsidR="00F730F9" w:rsidRPr="00D06CC0" w:rsidRDefault="00F730F9" w:rsidP="0099467B">
      <w:pPr>
        <w:widowControl w:val="0"/>
        <w:pBdr>
          <w:top w:val="nil"/>
          <w:left w:val="nil"/>
          <w:bottom w:val="nil"/>
          <w:right w:val="nil"/>
          <w:between w:val="nil"/>
        </w:pBdr>
        <w:jc w:val="right"/>
        <w:rPr>
          <w:rFonts w:ascii="Century Gothic" w:eastAsia="Calibri" w:hAnsi="Century Gothic" w:cstheme="majorHAnsi"/>
        </w:rPr>
      </w:pPr>
      <w:r w:rsidRPr="00D06CC0">
        <w:rPr>
          <w:rFonts w:ascii="Century Gothic" w:eastAsia="Calibri" w:hAnsi="Century Gothic" w:cstheme="majorHAnsi"/>
        </w:rPr>
        <w:t>________________ EM, ___ DE _________ DE 20***.</w:t>
      </w:r>
    </w:p>
    <w:p w14:paraId="198EB341" w14:textId="77777777" w:rsidR="00F730F9" w:rsidRPr="00D06CC0" w:rsidRDefault="00F730F9" w:rsidP="0099467B">
      <w:pPr>
        <w:jc w:val="both"/>
        <w:rPr>
          <w:rFonts w:ascii="Century Gothic" w:eastAsia="Calibri" w:hAnsi="Century Gothic" w:cstheme="majorHAnsi"/>
        </w:rPr>
      </w:pPr>
    </w:p>
    <w:p w14:paraId="127F77DE" w14:textId="77777777" w:rsidR="00F730F9" w:rsidRPr="00D06CC0" w:rsidRDefault="00F730F9" w:rsidP="0099467B">
      <w:pPr>
        <w:jc w:val="both"/>
        <w:rPr>
          <w:rFonts w:ascii="Century Gothic" w:eastAsia="Calibri" w:hAnsi="Century Gothic" w:cstheme="majorHAnsi"/>
        </w:rPr>
      </w:pPr>
    </w:p>
    <w:p w14:paraId="3F263C6A" w14:textId="77777777" w:rsidR="00F730F9" w:rsidRPr="00D06CC0" w:rsidRDefault="00F730F9" w:rsidP="0099467B">
      <w:pPr>
        <w:jc w:val="center"/>
        <w:rPr>
          <w:rFonts w:ascii="Century Gothic" w:eastAsia="Calibri" w:hAnsi="Century Gothic" w:cstheme="majorHAnsi"/>
        </w:rPr>
      </w:pPr>
      <w:r w:rsidRPr="00D06CC0">
        <w:rPr>
          <w:rFonts w:ascii="Century Gothic" w:eastAsia="Calibri" w:hAnsi="Century Gothic" w:cstheme="majorHAnsi"/>
        </w:rPr>
        <w:t>(ASSINATURA DO RESPONSÁVEL E CPF)</w:t>
      </w:r>
    </w:p>
    <w:p w14:paraId="38E89443" w14:textId="77777777" w:rsidR="00F730F9" w:rsidRPr="00D06CC0" w:rsidRDefault="00F730F9" w:rsidP="0099467B">
      <w:pPr>
        <w:jc w:val="both"/>
        <w:rPr>
          <w:rFonts w:ascii="Century Gothic" w:eastAsia="Calibri" w:hAnsi="Century Gothic" w:cstheme="majorHAnsi"/>
        </w:rPr>
      </w:pPr>
    </w:p>
    <w:p w14:paraId="4D8C9B71" w14:textId="77777777" w:rsidR="00F730F9" w:rsidRPr="00D06CC0" w:rsidRDefault="00F730F9" w:rsidP="0099467B">
      <w:pPr>
        <w:jc w:val="both"/>
        <w:rPr>
          <w:rFonts w:ascii="Century Gothic" w:eastAsia="Calibri" w:hAnsi="Century Gothic" w:cstheme="majorHAnsi"/>
        </w:rPr>
      </w:pPr>
    </w:p>
    <w:p w14:paraId="2634145F" w14:textId="77777777" w:rsidR="00F730F9" w:rsidRPr="00D06CC0" w:rsidRDefault="00F730F9" w:rsidP="0099467B">
      <w:pPr>
        <w:jc w:val="both"/>
        <w:rPr>
          <w:rFonts w:ascii="Century Gothic" w:eastAsia="Calibri" w:hAnsi="Century Gothic" w:cstheme="majorHAnsi"/>
        </w:rPr>
      </w:pPr>
    </w:p>
    <w:p w14:paraId="36FE3D94" w14:textId="77777777" w:rsidR="00F730F9" w:rsidRPr="00D06CC0" w:rsidRDefault="00F730F9" w:rsidP="0099467B">
      <w:pPr>
        <w:jc w:val="both"/>
        <w:rPr>
          <w:rFonts w:ascii="Century Gothic" w:eastAsia="Calibri" w:hAnsi="Century Gothic" w:cstheme="majorHAnsi"/>
        </w:rPr>
      </w:pPr>
    </w:p>
    <w:p w14:paraId="528D3207" w14:textId="77777777" w:rsidR="00F730F9" w:rsidRPr="00D06CC0" w:rsidRDefault="00F730F9" w:rsidP="0099467B">
      <w:pPr>
        <w:jc w:val="both"/>
        <w:rPr>
          <w:rFonts w:ascii="Century Gothic" w:eastAsia="Calibri" w:hAnsi="Century Gothic" w:cstheme="majorHAnsi"/>
        </w:rPr>
      </w:pPr>
    </w:p>
    <w:p w14:paraId="0DC51987" w14:textId="77777777" w:rsidR="00F730F9" w:rsidRPr="00D06CC0" w:rsidRDefault="00F730F9" w:rsidP="0099467B">
      <w:pPr>
        <w:jc w:val="both"/>
        <w:rPr>
          <w:rFonts w:ascii="Century Gothic" w:eastAsia="Calibri" w:hAnsi="Century Gothic" w:cstheme="majorHAnsi"/>
        </w:rPr>
      </w:pPr>
    </w:p>
    <w:p w14:paraId="5D71017F" w14:textId="77777777" w:rsidR="00F730F9" w:rsidRPr="00D06CC0" w:rsidRDefault="00F730F9" w:rsidP="0099467B">
      <w:pPr>
        <w:jc w:val="both"/>
        <w:rPr>
          <w:rFonts w:ascii="Century Gothic" w:eastAsia="Calibri" w:hAnsi="Century Gothic" w:cstheme="majorHAnsi"/>
        </w:rPr>
      </w:pPr>
    </w:p>
    <w:p w14:paraId="53533A7B" w14:textId="77777777" w:rsidR="00F730F9" w:rsidRPr="00D06CC0" w:rsidRDefault="00F730F9" w:rsidP="0099467B">
      <w:pPr>
        <w:jc w:val="both"/>
        <w:rPr>
          <w:rFonts w:ascii="Century Gothic" w:eastAsia="Calibri" w:hAnsi="Century Gothic" w:cstheme="majorHAnsi"/>
        </w:rPr>
      </w:pPr>
    </w:p>
    <w:p w14:paraId="3AF75641" w14:textId="77777777" w:rsidR="00F730F9" w:rsidRPr="00D06CC0" w:rsidRDefault="00F730F9" w:rsidP="0099467B">
      <w:pPr>
        <w:jc w:val="both"/>
        <w:rPr>
          <w:rFonts w:ascii="Century Gothic" w:eastAsia="Calibri" w:hAnsi="Century Gothic" w:cstheme="majorHAnsi"/>
        </w:rPr>
      </w:pPr>
    </w:p>
    <w:p w14:paraId="3DB4BFB9" w14:textId="77777777" w:rsidR="00F730F9" w:rsidRPr="00D06CC0" w:rsidRDefault="00F730F9" w:rsidP="0099467B">
      <w:pPr>
        <w:jc w:val="both"/>
        <w:rPr>
          <w:rFonts w:ascii="Century Gothic" w:eastAsia="Calibri" w:hAnsi="Century Gothic" w:cstheme="majorHAnsi"/>
        </w:rPr>
      </w:pPr>
    </w:p>
    <w:p w14:paraId="6C29021C" w14:textId="77777777" w:rsidR="00F730F9" w:rsidRPr="00D06CC0" w:rsidRDefault="00F730F9" w:rsidP="00262785">
      <w:pPr>
        <w:pStyle w:val="Nivel010"/>
        <w:rPr>
          <w:rFonts w:ascii="Century Gothic" w:eastAsia="Calibri" w:hAnsi="Century Gothic" w:cstheme="majorHAnsi"/>
        </w:rPr>
      </w:pPr>
      <w:r w:rsidRPr="00D06CC0">
        <w:rPr>
          <w:rFonts w:ascii="Century Gothic" w:eastAsia="Calibri" w:hAnsi="Century Gothic" w:cstheme="majorHAnsi"/>
        </w:rPr>
        <w:lastRenderedPageBreak/>
        <w:t>ANEXO IV – MODELO DE DECLARAÇÃO NOS TERMOS DO INCISO XXXIII DO ARTIGO 7º DA CONSTITUIÇÃO FEDERAL DE 1988</w:t>
      </w:r>
    </w:p>
    <w:p w14:paraId="7C42E135" w14:textId="77777777" w:rsidR="00F730F9" w:rsidRPr="00D06CC0" w:rsidRDefault="00F730F9" w:rsidP="0099467B">
      <w:pPr>
        <w:jc w:val="both"/>
        <w:rPr>
          <w:rFonts w:ascii="Century Gothic" w:eastAsia="Calibri" w:hAnsi="Century Gothic" w:cstheme="majorHAnsi"/>
        </w:rPr>
      </w:pPr>
    </w:p>
    <w:p w14:paraId="2CC6A3F8"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Pregão ELETRÔNICA Nº ***</w:t>
      </w:r>
    </w:p>
    <w:p w14:paraId="5B8D225B"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PROCESSO ADMINISTRATIVO Nº ***</w:t>
      </w:r>
    </w:p>
    <w:p w14:paraId="506BDEEA" w14:textId="77777777" w:rsidR="00F730F9" w:rsidRPr="00D06CC0" w:rsidRDefault="00F730F9" w:rsidP="0099467B">
      <w:pPr>
        <w:pBdr>
          <w:top w:val="nil"/>
          <w:left w:val="nil"/>
          <w:bottom w:val="nil"/>
          <w:right w:val="nil"/>
          <w:between w:val="nil"/>
        </w:pBdr>
        <w:jc w:val="both"/>
        <w:rPr>
          <w:rFonts w:ascii="Century Gothic" w:eastAsia="Calibri" w:hAnsi="Century Gothic" w:cstheme="majorHAnsi"/>
          <w:color w:val="000000"/>
        </w:rPr>
      </w:pPr>
    </w:p>
    <w:p w14:paraId="55539963" w14:textId="77777777" w:rsidR="00F730F9" w:rsidRPr="00D06CC0" w:rsidRDefault="00F730F9" w:rsidP="0099467B">
      <w:pPr>
        <w:jc w:val="both"/>
        <w:rPr>
          <w:rFonts w:ascii="Century Gothic" w:eastAsia="Calibri" w:hAnsi="Century Gothic" w:cstheme="majorHAnsi"/>
          <w:b/>
        </w:rPr>
      </w:pPr>
    </w:p>
    <w:p w14:paraId="033057C4"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(PAPEL TIMBRADO DA EMPRESA)</w:t>
      </w:r>
    </w:p>
    <w:p w14:paraId="70A3A3C9" w14:textId="77777777" w:rsidR="00F730F9" w:rsidRPr="00D06CC0" w:rsidRDefault="00F730F9" w:rsidP="0099467B">
      <w:pPr>
        <w:jc w:val="both"/>
        <w:rPr>
          <w:rFonts w:ascii="Century Gothic" w:eastAsia="Calibri" w:hAnsi="Century Gothic" w:cstheme="majorHAnsi"/>
        </w:rPr>
      </w:pPr>
    </w:p>
    <w:p w14:paraId="50CF4EF5" w14:textId="77777777" w:rsidR="00F730F9" w:rsidRPr="00D06CC0" w:rsidRDefault="00F730F9" w:rsidP="0099467B">
      <w:pPr>
        <w:jc w:val="both"/>
        <w:rPr>
          <w:rFonts w:ascii="Century Gothic" w:eastAsia="Calibri" w:hAnsi="Century Gothic" w:cstheme="majorHAnsi"/>
        </w:rPr>
      </w:pPr>
    </w:p>
    <w:p w14:paraId="3C14DE01"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7958D68" w14:textId="77777777" w:rsidR="00F730F9" w:rsidRPr="00D06CC0" w:rsidRDefault="00F730F9" w:rsidP="0099467B">
      <w:pPr>
        <w:jc w:val="both"/>
        <w:rPr>
          <w:rFonts w:ascii="Century Gothic" w:eastAsia="Calibri" w:hAnsi="Century Gothic" w:cstheme="majorHAnsi"/>
        </w:rPr>
      </w:pPr>
    </w:p>
    <w:p w14:paraId="0F5E755F"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rPr>
        <w:t>RESSALVA: EMPREGA MENOR, A PARTIR DE QUATORZE ANOS, NA CONDIÇÃO DE APRENDIZ ( )</w:t>
      </w:r>
      <w:r w:rsidRPr="00D06CC0">
        <w:rPr>
          <w:rFonts w:ascii="Century Gothic" w:eastAsia="Calibri" w:hAnsi="Century Gothic" w:cstheme="majorHAnsi"/>
          <w:vertAlign w:val="superscript"/>
        </w:rPr>
        <w:footnoteReference w:id="1"/>
      </w:r>
      <w:r w:rsidRPr="00D06CC0">
        <w:rPr>
          <w:rFonts w:ascii="Century Gothic" w:eastAsia="Calibri" w:hAnsi="Century Gothic" w:cstheme="majorHAnsi"/>
        </w:rPr>
        <w:t>.</w:t>
      </w:r>
    </w:p>
    <w:p w14:paraId="35C985E5" w14:textId="77777777" w:rsidR="00F730F9" w:rsidRPr="00D06CC0" w:rsidRDefault="00F730F9" w:rsidP="0099467B">
      <w:pPr>
        <w:jc w:val="both"/>
        <w:rPr>
          <w:rFonts w:ascii="Century Gothic" w:eastAsia="Calibri" w:hAnsi="Century Gothic" w:cstheme="majorHAnsi"/>
        </w:rPr>
      </w:pPr>
    </w:p>
    <w:p w14:paraId="0F226781" w14:textId="77777777" w:rsidR="00F730F9" w:rsidRPr="00D06CC0" w:rsidRDefault="00F730F9" w:rsidP="0099467B">
      <w:pPr>
        <w:jc w:val="both"/>
        <w:rPr>
          <w:rFonts w:ascii="Century Gothic" w:eastAsia="Calibri" w:hAnsi="Century Gothic" w:cstheme="majorHAnsi"/>
        </w:rPr>
      </w:pPr>
    </w:p>
    <w:p w14:paraId="35E97404" w14:textId="77777777" w:rsidR="00F730F9" w:rsidRPr="00D06CC0" w:rsidRDefault="00F730F9" w:rsidP="0099467B">
      <w:pPr>
        <w:jc w:val="right"/>
        <w:rPr>
          <w:rFonts w:ascii="Century Gothic" w:eastAsia="Calibri" w:hAnsi="Century Gothic" w:cstheme="majorHAnsi"/>
        </w:rPr>
      </w:pPr>
      <w:r w:rsidRPr="00D06CC0">
        <w:rPr>
          <w:rFonts w:ascii="Century Gothic" w:eastAsia="Calibri" w:hAnsi="Century Gothic" w:cstheme="majorHAnsi"/>
        </w:rPr>
        <w:t>...............................</w:t>
      </w:r>
    </w:p>
    <w:p w14:paraId="5814811D" w14:textId="77777777" w:rsidR="00F730F9" w:rsidRPr="00D06CC0" w:rsidRDefault="00F730F9" w:rsidP="0099467B">
      <w:pPr>
        <w:jc w:val="right"/>
        <w:rPr>
          <w:rFonts w:ascii="Century Gothic" w:eastAsia="Calibri" w:hAnsi="Century Gothic" w:cstheme="majorHAnsi"/>
        </w:rPr>
      </w:pPr>
      <w:r w:rsidRPr="00D06CC0">
        <w:rPr>
          <w:rFonts w:ascii="Century Gothic" w:eastAsia="Calibri" w:hAnsi="Century Gothic" w:cstheme="majorHAnsi"/>
        </w:rPr>
        <w:t>(DATA)</w:t>
      </w:r>
    </w:p>
    <w:p w14:paraId="25AA1033" w14:textId="77777777" w:rsidR="00F730F9" w:rsidRPr="00D06CC0" w:rsidRDefault="00F730F9" w:rsidP="0099467B">
      <w:pPr>
        <w:jc w:val="both"/>
        <w:rPr>
          <w:rFonts w:ascii="Century Gothic" w:eastAsia="Calibri" w:hAnsi="Century Gothic" w:cstheme="majorHAnsi"/>
        </w:rPr>
      </w:pPr>
    </w:p>
    <w:p w14:paraId="083C4621" w14:textId="77777777" w:rsidR="00F730F9" w:rsidRPr="00D06CC0" w:rsidRDefault="00F730F9" w:rsidP="0099467B">
      <w:pPr>
        <w:jc w:val="both"/>
        <w:rPr>
          <w:rFonts w:ascii="Century Gothic" w:eastAsia="Calibri" w:hAnsi="Century Gothic" w:cstheme="majorHAnsi"/>
        </w:rPr>
      </w:pPr>
    </w:p>
    <w:p w14:paraId="0B5B0C0D" w14:textId="77777777" w:rsidR="00F730F9" w:rsidRPr="00D06CC0" w:rsidRDefault="00F730F9" w:rsidP="0099467B">
      <w:pPr>
        <w:jc w:val="both"/>
        <w:rPr>
          <w:rFonts w:ascii="Century Gothic" w:eastAsia="Calibri" w:hAnsi="Century Gothic" w:cstheme="majorHAnsi"/>
        </w:rPr>
      </w:pPr>
    </w:p>
    <w:p w14:paraId="3EE9FAB5" w14:textId="77777777" w:rsidR="00F730F9" w:rsidRPr="00D06CC0" w:rsidRDefault="00F730F9" w:rsidP="0099467B">
      <w:pPr>
        <w:jc w:val="center"/>
        <w:rPr>
          <w:rFonts w:ascii="Century Gothic" w:eastAsia="Calibri" w:hAnsi="Century Gothic" w:cstheme="majorHAnsi"/>
        </w:rPr>
      </w:pPr>
      <w:r w:rsidRPr="00D06CC0">
        <w:rPr>
          <w:rFonts w:ascii="Century Gothic" w:eastAsia="Calibri" w:hAnsi="Century Gothic" w:cstheme="majorHAnsi"/>
        </w:rPr>
        <w:t>.................................</w:t>
      </w:r>
    </w:p>
    <w:p w14:paraId="3143BD22" w14:textId="77777777" w:rsidR="00F730F9" w:rsidRPr="00D06CC0" w:rsidRDefault="00F730F9" w:rsidP="0099467B">
      <w:pPr>
        <w:jc w:val="center"/>
        <w:rPr>
          <w:rFonts w:ascii="Century Gothic" w:eastAsia="Calibri" w:hAnsi="Century Gothic" w:cstheme="majorHAnsi"/>
        </w:rPr>
      </w:pPr>
      <w:r w:rsidRPr="00D06CC0">
        <w:rPr>
          <w:rFonts w:ascii="Century Gothic" w:eastAsia="Calibri" w:hAnsi="Century Gothic" w:cstheme="majorHAnsi"/>
        </w:rPr>
        <w:t>(REPRESENTANTE LEGAL)</w:t>
      </w:r>
    </w:p>
    <w:p w14:paraId="0EBB90DB" w14:textId="77777777" w:rsidR="00F730F9" w:rsidRPr="00D06CC0" w:rsidRDefault="00F730F9" w:rsidP="0099467B">
      <w:pPr>
        <w:jc w:val="both"/>
        <w:rPr>
          <w:rFonts w:ascii="Century Gothic" w:eastAsia="Calibri" w:hAnsi="Century Gothic" w:cstheme="majorHAnsi"/>
        </w:rPr>
      </w:pPr>
    </w:p>
    <w:p w14:paraId="4CB0CA52" w14:textId="77777777" w:rsidR="00F730F9" w:rsidRPr="00D06CC0" w:rsidRDefault="00F730F9" w:rsidP="0099467B">
      <w:pPr>
        <w:jc w:val="both"/>
        <w:rPr>
          <w:rFonts w:ascii="Century Gothic" w:eastAsia="Calibri" w:hAnsi="Century Gothic" w:cstheme="majorHAnsi"/>
        </w:rPr>
      </w:pPr>
    </w:p>
    <w:p w14:paraId="354E7E70" w14:textId="77777777" w:rsidR="00F730F9" w:rsidRPr="00D06CC0" w:rsidRDefault="00F730F9" w:rsidP="0099467B">
      <w:pPr>
        <w:jc w:val="both"/>
        <w:rPr>
          <w:rFonts w:ascii="Century Gothic" w:eastAsia="Calibri" w:hAnsi="Century Gothic" w:cstheme="majorHAnsi"/>
        </w:rPr>
      </w:pPr>
    </w:p>
    <w:p w14:paraId="1F554F94" w14:textId="77777777" w:rsidR="00F730F9" w:rsidRPr="00D06CC0" w:rsidRDefault="00F730F9" w:rsidP="0099467B">
      <w:pPr>
        <w:keepNext/>
        <w:jc w:val="both"/>
        <w:rPr>
          <w:rFonts w:ascii="Century Gothic" w:eastAsia="Calibri" w:hAnsi="Century Gothic" w:cstheme="majorHAnsi"/>
        </w:rPr>
      </w:pPr>
      <w:r w:rsidRPr="00D06CC0">
        <w:rPr>
          <w:rFonts w:ascii="Century Gothic" w:eastAsia="Calibri" w:hAnsi="Century Gothic" w:cstheme="majorHAnsi"/>
        </w:rPr>
        <w:t xml:space="preserve"> </w:t>
      </w:r>
    </w:p>
    <w:p w14:paraId="26DA9FC8" w14:textId="77777777" w:rsidR="00F730F9" w:rsidRPr="00D06CC0" w:rsidRDefault="00F730F9" w:rsidP="0099467B">
      <w:pPr>
        <w:jc w:val="both"/>
        <w:rPr>
          <w:rFonts w:ascii="Century Gothic" w:eastAsia="Calibri" w:hAnsi="Century Gothic" w:cstheme="majorHAnsi"/>
        </w:rPr>
      </w:pPr>
    </w:p>
    <w:p w14:paraId="2C308C48" w14:textId="77777777" w:rsidR="00F730F9" w:rsidRPr="00D06CC0" w:rsidRDefault="00F730F9" w:rsidP="0099467B">
      <w:pPr>
        <w:jc w:val="both"/>
        <w:rPr>
          <w:rFonts w:ascii="Century Gothic" w:eastAsia="Calibri" w:hAnsi="Century Gothic" w:cstheme="majorHAnsi"/>
        </w:rPr>
      </w:pPr>
    </w:p>
    <w:p w14:paraId="5D826AB7" w14:textId="77777777" w:rsidR="00F730F9" w:rsidRPr="00D06CC0" w:rsidRDefault="00F730F9" w:rsidP="0099467B">
      <w:pPr>
        <w:jc w:val="both"/>
        <w:rPr>
          <w:rFonts w:ascii="Century Gothic" w:eastAsia="Calibri" w:hAnsi="Century Gothic" w:cstheme="majorHAnsi"/>
        </w:rPr>
      </w:pPr>
    </w:p>
    <w:p w14:paraId="6F44D009" w14:textId="77777777" w:rsidR="00F730F9" w:rsidRPr="00D06CC0" w:rsidRDefault="00F730F9" w:rsidP="0099467B">
      <w:pPr>
        <w:jc w:val="both"/>
        <w:rPr>
          <w:rFonts w:ascii="Century Gothic" w:eastAsia="Calibri" w:hAnsi="Century Gothic" w:cstheme="majorHAnsi"/>
        </w:rPr>
      </w:pPr>
    </w:p>
    <w:p w14:paraId="3DEDD624" w14:textId="77777777" w:rsidR="00F730F9" w:rsidRPr="00D06CC0" w:rsidRDefault="00F730F9" w:rsidP="0099467B">
      <w:pPr>
        <w:jc w:val="both"/>
        <w:rPr>
          <w:rFonts w:ascii="Century Gothic" w:eastAsia="Calibri" w:hAnsi="Century Gothic" w:cstheme="majorHAnsi"/>
        </w:rPr>
      </w:pPr>
    </w:p>
    <w:p w14:paraId="4C4930CA" w14:textId="77777777" w:rsidR="00F730F9" w:rsidRPr="00D06CC0" w:rsidRDefault="00F730F9" w:rsidP="00262785">
      <w:pPr>
        <w:pStyle w:val="Nivel010"/>
        <w:rPr>
          <w:rFonts w:ascii="Century Gothic" w:eastAsia="Calibri" w:hAnsi="Century Gothic" w:cstheme="majorHAnsi"/>
        </w:rPr>
      </w:pPr>
      <w:r w:rsidRPr="00D06CC0">
        <w:rPr>
          <w:rFonts w:ascii="Century Gothic" w:eastAsia="Calibri" w:hAnsi="Century Gothic" w:cstheme="majorHAnsi"/>
        </w:rPr>
        <w:lastRenderedPageBreak/>
        <w:t>ANEXO V – DECLARAÇÃO DE ELABORAÇÃO INDEPENDENTE DE PROPOSTA. (MODELO)</w:t>
      </w:r>
    </w:p>
    <w:p w14:paraId="1ECA492C" w14:textId="77777777" w:rsidR="00F730F9" w:rsidRPr="00D06CC0" w:rsidRDefault="00F730F9" w:rsidP="0099467B">
      <w:pPr>
        <w:jc w:val="both"/>
        <w:rPr>
          <w:rFonts w:ascii="Century Gothic" w:eastAsia="Calibri" w:hAnsi="Century Gothic" w:cstheme="majorHAnsi"/>
          <w:b/>
          <w:sz w:val="20"/>
          <w:szCs w:val="20"/>
        </w:rPr>
      </w:pPr>
      <w:r w:rsidRPr="00D06CC0">
        <w:rPr>
          <w:rFonts w:ascii="Century Gothic" w:eastAsia="Calibri" w:hAnsi="Century Gothic" w:cstheme="majorHAnsi"/>
          <w:b/>
          <w:sz w:val="20"/>
          <w:szCs w:val="20"/>
        </w:rPr>
        <w:t>Pregão ELETRÔNICA Nº ***</w:t>
      </w:r>
    </w:p>
    <w:p w14:paraId="5165F061" w14:textId="77777777" w:rsidR="00F730F9" w:rsidRPr="00D06CC0" w:rsidRDefault="00F730F9" w:rsidP="0099467B">
      <w:pPr>
        <w:jc w:val="both"/>
        <w:rPr>
          <w:rFonts w:ascii="Century Gothic" w:eastAsia="Calibri" w:hAnsi="Century Gothic" w:cstheme="majorHAnsi"/>
          <w:b/>
          <w:sz w:val="20"/>
          <w:szCs w:val="20"/>
        </w:rPr>
      </w:pPr>
      <w:r w:rsidRPr="00D06CC0">
        <w:rPr>
          <w:rFonts w:ascii="Century Gothic" w:eastAsia="Calibri" w:hAnsi="Century Gothic" w:cstheme="majorHAnsi"/>
          <w:b/>
          <w:sz w:val="20"/>
          <w:szCs w:val="20"/>
        </w:rPr>
        <w:t>PROCESSO ADMINISTRATIVO Nº ***</w:t>
      </w:r>
    </w:p>
    <w:p w14:paraId="4EC39972" w14:textId="77777777" w:rsidR="00F730F9" w:rsidRPr="00D06CC0" w:rsidRDefault="00F730F9" w:rsidP="0099467B">
      <w:pPr>
        <w:jc w:val="both"/>
        <w:rPr>
          <w:rFonts w:ascii="Century Gothic" w:eastAsia="Calibri" w:hAnsi="Century Gothic" w:cstheme="majorHAnsi"/>
          <w:sz w:val="20"/>
          <w:szCs w:val="20"/>
        </w:rPr>
      </w:pPr>
    </w:p>
    <w:p w14:paraId="40E28CF2" w14:textId="77777777" w:rsidR="00F730F9" w:rsidRPr="00D06CC0" w:rsidRDefault="00F730F9" w:rsidP="0099467B">
      <w:pPr>
        <w:jc w:val="both"/>
        <w:rPr>
          <w:rFonts w:ascii="Century Gothic" w:eastAsia="Calibri" w:hAnsi="Century Gothic" w:cstheme="majorHAnsi"/>
          <w:b/>
          <w:sz w:val="20"/>
          <w:szCs w:val="20"/>
        </w:rPr>
      </w:pPr>
      <w:r w:rsidRPr="00D06CC0">
        <w:rPr>
          <w:rFonts w:ascii="Century Gothic" w:eastAsia="Calibri" w:hAnsi="Century Gothic" w:cstheme="majorHAnsi"/>
          <w:sz w:val="20"/>
          <w:szCs w:val="20"/>
        </w:rPr>
        <w:t xml:space="preserve">(IDENTIFICAÇÃO COMPLETA DO REPRESENTANTE DA LICITANTE), COMO REPRESENTANTE DEVIDAMENTE CONSTITUÍDO DE (IDENTIFICAÇÃO COMPLETA DA LICITANTE), PARA FINS DO DISPOSTO NO EDITAL DE LICITAÇÃO: </w:t>
      </w:r>
      <w:r w:rsidRPr="00D06CC0">
        <w:rPr>
          <w:rFonts w:ascii="Century Gothic" w:eastAsia="Calibri" w:hAnsi="Century Gothic" w:cstheme="majorHAnsi"/>
          <w:b/>
          <w:sz w:val="20"/>
          <w:szCs w:val="20"/>
        </w:rPr>
        <w:t xml:space="preserve">Pregão ELETRÔNICA Nº ***, </w:t>
      </w:r>
      <w:r w:rsidRPr="00D06CC0">
        <w:rPr>
          <w:rFonts w:ascii="Century Gothic" w:eastAsia="Calibri" w:hAnsi="Century Gothic" w:cstheme="majorHAnsi"/>
          <w:sz w:val="20"/>
          <w:szCs w:val="20"/>
        </w:rPr>
        <w:t>DECLARA, SOB AS PENAS DA LEI, EM ESPECIAL O ART. 299 DO CÓDIGO PENAL BRASILEIRO, QUE:</w:t>
      </w:r>
    </w:p>
    <w:p w14:paraId="4E45F448" w14:textId="77777777" w:rsidR="00F730F9" w:rsidRPr="00D06CC0" w:rsidRDefault="00F730F9" w:rsidP="0099467B">
      <w:pPr>
        <w:pBdr>
          <w:top w:val="nil"/>
          <w:left w:val="nil"/>
          <w:bottom w:val="nil"/>
          <w:right w:val="nil"/>
          <w:between w:val="nil"/>
        </w:pBdr>
        <w:jc w:val="both"/>
        <w:rPr>
          <w:rFonts w:ascii="Century Gothic" w:eastAsia="Calibri" w:hAnsi="Century Gothic" w:cstheme="majorHAnsi"/>
          <w:sz w:val="20"/>
          <w:szCs w:val="20"/>
        </w:rPr>
      </w:pPr>
    </w:p>
    <w:p w14:paraId="6CB95C39" w14:textId="77777777" w:rsidR="00F730F9" w:rsidRPr="00D06CC0" w:rsidRDefault="00F730F9" w:rsidP="0099467B">
      <w:pPr>
        <w:jc w:val="both"/>
        <w:rPr>
          <w:rFonts w:ascii="Century Gothic" w:eastAsia="Calibri" w:hAnsi="Century Gothic" w:cstheme="majorHAnsi"/>
          <w:b/>
          <w:sz w:val="20"/>
          <w:szCs w:val="20"/>
        </w:rPr>
      </w:pPr>
      <w:r w:rsidRPr="00D06CC0">
        <w:rPr>
          <w:rFonts w:ascii="Century Gothic" w:eastAsia="Calibri" w:hAnsi="Century Gothic" w:cstheme="majorHAnsi"/>
          <w:b/>
          <w:sz w:val="20"/>
          <w:szCs w:val="20"/>
        </w:rPr>
        <w:t>A)</w:t>
      </w:r>
      <w:r w:rsidRPr="00D06CC0">
        <w:rPr>
          <w:rFonts w:ascii="Century Gothic" w:eastAsia="Calibri" w:hAnsi="Century Gothic" w:cstheme="majorHAnsi"/>
          <w:sz w:val="20"/>
          <w:szCs w:val="20"/>
        </w:rPr>
        <w:t xml:space="preserve"> A PROPOSTA APRESENTADA PARA PARTICIPAR DO </w:t>
      </w:r>
      <w:r w:rsidRPr="00D06CC0">
        <w:rPr>
          <w:rFonts w:ascii="Century Gothic" w:eastAsia="Calibri" w:hAnsi="Century Gothic" w:cstheme="majorHAnsi"/>
          <w:b/>
          <w:sz w:val="20"/>
          <w:szCs w:val="20"/>
        </w:rPr>
        <w:t xml:space="preserve">PREGÃO ELETRÔNICA Nº ***, </w:t>
      </w:r>
      <w:r w:rsidRPr="00D06CC0">
        <w:rPr>
          <w:rFonts w:ascii="Century Gothic" w:eastAsia="Calibri" w:hAnsi="Century Gothic" w:cstheme="majorHAnsi"/>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D06CC0">
        <w:rPr>
          <w:rFonts w:ascii="Century Gothic" w:eastAsia="Calibri" w:hAnsi="Century Gothic" w:cstheme="majorHAnsi"/>
          <w:b/>
          <w:sz w:val="20"/>
          <w:szCs w:val="20"/>
        </w:rPr>
        <w:t xml:space="preserve">PREGÃO ELETRÔNICA Nº ***, </w:t>
      </w:r>
      <w:r w:rsidRPr="00D06CC0">
        <w:rPr>
          <w:rFonts w:ascii="Century Gothic" w:eastAsia="Calibri" w:hAnsi="Century Gothic" w:cstheme="majorHAnsi"/>
          <w:sz w:val="20"/>
          <w:szCs w:val="20"/>
        </w:rPr>
        <w:t>POR QUALQUER MEIO OU POR QUALQUER PESSOA;</w:t>
      </w:r>
    </w:p>
    <w:p w14:paraId="1E13F065" w14:textId="77777777" w:rsidR="00F730F9" w:rsidRPr="00D06CC0" w:rsidRDefault="00F730F9" w:rsidP="0099467B">
      <w:pPr>
        <w:pBdr>
          <w:top w:val="nil"/>
          <w:left w:val="nil"/>
          <w:bottom w:val="nil"/>
          <w:right w:val="nil"/>
          <w:between w:val="nil"/>
        </w:pBdr>
        <w:ind w:left="709"/>
        <w:jc w:val="both"/>
        <w:rPr>
          <w:rFonts w:ascii="Century Gothic" w:eastAsia="Calibri" w:hAnsi="Century Gothic" w:cstheme="majorHAnsi"/>
          <w:sz w:val="20"/>
          <w:szCs w:val="20"/>
        </w:rPr>
      </w:pPr>
    </w:p>
    <w:p w14:paraId="7DFA0590" w14:textId="77777777" w:rsidR="00F730F9" w:rsidRPr="00D06CC0" w:rsidRDefault="00F730F9" w:rsidP="0099467B">
      <w:pPr>
        <w:jc w:val="both"/>
        <w:rPr>
          <w:rFonts w:ascii="Century Gothic" w:eastAsia="Calibri" w:hAnsi="Century Gothic" w:cstheme="majorHAnsi"/>
          <w:b/>
          <w:sz w:val="20"/>
          <w:szCs w:val="20"/>
        </w:rPr>
      </w:pPr>
      <w:r w:rsidRPr="00D06CC0">
        <w:rPr>
          <w:rFonts w:ascii="Century Gothic" w:eastAsia="Calibri" w:hAnsi="Century Gothic" w:cstheme="majorHAnsi"/>
          <w:b/>
          <w:sz w:val="20"/>
          <w:szCs w:val="20"/>
        </w:rPr>
        <w:t>B)</w:t>
      </w:r>
      <w:r w:rsidRPr="00D06CC0">
        <w:rPr>
          <w:rFonts w:ascii="Century Gothic" w:eastAsia="Calibri" w:hAnsi="Century Gothic" w:cstheme="majorHAnsi"/>
          <w:sz w:val="20"/>
          <w:szCs w:val="20"/>
        </w:rPr>
        <w:t xml:space="preserve"> A INTENÇÃO DE APRESENTAR A PROPOSTA ELABORADA PARA PARTICIPAR DO </w:t>
      </w:r>
      <w:r w:rsidRPr="00D06CC0">
        <w:rPr>
          <w:rFonts w:ascii="Century Gothic" w:eastAsia="Calibri" w:hAnsi="Century Gothic" w:cstheme="majorHAnsi"/>
          <w:b/>
          <w:sz w:val="20"/>
          <w:szCs w:val="20"/>
        </w:rPr>
        <w:t>PREGÃO ELETRÔNICA Nº ***</w:t>
      </w:r>
      <w:r w:rsidRPr="00D06CC0">
        <w:rPr>
          <w:rFonts w:ascii="Century Gothic" w:eastAsia="Calibri" w:hAnsi="Century Gothic" w:cstheme="majorHAnsi"/>
          <w:sz w:val="20"/>
          <w:szCs w:val="20"/>
        </w:rPr>
        <w:t xml:space="preserve"> NÃO FOI INFORMADA, DISCUTIDA OU RECEBIDA DE QUALQUER OUTRO PARTICIPANTE POTENCIAL OU DE FATO DO </w:t>
      </w:r>
      <w:r w:rsidRPr="00D06CC0">
        <w:rPr>
          <w:rFonts w:ascii="Century Gothic" w:eastAsia="Calibri" w:hAnsi="Century Gothic" w:cstheme="majorHAnsi"/>
          <w:b/>
          <w:sz w:val="20"/>
          <w:szCs w:val="20"/>
        </w:rPr>
        <w:t>PREGÃO ELETRÔNICA Nº ***</w:t>
      </w:r>
      <w:r w:rsidRPr="00D06CC0">
        <w:rPr>
          <w:rFonts w:ascii="Century Gothic" w:eastAsia="Calibri" w:hAnsi="Century Gothic" w:cstheme="majorHAnsi"/>
          <w:sz w:val="20"/>
          <w:szCs w:val="20"/>
        </w:rPr>
        <w:t>, POR QUALQUER MEIO OU POR QUALQUER PESSOA;</w:t>
      </w:r>
    </w:p>
    <w:p w14:paraId="7BB47253" w14:textId="77777777" w:rsidR="00F730F9" w:rsidRPr="00D06CC0" w:rsidRDefault="00F730F9" w:rsidP="0099467B">
      <w:pPr>
        <w:pBdr>
          <w:top w:val="nil"/>
          <w:left w:val="nil"/>
          <w:bottom w:val="nil"/>
          <w:right w:val="nil"/>
          <w:between w:val="nil"/>
        </w:pBdr>
        <w:ind w:left="709"/>
        <w:jc w:val="both"/>
        <w:rPr>
          <w:rFonts w:ascii="Century Gothic" w:eastAsia="Calibri" w:hAnsi="Century Gothic" w:cstheme="majorHAnsi"/>
          <w:sz w:val="20"/>
          <w:szCs w:val="20"/>
        </w:rPr>
      </w:pPr>
    </w:p>
    <w:p w14:paraId="5492D4A9" w14:textId="77777777" w:rsidR="00F730F9" w:rsidRPr="00D06CC0" w:rsidRDefault="00F730F9" w:rsidP="0099467B">
      <w:pPr>
        <w:jc w:val="both"/>
        <w:rPr>
          <w:rFonts w:ascii="Century Gothic" w:eastAsia="Calibri" w:hAnsi="Century Gothic" w:cstheme="majorHAnsi"/>
          <w:b/>
          <w:sz w:val="20"/>
          <w:szCs w:val="20"/>
        </w:rPr>
      </w:pPr>
      <w:r w:rsidRPr="00D06CC0">
        <w:rPr>
          <w:rFonts w:ascii="Century Gothic" w:eastAsia="Calibri" w:hAnsi="Century Gothic" w:cstheme="majorHAnsi"/>
          <w:b/>
          <w:sz w:val="20"/>
          <w:szCs w:val="20"/>
        </w:rPr>
        <w:t>C)</w:t>
      </w:r>
      <w:r w:rsidRPr="00D06CC0">
        <w:rPr>
          <w:rFonts w:ascii="Century Gothic" w:eastAsia="Calibri" w:hAnsi="Century Gothic" w:cstheme="majorHAnsi"/>
          <w:sz w:val="20"/>
          <w:szCs w:val="20"/>
        </w:rPr>
        <w:t xml:space="preserve"> QUE NÃO TENTOU, POR QUALQUER MEIO OU POR QUALQUER PESSOA, INFLUIR NA DECISÃO DE QUALQUER OUTRO PARTICIPANTE POTENCIAL OU DE FATO DO </w:t>
      </w:r>
      <w:r w:rsidRPr="00D06CC0">
        <w:rPr>
          <w:rFonts w:ascii="Century Gothic" w:eastAsia="Calibri" w:hAnsi="Century Gothic" w:cstheme="majorHAnsi"/>
          <w:b/>
          <w:sz w:val="20"/>
          <w:szCs w:val="20"/>
        </w:rPr>
        <w:t xml:space="preserve">PREGÃO ELETRÔNICA Nº *** </w:t>
      </w:r>
      <w:r w:rsidRPr="00D06CC0">
        <w:rPr>
          <w:rFonts w:ascii="Century Gothic" w:eastAsia="Calibri" w:hAnsi="Century Gothic" w:cstheme="majorHAnsi"/>
          <w:sz w:val="20"/>
          <w:szCs w:val="20"/>
        </w:rPr>
        <w:t>QUANTO A PARTICIPAR OU NÃO DA REFERIDA LICITAÇÃO;</w:t>
      </w:r>
    </w:p>
    <w:p w14:paraId="1FF530A3" w14:textId="77777777" w:rsidR="00F730F9" w:rsidRPr="00D06CC0" w:rsidRDefault="00F730F9" w:rsidP="0099467B">
      <w:pPr>
        <w:pBdr>
          <w:top w:val="nil"/>
          <w:left w:val="nil"/>
          <w:bottom w:val="nil"/>
          <w:right w:val="nil"/>
          <w:between w:val="nil"/>
        </w:pBdr>
        <w:ind w:left="709"/>
        <w:jc w:val="both"/>
        <w:rPr>
          <w:rFonts w:ascii="Century Gothic" w:eastAsia="Calibri" w:hAnsi="Century Gothic" w:cstheme="majorHAnsi"/>
          <w:sz w:val="20"/>
          <w:szCs w:val="20"/>
        </w:rPr>
      </w:pPr>
    </w:p>
    <w:p w14:paraId="1C579D81" w14:textId="77777777" w:rsidR="00F730F9" w:rsidRPr="00D06CC0" w:rsidRDefault="00F730F9" w:rsidP="0099467B">
      <w:pPr>
        <w:jc w:val="both"/>
        <w:rPr>
          <w:rFonts w:ascii="Century Gothic" w:eastAsia="Calibri" w:hAnsi="Century Gothic" w:cstheme="majorHAnsi"/>
          <w:b/>
          <w:sz w:val="20"/>
          <w:szCs w:val="20"/>
        </w:rPr>
      </w:pPr>
      <w:r w:rsidRPr="00D06CC0">
        <w:rPr>
          <w:rFonts w:ascii="Century Gothic" w:eastAsia="Calibri" w:hAnsi="Century Gothic" w:cstheme="majorHAnsi"/>
          <w:b/>
          <w:sz w:val="20"/>
          <w:szCs w:val="20"/>
        </w:rPr>
        <w:t>D)</w:t>
      </w:r>
      <w:r w:rsidRPr="00D06CC0">
        <w:rPr>
          <w:rFonts w:ascii="Century Gothic" w:eastAsia="Calibri" w:hAnsi="Century Gothic" w:cstheme="majorHAnsi"/>
          <w:sz w:val="20"/>
          <w:szCs w:val="20"/>
        </w:rPr>
        <w:t xml:space="preserve"> QUE O CONTEÚDO DA PROPOSTA APRESENTADA PARA PARTICIPAR DO </w:t>
      </w:r>
      <w:r w:rsidRPr="00D06CC0">
        <w:rPr>
          <w:rFonts w:ascii="Century Gothic" w:eastAsia="Calibri" w:hAnsi="Century Gothic" w:cstheme="majorHAnsi"/>
          <w:b/>
          <w:sz w:val="20"/>
          <w:szCs w:val="20"/>
        </w:rPr>
        <w:t xml:space="preserve">PREGÃO ELETRÔNICA Nº *** </w:t>
      </w:r>
      <w:r w:rsidRPr="00D06CC0">
        <w:rPr>
          <w:rFonts w:ascii="Century Gothic" w:eastAsia="Calibri" w:hAnsi="Century Gothic" w:cstheme="majorHAnsi"/>
          <w:sz w:val="20"/>
          <w:szCs w:val="20"/>
        </w:rPr>
        <w:t xml:space="preserve">NÃO SERÁ, NO TODO OU EM PARTE, DIRETA OU INDIRETAMENTE, COMUNICADO OU DISCUTIDO COM QUALQUER OUTRO PARTICIPANTE POTENCIAL OU DE FATO DO </w:t>
      </w:r>
      <w:r w:rsidRPr="00D06CC0">
        <w:rPr>
          <w:rFonts w:ascii="Century Gothic" w:eastAsia="Calibri" w:hAnsi="Century Gothic" w:cstheme="majorHAnsi"/>
          <w:b/>
          <w:sz w:val="20"/>
          <w:szCs w:val="20"/>
        </w:rPr>
        <w:t xml:space="preserve">PREGÃO ELETRÔNICA Nº *** </w:t>
      </w:r>
      <w:r w:rsidRPr="00D06CC0">
        <w:rPr>
          <w:rFonts w:ascii="Century Gothic" w:eastAsia="Calibri" w:hAnsi="Century Gothic" w:cstheme="majorHAnsi"/>
          <w:sz w:val="20"/>
          <w:szCs w:val="20"/>
        </w:rPr>
        <w:t>ANTES DA ADJUDICAÇÃO DO OBJETO DA REFERIDA LICITAÇÃO;</w:t>
      </w:r>
    </w:p>
    <w:p w14:paraId="684231DB" w14:textId="77777777" w:rsidR="00F730F9" w:rsidRPr="00D06CC0" w:rsidRDefault="00F730F9" w:rsidP="0099467B">
      <w:pPr>
        <w:pBdr>
          <w:top w:val="nil"/>
          <w:left w:val="nil"/>
          <w:bottom w:val="nil"/>
          <w:right w:val="nil"/>
          <w:between w:val="nil"/>
        </w:pBdr>
        <w:ind w:left="709"/>
        <w:jc w:val="both"/>
        <w:rPr>
          <w:rFonts w:ascii="Century Gothic" w:eastAsia="Calibri" w:hAnsi="Century Gothic" w:cstheme="majorHAnsi"/>
          <w:sz w:val="20"/>
          <w:szCs w:val="20"/>
        </w:rPr>
      </w:pPr>
    </w:p>
    <w:p w14:paraId="4E7F9026" w14:textId="77777777" w:rsidR="00F730F9" w:rsidRPr="00D06CC0" w:rsidRDefault="00F730F9" w:rsidP="0099467B">
      <w:pPr>
        <w:jc w:val="both"/>
        <w:rPr>
          <w:rFonts w:ascii="Century Gothic" w:eastAsia="Calibri" w:hAnsi="Century Gothic" w:cstheme="majorHAnsi"/>
          <w:b/>
          <w:sz w:val="20"/>
          <w:szCs w:val="20"/>
        </w:rPr>
      </w:pPr>
      <w:r w:rsidRPr="00D06CC0">
        <w:rPr>
          <w:rFonts w:ascii="Century Gothic" w:eastAsia="Calibri" w:hAnsi="Century Gothic" w:cstheme="majorHAnsi"/>
          <w:b/>
          <w:sz w:val="20"/>
          <w:szCs w:val="20"/>
        </w:rPr>
        <w:t>E)</w:t>
      </w:r>
      <w:r w:rsidRPr="00D06CC0">
        <w:rPr>
          <w:rFonts w:ascii="Century Gothic" w:eastAsia="Calibri" w:hAnsi="Century Gothic" w:cstheme="majorHAnsi"/>
          <w:sz w:val="20"/>
          <w:szCs w:val="20"/>
        </w:rPr>
        <w:t xml:space="preserve"> QUE O CONTEÚDO DA PROPOSTA APRESENTADA PARA PARTICIPAR DO </w:t>
      </w:r>
      <w:r w:rsidRPr="00D06CC0">
        <w:rPr>
          <w:rFonts w:ascii="Century Gothic" w:eastAsia="Calibri" w:hAnsi="Century Gothic" w:cstheme="majorHAnsi"/>
          <w:b/>
          <w:sz w:val="20"/>
          <w:szCs w:val="20"/>
        </w:rPr>
        <w:t>PREGÃO ELETRÔNICA Nº ***</w:t>
      </w:r>
      <w:r w:rsidRPr="00D06CC0">
        <w:rPr>
          <w:rFonts w:ascii="Century Gothic" w:eastAsia="Calibri" w:hAnsi="Century Gothic" w:cstheme="majorHAnsi"/>
          <w:sz w:val="20"/>
          <w:szCs w:val="20"/>
        </w:rPr>
        <w:t xml:space="preserve"> NÃO FOI, NO TODO OU EM PARTE, DIRETA OU INDIRETAMENTE, INFORMADO, DISCUTIDO OU RECEBIDO DE QUALQUER INTEGRANTE DO *** ÓRGÃO LICITANTE, ANTES DA ABERTURA OFICIAL DAS PROPOSTAS; E </w:t>
      </w:r>
    </w:p>
    <w:p w14:paraId="0EC9E9BC" w14:textId="77777777" w:rsidR="00F730F9" w:rsidRPr="00D06CC0" w:rsidRDefault="00F730F9" w:rsidP="0099467B">
      <w:pPr>
        <w:pBdr>
          <w:top w:val="nil"/>
          <w:left w:val="nil"/>
          <w:bottom w:val="nil"/>
          <w:right w:val="nil"/>
          <w:between w:val="nil"/>
        </w:pBdr>
        <w:ind w:left="709"/>
        <w:jc w:val="both"/>
        <w:rPr>
          <w:rFonts w:ascii="Century Gothic" w:eastAsia="Calibri" w:hAnsi="Century Gothic" w:cstheme="majorHAnsi"/>
          <w:sz w:val="20"/>
          <w:szCs w:val="20"/>
        </w:rPr>
      </w:pPr>
    </w:p>
    <w:p w14:paraId="7318824C" w14:textId="77777777" w:rsidR="00F730F9" w:rsidRPr="00D06CC0" w:rsidRDefault="00F730F9" w:rsidP="0099467B">
      <w:pPr>
        <w:pBdr>
          <w:top w:val="nil"/>
          <w:left w:val="nil"/>
          <w:bottom w:val="nil"/>
          <w:right w:val="nil"/>
          <w:between w:val="nil"/>
        </w:pBdr>
        <w:jc w:val="both"/>
        <w:rPr>
          <w:rFonts w:ascii="Century Gothic" w:eastAsia="Calibri" w:hAnsi="Century Gothic" w:cstheme="majorHAnsi"/>
          <w:sz w:val="20"/>
          <w:szCs w:val="20"/>
        </w:rPr>
      </w:pPr>
      <w:r w:rsidRPr="00D06CC0">
        <w:rPr>
          <w:rFonts w:ascii="Century Gothic" w:eastAsia="Calibri" w:hAnsi="Century Gothic" w:cstheme="majorHAnsi"/>
          <w:b/>
          <w:sz w:val="20"/>
          <w:szCs w:val="20"/>
        </w:rPr>
        <w:t>F)</w:t>
      </w:r>
      <w:r w:rsidRPr="00D06CC0">
        <w:rPr>
          <w:rFonts w:ascii="Century Gothic" w:eastAsia="Calibri" w:hAnsi="Century Gothic" w:cstheme="majorHAnsi"/>
          <w:sz w:val="20"/>
          <w:szCs w:val="20"/>
        </w:rPr>
        <w:t xml:space="preserve"> QUE ESTÁ PLENAMENTE CIENTE DO TEOR E DA EXTENSÃO DESTA DECLARAÇÃO E QUE DETÉM PLENOS PODERES E INFORMAÇÕES PARA FIRMÁ-LA.</w:t>
      </w:r>
    </w:p>
    <w:p w14:paraId="0E4B95DF" w14:textId="77777777" w:rsidR="00F730F9" w:rsidRPr="00D06CC0" w:rsidRDefault="00F730F9" w:rsidP="0099467B">
      <w:pPr>
        <w:pBdr>
          <w:top w:val="nil"/>
          <w:left w:val="nil"/>
          <w:bottom w:val="nil"/>
          <w:right w:val="nil"/>
          <w:between w:val="nil"/>
        </w:pBdr>
        <w:jc w:val="both"/>
        <w:rPr>
          <w:rFonts w:ascii="Century Gothic" w:eastAsia="Calibri" w:hAnsi="Century Gothic" w:cstheme="majorHAnsi"/>
          <w:sz w:val="20"/>
          <w:szCs w:val="20"/>
        </w:rPr>
      </w:pPr>
    </w:p>
    <w:p w14:paraId="04C15406" w14:textId="77777777" w:rsidR="00F730F9" w:rsidRPr="00D06CC0" w:rsidRDefault="00F730F9" w:rsidP="0099467B">
      <w:pPr>
        <w:jc w:val="right"/>
        <w:rPr>
          <w:rFonts w:ascii="Century Gothic" w:eastAsia="Calibri" w:hAnsi="Century Gothic" w:cstheme="majorHAnsi"/>
          <w:sz w:val="20"/>
          <w:szCs w:val="20"/>
        </w:rPr>
      </w:pPr>
      <w:r w:rsidRPr="00D06CC0">
        <w:rPr>
          <w:rFonts w:ascii="Century Gothic" w:eastAsia="Calibri" w:hAnsi="Century Gothic" w:cstheme="majorHAnsi"/>
          <w:sz w:val="20"/>
          <w:szCs w:val="20"/>
        </w:rPr>
        <w:t>.................., ..... DE ..........   DE 20***.</w:t>
      </w:r>
    </w:p>
    <w:p w14:paraId="07C10CA7" w14:textId="77777777" w:rsidR="00F730F9" w:rsidRPr="00D06CC0" w:rsidRDefault="00F730F9" w:rsidP="0099467B">
      <w:pPr>
        <w:jc w:val="center"/>
        <w:rPr>
          <w:rFonts w:ascii="Century Gothic" w:eastAsia="Calibri" w:hAnsi="Century Gothic" w:cstheme="majorHAnsi"/>
          <w:sz w:val="20"/>
          <w:szCs w:val="20"/>
        </w:rPr>
      </w:pPr>
      <w:r w:rsidRPr="00D06CC0">
        <w:rPr>
          <w:rFonts w:ascii="Century Gothic" w:eastAsia="Calibri" w:hAnsi="Century Gothic" w:cstheme="majorHAnsi"/>
          <w:sz w:val="20"/>
          <w:szCs w:val="20"/>
        </w:rPr>
        <w:t>REPRESENTANTE LEGAL</w:t>
      </w:r>
    </w:p>
    <w:p w14:paraId="140F0510" w14:textId="4F5D8B8F" w:rsidR="00FB7D71" w:rsidRPr="00D06CC0" w:rsidRDefault="00F730F9" w:rsidP="0099467B">
      <w:pPr>
        <w:jc w:val="both"/>
        <w:rPr>
          <w:rFonts w:ascii="Century Gothic" w:eastAsia="Calibri" w:hAnsi="Century Gothic" w:cstheme="majorHAnsi"/>
          <w:sz w:val="20"/>
          <w:szCs w:val="20"/>
        </w:rPr>
      </w:pPr>
      <w:r w:rsidRPr="00D06CC0">
        <w:rPr>
          <w:rFonts w:ascii="Century Gothic" w:eastAsia="Calibri" w:hAnsi="Century Gothic" w:cstheme="majorHAnsi"/>
          <w:sz w:val="20"/>
          <w:szCs w:val="20"/>
        </w:rPr>
        <w:tab/>
      </w:r>
      <w:r w:rsidRPr="00D06CC0">
        <w:rPr>
          <w:rFonts w:ascii="Century Gothic" w:eastAsia="Calibri" w:hAnsi="Century Gothic" w:cstheme="majorHAnsi"/>
          <w:sz w:val="20"/>
          <w:szCs w:val="20"/>
        </w:rPr>
        <w:tab/>
      </w:r>
      <w:r w:rsidRPr="00D06CC0">
        <w:rPr>
          <w:rFonts w:ascii="Century Gothic" w:eastAsia="Calibri" w:hAnsi="Century Gothic" w:cstheme="majorHAnsi"/>
          <w:sz w:val="20"/>
          <w:szCs w:val="20"/>
        </w:rPr>
        <w:tab/>
      </w:r>
      <w:r w:rsidRPr="00D06CC0">
        <w:rPr>
          <w:rFonts w:ascii="Century Gothic" w:eastAsia="Calibri" w:hAnsi="Century Gothic" w:cstheme="majorHAnsi"/>
          <w:sz w:val="20"/>
          <w:szCs w:val="20"/>
        </w:rPr>
        <w:tab/>
      </w:r>
    </w:p>
    <w:p w14:paraId="08701836" w14:textId="276A0DFD" w:rsidR="00F730F9" w:rsidRPr="00D06CC0" w:rsidRDefault="00FB7D71" w:rsidP="00FB7D71">
      <w:pPr>
        <w:rPr>
          <w:rFonts w:ascii="Century Gothic" w:eastAsia="Calibri" w:hAnsi="Century Gothic" w:cstheme="majorHAnsi"/>
          <w:sz w:val="20"/>
          <w:szCs w:val="20"/>
        </w:rPr>
      </w:pPr>
      <w:r w:rsidRPr="00D06CC0">
        <w:rPr>
          <w:rFonts w:ascii="Century Gothic" w:eastAsia="Calibri" w:hAnsi="Century Gothic" w:cstheme="majorHAnsi"/>
          <w:sz w:val="20"/>
          <w:szCs w:val="20"/>
        </w:rPr>
        <w:br w:type="page"/>
      </w:r>
    </w:p>
    <w:p w14:paraId="1F41F89A" w14:textId="77777777" w:rsidR="00F730F9" w:rsidRPr="00D06CC0" w:rsidRDefault="00F730F9" w:rsidP="00262785">
      <w:pPr>
        <w:pStyle w:val="Nivel010"/>
        <w:rPr>
          <w:rFonts w:ascii="Century Gothic" w:eastAsia="Calibri" w:hAnsi="Century Gothic" w:cstheme="majorHAnsi"/>
        </w:rPr>
      </w:pPr>
      <w:r w:rsidRPr="00D06CC0">
        <w:rPr>
          <w:rFonts w:ascii="Century Gothic" w:eastAsia="Calibri" w:hAnsi="Century Gothic" w:cstheme="majorHAnsi"/>
        </w:rPr>
        <w:lastRenderedPageBreak/>
        <w:t>ANEXO VI – DECLARAÇÃO DO PORTE DA EMPRESA (MICROEMPRESA OU EMPRESA DE PEQUENO PORTE)</w:t>
      </w:r>
    </w:p>
    <w:p w14:paraId="104D2418" w14:textId="77777777" w:rsidR="00F730F9" w:rsidRPr="00D06CC0" w:rsidRDefault="00F730F9" w:rsidP="0099467B">
      <w:pPr>
        <w:jc w:val="both"/>
        <w:rPr>
          <w:rFonts w:ascii="Century Gothic" w:eastAsia="Calibri" w:hAnsi="Century Gothic" w:cstheme="majorHAnsi"/>
          <w:b/>
          <w:sz w:val="20"/>
          <w:szCs w:val="20"/>
        </w:rPr>
      </w:pPr>
      <w:r w:rsidRPr="00D06CC0">
        <w:rPr>
          <w:rFonts w:ascii="Century Gothic" w:eastAsia="Calibri" w:hAnsi="Century Gothic" w:cstheme="majorHAnsi"/>
          <w:b/>
          <w:sz w:val="20"/>
          <w:szCs w:val="20"/>
        </w:rPr>
        <w:t>PREGÃO ELETRÔNICA Nº ***</w:t>
      </w:r>
    </w:p>
    <w:p w14:paraId="7A6E75C5" w14:textId="77777777" w:rsidR="00F730F9" w:rsidRPr="00D06CC0" w:rsidRDefault="00F730F9" w:rsidP="0099467B">
      <w:pPr>
        <w:jc w:val="both"/>
        <w:rPr>
          <w:rFonts w:ascii="Century Gothic" w:eastAsia="Calibri" w:hAnsi="Century Gothic" w:cstheme="majorHAnsi"/>
          <w:b/>
          <w:sz w:val="20"/>
          <w:szCs w:val="20"/>
        </w:rPr>
      </w:pPr>
      <w:r w:rsidRPr="00D06CC0">
        <w:rPr>
          <w:rFonts w:ascii="Century Gothic" w:eastAsia="Calibri" w:hAnsi="Century Gothic" w:cstheme="majorHAnsi"/>
          <w:b/>
          <w:sz w:val="20"/>
          <w:szCs w:val="20"/>
        </w:rPr>
        <w:t>PROCESSO ADMINISTRATIVO Nº ***</w:t>
      </w:r>
    </w:p>
    <w:p w14:paraId="7AA90A96" w14:textId="77777777" w:rsidR="00F730F9" w:rsidRPr="00D06CC0" w:rsidRDefault="00F730F9" w:rsidP="0099467B">
      <w:pPr>
        <w:widowControl w:val="0"/>
        <w:jc w:val="both"/>
        <w:rPr>
          <w:rFonts w:ascii="Century Gothic" w:eastAsia="Calibri" w:hAnsi="Century Gothic" w:cstheme="majorHAnsi"/>
          <w:b/>
          <w:sz w:val="20"/>
          <w:szCs w:val="20"/>
        </w:rPr>
      </w:pPr>
    </w:p>
    <w:p w14:paraId="42081ECB" w14:textId="77777777" w:rsidR="00F730F9" w:rsidRPr="00D06CC0" w:rsidRDefault="00F730F9" w:rsidP="0099467B">
      <w:pPr>
        <w:widowControl w:val="0"/>
        <w:jc w:val="both"/>
        <w:rPr>
          <w:rFonts w:ascii="Century Gothic" w:eastAsia="Calibri" w:hAnsi="Century Gothic" w:cstheme="majorHAnsi"/>
          <w:sz w:val="20"/>
          <w:szCs w:val="20"/>
        </w:rPr>
      </w:pPr>
      <w:r w:rsidRPr="00D06CC0">
        <w:rPr>
          <w:rFonts w:ascii="Century Gothic" w:eastAsia="Calibri" w:hAnsi="Century Gothic" w:cstheme="majorHAnsi"/>
          <w:b/>
          <w:sz w:val="20"/>
          <w:szCs w:val="20"/>
        </w:rPr>
        <w:t>[NOME DA EMPRESA</w:t>
      </w:r>
      <w:r w:rsidRPr="00D06CC0">
        <w:rPr>
          <w:rFonts w:ascii="Century Gothic" w:eastAsia="Calibri" w:hAnsi="Century Gothic" w:cstheme="majorHAnsi"/>
          <w:sz w:val="20"/>
          <w:szCs w:val="20"/>
        </w:rPr>
        <w:t xml:space="preserve">], [QUALIFICAÇÃO: TIPO DE SOCIEDADE (LTDA, S.A, ETC.), ENDEREÇO COMPLETO, INSCRITA NO CNPJ SOB O Nº [XXXX], NESTE ATO REPRESENTADA PELO [CARGO] [NOME DO REPRESENTANTE LEGAL], PORTADOR DA CARTEIRA DE IDENTIDADE Nº [XXXX], INSCRITO NO CPF SOB O Nº [XXXX], </w:t>
      </w:r>
      <w:r w:rsidRPr="00D06CC0">
        <w:rPr>
          <w:rFonts w:ascii="Century Gothic" w:eastAsia="Calibri" w:hAnsi="Century Gothic" w:cstheme="majorHAnsi"/>
          <w:b/>
          <w:sz w:val="20"/>
          <w:szCs w:val="20"/>
        </w:rPr>
        <w:t>DECLARA</w:t>
      </w:r>
      <w:r w:rsidRPr="00D06CC0">
        <w:rPr>
          <w:rFonts w:ascii="Century Gothic" w:eastAsia="Calibri" w:hAnsi="Century Gothic" w:cstheme="majorHAnsi"/>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C9226CA" w14:textId="77777777" w:rsidR="00F730F9" w:rsidRPr="00D06CC0" w:rsidRDefault="00F730F9" w:rsidP="0099467B">
      <w:pPr>
        <w:widowControl w:val="0"/>
        <w:jc w:val="both"/>
        <w:rPr>
          <w:rFonts w:ascii="Century Gothic" w:eastAsia="Calibri" w:hAnsi="Century Gothic" w:cstheme="majorHAnsi"/>
          <w:sz w:val="20"/>
          <w:szCs w:val="20"/>
        </w:rPr>
      </w:pPr>
      <w:r w:rsidRPr="00D06CC0">
        <w:rPr>
          <w:rFonts w:ascii="Century Gothic" w:eastAsia="Calibri" w:hAnsi="Century Gothic" w:cstheme="majorHAnsi"/>
          <w:sz w:val="20"/>
          <w:szCs w:val="20"/>
        </w:rPr>
        <w:t>DECLARO, PARA FINS DA LC 123/2006 E SUAS ALTERAÇÕES, SOB AS PENALIDADES DESTA, SER:</w:t>
      </w:r>
    </w:p>
    <w:p w14:paraId="1DE6F371" w14:textId="77777777" w:rsidR="00F730F9" w:rsidRPr="00D06CC0" w:rsidRDefault="00F730F9" w:rsidP="0099467B">
      <w:pPr>
        <w:jc w:val="both"/>
        <w:rPr>
          <w:rFonts w:ascii="Century Gothic" w:eastAsia="Calibri" w:hAnsi="Century Gothic" w:cstheme="majorHAnsi"/>
          <w:sz w:val="20"/>
          <w:szCs w:val="20"/>
        </w:rPr>
      </w:pPr>
      <w:r w:rsidRPr="00D06CC0">
        <w:rPr>
          <w:rFonts w:ascii="Century Gothic" w:eastAsia="Calibri" w:hAnsi="Century Gothic" w:cstheme="majorHAnsi"/>
          <w:b/>
          <w:sz w:val="20"/>
          <w:szCs w:val="20"/>
        </w:rPr>
        <w:t>(  ) MICROEMPRESA</w:t>
      </w:r>
      <w:r w:rsidRPr="00D06CC0">
        <w:rPr>
          <w:rFonts w:ascii="Century Gothic" w:eastAsia="Calibri" w:hAnsi="Century Gothic" w:cstheme="majorHAnsi"/>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0160AA5" w14:textId="77777777" w:rsidR="00F730F9" w:rsidRPr="00D06CC0" w:rsidRDefault="00F730F9" w:rsidP="0099467B">
      <w:pPr>
        <w:jc w:val="both"/>
        <w:rPr>
          <w:rFonts w:ascii="Century Gothic" w:eastAsia="Calibri" w:hAnsi="Century Gothic" w:cstheme="majorHAnsi"/>
          <w:sz w:val="20"/>
          <w:szCs w:val="20"/>
        </w:rPr>
      </w:pPr>
      <w:r w:rsidRPr="00D06CC0">
        <w:rPr>
          <w:rFonts w:ascii="Century Gothic" w:eastAsia="Calibri" w:hAnsi="Century Gothic" w:cstheme="majorHAnsi"/>
          <w:b/>
          <w:sz w:val="20"/>
          <w:szCs w:val="20"/>
        </w:rPr>
        <w:t xml:space="preserve">(  ) EMPRESA DE PEQUENO PORTE </w:t>
      </w:r>
      <w:r w:rsidRPr="00D06CC0">
        <w:rPr>
          <w:rFonts w:ascii="Century Gothic" w:eastAsia="Calibri" w:hAnsi="Century Gothic" w:cstheme="majorHAnsi"/>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8A3388E" w14:textId="77777777" w:rsidR="00F730F9" w:rsidRPr="00D06CC0" w:rsidRDefault="00F730F9" w:rsidP="0099467B">
      <w:pPr>
        <w:jc w:val="both"/>
        <w:rPr>
          <w:rFonts w:ascii="Century Gothic" w:eastAsia="Calibri" w:hAnsi="Century Gothic" w:cstheme="majorHAnsi"/>
          <w:b/>
          <w:sz w:val="20"/>
          <w:szCs w:val="20"/>
        </w:rPr>
      </w:pPr>
    </w:p>
    <w:p w14:paraId="18BD668C" w14:textId="77777777" w:rsidR="00F730F9" w:rsidRPr="00D06CC0" w:rsidRDefault="00F730F9" w:rsidP="0099467B">
      <w:pPr>
        <w:jc w:val="both"/>
        <w:rPr>
          <w:rFonts w:ascii="Century Gothic" w:eastAsia="Calibri" w:hAnsi="Century Gothic" w:cstheme="majorHAnsi"/>
          <w:b/>
          <w:sz w:val="20"/>
          <w:szCs w:val="20"/>
        </w:rPr>
      </w:pPr>
      <w:r w:rsidRPr="00D06CC0">
        <w:rPr>
          <w:rFonts w:ascii="Century Gothic" w:eastAsia="Calibri" w:hAnsi="Century Gothic" w:cstheme="majorHAnsi"/>
          <w:b/>
          <w:sz w:val="20"/>
          <w:szCs w:val="20"/>
        </w:rPr>
        <w:t>OBSERVAÇÕES:</w:t>
      </w:r>
    </w:p>
    <w:p w14:paraId="3513BCDC" w14:textId="77777777" w:rsidR="00F730F9" w:rsidRPr="00D06CC0" w:rsidRDefault="00F730F9" w:rsidP="00655B0D">
      <w:pPr>
        <w:numPr>
          <w:ilvl w:val="0"/>
          <w:numId w:val="16"/>
        </w:numPr>
        <w:pBdr>
          <w:top w:val="nil"/>
          <w:left w:val="nil"/>
          <w:bottom w:val="nil"/>
          <w:right w:val="nil"/>
          <w:between w:val="nil"/>
        </w:pBdr>
        <w:tabs>
          <w:tab w:val="left" w:pos="284"/>
        </w:tabs>
        <w:ind w:left="0" w:firstLine="0"/>
        <w:jc w:val="both"/>
        <w:rPr>
          <w:rFonts w:ascii="Century Gothic" w:hAnsi="Century Gothic" w:cstheme="majorHAnsi"/>
          <w:color w:val="000000"/>
          <w:sz w:val="20"/>
          <w:szCs w:val="20"/>
        </w:rPr>
      </w:pPr>
      <w:r w:rsidRPr="00D06CC0">
        <w:rPr>
          <w:rFonts w:ascii="Century Gothic" w:eastAsia="Calibri" w:hAnsi="Century Gothic" w:cstheme="majorHAnsi"/>
          <w:color w:val="000000"/>
          <w:sz w:val="20"/>
          <w:szCs w:val="20"/>
        </w:rPr>
        <w:t>ESTA DECLARAÇÃO PODERÁ SER PREENCHIDA SOMENTE PELA LICITANTE ENQUADRADA COMO ME OU EPP, NOS TERMOS DA LC 123, DE 14 DE DEZEMBRO DE 2006;</w:t>
      </w:r>
    </w:p>
    <w:p w14:paraId="51412002" w14:textId="77777777" w:rsidR="00F730F9" w:rsidRPr="00D06CC0" w:rsidRDefault="00F730F9" w:rsidP="00655B0D">
      <w:pPr>
        <w:numPr>
          <w:ilvl w:val="0"/>
          <w:numId w:val="16"/>
        </w:numPr>
        <w:pBdr>
          <w:top w:val="nil"/>
          <w:left w:val="nil"/>
          <w:bottom w:val="nil"/>
          <w:right w:val="nil"/>
          <w:between w:val="nil"/>
        </w:pBdr>
        <w:tabs>
          <w:tab w:val="left" w:pos="284"/>
        </w:tabs>
        <w:ind w:left="0" w:firstLine="0"/>
        <w:jc w:val="both"/>
        <w:rPr>
          <w:rFonts w:ascii="Century Gothic" w:hAnsi="Century Gothic" w:cstheme="majorHAnsi"/>
          <w:color w:val="000000"/>
          <w:sz w:val="20"/>
          <w:szCs w:val="20"/>
        </w:rPr>
      </w:pPr>
      <w:r w:rsidRPr="00D06CC0">
        <w:rPr>
          <w:rFonts w:ascii="Century Gothic" w:eastAsia="Calibri" w:hAnsi="Century Gothic" w:cstheme="majorHAnsi"/>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4A75CFA2" w14:textId="77777777" w:rsidR="00F730F9" w:rsidRPr="00D06CC0" w:rsidRDefault="00F730F9" w:rsidP="0099467B">
      <w:pPr>
        <w:pBdr>
          <w:top w:val="nil"/>
          <w:left w:val="nil"/>
          <w:bottom w:val="nil"/>
          <w:right w:val="nil"/>
          <w:between w:val="nil"/>
        </w:pBdr>
        <w:tabs>
          <w:tab w:val="left" w:pos="284"/>
        </w:tabs>
        <w:jc w:val="both"/>
        <w:rPr>
          <w:rFonts w:ascii="Century Gothic" w:eastAsia="Calibri" w:hAnsi="Century Gothic" w:cstheme="majorHAnsi"/>
          <w:color w:val="000000"/>
          <w:sz w:val="20"/>
          <w:szCs w:val="20"/>
        </w:rPr>
      </w:pPr>
    </w:p>
    <w:p w14:paraId="24AB4AB4" w14:textId="77777777" w:rsidR="00F730F9" w:rsidRPr="00D06CC0" w:rsidRDefault="00F730F9" w:rsidP="0099467B">
      <w:pPr>
        <w:widowControl w:val="0"/>
        <w:jc w:val="right"/>
        <w:rPr>
          <w:rFonts w:ascii="Century Gothic" w:eastAsia="Calibri" w:hAnsi="Century Gothic" w:cstheme="majorHAnsi"/>
          <w:sz w:val="20"/>
          <w:szCs w:val="20"/>
        </w:rPr>
      </w:pPr>
      <w:r w:rsidRPr="00D06CC0">
        <w:rPr>
          <w:rFonts w:ascii="Century Gothic" w:eastAsia="Calibri" w:hAnsi="Century Gothic" w:cstheme="majorHAnsi"/>
          <w:sz w:val="20"/>
          <w:szCs w:val="20"/>
        </w:rPr>
        <w:t>LOCAL E DATA</w:t>
      </w:r>
    </w:p>
    <w:p w14:paraId="5A5D8E7E" w14:textId="77777777" w:rsidR="00F730F9" w:rsidRPr="00D06CC0" w:rsidRDefault="00F730F9" w:rsidP="0099467B">
      <w:pPr>
        <w:widowControl w:val="0"/>
        <w:jc w:val="both"/>
        <w:rPr>
          <w:rFonts w:ascii="Century Gothic" w:eastAsia="Calibri" w:hAnsi="Century Gothic" w:cstheme="majorHAnsi"/>
          <w:sz w:val="20"/>
          <w:szCs w:val="20"/>
        </w:rPr>
      </w:pPr>
    </w:p>
    <w:p w14:paraId="52304CF7" w14:textId="77777777" w:rsidR="00F730F9" w:rsidRPr="00D06CC0" w:rsidRDefault="00F730F9" w:rsidP="0099467B">
      <w:pPr>
        <w:widowControl w:val="0"/>
        <w:jc w:val="center"/>
        <w:rPr>
          <w:rFonts w:ascii="Century Gothic" w:eastAsia="Calibri" w:hAnsi="Century Gothic" w:cstheme="majorHAnsi"/>
          <w:sz w:val="20"/>
          <w:szCs w:val="20"/>
        </w:rPr>
      </w:pPr>
      <w:r w:rsidRPr="00D06CC0">
        <w:rPr>
          <w:rFonts w:ascii="Century Gothic" w:eastAsia="Calibri" w:hAnsi="Century Gothic" w:cstheme="majorHAnsi"/>
          <w:sz w:val="20"/>
          <w:szCs w:val="20"/>
        </w:rPr>
        <w:t>NOME E ASSINATURA DO REPRESENTANTE LEGAL</w:t>
      </w:r>
    </w:p>
    <w:p w14:paraId="22058DBA" w14:textId="77777777" w:rsidR="00F730F9" w:rsidRPr="00D06CC0" w:rsidRDefault="00F730F9" w:rsidP="0099467B">
      <w:pPr>
        <w:widowControl w:val="0"/>
        <w:jc w:val="center"/>
        <w:rPr>
          <w:rFonts w:ascii="Century Gothic" w:eastAsia="Calibri" w:hAnsi="Century Gothic" w:cstheme="majorHAnsi"/>
          <w:sz w:val="20"/>
          <w:szCs w:val="20"/>
        </w:rPr>
      </w:pPr>
    </w:p>
    <w:p w14:paraId="4A1AE4EC" w14:textId="77777777" w:rsidR="00F730F9" w:rsidRPr="00D06CC0" w:rsidRDefault="00F730F9" w:rsidP="0099467B">
      <w:pPr>
        <w:widowControl w:val="0"/>
        <w:jc w:val="center"/>
        <w:rPr>
          <w:rFonts w:ascii="Century Gothic" w:eastAsia="Calibri" w:hAnsi="Century Gothic" w:cstheme="majorHAnsi"/>
          <w:sz w:val="20"/>
          <w:szCs w:val="20"/>
        </w:rPr>
      </w:pPr>
      <w:r w:rsidRPr="00D06CC0">
        <w:rPr>
          <w:rFonts w:ascii="Century Gothic" w:eastAsia="Calibri" w:hAnsi="Century Gothic" w:cstheme="majorHAnsi"/>
          <w:sz w:val="20"/>
          <w:szCs w:val="20"/>
        </w:rPr>
        <w:t>NOME E ASSINATURA DO CONTADOR</w:t>
      </w:r>
    </w:p>
    <w:p w14:paraId="04CD0F19" w14:textId="77777777" w:rsidR="00F730F9" w:rsidRPr="00D06CC0" w:rsidRDefault="00F730F9" w:rsidP="0099467B">
      <w:pPr>
        <w:widowControl w:val="0"/>
        <w:jc w:val="center"/>
        <w:rPr>
          <w:rFonts w:ascii="Century Gothic" w:eastAsia="Calibri" w:hAnsi="Century Gothic" w:cstheme="majorHAnsi"/>
          <w:sz w:val="20"/>
          <w:szCs w:val="20"/>
        </w:rPr>
      </w:pPr>
      <w:r w:rsidRPr="00D06CC0">
        <w:rPr>
          <w:rFonts w:ascii="Century Gothic" w:eastAsia="Calibri" w:hAnsi="Century Gothic" w:cstheme="majorHAnsi"/>
          <w:sz w:val="20"/>
          <w:szCs w:val="20"/>
        </w:rPr>
        <w:t>(NO CASO DE ME E EPP)</w:t>
      </w:r>
    </w:p>
    <w:p w14:paraId="49C8F1FF" w14:textId="77777777" w:rsidR="00F730F9" w:rsidRPr="00D06CC0" w:rsidRDefault="00F730F9" w:rsidP="0099467B">
      <w:pPr>
        <w:widowControl w:val="0"/>
        <w:jc w:val="center"/>
        <w:rPr>
          <w:rFonts w:ascii="Century Gothic" w:eastAsia="Calibri" w:hAnsi="Century Gothic" w:cstheme="majorHAnsi"/>
          <w:sz w:val="20"/>
          <w:szCs w:val="20"/>
        </w:rPr>
      </w:pPr>
      <w:r w:rsidRPr="00D06CC0">
        <w:rPr>
          <w:rFonts w:ascii="Century Gothic" w:eastAsia="Calibri" w:hAnsi="Century Gothic" w:cstheme="majorHAnsi"/>
          <w:sz w:val="20"/>
          <w:szCs w:val="20"/>
        </w:rPr>
        <w:t>CPF: XXX.XXX.XXX-XX</w:t>
      </w:r>
    </w:p>
    <w:p w14:paraId="3CF89B27" w14:textId="77777777" w:rsidR="00F730F9" w:rsidRPr="00D06CC0" w:rsidRDefault="00F730F9" w:rsidP="0099467B">
      <w:pPr>
        <w:widowControl w:val="0"/>
        <w:jc w:val="center"/>
        <w:rPr>
          <w:rFonts w:ascii="Century Gothic" w:eastAsia="Calibri" w:hAnsi="Century Gothic" w:cstheme="majorHAnsi"/>
          <w:sz w:val="20"/>
          <w:szCs w:val="20"/>
        </w:rPr>
      </w:pPr>
      <w:r w:rsidRPr="00D06CC0">
        <w:rPr>
          <w:rFonts w:ascii="Century Gothic" w:eastAsia="Calibri" w:hAnsi="Century Gothic" w:cstheme="majorHAnsi"/>
          <w:sz w:val="20"/>
          <w:szCs w:val="20"/>
        </w:rPr>
        <w:t>CRC: ______________</w:t>
      </w:r>
    </w:p>
    <w:p w14:paraId="28650701" w14:textId="7A1696AD" w:rsidR="00FB7D71" w:rsidRPr="00D06CC0" w:rsidRDefault="00FB7D71" w:rsidP="00FB7D71">
      <w:pPr>
        <w:widowControl w:val="0"/>
        <w:tabs>
          <w:tab w:val="left" w:pos="6180"/>
        </w:tabs>
        <w:rPr>
          <w:rFonts w:ascii="Century Gothic" w:eastAsia="Calibri" w:hAnsi="Century Gothic" w:cstheme="majorHAnsi"/>
          <w:sz w:val="20"/>
          <w:szCs w:val="20"/>
        </w:rPr>
      </w:pPr>
      <w:r w:rsidRPr="00D06CC0">
        <w:rPr>
          <w:rFonts w:ascii="Century Gothic" w:eastAsia="Calibri" w:hAnsi="Century Gothic" w:cstheme="majorHAnsi"/>
          <w:sz w:val="20"/>
          <w:szCs w:val="20"/>
        </w:rPr>
        <w:tab/>
      </w:r>
    </w:p>
    <w:p w14:paraId="4F9F59BE" w14:textId="77777777" w:rsidR="00FB7D71" w:rsidRPr="00D06CC0" w:rsidRDefault="00FB7D71">
      <w:pPr>
        <w:rPr>
          <w:rFonts w:ascii="Century Gothic" w:eastAsia="Calibri" w:hAnsi="Century Gothic" w:cstheme="majorHAnsi"/>
        </w:rPr>
      </w:pPr>
      <w:r w:rsidRPr="00D06CC0">
        <w:rPr>
          <w:rFonts w:ascii="Century Gothic" w:eastAsia="Calibri" w:hAnsi="Century Gothic" w:cstheme="majorHAnsi"/>
        </w:rPr>
        <w:br w:type="page"/>
      </w:r>
    </w:p>
    <w:p w14:paraId="46CA710D" w14:textId="77777777" w:rsidR="00F730F9" w:rsidRPr="00D06CC0" w:rsidRDefault="00F730F9" w:rsidP="00262785">
      <w:pPr>
        <w:pStyle w:val="Nivel010"/>
        <w:rPr>
          <w:rFonts w:ascii="Century Gothic" w:eastAsia="Calibri" w:hAnsi="Century Gothic" w:cstheme="majorHAnsi"/>
        </w:rPr>
      </w:pPr>
      <w:r w:rsidRPr="00D06CC0">
        <w:rPr>
          <w:rFonts w:ascii="Century Gothic" w:eastAsia="Calibri" w:hAnsi="Century Gothic" w:cstheme="majorHAnsi"/>
        </w:rPr>
        <w:lastRenderedPageBreak/>
        <w:t>ANEXO VII – DECLARAÇÃO DE IDONEIDADE</w:t>
      </w:r>
    </w:p>
    <w:p w14:paraId="7D6EE0DB" w14:textId="77777777" w:rsidR="00F730F9" w:rsidRPr="00D06CC0" w:rsidRDefault="00F730F9" w:rsidP="0099467B">
      <w:pPr>
        <w:keepNext/>
        <w:widowControl w:val="0"/>
        <w:pBdr>
          <w:top w:val="nil"/>
          <w:left w:val="nil"/>
          <w:bottom w:val="nil"/>
          <w:right w:val="nil"/>
          <w:between w:val="nil"/>
        </w:pBdr>
        <w:jc w:val="both"/>
        <w:rPr>
          <w:rFonts w:ascii="Century Gothic" w:eastAsia="Calibri" w:hAnsi="Century Gothic" w:cstheme="majorHAnsi"/>
          <w:b/>
          <w:color w:val="000000"/>
          <w:u w:val="single"/>
        </w:rPr>
      </w:pPr>
      <w:r w:rsidRPr="00D06CC0">
        <w:rPr>
          <w:rFonts w:ascii="Century Gothic" w:eastAsia="Calibri" w:hAnsi="Century Gothic" w:cstheme="majorHAnsi"/>
          <w:color w:val="000000"/>
        </w:rPr>
        <w:t>AO REDIGIR A PRESENTE DECLARAÇÃO, O PROPONENTE DEVERÁ UTILIZAR FORMULÁRIO COM TIMBRE DA PROPONENTE.</w:t>
      </w:r>
    </w:p>
    <w:p w14:paraId="21B53CDA" w14:textId="77777777" w:rsidR="00F730F9" w:rsidRPr="00D06CC0" w:rsidRDefault="00F730F9" w:rsidP="0099467B">
      <w:pPr>
        <w:jc w:val="both"/>
        <w:rPr>
          <w:rFonts w:ascii="Century Gothic" w:eastAsia="Calibri" w:hAnsi="Century Gothic" w:cstheme="majorHAnsi"/>
          <w:b/>
        </w:rPr>
      </w:pPr>
    </w:p>
    <w:p w14:paraId="40EC4472"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PREGÃO ELETRÔNICA Nº ***</w:t>
      </w:r>
    </w:p>
    <w:p w14:paraId="430AADAB"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PROCESSO ADMINISTRATIVO Nº ***</w:t>
      </w:r>
    </w:p>
    <w:p w14:paraId="0BB55450" w14:textId="77777777" w:rsidR="00F730F9" w:rsidRPr="00D06CC0" w:rsidRDefault="00F730F9" w:rsidP="0099467B">
      <w:pPr>
        <w:keepNext/>
        <w:widowControl w:val="0"/>
        <w:pBdr>
          <w:top w:val="nil"/>
          <w:left w:val="nil"/>
          <w:bottom w:val="nil"/>
          <w:right w:val="nil"/>
          <w:between w:val="nil"/>
        </w:pBdr>
        <w:jc w:val="both"/>
        <w:rPr>
          <w:rFonts w:ascii="Century Gothic" w:eastAsia="Calibri" w:hAnsi="Century Gothic" w:cstheme="majorHAnsi"/>
          <w:b/>
          <w:u w:val="single"/>
        </w:rPr>
      </w:pPr>
    </w:p>
    <w:p w14:paraId="467036B6" w14:textId="77777777" w:rsidR="00F730F9" w:rsidRPr="00D06CC0" w:rsidRDefault="00F730F9" w:rsidP="0099467B">
      <w:pPr>
        <w:jc w:val="both"/>
        <w:rPr>
          <w:rFonts w:ascii="Century Gothic" w:eastAsia="Calibri" w:hAnsi="Century Gothic" w:cstheme="majorHAnsi"/>
        </w:rPr>
      </w:pPr>
    </w:p>
    <w:p w14:paraId="59EFC00E"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rPr>
        <w:t>À</w:t>
      </w:r>
    </w:p>
    <w:p w14:paraId="5DA7AE0E"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b/>
        </w:rPr>
        <w:t>*** ÓRGÃO LICITANTE</w:t>
      </w:r>
    </w:p>
    <w:p w14:paraId="04CD282E" w14:textId="77777777" w:rsidR="00F730F9" w:rsidRPr="00D06CC0" w:rsidRDefault="00F730F9" w:rsidP="0099467B">
      <w:pPr>
        <w:pBdr>
          <w:top w:val="nil"/>
          <w:left w:val="nil"/>
          <w:bottom w:val="nil"/>
          <w:right w:val="nil"/>
          <w:between w:val="nil"/>
        </w:pBdr>
        <w:tabs>
          <w:tab w:val="center" w:pos="4252"/>
          <w:tab w:val="right" w:pos="8504"/>
        </w:tabs>
        <w:jc w:val="both"/>
        <w:rPr>
          <w:rFonts w:ascii="Century Gothic" w:eastAsia="Calibri" w:hAnsi="Century Gothic" w:cstheme="majorHAnsi"/>
        </w:rPr>
      </w:pPr>
      <w:r w:rsidRPr="00D06CC0">
        <w:rPr>
          <w:rFonts w:ascii="Century Gothic" w:eastAsia="Calibri" w:hAnsi="Century Gothic" w:cstheme="majorHAnsi"/>
        </w:rPr>
        <w:t xml:space="preserve">AO Pregoeiro / EQUIPE DE APOIO </w:t>
      </w:r>
    </w:p>
    <w:p w14:paraId="4D8B1F10" w14:textId="77777777" w:rsidR="00F730F9" w:rsidRPr="00D06CC0" w:rsidRDefault="00F730F9" w:rsidP="0099467B">
      <w:pPr>
        <w:pBdr>
          <w:top w:val="nil"/>
          <w:left w:val="nil"/>
          <w:bottom w:val="nil"/>
          <w:right w:val="nil"/>
          <w:between w:val="nil"/>
        </w:pBdr>
        <w:tabs>
          <w:tab w:val="center" w:pos="4252"/>
          <w:tab w:val="right" w:pos="8504"/>
        </w:tabs>
        <w:jc w:val="both"/>
        <w:rPr>
          <w:rFonts w:ascii="Century Gothic" w:eastAsia="Calibri" w:hAnsi="Century Gothic" w:cstheme="majorHAnsi"/>
          <w:color w:val="000000"/>
        </w:rPr>
      </w:pPr>
    </w:p>
    <w:p w14:paraId="6D33850C" w14:textId="77777777" w:rsidR="00F730F9" w:rsidRPr="00D06CC0" w:rsidRDefault="00F730F9" w:rsidP="0099467B">
      <w:pPr>
        <w:pBdr>
          <w:top w:val="nil"/>
          <w:left w:val="nil"/>
          <w:bottom w:val="nil"/>
          <w:right w:val="nil"/>
          <w:between w:val="nil"/>
        </w:pBdr>
        <w:tabs>
          <w:tab w:val="center" w:pos="4252"/>
          <w:tab w:val="right" w:pos="8504"/>
        </w:tabs>
        <w:jc w:val="both"/>
        <w:rPr>
          <w:rFonts w:ascii="Century Gothic" w:eastAsia="Calibri" w:hAnsi="Century Gothic" w:cstheme="majorHAnsi"/>
          <w:color w:val="000000"/>
        </w:rPr>
      </w:pPr>
    </w:p>
    <w:p w14:paraId="6C840E33"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2121A9A6" w14:textId="77777777" w:rsidR="00F730F9" w:rsidRPr="00D06CC0" w:rsidRDefault="00F730F9" w:rsidP="0099467B">
      <w:pPr>
        <w:jc w:val="both"/>
        <w:rPr>
          <w:rFonts w:ascii="Century Gothic" w:eastAsia="Calibri" w:hAnsi="Century Gothic" w:cstheme="majorHAnsi"/>
        </w:rPr>
      </w:pPr>
    </w:p>
    <w:p w14:paraId="2376072B" w14:textId="77777777" w:rsidR="00F730F9" w:rsidRPr="00D06CC0" w:rsidRDefault="00F730F9" w:rsidP="0099467B">
      <w:pPr>
        <w:jc w:val="both"/>
        <w:rPr>
          <w:rFonts w:ascii="Century Gothic" w:eastAsia="Calibri" w:hAnsi="Century Gothic" w:cstheme="majorHAnsi"/>
        </w:rPr>
      </w:pPr>
    </w:p>
    <w:p w14:paraId="01FDC980" w14:textId="77777777" w:rsidR="00F730F9" w:rsidRPr="00D06CC0" w:rsidRDefault="00F730F9" w:rsidP="0099467B">
      <w:pPr>
        <w:jc w:val="both"/>
        <w:rPr>
          <w:rFonts w:ascii="Century Gothic" w:eastAsia="Calibri" w:hAnsi="Century Gothic" w:cstheme="majorHAnsi"/>
        </w:rPr>
      </w:pPr>
    </w:p>
    <w:p w14:paraId="0027F4EB" w14:textId="77777777" w:rsidR="00F730F9" w:rsidRPr="00D06CC0" w:rsidRDefault="00F730F9" w:rsidP="0099467B">
      <w:pPr>
        <w:widowControl w:val="0"/>
        <w:pBdr>
          <w:top w:val="nil"/>
          <w:left w:val="nil"/>
          <w:bottom w:val="nil"/>
          <w:right w:val="nil"/>
          <w:between w:val="nil"/>
        </w:pBdr>
        <w:jc w:val="right"/>
        <w:rPr>
          <w:rFonts w:ascii="Century Gothic" w:eastAsia="Calibri" w:hAnsi="Century Gothic" w:cstheme="majorHAnsi"/>
          <w:color w:val="000000"/>
        </w:rPr>
      </w:pPr>
      <w:r w:rsidRPr="00D06CC0">
        <w:rPr>
          <w:rFonts w:ascii="Century Gothic" w:eastAsia="Calibri" w:hAnsi="Century Gothic" w:cstheme="majorHAnsi"/>
          <w:color w:val="000000"/>
        </w:rPr>
        <w:t>________________ EM, ___ DE _________ DE 20***.</w:t>
      </w:r>
    </w:p>
    <w:p w14:paraId="17EB7E71" w14:textId="77777777" w:rsidR="00F730F9" w:rsidRPr="00D06CC0" w:rsidRDefault="00F730F9" w:rsidP="0099467B">
      <w:pPr>
        <w:jc w:val="both"/>
        <w:rPr>
          <w:rFonts w:ascii="Century Gothic" w:eastAsia="Calibri" w:hAnsi="Century Gothic" w:cstheme="majorHAnsi"/>
        </w:rPr>
      </w:pPr>
    </w:p>
    <w:p w14:paraId="405E7FD3" w14:textId="77777777" w:rsidR="00F730F9" w:rsidRPr="00D06CC0" w:rsidRDefault="00F730F9" w:rsidP="0099467B">
      <w:pPr>
        <w:jc w:val="both"/>
        <w:rPr>
          <w:rFonts w:ascii="Century Gothic" w:eastAsia="Calibri" w:hAnsi="Century Gothic" w:cstheme="majorHAnsi"/>
        </w:rPr>
      </w:pPr>
    </w:p>
    <w:p w14:paraId="045A95E0" w14:textId="77777777" w:rsidR="00F730F9" w:rsidRPr="00D06CC0" w:rsidRDefault="00F730F9" w:rsidP="0099467B">
      <w:pPr>
        <w:jc w:val="both"/>
        <w:rPr>
          <w:rFonts w:ascii="Century Gothic" w:eastAsia="Calibri" w:hAnsi="Century Gothic" w:cstheme="majorHAnsi"/>
        </w:rPr>
      </w:pPr>
    </w:p>
    <w:p w14:paraId="22346C26" w14:textId="77777777" w:rsidR="00F730F9" w:rsidRPr="00D06CC0" w:rsidRDefault="00F730F9" w:rsidP="0099467B">
      <w:pPr>
        <w:jc w:val="both"/>
        <w:rPr>
          <w:rFonts w:ascii="Century Gothic" w:eastAsia="Calibri" w:hAnsi="Century Gothic" w:cstheme="majorHAnsi"/>
        </w:rPr>
      </w:pPr>
    </w:p>
    <w:p w14:paraId="5025A301" w14:textId="77777777" w:rsidR="00F730F9" w:rsidRPr="00D06CC0" w:rsidRDefault="00F730F9" w:rsidP="0099467B">
      <w:pPr>
        <w:jc w:val="both"/>
        <w:rPr>
          <w:rFonts w:ascii="Century Gothic" w:eastAsia="Calibri" w:hAnsi="Century Gothic" w:cstheme="majorHAnsi"/>
        </w:rPr>
      </w:pPr>
    </w:p>
    <w:p w14:paraId="4EEB35DA" w14:textId="77777777" w:rsidR="00F730F9" w:rsidRPr="00D06CC0" w:rsidRDefault="00F730F9" w:rsidP="0099467B">
      <w:pPr>
        <w:jc w:val="center"/>
        <w:rPr>
          <w:rFonts w:ascii="Century Gothic" w:eastAsia="Calibri" w:hAnsi="Century Gothic" w:cstheme="majorHAnsi"/>
        </w:rPr>
      </w:pPr>
      <w:r w:rsidRPr="00D06CC0">
        <w:rPr>
          <w:rFonts w:ascii="Century Gothic" w:eastAsia="Calibri" w:hAnsi="Century Gothic" w:cstheme="majorHAnsi"/>
        </w:rPr>
        <w:t>(ASSINATURA DO RESPONSÁVEL E CPF)</w:t>
      </w:r>
    </w:p>
    <w:p w14:paraId="307DD9E4" w14:textId="77777777" w:rsidR="00F730F9" w:rsidRPr="00D06CC0" w:rsidRDefault="00F730F9" w:rsidP="0099467B">
      <w:pPr>
        <w:jc w:val="both"/>
        <w:rPr>
          <w:rFonts w:ascii="Century Gothic" w:eastAsia="Calibri" w:hAnsi="Century Gothic" w:cstheme="majorHAnsi"/>
        </w:rPr>
      </w:pPr>
    </w:p>
    <w:p w14:paraId="671CD6AB" w14:textId="77777777" w:rsidR="00F730F9" w:rsidRPr="00D06CC0" w:rsidRDefault="00F730F9" w:rsidP="0099467B">
      <w:pPr>
        <w:jc w:val="both"/>
        <w:rPr>
          <w:rFonts w:ascii="Century Gothic" w:eastAsia="Calibri" w:hAnsi="Century Gothic" w:cstheme="majorHAnsi"/>
        </w:rPr>
      </w:pPr>
    </w:p>
    <w:p w14:paraId="58644BF7" w14:textId="77777777" w:rsidR="00F730F9" w:rsidRPr="00D06CC0" w:rsidRDefault="00F730F9" w:rsidP="0099467B">
      <w:pPr>
        <w:jc w:val="both"/>
        <w:rPr>
          <w:rFonts w:ascii="Century Gothic" w:eastAsia="Calibri" w:hAnsi="Century Gothic" w:cstheme="majorHAnsi"/>
        </w:rPr>
      </w:pPr>
    </w:p>
    <w:p w14:paraId="1AC32783" w14:textId="77777777" w:rsidR="00F730F9" w:rsidRPr="00D06CC0" w:rsidRDefault="00F730F9" w:rsidP="0099467B">
      <w:pPr>
        <w:jc w:val="both"/>
        <w:rPr>
          <w:rFonts w:ascii="Century Gothic" w:eastAsia="Calibri" w:hAnsi="Century Gothic" w:cstheme="majorHAnsi"/>
        </w:rPr>
      </w:pPr>
    </w:p>
    <w:p w14:paraId="4BCF8BD4" w14:textId="77777777" w:rsidR="00F730F9" w:rsidRPr="00D06CC0" w:rsidRDefault="00F730F9" w:rsidP="0099467B">
      <w:pPr>
        <w:jc w:val="both"/>
        <w:rPr>
          <w:rFonts w:ascii="Century Gothic" w:eastAsia="Calibri" w:hAnsi="Century Gothic" w:cstheme="majorHAnsi"/>
        </w:rPr>
      </w:pPr>
    </w:p>
    <w:p w14:paraId="7434298A" w14:textId="77777777" w:rsidR="00F730F9" w:rsidRPr="00D06CC0" w:rsidRDefault="00F730F9" w:rsidP="0099467B">
      <w:pPr>
        <w:jc w:val="both"/>
        <w:rPr>
          <w:rFonts w:ascii="Century Gothic" w:eastAsia="Calibri" w:hAnsi="Century Gothic" w:cstheme="majorHAnsi"/>
        </w:rPr>
      </w:pPr>
    </w:p>
    <w:p w14:paraId="102A980F" w14:textId="77777777" w:rsidR="00F730F9" w:rsidRPr="00D06CC0" w:rsidRDefault="00F730F9" w:rsidP="0099467B">
      <w:pPr>
        <w:jc w:val="both"/>
        <w:rPr>
          <w:rFonts w:ascii="Century Gothic" w:eastAsia="Calibri" w:hAnsi="Century Gothic" w:cstheme="majorHAnsi"/>
        </w:rPr>
      </w:pPr>
    </w:p>
    <w:p w14:paraId="46471B30" w14:textId="77777777" w:rsidR="00F730F9" w:rsidRPr="00D06CC0" w:rsidRDefault="00F730F9" w:rsidP="00262785">
      <w:pPr>
        <w:pStyle w:val="Nivel010"/>
        <w:rPr>
          <w:rFonts w:ascii="Century Gothic" w:eastAsia="Calibri" w:hAnsi="Century Gothic" w:cstheme="majorHAnsi"/>
        </w:rPr>
      </w:pPr>
      <w:r w:rsidRPr="00D06CC0">
        <w:rPr>
          <w:rFonts w:ascii="Century Gothic" w:eastAsia="Calibri" w:hAnsi="Century Gothic" w:cstheme="majorHAnsi"/>
        </w:rPr>
        <w:lastRenderedPageBreak/>
        <w:t>ANEXO VIII – DECLARAÇÃO DE CUMPRIMENTO DOS REQUISITOS DE HABILITAÇÃO. (MODELO)</w:t>
      </w:r>
    </w:p>
    <w:p w14:paraId="3D09A45D"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PREGÃO ELETRÔNICA Nº ***</w:t>
      </w:r>
    </w:p>
    <w:p w14:paraId="35F346FF" w14:textId="77777777" w:rsidR="00F730F9" w:rsidRPr="00D06CC0" w:rsidRDefault="00F730F9" w:rsidP="0099467B">
      <w:pPr>
        <w:jc w:val="both"/>
        <w:rPr>
          <w:rFonts w:ascii="Century Gothic" w:eastAsia="Calibri" w:hAnsi="Century Gothic" w:cstheme="majorHAnsi"/>
          <w:b/>
        </w:rPr>
      </w:pPr>
      <w:r w:rsidRPr="00D06CC0">
        <w:rPr>
          <w:rFonts w:ascii="Century Gothic" w:eastAsia="Calibri" w:hAnsi="Century Gothic" w:cstheme="majorHAnsi"/>
          <w:b/>
        </w:rPr>
        <w:t>PROCESSO ADMINISTRATIVO Nº ***</w:t>
      </w:r>
    </w:p>
    <w:p w14:paraId="50F77BDA" w14:textId="77777777" w:rsidR="00F730F9" w:rsidRPr="00D06CC0" w:rsidRDefault="00F730F9" w:rsidP="0099467B">
      <w:pPr>
        <w:jc w:val="both"/>
        <w:rPr>
          <w:rFonts w:ascii="Century Gothic" w:eastAsia="Calibri" w:hAnsi="Century Gothic" w:cstheme="majorHAnsi"/>
        </w:rPr>
      </w:pPr>
    </w:p>
    <w:p w14:paraId="41574485" w14:textId="77777777" w:rsidR="00F730F9" w:rsidRPr="00D06CC0" w:rsidRDefault="00F730F9" w:rsidP="0099467B">
      <w:pPr>
        <w:jc w:val="both"/>
        <w:rPr>
          <w:rFonts w:ascii="Century Gothic" w:eastAsia="Calibri" w:hAnsi="Century Gothic" w:cstheme="majorHAnsi"/>
          <w:b/>
        </w:rPr>
      </w:pPr>
    </w:p>
    <w:p w14:paraId="4BEC727D"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rPr>
        <w:t xml:space="preserve">A ...........................................................(RAZÃO SOCIAL DA EMPRESA), CNPJ Nº........................., LOCALIZADA À ..........................................., DECLARA, EM CONFORMIDADE COM A LEI Nº 14.133/2021, QUE CUMPRE TODOS OS REQUISITOS PARA HABILITAÇÃO PARA ESTE CERTAME LICITATÓRIO NO MUNICÍPIO </w:t>
      </w:r>
      <w:r w:rsidRPr="00D06CC0">
        <w:rPr>
          <w:rFonts w:ascii="Century Gothic" w:eastAsia="Calibri" w:hAnsi="Century Gothic" w:cstheme="majorHAnsi"/>
          <w:b/>
        </w:rPr>
        <w:t xml:space="preserve">*** ÓRGÃO LICITANTE </w:t>
      </w:r>
      <w:r w:rsidRPr="00D06CC0">
        <w:rPr>
          <w:rFonts w:ascii="Century Gothic" w:eastAsia="Calibri" w:hAnsi="Century Gothic" w:cstheme="majorHAnsi"/>
        </w:rPr>
        <w:t xml:space="preserve">– </w:t>
      </w:r>
      <w:r w:rsidRPr="00D06CC0">
        <w:rPr>
          <w:rFonts w:ascii="Century Gothic" w:eastAsia="Calibri" w:hAnsi="Century Gothic" w:cstheme="majorHAnsi"/>
          <w:b/>
        </w:rPr>
        <w:t>PREGÃO ELETRÔNICA Nº ***</w:t>
      </w:r>
    </w:p>
    <w:p w14:paraId="48F10CE3" w14:textId="77777777" w:rsidR="00F730F9" w:rsidRPr="00D06CC0" w:rsidRDefault="00F730F9" w:rsidP="0099467B">
      <w:pPr>
        <w:jc w:val="both"/>
        <w:rPr>
          <w:rFonts w:ascii="Century Gothic" w:eastAsia="Calibri" w:hAnsi="Century Gothic" w:cstheme="majorHAnsi"/>
          <w:b/>
        </w:rPr>
      </w:pPr>
    </w:p>
    <w:p w14:paraId="62883462" w14:textId="77777777" w:rsidR="00F730F9" w:rsidRPr="00D06CC0" w:rsidRDefault="00F730F9" w:rsidP="0099467B">
      <w:pPr>
        <w:jc w:val="both"/>
        <w:rPr>
          <w:rFonts w:ascii="Century Gothic" w:eastAsia="Calibri" w:hAnsi="Century Gothic" w:cstheme="majorHAnsi"/>
        </w:rPr>
      </w:pPr>
    </w:p>
    <w:p w14:paraId="1E4E7E3A" w14:textId="77777777" w:rsidR="00F730F9" w:rsidRPr="00D06CC0" w:rsidRDefault="00F730F9" w:rsidP="0099467B">
      <w:pPr>
        <w:jc w:val="both"/>
        <w:rPr>
          <w:rFonts w:ascii="Century Gothic" w:eastAsia="Calibri" w:hAnsi="Century Gothic" w:cstheme="majorHAnsi"/>
          <w:b/>
        </w:rPr>
      </w:pPr>
    </w:p>
    <w:p w14:paraId="444D3CC1" w14:textId="77777777" w:rsidR="00F730F9" w:rsidRPr="00D06CC0" w:rsidRDefault="00F730F9" w:rsidP="0099467B">
      <w:pPr>
        <w:jc w:val="both"/>
        <w:rPr>
          <w:rFonts w:ascii="Century Gothic" w:eastAsia="Calibri" w:hAnsi="Century Gothic" w:cstheme="majorHAnsi"/>
          <w:b/>
        </w:rPr>
      </w:pPr>
    </w:p>
    <w:p w14:paraId="62208F1A" w14:textId="77777777" w:rsidR="00F730F9" w:rsidRPr="00D06CC0" w:rsidRDefault="00F730F9" w:rsidP="0099467B">
      <w:pPr>
        <w:jc w:val="both"/>
        <w:rPr>
          <w:rFonts w:ascii="Century Gothic" w:eastAsia="Calibri" w:hAnsi="Century Gothic" w:cstheme="majorHAnsi"/>
        </w:rPr>
      </w:pPr>
    </w:p>
    <w:p w14:paraId="161ED43B" w14:textId="77777777" w:rsidR="00F730F9" w:rsidRPr="00D06CC0" w:rsidRDefault="00F730F9" w:rsidP="0099467B">
      <w:pPr>
        <w:jc w:val="both"/>
        <w:rPr>
          <w:rFonts w:ascii="Century Gothic" w:eastAsia="Calibri" w:hAnsi="Century Gothic" w:cstheme="majorHAnsi"/>
        </w:rPr>
      </w:pPr>
    </w:p>
    <w:p w14:paraId="37C0919C" w14:textId="77777777" w:rsidR="00F730F9" w:rsidRPr="00D06CC0" w:rsidRDefault="00F730F9" w:rsidP="0099467B">
      <w:pPr>
        <w:jc w:val="right"/>
        <w:rPr>
          <w:rFonts w:ascii="Century Gothic" w:eastAsia="Calibri" w:hAnsi="Century Gothic" w:cstheme="majorHAnsi"/>
        </w:rPr>
      </w:pPr>
      <w:r w:rsidRPr="00D06CC0">
        <w:rPr>
          <w:rFonts w:ascii="Century Gothic" w:eastAsia="Calibri" w:hAnsi="Century Gothic" w:cstheme="majorHAnsi"/>
        </w:rPr>
        <w:tab/>
      </w:r>
      <w:r w:rsidRPr="00D06CC0">
        <w:rPr>
          <w:rFonts w:ascii="Century Gothic" w:eastAsia="Calibri" w:hAnsi="Century Gothic" w:cstheme="majorHAnsi"/>
        </w:rPr>
        <w:tab/>
        <w:t>........, ......... DE ...................   DE 20***.</w:t>
      </w:r>
    </w:p>
    <w:p w14:paraId="719ECDA8" w14:textId="77777777" w:rsidR="00F730F9" w:rsidRPr="00D06CC0" w:rsidRDefault="00F730F9" w:rsidP="0099467B">
      <w:pPr>
        <w:jc w:val="both"/>
        <w:rPr>
          <w:rFonts w:ascii="Century Gothic" w:eastAsia="Calibri" w:hAnsi="Century Gothic" w:cstheme="majorHAnsi"/>
        </w:rPr>
      </w:pPr>
    </w:p>
    <w:p w14:paraId="7444AAE0" w14:textId="77777777" w:rsidR="00F730F9" w:rsidRPr="00D06CC0" w:rsidRDefault="00F730F9" w:rsidP="0099467B">
      <w:pPr>
        <w:jc w:val="both"/>
        <w:rPr>
          <w:rFonts w:ascii="Century Gothic" w:eastAsia="Calibri" w:hAnsi="Century Gothic" w:cstheme="majorHAnsi"/>
        </w:rPr>
      </w:pPr>
    </w:p>
    <w:p w14:paraId="095C5587" w14:textId="77777777" w:rsidR="00F730F9" w:rsidRPr="00D06CC0" w:rsidRDefault="00F730F9" w:rsidP="0099467B">
      <w:pPr>
        <w:jc w:val="both"/>
        <w:rPr>
          <w:rFonts w:ascii="Century Gothic" w:eastAsia="Calibri" w:hAnsi="Century Gothic" w:cstheme="majorHAnsi"/>
        </w:rPr>
      </w:pPr>
    </w:p>
    <w:p w14:paraId="3649E327" w14:textId="77777777" w:rsidR="00F730F9" w:rsidRPr="00D06CC0" w:rsidRDefault="00F730F9" w:rsidP="0099467B">
      <w:pPr>
        <w:jc w:val="both"/>
        <w:rPr>
          <w:rFonts w:ascii="Century Gothic" w:eastAsia="Calibri" w:hAnsi="Century Gothic" w:cstheme="majorHAnsi"/>
        </w:rPr>
      </w:pPr>
    </w:p>
    <w:p w14:paraId="4B9C111B" w14:textId="77777777" w:rsidR="00F730F9" w:rsidRPr="00D06CC0" w:rsidRDefault="00F730F9" w:rsidP="0099467B">
      <w:pPr>
        <w:jc w:val="center"/>
        <w:rPr>
          <w:rFonts w:ascii="Century Gothic" w:eastAsia="Calibri" w:hAnsi="Century Gothic" w:cstheme="majorHAnsi"/>
        </w:rPr>
      </w:pPr>
      <w:r w:rsidRPr="00D06CC0">
        <w:rPr>
          <w:rFonts w:ascii="Century Gothic" w:eastAsia="Calibri" w:hAnsi="Century Gothic" w:cstheme="majorHAnsi"/>
        </w:rPr>
        <w:t>_______________________________</w:t>
      </w:r>
    </w:p>
    <w:p w14:paraId="3D490CA7" w14:textId="77777777" w:rsidR="00F730F9" w:rsidRPr="00D06CC0" w:rsidRDefault="00F730F9" w:rsidP="0099467B">
      <w:pPr>
        <w:jc w:val="center"/>
        <w:rPr>
          <w:rFonts w:ascii="Century Gothic" w:eastAsia="Calibri" w:hAnsi="Century Gothic" w:cstheme="majorHAnsi"/>
        </w:rPr>
      </w:pPr>
      <w:r w:rsidRPr="00D06CC0">
        <w:rPr>
          <w:rFonts w:ascii="Century Gothic" w:eastAsia="Calibri" w:hAnsi="Century Gothic" w:cstheme="majorHAnsi"/>
        </w:rPr>
        <w:t>REPRESENTANTE LEGAL</w:t>
      </w:r>
    </w:p>
    <w:p w14:paraId="36774653"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rPr>
        <w:tab/>
      </w:r>
      <w:r w:rsidRPr="00D06CC0">
        <w:rPr>
          <w:rFonts w:ascii="Century Gothic" w:eastAsia="Calibri" w:hAnsi="Century Gothic" w:cstheme="majorHAnsi"/>
        </w:rPr>
        <w:tab/>
      </w:r>
      <w:r w:rsidRPr="00D06CC0">
        <w:rPr>
          <w:rFonts w:ascii="Century Gothic" w:eastAsia="Calibri" w:hAnsi="Century Gothic" w:cstheme="majorHAnsi"/>
        </w:rPr>
        <w:tab/>
      </w:r>
      <w:r w:rsidRPr="00D06CC0">
        <w:rPr>
          <w:rFonts w:ascii="Century Gothic" w:eastAsia="Calibri" w:hAnsi="Century Gothic" w:cstheme="majorHAnsi"/>
        </w:rPr>
        <w:tab/>
      </w:r>
    </w:p>
    <w:p w14:paraId="18D1A7F6" w14:textId="77777777" w:rsidR="00F730F9" w:rsidRPr="00D06CC0" w:rsidRDefault="00F730F9" w:rsidP="0099467B">
      <w:pPr>
        <w:jc w:val="both"/>
        <w:rPr>
          <w:rFonts w:ascii="Century Gothic" w:eastAsia="Calibri" w:hAnsi="Century Gothic" w:cstheme="majorHAnsi"/>
        </w:rPr>
      </w:pPr>
      <w:r w:rsidRPr="00D06CC0">
        <w:rPr>
          <w:rFonts w:ascii="Century Gothic" w:eastAsia="Calibri" w:hAnsi="Century Gothic" w:cstheme="majorHAnsi"/>
        </w:rPr>
        <w:t xml:space="preserve"> </w:t>
      </w:r>
    </w:p>
    <w:p w14:paraId="3E25389F" w14:textId="77777777" w:rsidR="00F730F9" w:rsidRPr="00D06CC0" w:rsidRDefault="00F730F9" w:rsidP="0099467B">
      <w:pPr>
        <w:jc w:val="both"/>
        <w:rPr>
          <w:rFonts w:ascii="Century Gothic" w:eastAsia="Calibri" w:hAnsi="Century Gothic" w:cstheme="majorHAnsi"/>
        </w:rPr>
      </w:pPr>
    </w:p>
    <w:p w14:paraId="34FA04B4" w14:textId="77777777" w:rsidR="00F730F9" w:rsidRPr="00D06CC0" w:rsidRDefault="00F730F9" w:rsidP="0099467B">
      <w:pPr>
        <w:jc w:val="both"/>
        <w:rPr>
          <w:rFonts w:ascii="Century Gothic" w:eastAsia="Calibri" w:hAnsi="Century Gothic" w:cstheme="majorHAnsi"/>
        </w:rPr>
      </w:pPr>
    </w:p>
    <w:p w14:paraId="7693382B" w14:textId="77777777" w:rsidR="00F730F9" w:rsidRPr="00D06CC0" w:rsidRDefault="00F730F9" w:rsidP="0099467B">
      <w:pPr>
        <w:jc w:val="both"/>
        <w:rPr>
          <w:rFonts w:ascii="Century Gothic" w:eastAsia="Calibri" w:hAnsi="Century Gothic" w:cstheme="majorHAnsi"/>
        </w:rPr>
      </w:pPr>
    </w:p>
    <w:p w14:paraId="08DEAE1B" w14:textId="77777777" w:rsidR="00F730F9" w:rsidRPr="00D06CC0" w:rsidRDefault="00F730F9" w:rsidP="0099467B">
      <w:pPr>
        <w:jc w:val="both"/>
        <w:rPr>
          <w:rFonts w:ascii="Century Gothic" w:eastAsia="Calibri" w:hAnsi="Century Gothic" w:cstheme="majorHAnsi"/>
        </w:rPr>
      </w:pPr>
    </w:p>
    <w:p w14:paraId="61C9E53F" w14:textId="77777777" w:rsidR="00F730F9" w:rsidRPr="00D06CC0" w:rsidRDefault="00F730F9" w:rsidP="0099467B">
      <w:pPr>
        <w:jc w:val="both"/>
        <w:rPr>
          <w:rFonts w:ascii="Century Gothic" w:eastAsia="Calibri" w:hAnsi="Century Gothic" w:cstheme="majorHAnsi"/>
        </w:rPr>
      </w:pPr>
    </w:p>
    <w:p w14:paraId="196C9EDF" w14:textId="77777777" w:rsidR="00F730F9" w:rsidRPr="00D06CC0" w:rsidRDefault="00F730F9" w:rsidP="0099467B">
      <w:pPr>
        <w:jc w:val="both"/>
        <w:rPr>
          <w:rFonts w:ascii="Century Gothic" w:eastAsia="Calibri" w:hAnsi="Century Gothic" w:cstheme="majorHAnsi"/>
        </w:rPr>
      </w:pPr>
    </w:p>
    <w:p w14:paraId="77178396" w14:textId="77777777" w:rsidR="00F730F9" w:rsidRPr="00D06CC0" w:rsidRDefault="00F730F9" w:rsidP="0099467B">
      <w:pPr>
        <w:jc w:val="both"/>
        <w:rPr>
          <w:rFonts w:ascii="Century Gothic" w:eastAsia="Calibri" w:hAnsi="Century Gothic" w:cstheme="majorHAnsi"/>
        </w:rPr>
      </w:pPr>
    </w:p>
    <w:p w14:paraId="5C2002A2" w14:textId="77777777" w:rsidR="00F730F9" w:rsidRPr="00D06CC0" w:rsidRDefault="00F730F9" w:rsidP="0099467B">
      <w:pPr>
        <w:jc w:val="both"/>
        <w:rPr>
          <w:rFonts w:ascii="Century Gothic" w:eastAsia="Calibri" w:hAnsi="Century Gothic" w:cstheme="majorHAnsi"/>
        </w:rPr>
      </w:pPr>
    </w:p>
    <w:p w14:paraId="5311E57B" w14:textId="77777777" w:rsidR="00F730F9" w:rsidRPr="00D06CC0" w:rsidRDefault="00F730F9" w:rsidP="0099467B">
      <w:pPr>
        <w:jc w:val="both"/>
        <w:rPr>
          <w:rFonts w:ascii="Century Gothic" w:eastAsia="Calibri" w:hAnsi="Century Gothic" w:cstheme="majorHAnsi"/>
        </w:rPr>
      </w:pPr>
    </w:p>
    <w:p w14:paraId="709D7759" w14:textId="77777777" w:rsidR="00F730F9" w:rsidRPr="00D06CC0" w:rsidRDefault="00F730F9" w:rsidP="0099467B">
      <w:pPr>
        <w:jc w:val="both"/>
        <w:rPr>
          <w:rFonts w:ascii="Century Gothic" w:eastAsia="Calibri" w:hAnsi="Century Gothic" w:cstheme="majorHAnsi"/>
        </w:rPr>
      </w:pPr>
    </w:p>
    <w:p w14:paraId="63F87F1A" w14:textId="77777777" w:rsidR="00F730F9" w:rsidRPr="00D06CC0" w:rsidRDefault="00F730F9" w:rsidP="0099467B">
      <w:pPr>
        <w:jc w:val="both"/>
        <w:rPr>
          <w:rFonts w:ascii="Century Gothic" w:eastAsia="Calibri" w:hAnsi="Century Gothic" w:cstheme="majorHAnsi"/>
        </w:rPr>
      </w:pPr>
    </w:p>
    <w:p w14:paraId="4F30E654" w14:textId="77777777" w:rsidR="00F730F9" w:rsidRPr="00D06CC0" w:rsidRDefault="00F730F9" w:rsidP="0099467B">
      <w:pPr>
        <w:jc w:val="both"/>
        <w:rPr>
          <w:rFonts w:ascii="Century Gothic" w:eastAsia="Calibri" w:hAnsi="Century Gothic" w:cstheme="majorHAnsi"/>
        </w:rPr>
      </w:pPr>
    </w:p>
    <w:p w14:paraId="22011536" w14:textId="77777777" w:rsidR="00F730F9" w:rsidRPr="00D06CC0" w:rsidRDefault="00F730F9" w:rsidP="0099467B">
      <w:pPr>
        <w:jc w:val="both"/>
        <w:rPr>
          <w:rFonts w:ascii="Century Gothic" w:eastAsia="Calibri" w:hAnsi="Century Gothic" w:cstheme="majorHAnsi"/>
        </w:rPr>
      </w:pPr>
    </w:p>
    <w:p w14:paraId="1E97734A" w14:textId="77777777" w:rsidR="00F730F9" w:rsidRPr="00D06CC0" w:rsidRDefault="00F730F9" w:rsidP="0099467B">
      <w:pPr>
        <w:jc w:val="both"/>
        <w:rPr>
          <w:rFonts w:ascii="Century Gothic" w:eastAsia="Calibri" w:hAnsi="Century Gothic" w:cstheme="majorHAnsi"/>
        </w:rPr>
      </w:pPr>
    </w:p>
    <w:p w14:paraId="1995BE3F" w14:textId="77777777" w:rsidR="00F730F9" w:rsidRPr="00D06CC0" w:rsidRDefault="00F730F9" w:rsidP="00262785">
      <w:pPr>
        <w:pStyle w:val="Nivel010"/>
        <w:rPr>
          <w:rFonts w:ascii="Century Gothic" w:eastAsia="Calibri" w:hAnsi="Century Gothic" w:cstheme="majorHAnsi"/>
        </w:rPr>
      </w:pPr>
      <w:r w:rsidRPr="00D06CC0">
        <w:rPr>
          <w:rFonts w:ascii="Century Gothic" w:eastAsia="Calibri" w:hAnsi="Century Gothic" w:cstheme="majorHAnsi"/>
        </w:rPr>
        <w:lastRenderedPageBreak/>
        <w:t>ANEXO IX – MINUTA DO CONTRATO ADMINISTRATIVO Nº ___/20__</w:t>
      </w:r>
    </w:p>
    <w:p w14:paraId="20984BFF" w14:textId="77777777" w:rsidR="00F730F9" w:rsidRPr="00D06CC0" w:rsidRDefault="00F730F9" w:rsidP="00FB7D71">
      <w:pPr>
        <w:pStyle w:val="Prembulo"/>
        <w:spacing w:before="120" w:afterLines="120" w:after="288" w:line="240" w:lineRule="auto"/>
        <w:ind w:left="0"/>
        <w:rPr>
          <w:rFonts w:ascii="Century Gothic" w:hAnsi="Century Gothic" w:cstheme="majorHAnsi"/>
          <w:bCs w:val="0"/>
        </w:rPr>
      </w:pPr>
      <w:r w:rsidRPr="00D06CC0">
        <w:rPr>
          <w:rFonts w:ascii="Century Gothic" w:hAnsi="Century Gothic" w:cstheme="majorHAnsi"/>
          <w:bCs w:val="0"/>
        </w:rPr>
        <w:t xml:space="preserve">CONTRATO ADMINISTRATIVO Nº ......../...., QUE FAZEM ENTRE SI A UNIÃO, POR INTERMÉDIO DO (A) ......................................................... E .............................................................  </w:t>
      </w:r>
    </w:p>
    <w:p w14:paraId="0DA82C1D" w14:textId="77777777" w:rsidR="00F730F9" w:rsidRPr="00D06CC0" w:rsidRDefault="00F730F9" w:rsidP="00FB7D71">
      <w:pPr>
        <w:spacing w:before="120" w:after="120"/>
        <w:ind w:firstLine="1418"/>
        <w:jc w:val="both"/>
        <w:rPr>
          <w:rFonts w:ascii="Century Gothic" w:eastAsia="Arial" w:hAnsi="Century Gothic" w:cstheme="majorHAnsi"/>
          <w:sz w:val="20"/>
          <w:szCs w:val="20"/>
        </w:rPr>
      </w:pPr>
      <w:r w:rsidRPr="00D06CC0">
        <w:rPr>
          <w:rFonts w:ascii="Century Gothic" w:eastAsia="Arial" w:hAnsi="Century Gothic" w:cstheme="majorHAnsi"/>
          <w:sz w:val="20"/>
          <w:szCs w:val="20"/>
        </w:rPr>
        <w:t xml:space="preserve">A PREFEITURA MUNICIPAL DE ............................... por intermédio do(a) .................................... (órgão)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em ............................. doravante designada CONTRATADA, neste ato representado(a) por .................................. (nome e função no contratado), conforme atos constitutivos da empresa OU procuração apresentada nos autos, tendo em vista o que consta no Processo nº .............................. e em observância às disposições da </w:t>
      </w:r>
      <w:hyperlink r:id="rId52" w:history="1">
        <w:r w:rsidRPr="00D06CC0">
          <w:rPr>
            <w:rFonts w:ascii="Century Gothic" w:hAnsi="Century Gothic" w:cstheme="majorHAnsi"/>
          </w:rPr>
          <w:t>Lei nº 14.133, de 1º de abril de 2021</w:t>
        </w:r>
      </w:hyperlink>
      <w:r w:rsidRPr="00D06CC0">
        <w:rPr>
          <w:rFonts w:ascii="Century Gothic" w:eastAsia="Arial" w:hAnsi="Century Gothic" w:cstheme="majorHAnsi"/>
          <w:sz w:val="20"/>
          <w:szCs w:val="20"/>
        </w:rPr>
        <w:t>, e demais legislação aplicável, resolvem celebrar o presente Termo de Contrato, decorrente do Pregão Eletrônico n. .../..., mediante as cláusulas e condições a seguir enunciadas.</w:t>
      </w:r>
    </w:p>
    <w:p w14:paraId="07B10A0A"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PRIMEIRA – OBJETO (</w:t>
      </w:r>
      <w:hyperlink r:id="rId53" w:anchor="art92" w:history="1">
        <w:r w:rsidRPr="00D06CC0">
          <w:rPr>
            <w:rStyle w:val="Hyperlink"/>
            <w:rFonts w:ascii="Century Gothic" w:hAnsi="Century Gothic" w:cstheme="majorHAnsi"/>
          </w:rPr>
          <w:t>art. 92, I e II</w:t>
        </w:r>
      </w:hyperlink>
      <w:r w:rsidRPr="00D06CC0">
        <w:rPr>
          <w:rFonts w:ascii="Century Gothic" w:hAnsi="Century Gothic" w:cstheme="majorHAnsi"/>
        </w:rPr>
        <w:t>)</w:t>
      </w:r>
    </w:p>
    <w:p w14:paraId="2DDAC945"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 xml:space="preserve">O objeto do presente instrumento é a contratação de </w:t>
      </w:r>
      <w:r w:rsidRPr="00D06CC0">
        <w:rPr>
          <w:rFonts w:ascii="Century Gothic" w:hAnsi="Century Gothic" w:cstheme="majorHAnsi"/>
          <w:color w:val="FF0000"/>
        </w:rPr>
        <w:t>..........................</w:t>
      </w:r>
      <w:r w:rsidRPr="00D06CC0">
        <w:rPr>
          <w:rFonts w:ascii="Century Gothic" w:hAnsi="Century Gothic" w:cstheme="majorHAnsi"/>
        </w:rPr>
        <w:t>, nas condições estabelecidas no Termo de Referência.</w:t>
      </w:r>
    </w:p>
    <w:p w14:paraId="3D683947"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F730F9" w:rsidRPr="00D06CC0" w14:paraId="3E9D585A"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A3122" w14:textId="77777777" w:rsidR="00F730F9" w:rsidRPr="00D06CC0" w:rsidRDefault="00F730F9" w:rsidP="00FB7D71">
            <w:pPr>
              <w:widowControl w:val="0"/>
              <w:spacing w:before="120" w:afterLines="120" w:after="288"/>
              <w:jc w:val="both"/>
              <w:rPr>
                <w:rFonts w:ascii="Century Gothic" w:eastAsia="Arial" w:hAnsi="Century Gothic" w:cstheme="majorHAnsi"/>
                <w:b/>
                <w:bCs/>
                <w:color w:val="000000"/>
                <w:sz w:val="20"/>
                <w:szCs w:val="20"/>
              </w:rPr>
            </w:pPr>
            <w:r w:rsidRPr="00D06CC0">
              <w:rPr>
                <w:rFonts w:ascii="Century Gothic" w:eastAsia="Arial" w:hAnsi="Century Gothic" w:cstheme="majorHAnsi"/>
                <w:b/>
                <w:bCs/>
                <w:color w:val="000000" w:themeColor="text1"/>
                <w:sz w:val="20"/>
                <w:szCs w:val="20"/>
              </w:rPr>
              <w:t>ITEM</w:t>
            </w:r>
          </w:p>
          <w:p w14:paraId="1EEBC51D" w14:textId="77777777" w:rsidR="00F730F9" w:rsidRPr="00D06CC0" w:rsidRDefault="00F730F9" w:rsidP="00FB7D71">
            <w:pPr>
              <w:widowControl w:val="0"/>
              <w:spacing w:before="120" w:afterLines="120" w:after="288"/>
              <w:jc w:val="both"/>
              <w:rPr>
                <w:rFonts w:ascii="Century Gothic" w:eastAsia="Arial" w:hAnsi="Century Gothic" w:cstheme="majorHAnsi"/>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5A241"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r w:rsidRPr="00D06CC0">
              <w:rPr>
                <w:rFonts w:ascii="Century Gothic" w:eastAsia="Arial" w:hAnsi="Century Gothic" w:cstheme="majorHAnsi"/>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E84B5"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r w:rsidRPr="00D06CC0">
              <w:rPr>
                <w:rFonts w:ascii="Century Gothic" w:eastAsia="Arial" w:hAnsi="Century Gothic" w:cstheme="majorHAnsi"/>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5FF94"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r w:rsidRPr="00D06CC0">
              <w:rPr>
                <w:rFonts w:ascii="Century Gothic" w:eastAsia="Arial" w:hAnsi="Century Gothic" w:cstheme="majorHAnsi"/>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92DA" w14:textId="77777777" w:rsidR="00F730F9" w:rsidRPr="00D06CC0" w:rsidRDefault="00F730F9" w:rsidP="00FB7D71">
            <w:pPr>
              <w:widowControl w:val="0"/>
              <w:spacing w:before="120" w:afterLines="120" w:after="288"/>
              <w:jc w:val="both"/>
              <w:rPr>
                <w:rFonts w:ascii="Century Gothic" w:eastAsia="Arial" w:hAnsi="Century Gothic" w:cstheme="majorHAnsi"/>
                <w:b/>
                <w:bCs/>
                <w:sz w:val="20"/>
                <w:szCs w:val="20"/>
              </w:rPr>
            </w:pPr>
            <w:r w:rsidRPr="00D06CC0">
              <w:rPr>
                <w:rFonts w:ascii="Century Gothic" w:eastAsia="Arial" w:hAnsi="Century Gothic" w:cstheme="majorHAnsi"/>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096FA" w14:textId="77777777" w:rsidR="00F730F9" w:rsidRPr="00D06CC0" w:rsidRDefault="00F730F9" w:rsidP="00FB7D71">
            <w:pPr>
              <w:widowControl w:val="0"/>
              <w:spacing w:before="120" w:afterLines="120" w:after="288"/>
              <w:jc w:val="both"/>
              <w:rPr>
                <w:rFonts w:ascii="Century Gothic" w:eastAsia="Arial" w:hAnsi="Century Gothic" w:cstheme="majorHAnsi"/>
                <w:b/>
                <w:bCs/>
                <w:sz w:val="20"/>
                <w:szCs w:val="20"/>
              </w:rPr>
            </w:pPr>
            <w:r w:rsidRPr="00D06CC0">
              <w:rPr>
                <w:rFonts w:ascii="Century Gothic" w:eastAsia="Arial" w:hAnsi="Century Gothic" w:cstheme="majorHAnsi"/>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CD03C" w14:textId="77777777" w:rsidR="00F730F9" w:rsidRPr="00D06CC0" w:rsidRDefault="00F730F9" w:rsidP="00FB7D71">
            <w:pPr>
              <w:widowControl w:val="0"/>
              <w:spacing w:before="120" w:afterLines="120" w:after="288"/>
              <w:jc w:val="both"/>
              <w:rPr>
                <w:rFonts w:ascii="Century Gothic" w:eastAsia="Arial" w:hAnsi="Century Gothic" w:cstheme="majorHAnsi"/>
                <w:b/>
                <w:bCs/>
                <w:sz w:val="20"/>
                <w:szCs w:val="20"/>
              </w:rPr>
            </w:pPr>
            <w:r w:rsidRPr="00D06CC0">
              <w:rPr>
                <w:rFonts w:ascii="Century Gothic" w:eastAsia="Arial" w:hAnsi="Century Gothic" w:cstheme="majorHAnsi"/>
                <w:b/>
                <w:bCs/>
                <w:sz w:val="20"/>
                <w:szCs w:val="20"/>
              </w:rPr>
              <w:t>VALOR TOTAL</w:t>
            </w:r>
          </w:p>
        </w:tc>
      </w:tr>
      <w:tr w:rsidR="00F730F9" w:rsidRPr="00D06CC0" w14:paraId="7C6AAB6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34445" w14:textId="77777777" w:rsidR="00F730F9" w:rsidRPr="00D06CC0" w:rsidRDefault="00F730F9" w:rsidP="00FB7D71">
            <w:pPr>
              <w:widowControl w:val="0"/>
              <w:spacing w:before="120" w:afterLines="120" w:after="288"/>
              <w:jc w:val="both"/>
              <w:rPr>
                <w:rFonts w:ascii="Century Gothic" w:eastAsia="Arial" w:hAnsi="Century Gothic" w:cstheme="majorHAnsi"/>
                <w:b/>
                <w:bCs/>
                <w:color w:val="000000"/>
                <w:sz w:val="20"/>
                <w:szCs w:val="20"/>
              </w:rPr>
            </w:pPr>
            <w:r w:rsidRPr="00D06CC0">
              <w:rPr>
                <w:rFonts w:ascii="Century Gothic" w:eastAsia="Arial" w:hAnsi="Century Gothic" w:cstheme="majorHAnsi"/>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EE128"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0B06B"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CE07F"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D4A12"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F5786"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D985B"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r>
      <w:tr w:rsidR="00F730F9" w:rsidRPr="00D06CC0" w14:paraId="58BD58E7"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D9DA7" w14:textId="77777777" w:rsidR="00F730F9" w:rsidRPr="00D06CC0" w:rsidRDefault="00F730F9" w:rsidP="00FB7D71">
            <w:pPr>
              <w:widowControl w:val="0"/>
              <w:spacing w:before="120" w:afterLines="120" w:after="288"/>
              <w:jc w:val="both"/>
              <w:rPr>
                <w:rFonts w:ascii="Century Gothic" w:eastAsia="Arial" w:hAnsi="Century Gothic" w:cstheme="majorHAnsi"/>
                <w:b/>
                <w:bCs/>
                <w:color w:val="000000"/>
                <w:sz w:val="20"/>
                <w:szCs w:val="20"/>
              </w:rPr>
            </w:pPr>
            <w:r w:rsidRPr="00D06CC0">
              <w:rPr>
                <w:rFonts w:ascii="Century Gothic" w:eastAsia="Arial" w:hAnsi="Century Gothic" w:cstheme="majorHAnsi"/>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5DB6D"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8A36"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61A7F"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37505"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D1676"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377F2"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r>
      <w:tr w:rsidR="00F730F9" w:rsidRPr="00D06CC0" w14:paraId="333B7C4E"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87586" w14:textId="77777777" w:rsidR="00F730F9" w:rsidRPr="00D06CC0" w:rsidRDefault="00F730F9" w:rsidP="00FB7D71">
            <w:pPr>
              <w:widowControl w:val="0"/>
              <w:spacing w:before="120" w:afterLines="120" w:after="288"/>
              <w:jc w:val="both"/>
              <w:rPr>
                <w:rFonts w:ascii="Century Gothic" w:eastAsia="Arial" w:hAnsi="Century Gothic" w:cstheme="majorHAnsi"/>
                <w:b/>
                <w:bCs/>
                <w:color w:val="000000"/>
                <w:sz w:val="20"/>
                <w:szCs w:val="20"/>
              </w:rPr>
            </w:pPr>
            <w:r w:rsidRPr="00D06CC0">
              <w:rPr>
                <w:rFonts w:ascii="Century Gothic" w:eastAsia="Arial" w:hAnsi="Century Gothic" w:cstheme="majorHAnsi"/>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18D31"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25FDA"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3F9DF"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5CB62"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8539C"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C3573"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r>
      <w:tr w:rsidR="00F730F9" w:rsidRPr="00D06CC0" w14:paraId="6B066BF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C9C2C" w14:textId="77777777" w:rsidR="00F730F9" w:rsidRPr="00D06CC0" w:rsidRDefault="00F730F9" w:rsidP="00FB7D71">
            <w:pPr>
              <w:widowControl w:val="0"/>
              <w:spacing w:before="120" w:afterLines="120" w:after="288"/>
              <w:jc w:val="both"/>
              <w:rPr>
                <w:rFonts w:ascii="Century Gothic" w:eastAsia="Arial" w:hAnsi="Century Gothic" w:cstheme="majorHAnsi"/>
                <w:b/>
                <w:bCs/>
                <w:color w:val="000000"/>
                <w:sz w:val="20"/>
                <w:szCs w:val="20"/>
              </w:rPr>
            </w:pPr>
            <w:r w:rsidRPr="00D06CC0">
              <w:rPr>
                <w:rFonts w:ascii="Century Gothic" w:eastAsia="Arial" w:hAnsi="Century Gothic" w:cstheme="majorHAnsi"/>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003AC" w14:textId="77777777" w:rsidR="00F730F9" w:rsidRPr="00D06CC0" w:rsidRDefault="00F730F9" w:rsidP="00FB7D71">
            <w:pPr>
              <w:widowControl w:val="0"/>
              <w:spacing w:before="120" w:afterLines="120" w:after="288"/>
              <w:jc w:val="both"/>
              <w:rPr>
                <w:rFonts w:ascii="Century Gothic" w:eastAsia="Arial" w:hAnsi="Century Gothic" w:cstheme="majorHAnsi"/>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9C675"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F62B3"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A51F5"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6F12E"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F4EFF" w14:textId="77777777" w:rsidR="00F730F9" w:rsidRPr="00D06CC0" w:rsidRDefault="00F730F9" w:rsidP="00FB7D71">
            <w:pPr>
              <w:widowControl w:val="0"/>
              <w:spacing w:before="120" w:afterLines="120" w:after="288"/>
              <w:jc w:val="both"/>
              <w:rPr>
                <w:rFonts w:ascii="Century Gothic" w:eastAsia="Arial" w:hAnsi="Century Gothic" w:cstheme="majorHAnsi"/>
                <w:color w:val="000000"/>
                <w:sz w:val="20"/>
                <w:szCs w:val="20"/>
              </w:rPr>
            </w:pPr>
          </w:p>
        </w:tc>
      </w:tr>
    </w:tbl>
    <w:p w14:paraId="7067FE8C"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Vinculam esta contratação, independentemente de transcrição:</w:t>
      </w:r>
    </w:p>
    <w:p w14:paraId="609D46C1" w14:textId="77777777" w:rsidR="00F730F9" w:rsidRPr="00D06CC0" w:rsidRDefault="00F730F9" w:rsidP="00655B0D">
      <w:pPr>
        <w:pStyle w:val="Nivel3"/>
        <w:numPr>
          <w:ilvl w:val="2"/>
          <w:numId w:val="22"/>
        </w:numPr>
        <w:spacing w:line="240" w:lineRule="auto"/>
        <w:ind w:left="0" w:firstLine="0"/>
        <w:rPr>
          <w:rFonts w:ascii="Century Gothic" w:hAnsi="Century Gothic" w:cstheme="majorHAnsi"/>
        </w:rPr>
      </w:pPr>
      <w:r w:rsidRPr="00D06CC0">
        <w:rPr>
          <w:rFonts w:ascii="Century Gothic" w:hAnsi="Century Gothic" w:cstheme="majorHAnsi"/>
        </w:rPr>
        <w:t>O Termo de Referência;</w:t>
      </w:r>
    </w:p>
    <w:p w14:paraId="0CB04ABC" w14:textId="77777777" w:rsidR="00F730F9" w:rsidRPr="00D06CC0" w:rsidRDefault="00F730F9" w:rsidP="00655B0D">
      <w:pPr>
        <w:pStyle w:val="Nivel3"/>
        <w:numPr>
          <w:ilvl w:val="2"/>
          <w:numId w:val="22"/>
        </w:numPr>
        <w:spacing w:line="240" w:lineRule="auto"/>
        <w:ind w:left="0" w:firstLine="0"/>
        <w:rPr>
          <w:rFonts w:ascii="Century Gothic" w:hAnsi="Century Gothic" w:cstheme="majorHAnsi"/>
        </w:rPr>
      </w:pPr>
      <w:r w:rsidRPr="00D06CC0">
        <w:rPr>
          <w:rFonts w:ascii="Century Gothic" w:hAnsi="Century Gothic" w:cstheme="majorHAnsi"/>
        </w:rPr>
        <w:t>O Edital da Licitação;</w:t>
      </w:r>
    </w:p>
    <w:p w14:paraId="622FC1FF" w14:textId="77777777" w:rsidR="00F730F9" w:rsidRPr="00D06CC0" w:rsidRDefault="00F730F9" w:rsidP="00655B0D">
      <w:pPr>
        <w:pStyle w:val="Nivel3"/>
        <w:numPr>
          <w:ilvl w:val="2"/>
          <w:numId w:val="22"/>
        </w:numPr>
        <w:spacing w:line="240" w:lineRule="auto"/>
        <w:ind w:left="0" w:firstLine="0"/>
        <w:rPr>
          <w:rFonts w:ascii="Century Gothic" w:hAnsi="Century Gothic" w:cstheme="majorHAnsi"/>
        </w:rPr>
      </w:pPr>
      <w:r w:rsidRPr="00D06CC0">
        <w:rPr>
          <w:rFonts w:ascii="Century Gothic" w:hAnsi="Century Gothic" w:cstheme="majorHAnsi"/>
        </w:rPr>
        <w:t>A Proposta do contratado;</w:t>
      </w:r>
    </w:p>
    <w:p w14:paraId="5D323A36" w14:textId="77777777" w:rsidR="00F730F9" w:rsidRPr="00D06CC0" w:rsidRDefault="00F730F9" w:rsidP="00655B0D">
      <w:pPr>
        <w:pStyle w:val="Nivel3"/>
        <w:numPr>
          <w:ilvl w:val="2"/>
          <w:numId w:val="22"/>
        </w:numPr>
        <w:spacing w:line="240" w:lineRule="auto"/>
        <w:ind w:left="0" w:firstLine="0"/>
        <w:rPr>
          <w:rFonts w:ascii="Century Gothic" w:hAnsi="Century Gothic" w:cstheme="majorHAnsi"/>
        </w:rPr>
      </w:pPr>
      <w:r w:rsidRPr="00D06CC0">
        <w:rPr>
          <w:rFonts w:ascii="Century Gothic" w:hAnsi="Century Gothic" w:cstheme="majorHAnsi"/>
        </w:rPr>
        <w:t>Eventuais anexos dos documentos supracitados.</w:t>
      </w:r>
    </w:p>
    <w:p w14:paraId="6AF01D01"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lastRenderedPageBreak/>
        <w:t>CLÁUSULA SEGUNDA – VIGÊNCIA E PRORROGAÇÃO</w:t>
      </w:r>
    </w:p>
    <w:p w14:paraId="1895A514" w14:textId="77777777" w:rsidR="00F730F9" w:rsidRPr="00D06CC0" w:rsidRDefault="00F730F9" w:rsidP="00FB7D71">
      <w:pPr>
        <w:pStyle w:val="Nvel2-Red"/>
        <w:spacing w:line="240" w:lineRule="auto"/>
        <w:rPr>
          <w:rFonts w:ascii="Century Gothic" w:hAnsi="Century Gothic" w:cstheme="majorHAnsi"/>
          <w:i w:val="0"/>
          <w:iCs w:val="0"/>
          <w:color w:val="000000"/>
        </w:rPr>
      </w:pPr>
      <w:r w:rsidRPr="00D06CC0">
        <w:rPr>
          <w:rFonts w:ascii="Century Gothic" w:hAnsi="Century Gothic" w:cstheme="majorHAnsi"/>
          <w:i w:val="0"/>
          <w:iCs w:val="0"/>
          <w:color w:val="000000"/>
        </w:rPr>
        <w:t xml:space="preserve">O prazo de vigência da contratação é de 12 (doze) meses contados do(a) dia da assinatura do contrato, prorrogável por até 10 anos, na forma dos artigos 106 e 107 da Lei n° 14.133, de 2021. </w:t>
      </w:r>
    </w:p>
    <w:p w14:paraId="3FEAB187" w14:textId="77777777" w:rsidR="00F730F9" w:rsidRPr="00D06CC0" w:rsidRDefault="00F730F9" w:rsidP="00655B0D">
      <w:pPr>
        <w:pStyle w:val="Nvel3-R"/>
        <w:numPr>
          <w:ilvl w:val="1"/>
          <w:numId w:val="23"/>
        </w:numPr>
        <w:spacing w:line="240" w:lineRule="auto"/>
        <w:ind w:left="0" w:firstLine="0"/>
        <w:rPr>
          <w:rFonts w:ascii="Century Gothic" w:hAnsi="Century Gothic" w:cstheme="majorHAnsi"/>
          <w:i w:val="0"/>
          <w:iCs w:val="0"/>
          <w:color w:val="000000"/>
        </w:rPr>
      </w:pPr>
      <w:r w:rsidRPr="00D06CC0">
        <w:rPr>
          <w:rFonts w:ascii="Century Gothic" w:hAnsi="Century Gothic" w:cstheme="majorHAnsi"/>
          <w:i w:val="0"/>
          <w:iCs w:val="0"/>
          <w:color w:val="000000"/>
        </w:rPr>
        <w:t>A prorrogação de que trata este item é condicionada ao ateste, pela autoridade competente, de que as condições e os preços permanecem vantajosos para a Administração, permitida a negociação com o contratado.</w:t>
      </w:r>
    </w:p>
    <w:p w14:paraId="29A969E7" w14:textId="77777777" w:rsidR="00F730F9" w:rsidRPr="00D06CC0" w:rsidRDefault="00F730F9" w:rsidP="00FB7D71">
      <w:pPr>
        <w:pStyle w:val="Nvel2-Red"/>
        <w:spacing w:line="240" w:lineRule="auto"/>
        <w:rPr>
          <w:rFonts w:ascii="Century Gothic" w:hAnsi="Century Gothic" w:cstheme="majorHAnsi"/>
          <w:i w:val="0"/>
          <w:iCs w:val="0"/>
          <w:color w:val="000000"/>
        </w:rPr>
      </w:pPr>
      <w:r w:rsidRPr="00D06CC0">
        <w:rPr>
          <w:rFonts w:ascii="Century Gothic" w:hAnsi="Century Gothic" w:cstheme="majorHAnsi"/>
          <w:i w:val="0"/>
          <w:iCs w:val="0"/>
          <w:color w:val="000000"/>
        </w:rPr>
        <w:t>O contratado não tem direito subjetivo à prorrogação contratual.</w:t>
      </w:r>
    </w:p>
    <w:p w14:paraId="63507EEF" w14:textId="77777777" w:rsidR="00F730F9" w:rsidRPr="00D06CC0" w:rsidRDefault="00F730F9" w:rsidP="00FB7D71">
      <w:pPr>
        <w:pStyle w:val="Nvel2-Red"/>
        <w:spacing w:line="240" w:lineRule="auto"/>
        <w:rPr>
          <w:rFonts w:ascii="Century Gothic" w:hAnsi="Century Gothic" w:cstheme="majorHAnsi"/>
          <w:i w:val="0"/>
          <w:iCs w:val="0"/>
          <w:color w:val="000000"/>
        </w:rPr>
      </w:pPr>
      <w:r w:rsidRPr="00D06CC0">
        <w:rPr>
          <w:rFonts w:ascii="Century Gothic" w:hAnsi="Century Gothic" w:cstheme="majorHAnsi"/>
          <w:i w:val="0"/>
          <w:iCs w:val="0"/>
          <w:color w:val="000000"/>
        </w:rPr>
        <w:t>A prorrogação de contrato deverá ser promovida mediante celebração de termo aditivo.</w:t>
      </w:r>
    </w:p>
    <w:p w14:paraId="2222839F" w14:textId="77777777" w:rsidR="00F730F9" w:rsidRPr="00D06CC0" w:rsidRDefault="00F730F9" w:rsidP="00FB7D71">
      <w:pPr>
        <w:pStyle w:val="Nvel2-Red"/>
        <w:spacing w:line="240" w:lineRule="auto"/>
        <w:rPr>
          <w:rFonts w:ascii="Century Gothic" w:hAnsi="Century Gothic" w:cstheme="majorHAnsi"/>
          <w:i w:val="0"/>
          <w:iCs w:val="0"/>
          <w:color w:val="000000"/>
        </w:rPr>
      </w:pPr>
      <w:r w:rsidRPr="00D06CC0">
        <w:rPr>
          <w:rFonts w:ascii="Century Gothic" w:hAnsi="Century Gothic" w:cstheme="majorHAnsi"/>
          <w:i w:val="0"/>
          <w:iCs w:val="0"/>
          <w:color w:val="000000"/>
        </w:rPr>
        <w:t>O contrato não poderá ser prorrogado quando o contratado tiver sido penalizado nas sanções de declaração de inidoneidade ou impedimento de licitar e contratar com poder público, observadas as abrangências de aplicação.</w:t>
      </w:r>
    </w:p>
    <w:p w14:paraId="21203AB6"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TERCEIRA – MODELOS DE EXECUÇÃO E GESTÃO CONTRATUAIS (</w:t>
      </w:r>
      <w:hyperlink r:id="rId54" w:anchor="art92" w:history="1">
        <w:r w:rsidRPr="00D06CC0">
          <w:rPr>
            <w:rStyle w:val="Hyperlink"/>
            <w:rFonts w:ascii="Century Gothic" w:hAnsi="Century Gothic" w:cstheme="majorHAnsi"/>
          </w:rPr>
          <w:t>art. 92, IV, VII e XVIII)</w:t>
        </w:r>
      </w:hyperlink>
    </w:p>
    <w:p w14:paraId="6C792AB0"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O regime de execução contratual, os modelos de gestão e de execução, assim como os prazos e condições de conclusão, entrega, observação e recebimento do objeto constam no Termo de Referência, anexo a este Contrato.</w:t>
      </w:r>
    </w:p>
    <w:p w14:paraId="7F678238"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QUARTA – SUBCONTRATAÇÃO</w:t>
      </w:r>
    </w:p>
    <w:p w14:paraId="40FB87EB" w14:textId="77777777" w:rsidR="00F730F9" w:rsidRPr="00D06CC0" w:rsidRDefault="00F730F9" w:rsidP="00FB7D71">
      <w:pPr>
        <w:pStyle w:val="Nvel2-Red"/>
        <w:numPr>
          <w:ilvl w:val="0"/>
          <w:numId w:val="0"/>
        </w:numPr>
        <w:spacing w:line="240" w:lineRule="auto"/>
        <w:rPr>
          <w:rFonts w:ascii="Century Gothic" w:hAnsi="Century Gothic" w:cstheme="majorHAnsi"/>
          <w:i w:val="0"/>
          <w:iCs w:val="0"/>
          <w:color w:val="000000"/>
        </w:rPr>
      </w:pPr>
      <w:r w:rsidRPr="00D06CC0">
        <w:rPr>
          <w:rFonts w:ascii="Century Gothic" w:hAnsi="Century Gothic" w:cstheme="majorHAnsi"/>
          <w:i w:val="0"/>
          <w:iCs w:val="0"/>
          <w:color w:val="000000"/>
        </w:rPr>
        <w:t>Não será admitida a subcontratação do objeto contratual.</w:t>
      </w:r>
    </w:p>
    <w:p w14:paraId="0C9A19AB"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QUINTA – PREÇO (</w:t>
      </w:r>
      <w:hyperlink r:id="rId55" w:anchor="art92" w:history="1">
        <w:r w:rsidRPr="00D06CC0">
          <w:rPr>
            <w:rStyle w:val="Hyperlink"/>
            <w:rFonts w:ascii="Century Gothic" w:hAnsi="Century Gothic" w:cstheme="majorHAnsi"/>
          </w:rPr>
          <w:t>art. 92, V)</w:t>
        </w:r>
      </w:hyperlink>
    </w:p>
    <w:p w14:paraId="0ED759B0" w14:textId="77777777" w:rsidR="00F730F9" w:rsidRPr="00D06CC0" w:rsidRDefault="00F730F9" w:rsidP="00FB7D71">
      <w:pPr>
        <w:pStyle w:val="Nvel2-Red"/>
        <w:numPr>
          <w:ilvl w:val="0"/>
          <w:numId w:val="0"/>
        </w:numPr>
        <w:spacing w:line="240" w:lineRule="auto"/>
        <w:rPr>
          <w:rFonts w:ascii="Century Gothic" w:hAnsi="Century Gothic" w:cstheme="majorHAnsi"/>
          <w:i w:val="0"/>
          <w:iCs w:val="0"/>
          <w:color w:val="000000"/>
        </w:rPr>
      </w:pPr>
      <w:r w:rsidRPr="00D06CC0">
        <w:rPr>
          <w:rFonts w:ascii="Century Gothic" w:hAnsi="Century Gothic" w:cstheme="majorHAnsi"/>
          <w:i w:val="0"/>
          <w:iCs w:val="0"/>
          <w:color w:val="000000"/>
        </w:rPr>
        <w:t>O valor total da contratação é de R$.......... (.....)</w:t>
      </w:r>
    </w:p>
    <w:p w14:paraId="769880FD"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9951C3"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SEXTA - PAGAMENTO (</w:t>
      </w:r>
      <w:hyperlink r:id="rId56" w:anchor="art92" w:history="1">
        <w:r w:rsidRPr="00D06CC0">
          <w:rPr>
            <w:rStyle w:val="Hyperlink"/>
            <w:rFonts w:ascii="Century Gothic" w:hAnsi="Century Gothic" w:cstheme="majorHAnsi"/>
          </w:rPr>
          <w:t>art. 92, V e VI</w:t>
        </w:r>
      </w:hyperlink>
      <w:r w:rsidRPr="00D06CC0">
        <w:rPr>
          <w:rFonts w:ascii="Century Gothic" w:hAnsi="Century Gothic" w:cstheme="majorHAnsi"/>
        </w:rPr>
        <w:t>)</w:t>
      </w:r>
    </w:p>
    <w:p w14:paraId="3BE27663"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 xml:space="preserve">O prazo para pagamento </w:t>
      </w:r>
      <w:r w:rsidRPr="00D06CC0">
        <w:rPr>
          <w:rFonts w:ascii="Century Gothic" w:hAnsi="Century Gothic" w:cstheme="majorHAnsi"/>
          <w:color w:val="auto"/>
          <w:lang w:eastAsia="en-US"/>
        </w:rPr>
        <w:t>ao contratado</w:t>
      </w:r>
      <w:r w:rsidRPr="00D06CC0">
        <w:rPr>
          <w:rFonts w:ascii="Century Gothic" w:hAnsi="Century Gothic" w:cstheme="majorHAnsi"/>
        </w:rPr>
        <w:t xml:space="preserve"> e demais condições a ele referentes encontram-se definidos no Termo de Referência, anexo a este Contrato.</w:t>
      </w:r>
    </w:p>
    <w:p w14:paraId="79E497EA"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OITAVA - OBRIGAÇÕES DO CONTRATANTE (</w:t>
      </w:r>
      <w:hyperlink r:id="rId57" w:anchor="art92" w:history="1">
        <w:r w:rsidRPr="00D06CC0">
          <w:rPr>
            <w:rStyle w:val="Hyperlink"/>
            <w:rFonts w:ascii="Century Gothic" w:hAnsi="Century Gothic" w:cstheme="majorHAnsi"/>
          </w:rPr>
          <w:t>art. 92, X, XI e XIV</w:t>
        </w:r>
      </w:hyperlink>
      <w:r w:rsidRPr="00D06CC0">
        <w:rPr>
          <w:rFonts w:ascii="Century Gothic" w:hAnsi="Century Gothic" w:cstheme="majorHAnsi"/>
        </w:rPr>
        <w:t>)</w:t>
      </w:r>
    </w:p>
    <w:p w14:paraId="51A4F80C" w14:textId="77777777" w:rsidR="00F730F9" w:rsidRPr="00D06CC0" w:rsidRDefault="00F730F9" w:rsidP="00FB7D71">
      <w:pPr>
        <w:pStyle w:val="Nivel2"/>
        <w:numPr>
          <w:ilvl w:val="0"/>
          <w:numId w:val="0"/>
        </w:numPr>
        <w:spacing w:line="240" w:lineRule="auto"/>
        <w:rPr>
          <w:rFonts w:ascii="Century Gothic" w:hAnsi="Century Gothic" w:cstheme="majorHAnsi"/>
          <w:b/>
          <w:bCs/>
        </w:rPr>
      </w:pPr>
      <w:r w:rsidRPr="00D06CC0">
        <w:rPr>
          <w:rFonts w:ascii="Century Gothic" w:hAnsi="Century Gothic" w:cstheme="majorHAnsi"/>
        </w:rPr>
        <w:t>São obrigações do Contratante:</w:t>
      </w:r>
    </w:p>
    <w:p w14:paraId="40CCD0EE"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Exigir o cumprimento de todas as obrigações assumidas pelo Contratado, de acordo com o contrato e seus anexos;</w:t>
      </w:r>
    </w:p>
    <w:p w14:paraId="0C781BDF"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lastRenderedPageBreak/>
        <w:t>Receber o objeto no prazo e condições estabelecidas no Termo de Referência;</w:t>
      </w:r>
    </w:p>
    <w:p w14:paraId="76D1F294"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Notificar o Contratado, por escrito, sobre vícios, defeitos ou incorreções verificadas no objeto fornecido, para que seja por ele substituído, reparado ou corrigido, no total ou em parte, às suas expensas;</w:t>
      </w:r>
    </w:p>
    <w:p w14:paraId="6F541D49"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Acompanhar e fiscalizar a execução do contrato e o cumprimento das obrigações pelo Contratado;</w:t>
      </w:r>
    </w:p>
    <w:p w14:paraId="08F46DBD"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Efetuar o pagamento ao Contratado do valor correspondente ao fornecimento do objeto, no prazo, forma e condições estabelecidos no presente Contrato e no Termo de Referência.</w:t>
      </w:r>
    </w:p>
    <w:p w14:paraId="242294A6"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 xml:space="preserve">Aplicar ao Contratado as sanções previstas na lei e neste Contrato; </w:t>
      </w:r>
    </w:p>
    <w:p w14:paraId="5DAD657E"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Cientificar o órgão de representação judicial da Advocacia-Geral da União para adoção das medidas cabíveis quando do descumprimento de obrigações pelo Contratado;</w:t>
      </w:r>
    </w:p>
    <w:p w14:paraId="601B6DA9"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4AD2E6" w14:textId="77777777" w:rsidR="00F730F9" w:rsidRPr="00D06CC0" w:rsidRDefault="00F730F9" w:rsidP="00FB7D71">
      <w:pPr>
        <w:pStyle w:val="Nivel2"/>
        <w:numPr>
          <w:ilvl w:val="0"/>
          <w:numId w:val="0"/>
        </w:numPr>
        <w:spacing w:line="240" w:lineRule="auto"/>
        <w:rPr>
          <w:rFonts w:ascii="Century Gothic" w:hAnsi="Century Gothic" w:cstheme="majorHAnsi"/>
          <w:b/>
          <w:bCs/>
        </w:rPr>
      </w:pPr>
      <w:r w:rsidRPr="00D06CC0">
        <w:rPr>
          <w:rFonts w:ascii="Century Gothic" w:hAnsi="Century Gothic" w:cstheme="majorHAnsi"/>
        </w:rPr>
        <w:t>A Administração terá o prazo de</w:t>
      </w:r>
      <w:r w:rsidRPr="00D06CC0">
        <w:rPr>
          <w:rFonts w:ascii="Century Gothic" w:hAnsi="Century Gothic" w:cstheme="majorHAnsi"/>
          <w:i/>
          <w:iCs/>
          <w:color w:val="FF0000"/>
        </w:rPr>
        <w:t xml:space="preserve"> </w:t>
      </w:r>
      <w:r w:rsidRPr="00D06CC0">
        <w:rPr>
          <w:rFonts w:ascii="Century Gothic" w:hAnsi="Century Gothic" w:cstheme="majorHAnsi"/>
          <w:i/>
          <w:iCs/>
          <w:color w:val="auto"/>
        </w:rPr>
        <w:t>XXXXXXX</w:t>
      </w:r>
      <w:r w:rsidRPr="00D06CC0">
        <w:rPr>
          <w:rFonts w:ascii="Century Gothic" w:hAnsi="Century Gothic" w:cstheme="majorHAnsi"/>
          <w:color w:val="auto"/>
        </w:rPr>
        <w:t xml:space="preserve">, </w:t>
      </w:r>
      <w:r w:rsidRPr="00D06CC0">
        <w:rPr>
          <w:rFonts w:ascii="Century Gothic" w:hAnsi="Century Gothic" w:cstheme="majorHAnsi"/>
        </w:rPr>
        <w:t xml:space="preserve">a contar da data do protocolo do requerimento para decidir, admitida a prorrogação motivada, por igual período. </w:t>
      </w:r>
    </w:p>
    <w:p w14:paraId="2C89879D" w14:textId="77777777" w:rsidR="00F730F9" w:rsidRPr="00D06CC0" w:rsidRDefault="00F730F9" w:rsidP="00FB7D71">
      <w:pPr>
        <w:pStyle w:val="Nivel2"/>
        <w:numPr>
          <w:ilvl w:val="0"/>
          <w:numId w:val="0"/>
        </w:numPr>
        <w:spacing w:line="240" w:lineRule="auto"/>
        <w:rPr>
          <w:rFonts w:ascii="Century Gothic" w:hAnsi="Century Gothic" w:cstheme="majorHAnsi"/>
          <w:color w:val="auto"/>
        </w:rPr>
      </w:pPr>
      <w:r w:rsidRPr="00D06CC0">
        <w:rPr>
          <w:rFonts w:ascii="Century Gothic" w:hAnsi="Century Gothic" w:cstheme="majorHAnsi"/>
        </w:rPr>
        <w:t xml:space="preserve">Responder eventuais pedidos de reestabelecimento do equilíbrio econômico-financeiro feitos pelo contratado no prazo máximo de </w:t>
      </w:r>
      <w:r w:rsidRPr="00D06CC0">
        <w:rPr>
          <w:rFonts w:ascii="Century Gothic" w:hAnsi="Century Gothic" w:cstheme="majorHAnsi"/>
          <w:color w:val="auto"/>
        </w:rPr>
        <w:t>XXXXXX.</w:t>
      </w:r>
    </w:p>
    <w:p w14:paraId="33246582"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56ED0B"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NONA - OBRIGAÇÕES DO CONTRATADO (</w:t>
      </w:r>
      <w:hyperlink r:id="rId58" w:anchor="art92" w:history="1">
        <w:r w:rsidRPr="00D06CC0">
          <w:rPr>
            <w:rStyle w:val="Hyperlink"/>
            <w:rFonts w:ascii="Century Gothic" w:hAnsi="Century Gothic" w:cstheme="majorHAnsi"/>
          </w:rPr>
          <w:t>art. 92, XIV, XVI e XVII)</w:t>
        </w:r>
      </w:hyperlink>
    </w:p>
    <w:p w14:paraId="1FD0770B"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B73B5BE" w14:textId="77777777" w:rsidR="00F730F9" w:rsidRPr="00D06CC0" w:rsidRDefault="00F730F9" w:rsidP="00FB7D71">
      <w:pPr>
        <w:pStyle w:val="Nivel2"/>
        <w:numPr>
          <w:ilvl w:val="0"/>
          <w:numId w:val="0"/>
        </w:numPr>
        <w:spacing w:line="240" w:lineRule="auto"/>
        <w:rPr>
          <w:rFonts w:ascii="Century Gothic" w:hAnsi="Century Gothic" w:cstheme="majorHAnsi"/>
          <w:color w:val="000000" w:themeColor="text1"/>
        </w:rPr>
      </w:pPr>
      <w:r w:rsidRPr="00D06CC0">
        <w:rPr>
          <w:rFonts w:ascii="Century Gothic" w:hAnsi="Century Gothic" w:cstheme="majorHAnsi"/>
        </w:rPr>
        <w:t>Responsabilizar-se pelos vícios e danos decorrentes do objeto, de acordo com o Código de Defesa do Consumidor (</w:t>
      </w:r>
      <w:hyperlink r:id="rId59" w:history="1">
        <w:r w:rsidRPr="00D06CC0">
          <w:rPr>
            <w:rStyle w:val="Hyperlink"/>
            <w:rFonts w:ascii="Century Gothic" w:hAnsi="Century Gothic" w:cstheme="majorHAnsi"/>
          </w:rPr>
          <w:t>Lei nº 8.078, de 1990</w:t>
        </w:r>
      </w:hyperlink>
      <w:r w:rsidRPr="00D06CC0">
        <w:rPr>
          <w:rFonts w:ascii="Century Gothic" w:hAnsi="Century Gothic" w:cstheme="majorHAnsi"/>
        </w:rPr>
        <w:t>);</w:t>
      </w:r>
    </w:p>
    <w:p w14:paraId="410FFE35"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Comunicar ao contratante, no prazo máximo de 24 (vinte e quatro) horas que antecede a data da entrega, os motivos que impossibilitem o cumprimento do prazo previsto, com a devida comprovação;</w:t>
      </w:r>
    </w:p>
    <w:p w14:paraId="1D981C56" w14:textId="77777777" w:rsidR="00F730F9" w:rsidRPr="00D06CC0" w:rsidRDefault="00F730F9" w:rsidP="00FB7D71">
      <w:pPr>
        <w:pStyle w:val="Nivel2"/>
        <w:numPr>
          <w:ilvl w:val="0"/>
          <w:numId w:val="0"/>
        </w:numPr>
        <w:spacing w:line="240" w:lineRule="auto"/>
        <w:rPr>
          <w:rFonts w:ascii="Century Gothic" w:hAnsi="Century Gothic" w:cstheme="majorHAnsi"/>
          <w:color w:val="000000" w:themeColor="text1"/>
        </w:rPr>
      </w:pPr>
      <w:r w:rsidRPr="00D06CC0">
        <w:rPr>
          <w:rFonts w:ascii="Century Gothic" w:hAnsi="Century Gothic" w:cstheme="majorHAnsi"/>
          <w:color w:val="000000" w:themeColor="text1"/>
        </w:rPr>
        <w:t xml:space="preserve">Atender </w:t>
      </w:r>
      <w:r w:rsidRPr="00D06CC0">
        <w:rPr>
          <w:rFonts w:ascii="Century Gothic" w:hAnsi="Century Gothic" w:cstheme="majorHAnsi"/>
        </w:rPr>
        <w:t>às</w:t>
      </w:r>
      <w:r w:rsidRPr="00D06CC0">
        <w:rPr>
          <w:rFonts w:ascii="Century Gothic" w:hAnsi="Century Gothic" w:cstheme="majorHAnsi"/>
          <w:color w:val="000000" w:themeColor="text1"/>
        </w:rPr>
        <w:t xml:space="preserve"> determinações regulares emitidas pelo fiscal ou gestor do contrato ou autoridade superior (</w:t>
      </w:r>
      <w:hyperlink r:id="rId60" w:anchor="art137" w:history="1">
        <w:r w:rsidRPr="00D06CC0">
          <w:rPr>
            <w:rStyle w:val="Hyperlink"/>
            <w:rFonts w:ascii="Century Gothic" w:hAnsi="Century Gothic" w:cstheme="majorHAnsi"/>
          </w:rPr>
          <w:t>art. 137, II, da Lei n.º 14.133, de 2021</w:t>
        </w:r>
      </w:hyperlink>
      <w:r w:rsidRPr="00D06CC0">
        <w:rPr>
          <w:rFonts w:ascii="Century Gothic" w:hAnsi="Century Gothic" w:cstheme="majorHAnsi"/>
          <w:color w:val="000000" w:themeColor="text1"/>
        </w:rPr>
        <w:t xml:space="preserve">) e </w:t>
      </w:r>
      <w:r w:rsidRPr="00D06CC0">
        <w:rPr>
          <w:rFonts w:ascii="Century Gothic" w:hAnsi="Century Gothic" w:cstheme="majorHAnsi"/>
        </w:rPr>
        <w:t>prestar todo esclarecimento ou informação por eles solicitados</w:t>
      </w:r>
      <w:r w:rsidRPr="00D06CC0">
        <w:rPr>
          <w:rFonts w:ascii="Century Gothic" w:hAnsi="Century Gothic" w:cstheme="majorHAnsi"/>
          <w:color w:val="000000" w:themeColor="text1"/>
        </w:rPr>
        <w:t>;</w:t>
      </w:r>
    </w:p>
    <w:p w14:paraId="6F83C3FD"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D02BC52"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w:t>
      </w:r>
      <w:r w:rsidRPr="00D06CC0">
        <w:rPr>
          <w:rFonts w:ascii="Century Gothic" w:hAnsi="Century Gothic" w:cstheme="majorHAnsi"/>
        </w:rPr>
        <w:lastRenderedPageBreak/>
        <w:t>autorizado a descontar dos pagamentos devidos ou da garantia, caso exigida, o valor correspondente aos danos sofridos;</w:t>
      </w:r>
    </w:p>
    <w:p w14:paraId="5CFF4F8F"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99BFC83"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330616"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Comunicar ao Fiscal do contrato, no prazo de 24 (vinte e quatro) horas, qualquer ocorrência anormal ou acidente que se verifique no local da execução do objeto contratual.</w:t>
      </w:r>
    </w:p>
    <w:p w14:paraId="407D1AF6"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Paralisar, por determinação do contratante, qualquer atividade que não esteja sendo executada de acordo com a boa técnica ou que ponha em risco a segurança de pessoas ou bens de terceiros.</w:t>
      </w:r>
    </w:p>
    <w:p w14:paraId="1A802637"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 xml:space="preserve">Manter durante toda a vigência do contrato, em compatibilidade com as obrigações assumidas, todas as condições exigidas para habilitação na licitação; </w:t>
      </w:r>
    </w:p>
    <w:p w14:paraId="4146BB7C" w14:textId="77777777" w:rsidR="00F730F9" w:rsidRPr="00D06CC0" w:rsidRDefault="00F730F9" w:rsidP="00FB7D71">
      <w:pPr>
        <w:pStyle w:val="Nivel2"/>
        <w:spacing w:line="240" w:lineRule="auto"/>
        <w:rPr>
          <w:rFonts w:ascii="Century Gothic" w:hAnsi="Century Gothic" w:cstheme="majorHAnsi"/>
          <w:b/>
          <w:bCs/>
        </w:rPr>
      </w:pPr>
      <w:r w:rsidRPr="00D06CC0">
        <w:rPr>
          <w:rFonts w:ascii="Century Gothic" w:hAnsi="Century Gothic" w:cstheme="majorHAnsi"/>
        </w:rPr>
        <w:t>Cumprir, durante todo o período de execução do contrato, a reserva de cargos prevista em lei para pessoa com deficiência, para reabilitado da Previdência Social ou para aprendiz, bem como as reservas de cargos previstas na legislação (</w:t>
      </w:r>
      <w:hyperlink r:id="rId61" w:anchor="art116" w:history="1">
        <w:r w:rsidRPr="00D06CC0">
          <w:rPr>
            <w:rStyle w:val="Hyperlink"/>
            <w:rFonts w:ascii="Century Gothic" w:hAnsi="Century Gothic" w:cstheme="majorHAnsi"/>
          </w:rPr>
          <w:t>art. 116, da Lei n.º 14.133, de 2021</w:t>
        </w:r>
      </w:hyperlink>
      <w:r w:rsidRPr="00D06CC0">
        <w:rPr>
          <w:rFonts w:ascii="Century Gothic" w:hAnsi="Century Gothic" w:cstheme="majorHAnsi"/>
        </w:rPr>
        <w:t>);</w:t>
      </w:r>
    </w:p>
    <w:p w14:paraId="51936407"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Comprovar a reserva de cargos a que se refere a cláusula acima, no prazo fixado pelo fiscal do contrato, com a indicação dos empregados que preencheram as referidas vagas (</w:t>
      </w:r>
      <w:hyperlink r:id="rId62" w:anchor="art116" w:history="1">
        <w:r w:rsidRPr="00D06CC0">
          <w:rPr>
            <w:rStyle w:val="Hyperlink"/>
            <w:rFonts w:ascii="Century Gothic" w:hAnsi="Century Gothic" w:cstheme="majorHAnsi"/>
          </w:rPr>
          <w:t>art. 116, parágrafo único, da Lei n.º 14.133, de 2021</w:t>
        </w:r>
      </w:hyperlink>
      <w:r w:rsidRPr="00D06CC0">
        <w:rPr>
          <w:rFonts w:ascii="Century Gothic" w:hAnsi="Century Gothic" w:cstheme="majorHAnsi"/>
        </w:rPr>
        <w:t>);</w:t>
      </w:r>
    </w:p>
    <w:p w14:paraId="1E715489"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 xml:space="preserve">  Guardar sigilo sobre todas as informações obtidas em decorrência do cumprimento do contrato; </w:t>
      </w:r>
    </w:p>
    <w:p w14:paraId="7CC4C623"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anchor="art124" w:history="1">
        <w:r w:rsidRPr="00D06CC0">
          <w:rPr>
            <w:rStyle w:val="Hyperlink"/>
            <w:rFonts w:ascii="Century Gothic" w:hAnsi="Century Gothic" w:cstheme="majorHAnsi"/>
          </w:rPr>
          <w:t>art. 124, II, d, da Lei nº 14.133, de 2021.</w:t>
        </w:r>
      </w:hyperlink>
    </w:p>
    <w:p w14:paraId="23F219AA"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Cumprir, além dos postulados legais vigentes de âmbito federal, estadual ou municipal, as normas de segurança do contratante;</w:t>
      </w:r>
    </w:p>
    <w:p w14:paraId="19CF466F"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DÉCIMA– GARANTIA DE EXECUÇÃO (</w:t>
      </w:r>
      <w:hyperlink r:id="rId64" w:anchor="art92" w:history="1">
        <w:r w:rsidRPr="00D06CC0">
          <w:rPr>
            <w:rStyle w:val="Hyperlink"/>
            <w:rFonts w:ascii="Century Gothic" w:hAnsi="Century Gothic" w:cstheme="majorHAnsi"/>
          </w:rPr>
          <w:t>art. 92, XII</w:t>
        </w:r>
      </w:hyperlink>
      <w:r w:rsidRPr="00D06CC0">
        <w:rPr>
          <w:rFonts w:ascii="Century Gothic" w:hAnsi="Century Gothic" w:cstheme="majorHAnsi"/>
        </w:rPr>
        <w:t>)</w:t>
      </w:r>
    </w:p>
    <w:p w14:paraId="3FCDC23A" w14:textId="77777777" w:rsidR="00F730F9" w:rsidRPr="00D06CC0" w:rsidRDefault="00F730F9" w:rsidP="00FB7D71">
      <w:pPr>
        <w:pStyle w:val="Nvel2-Red"/>
        <w:spacing w:line="240" w:lineRule="auto"/>
        <w:rPr>
          <w:rFonts w:ascii="Century Gothic" w:hAnsi="Century Gothic" w:cstheme="majorHAnsi"/>
          <w:i w:val="0"/>
          <w:iCs w:val="0"/>
          <w:color w:val="000000"/>
        </w:rPr>
      </w:pPr>
      <w:r w:rsidRPr="00D06CC0">
        <w:rPr>
          <w:rFonts w:ascii="Century Gothic" w:hAnsi="Century Gothic" w:cstheme="majorHAnsi"/>
          <w:i w:val="0"/>
          <w:iCs w:val="0"/>
          <w:color w:val="000000"/>
        </w:rPr>
        <w:t xml:space="preserve">  Não haverá exigência de garantia contratual da execução.</w:t>
      </w:r>
    </w:p>
    <w:p w14:paraId="53A103DC"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DÉCIMA PRIMEIRA – INFRAÇÕES E SANÇÕES ADMINISTRATIVAS (</w:t>
      </w:r>
      <w:hyperlink r:id="rId65" w:anchor="art92" w:history="1">
        <w:r w:rsidRPr="00D06CC0">
          <w:rPr>
            <w:rStyle w:val="Hyperlink"/>
            <w:rFonts w:ascii="Century Gothic" w:hAnsi="Century Gothic" w:cstheme="majorHAnsi"/>
          </w:rPr>
          <w:t>art. 92, XIV</w:t>
        </w:r>
      </w:hyperlink>
      <w:r w:rsidRPr="00D06CC0">
        <w:rPr>
          <w:rFonts w:ascii="Century Gothic" w:hAnsi="Century Gothic" w:cstheme="majorHAnsi"/>
        </w:rPr>
        <w:t>)</w:t>
      </w:r>
    </w:p>
    <w:p w14:paraId="631DF220"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 xml:space="preserve">Comete infração administrativa, nos termos da </w:t>
      </w:r>
      <w:hyperlink r:id="rId66" w:history="1">
        <w:r w:rsidRPr="00D06CC0">
          <w:rPr>
            <w:rStyle w:val="Hyperlink"/>
            <w:rFonts w:ascii="Century Gothic" w:hAnsi="Century Gothic" w:cstheme="majorHAnsi"/>
          </w:rPr>
          <w:t>Lei nº 14.133, de 2021</w:t>
        </w:r>
      </w:hyperlink>
      <w:r w:rsidRPr="00D06CC0">
        <w:rPr>
          <w:rFonts w:ascii="Century Gothic" w:hAnsi="Century Gothic" w:cstheme="majorHAnsi"/>
        </w:rPr>
        <w:t>, o contratado que:</w:t>
      </w:r>
    </w:p>
    <w:p w14:paraId="0EDEA259" w14:textId="77777777" w:rsidR="00F730F9" w:rsidRPr="00D06CC0" w:rsidRDefault="00F730F9" w:rsidP="00655B0D">
      <w:pPr>
        <w:numPr>
          <w:ilvl w:val="2"/>
          <w:numId w:val="20"/>
        </w:numPr>
        <w:suppressAutoHyphens/>
        <w:spacing w:before="120" w:after="120"/>
        <w:ind w:left="0" w:firstLine="0"/>
        <w:jc w:val="both"/>
        <w:rPr>
          <w:rFonts w:ascii="Century Gothic" w:eastAsia="Arial" w:hAnsi="Century Gothic" w:cstheme="majorHAnsi"/>
          <w:sz w:val="20"/>
          <w:szCs w:val="20"/>
        </w:rPr>
      </w:pPr>
      <w:r w:rsidRPr="00D06CC0">
        <w:rPr>
          <w:rFonts w:ascii="Century Gothic" w:eastAsia="Arial" w:hAnsi="Century Gothic" w:cstheme="majorHAnsi"/>
          <w:sz w:val="20"/>
          <w:szCs w:val="20"/>
        </w:rPr>
        <w:lastRenderedPageBreak/>
        <w:t>der causa à inexecução parcial do contrato;</w:t>
      </w:r>
    </w:p>
    <w:p w14:paraId="0E06F951" w14:textId="77777777" w:rsidR="00F730F9" w:rsidRPr="00D06CC0" w:rsidRDefault="00F730F9" w:rsidP="00655B0D">
      <w:pPr>
        <w:numPr>
          <w:ilvl w:val="2"/>
          <w:numId w:val="20"/>
        </w:numPr>
        <w:suppressAutoHyphens/>
        <w:spacing w:before="120" w:after="120"/>
        <w:ind w:left="0" w:firstLine="0"/>
        <w:jc w:val="both"/>
        <w:rPr>
          <w:rFonts w:ascii="Century Gothic" w:eastAsia="Arial" w:hAnsi="Century Gothic" w:cstheme="majorHAnsi"/>
          <w:sz w:val="20"/>
          <w:szCs w:val="20"/>
        </w:rPr>
      </w:pPr>
      <w:r w:rsidRPr="00D06CC0">
        <w:rPr>
          <w:rFonts w:ascii="Century Gothic" w:eastAsia="Arial" w:hAnsi="Century Gothic" w:cstheme="majorHAnsi"/>
          <w:sz w:val="20"/>
          <w:szCs w:val="20"/>
        </w:rPr>
        <w:t>der causa à inexecução parcial do contrato que cause grave dano à Administração ou ao funcionamento dos serviços públicos ou ao interesse coletivo;</w:t>
      </w:r>
    </w:p>
    <w:p w14:paraId="3C9748C1" w14:textId="77777777" w:rsidR="00F730F9" w:rsidRPr="00D06CC0" w:rsidRDefault="00F730F9" w:rsidP="00655B0D">
      <w:pPr>
        <w:numPr>
          <w:ilvl w:val="2"/>
          <w:numId w:val="20"/>
        </w:numPr>
        <w:suppressAutoHyphens/>
        <w:spacing w:before="120" w:after="120"/>
        <w:ind w:left="0" w:firstLine="0"/>
        <w:jc w:val="both"/>
        <w:rPr>
          <w:rFonts w:ascii="Century Gothic" w:eastAsia="Arial" w:hAnsi="Century Gothic" w:cstheme="majorHAnsi"/>
          <w:sz w:val="20"/>
          <w:szCs w:val="20"/>
        </w:rPr>
      </w:pPr>
      <w:r w:rsidRPr="00D06CC0">
        <w:rPr>
          <w:rFonts w:ascii="Century Gothic" w:eastAsia="Arial" w:hAnsi="Century Gothic" w:cstheme="majorHAnsi"/>
          <w:sz w:val="20"/>
          <w:szCs w:val="20"/>
        </w:rPr>
        <w:t>der causa à inexecução total do contrato;</w:t>
      </w:r>
    </w:p>
    <w:p w14:paraId="12CEF406" w14:textId="77777777" w:rsidR="00F730F9" w:rsidRPr="00D06CC0" w:rsidRDefault="00F730F9" w:rsidP="00655B0D">
      <w:pPr>
        <w:numPr>
          <w:ilvl w:val="2"/>
          <w:numId w:val="20"/>
        </w:numPr>
        <w:suppressAutoHyphens/>
        <w:spacing w:before="120" w:after="120"/>
        <w:ind w:left="0" w:firstLine="0"/>
        <w:jc w:val="both"/>
        <w:rPr>
          <w:rFonts w:ascii="Century Gothic" w:eastAsia="Arial" w:hAnsi="Century Gothic" w:cstheme="majorHAnsi"/>
          <w:sz w:val="20"/>
          <w:szCs w:val="20"/>
        </w:rPr>
      </w:pPr>
      <w:r w:rsidRPr="00D06CC0">
        <w:rPr>
          <w:rFonts w:ascii="Century Gothic" w:eastAsia="Arial" w:hAnsi="Century Gothic" w:cstheme="majorHAnsi"/>
          <w:sz w:val="20"/>
          <w:szCs w:val="20"/>
        </w:rPr>
        <w:t>ensejar o retardamento da execução ou da entrega do objeto da contratação sem motivo justificado;</w:t>
      </w:r>
    </w:p>
    <w:p w14:paraId="287450D7" w14:textId="77777777" w:rsidR="00F730F9" w:rsidRPr="00D06CC0" w:rsidRDefault="00F730F9" w:rsidP="00655B0D">
      <w:pPr>
        <w:numPr>
          <w:ilvl w:val="2"/>
          <w:numId w:val="20"/>
        </w:numPr>
        <w:suppressAutoHyphens/>
        <w:spacing w:before="120" w:after="120"/>
        <w:ind w:left="0" w:firstLine="0"/>
        <w:jc w:val="both"/>
        <w:rPr>
          <w:rFonts w:ascii="Century Gothic" w:eastAsia="Arial" w:hAnsi="Century Gothic" w:cstheme="majorHAnsi"/>
          <w:sz w:val="20"/>
          <w:szCs w:val="20"/>
        </w:rPr>
      </w:pPr>
      <w:r w:rsidRPr="00D06CC0">
        <w:rPr>
          <w:rFonts w:ascii="Century Gothic" w:eastAsia="Arial" w:hAnsi="Century Gothic" w:cstheme="majorHAnsi"/>
          <w:sz w:val="20"/>
          <w:szCs w:val="20"/>
        </w:rPr>
        <w:t>apresentar documentação falsa ou prestar declaração falsa durante a execução do contrato;</w:t>
      </w:r>
    </w:p>
    <w:p w14:paraId="114E0699" w14:textId="77777777" w:rsidR="00F730F9" w:rsidRPr="00D06CC0" w:rsidRDefault="00F730F9" w:rsidP="00655B0D">
      <w:pPr>
        <w:numPr>
          <w:ilvl w:val="2"/>
          <w:numId w:val="20"/>
        </w:numPr>
        <w:suppressAutoHyphens/>
        <w:spacing w:before="120" w:after="120"/>
        <w:ind w:left="0" w:firstLine="0"/>
        <w:jc w:val="both"/>
        <w:rPr>
          <w:rFonts w:ascii="Century Gothic" w:eastAsia="Arial" w:hAnsi="Century Gothic" w:cstheme="majorHAnsi"/>
          <w:sz w:val="20"/>
          <w:szCs w:val="20"/>
        </w:rPr>
      </w:pPr>
      <w:r w:rsidRPr="00D06CC0">
        <w:rPr>
          <w:rFonts w:ascii="Century Gothic" w:eastAsia="Arial" w:hAnsi="Century Gothic" w:cstheme="majorHAnsi"/>
          <w:sz w:val="20"/>
          <w:szCs w:val="20"/>
        </w:rPr>
        <w:t>praticar ato fraudulento na execução do contrato;</w:t>
      </w:r>
    </w:p>
    <w:p w14:paraId="795FE1C9" w14:textId="77777777" w:rsidR="00F730F9" w:rsidRPr="00D06CC0" w:rsidRDefault="00F730F9" w:rsidP="00655B0D">
      <w:pPr>
        <w:numPr>
          <w:ilvl w:val="2"/>
          <w:numId w:val="20"/>
        </w:numPr>
        <w:suppressAutoHyphens/>
        <w:spacing w:before="120" w:after="120"/>
        <w:ind w:left="0" w:firstLine="0"/>
        <w:jc w:val="both"/>
        <w:rPr>
          <w:rFonts w:ascii="Century Gothic" w:eastAsia="Arial" w:hAnsi="Century Gothic" w:cstheme="majorHAnsi"/>
          <w:sz w:val="20"/>
          <w:szCs w:val="20"/>
        </w:rPr>
      </w:pPr>
      <w:r w:rsidRPr="00D06CC0">
        <w:rPr>
          <w:rFonts w:ascii="Century Gothic" w:eastAsia="Arial" w:hAnsi="Century Gothic" w:cstheme="majorHAnsi"/>
          <w:sz w:val="20"/>
          <w:szCs w:val="20"/>
        </w:rPr>
        <w:t>comportar-se de modo inidôneo ou cometer fraude de qualquer natureza;</w:t>
      </w:r>
    </w:p>
    <w:p w14:paraId="6E65E3C9" w14:textId="77777777" w:rsidR="00F730F9" w:rsidRPr="00D06CC0" w:rsidRDefault="00F730F9" w:rsidP="00655B0D">
      <w:pPr>
        <w:numPr>
          <w:ilvl w:val="2"/>
          <w:numId w:val="20"/>
        </w:numPr>
        <w:suppressAutoHyphens/>
        <w:spacing w:before="120" w:after="120"/>
        <w:ind w:left="0" w:firstLine="0"/>
        <w:jc w:val="both"/>
        <w:rPr>
          <w:rFonts w:ascii="Century Gothic" w:eastAsia="Arial" w:hAnsi="Century Gothic" w:cstheme="majorHAnsi"/>
          <w:sz w:val="20"/>
          <w:szCs w:val="20"/>
        </w:rPr>
      </w:pPr>
      <w:r w:rsidRPr="00D06CC0">
        <w:rPr>
          <w:rFonts w:ascii="Century Gothic" w:eastAsia="Arial" w:hAnsi="Century Gothic" w:cstheme="majorHAnsi"/>
          <w:sz w:val="20"/>
          <w:szCs w:val="20"/>
        </w:rPr>
        <w:t xml:space="preserve">praticar ato lesivo previsto no </w:t>
      </w:r>
      <w:hyperlink r:id="rId67" w:anchor="art5" w:history="1">
        <w:r w:rsidRPr="00D06CC0">
          <w:rPr>
            <w:rStyle w:val="Hyperlink"/>
            <w:rFonts w:ascii="Century Gothic" w:eastAsia="Arial" w:hAnsi="Century Gothic" w:cstheme="majorHAnsi"/>
            <w:sz w:val="20"/>
            <w:szCs w:val="20"/>
          </w:rPr>
          <w:t>art. 5º da Lei nº 12.846, de 1º de agosto de 2013</w:t>
        </w:r>
      </w:hyperlink>
      <w:r w:rsidRPr="00D06CC0">
        <w:rPr>
          <w:rFonts w:ascii="Century Gothic" w:eastAsia="Arial" w:hAnsi="Century Gothic" w:cstheme="majorHAnsi"/>
          <w:sz w:val="20"/>
          <w:szCs w:val="20"/>
        </w:rPr>
        <w:t>.</w:t>
      </w:r>
    </w:p>
    <w:p w14:paraId="55E09B51"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Serão aplicadas ao contratado que incorrer nas infrações acima descritas as seguintes sanções:</w:t>
      </w:r>
    </w:p>
    <w:p w14:paraId="24B351A9" w14:textId="77777777" w:rsidR="00F730F9" w:rsidRPr="00D06CC0" w:rsidRDefault="00F730F9" w:rsidP="00655B0D">
      <w:pPr>
        <w:pStyle w:val="PargrafodaLista"/>
        <w:numPr>
          <w:ilvl w:val="0"/>
          <w:numId w:val="21"/>
        </w:numPr>
        <w:suppressAutoHyphens/>
        <w:spacing w:before="120" w:after="120"/>
        <w:ind w:left="0" w:firstLine="0"/>
        <w:jc w:val="both"/>
        <w:rPr>
          <w:rFonts w:ascii="Century Gothic" w:eastAsia="Arial" w:hAnsi="Century Gothic" w:cstheme="majorHAnsi"/>
          <w:sz w:val="20"/>
          <w:szCs w:val="20"/>
        </w:rPr>
      </w:pPr>
      <w:r w:rsidRPr="00D06CC0">
        <w:rPr>
          <w:rFonts w:ascii="Century Gothic" w:eastAsia="Arial" w:hAnsi="Century Gothic" w:cstheme="majorHAnsi"/>
          <w:b/>
          <w:bCs/>
          <w:sz w:val="20"/>
          <w:szCs w:val="20"/>
        </w:rPr>
        <w:t>Advertência</w:t>
      </w:r>
      <w:r w:rsidRPr="00D06CC0">
        <w:rPr>
          <w:rFonts w:ascii="Century Gothic" w:eastAsia="Arial" w:hAnsi="Century Gothic" w:cstheme="majorHAnsi"/>
          <w:sz w:val="20"/>
          <w:szCs w:val="20"/>
        </w:rPr>
        <w:t>, quando o contratado der causa à inexecução parcial do contrato, sempre que não se justificar a imposição de penalidade mais grave (</w:t>
      </w:r>
      <w:hyperlink r:id="rId68" w:anchor="art156§2" w:history="1">
        <w:r w:rsidRPr="00D06CC0">
          <w:rPr>
            <w:rStyle w:val="Hyperlink"/>
            <w:rFonts w:ascii="Century Gothic" w:eastAsia="Arial" w:hAnsi="Century Gothic" w:cstheme="majorHAnsi"/>
            <w:sz w:val="20"/>
            <w:szCs w:val="20"/>
          </w:rPr>
          <w:t xml:space="preserve">art. 156, §2º, da </w:t>
        </w:r>
        <w:bookmarkStart w:id="43" w:name="_Hlk114504069"/>
        <w:r w:rsidRPr="00D06CC0">
          <w:rPr>
            <w:rStyle w:val="Hyperlink"/>
            <w:rFonts w:ascii="Century Gothic" w:eastAsia="Arial" w:hAnsi="Century Gothic" w:cstheme="majorHAnsi"/>
            <w:sz w:val="20"/>
            <w:szCs w:val="20"/>
          </w:rPr>
          <w:t>Lei nº 14.133, de 2021</w:t>
        </w:r>
        <w:bookmarkEnd w:id="43"/>
      </w:hyperlink>
      <w:r w:rsidRPr="00D06CC0">
        <w:rPr>
          <w:rFonts w:ascii="Century Gothic" w:eastAsia="Arial" w:hAnsi="Century Gothic" w:cstheme="majorHAnsi"/>
          <w:sz w:val="20"/>
          <w:szCs w:val="20"/>
        </w:rPr>
        <w:t>);</w:t>
      </w:r>
    </w:p>
    <w:p w14:paraId="0E509511" w14:textId="77777777" w:rsidR="00F730F9" w:rsidRPr="00D06CC0" w:rsidRDefault="00F730F9" w:rsidP="00655B0D">
      <w:pPr>
        <w:pStyle w:val="PargrafodaLista"/>
        <w:numPr>
          <w:ilvl w:val="0"/>
          <w:numId w:val="21"/>
        </w:numPr>
        <w:suppressAutoHyphens/>
        <w:spacing w:before="120" w:after="120"/>
        <w:ind w:left="0" w:firstLine="0"/>
        <w:jc w:val="both"/>
        <w:rPr>
          <w:rFonts w:ascii="Century Gothic" w:eastAsia="Arial" w:hAnsi="Century Gothic" w:cstheme="majorHAnsi"/>
          <w:sz w:val="20"/>
          <w:szCs w:val="20"/>
        </w:rPr>
      </w:pPr>
      <w:r w:rsidRPr="00D06CC0">
        <w:rPr>
          <w:rFonts w:ascii="Century Gothic" w:eastAsia="Arial" w:hAnsi="Century Gothic" w:cstheme="majorHAnsi"/>
          <w:b/>
          <w:bCs/>
          <w:sz w:val="20"/>
          <w:szCs w:val="20"/>
        </w:rPr>
        <w:t>Impedimento de licitar e contratar</w:t>
      </w:r>
      <w:r w:rsidRPr="00D06CC0">
        <w:rPr>
          <w:rFonts w:ascii="Century Gothic" w:eastAsia="Arial" w:hAnsi="Century Gothic" w:cstheme="majorHAnsi"/>
          <w:sz w:val="20"/>
          <w:szCs w:val="20"/>
        </w:rPr>
        <w:t>, quando praticadas as condutas descritas nas alíneas “b”, “c” e “d” do subitem acima deste Contrato, sempre que não se justificar a imposição de penalidade mais grave (</w:t>
      </w:r>
      <w:hyperlink r:id="rId69" w:anchor="art156§4" w:history="1">
        <w:r w:rsidRPr="00D06CC0">
          <w:rPr>
            <w:rStyle w:val="Hyperlink"/>
            <w:rFonts w:ascii="Century Gothic" w:eastAsia="Arial" w:hAnsi="Century Gothic" w:cstheme="majorHAnsi"/>
            <w:sz w:val="20"/>
            <w:szCs w:val="20"/>
          </w:rPr>
          <w:t>art. 156, § 4º, da Lei nº 14.133, de 2021</w:t>
        </w:r>
      </w:hyperlink>
      <w:r w:rsidRPr="00D06CC0">
        <w:rPr>
          <w:rFonts w:ascii="Century Gothic" w:eastAsia="Arial" w:hAnsi="Century Gothic" w:cstheme="majorHAnsi"/>
          <w:sz w:val="20"/>
          <w:szCs w:val="20"/>
        </w:rPr>
        <w:t>);</w:t>
      </w:r>
    </w:p>
    <w:p w14:paraId="44736A64" w14:textId="77777777" w:rsidR="00F730F9" w:rsidRPr="00D06CC0" w:rsidRDefault="00F730F9" w:rsidP="00655B0D">
      <w:pPr>
        <w:pStyle w:val="PargrafodaLista"/>
        <w:numPr>
          <w:ilvl w:val="0"/>
          <w:numId w:val="21"/>
        </w:numPr>
        <w:suppressAutoHyphens/>
        <w:spacing w:before="120" w:after="120"/>
        <w:ind w:left="0" w:firstLine="0"/>
        <w:jc w:val="both"/>
        <w:rPr>
          <w:rFonts w:ascii="Century Gothic" w:eastAsia="Arial" w:hAnsi="Century Gothic" w:cstheme="majorHAnsi"/>
          <w:sz w:val="20"/>
          <w:szCs w:val="20"/>
        </w:rPr>
      </w:pPr>
      <w:r w:rsidRPr="00D06CC0">
        <w:rPr>
          <w:rFonts w:ascii="Century Gothic" w:eastAsia="Arial" w:hAnsi="Century Gothic" w:cstheme="majorHAnsi"/>
          <w:b/>
          <w:bCs/>
          <w:sz w:val="20"/>
          <w:szCs w:val="20"/>
        </w:rPr>
        <w:t>Declaração de inidoneidade para licitar e contratar</w:t>
      </w:r>
      <w:r w:rsidRPr="00D06CC0">
        <w:rPr>
          <w:rFonts w:ascii="Century Gothic" w:eastAsia="Arial" w:hAnsi="Century Gothic" w:cstheme="majorHAnsi"/>
          <w:sz w:val="20"/>
          <w:szCs w:val="20"/>
        </w:rPr>
        <w:t>, quando praticadas as condutas descritas nas alíneas “e”, “f”, “g” e “h” do subitem acima deste Contrato, bem como nas alíneas “b”, “c” e “d”, que justifiquem a imposição de penalidade mais grave (</w:t>
      </w:r>
      <w:hyperlink r:id="rId70" w:anchor="art156§5" w:history="1">
        <w:r w:rsidRPr="00D06CC0">
          <w:rPr>
            <w:rStyle w:val="Hyperlink"/>
            <w:rFonts w:ascii="Century Gothic" w:eastAsia="Arial" w:hAnsi="Century Gothic" w:cstheme="majorHAnsi"/>
            <w:sz w:val="20"/>
            <w:szCs w:val="20"/>
          </w:rPr>
          <w:t>art. 156, §5º, da Lei nº 14.133, de 2021</w:t>
        </w:r>
      </w:hyperlink>
      <w:r w:rsidRPr="00D06CC0">
        <w:rPr>
          <w:rFonts w:ascii="Century Gothic" w:eastAsia="Arial" w:hAnsi="Century Gothic" w:cstheme="majorHAnsi"/>
          <w:sz w:val="20"/>
          <w:szCs w:val="20"/>
        </w:rPr>
        <w:t>).</w:t>
      </w:r>
    </w:p>
    <w:p w14:paraId="1AC56788" w14:textId="77777777" w:rsidR="00F730F9" w:rsidRPr="00D06CC0" w:rsidRDefault="00F730F9" w:rsidP="00655B0D">
      <w:pPr>
        <w:pStyle w:val="PargrafodaLista"/>
        <w:numPr>
          <w:ilvl w:val="0"/>
          <w:numId w:val="21"/>
        </w:numPr>
        <w:suppressAutoHyphens/>
        <w:spacing w:before="120" w:after="120"/>
        <w:ind w:left="0" w:firstLine="0"/>
        <w:jc w:val="both"/>
        <w:rPr>
          <w:rFonts w:ascii="Century Gothic" w:eastAsia="Arial" w:hAnsi="Century Gothic" w:cstheme="majorHAnsi"/>
          <w:sz w:val="20"/>
          <w:szCs w:val="20"/>
        </w:rPr>
      </w:pPr>
      <w:r w:rsidRPr="00D06CC0">
        <w:rPr>
          <w:rFonts w:ascii="Century Gothic" w:eastAsia="Arial" w:hAnsi="Century Gothic" w:cstheme="majorHAnsi"/>
          <w:b/>
          <w:bCs/>
          <w:sz w:val="20"/>
          <w:szCs w:val="20"/>
        </w:rPr>
        <w:t>Multa:</w:t>
      </w:r>
    </w:p>
    <w:p w14:paraId="222180C9"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A aplicação das sanções previstas neste Contrato não exclui, em hipótese alguma, a obrigação de reparação integral do dano causado ao Contratante (</w:t>
      </w:r>
      <w:hyperlink r:id="rId71" w:anchor="art156§9" w:history="1">
        <w:r w:rsidRPr="00D06CC0">
          <w:rPr>
            <w:rStyle w:val="Hyperlink"/>
            <w:rFonts w:ascii="Century Gothic" w:hAnsi="Century Gothic" w:cstheme="majorHAnsi"/>
          </w:rPr>
          <w:t>art. 156, §9º, da Lei nº 14.133, de 2021</w:t>
        </w:r>
      </w:hyperlink>
      <w:r w:rsidRPr="00D06CC0">
        <w:rPr>
          <w:rFonts w:ascii="Century Gothic" w:hAnsi="Century Gothic" w:cstheme="majorHAnsi"/>
        </w:rPr>
        <w:t>)</w:t>
      </w:r>
    </w:p>
    <w:p w14:paraId="7A565138" w14:textId="77777777" w:rsidR="00F730F9" w:rsidRPr="00D06CC0" w:rsidRDefault="00F730F9" w:rsidP="00FB7D71">
      <w:pPr>
        <w:pStyle w:val="Nivel3"/>
        <w:spacing w:line="240" w:lineRule="auto"/>
        <w:ind w:left="0"/>
        <w:rPr>
          <w:rFonts w:ascii="Century Gothic" w:hAnsi="Century Gothic" w:cstheme="majorHAnsi"/>
        </w:rPr>
      </w:pPr>
      <w:r w:rsidRPr="00D06CC0">
        <w:rPr>
          <w:rFonts w:ascii="Century Gothic" w:hAnsi="Century Gothic" w:cstheme="majorHAnsi"/>
        </w:rPr>
        <w:t>Todas as sanções previstas neste Contrato poderão ser aplicadas cumulativamente com a multa (</w:t>
      </w:r>
      <w:hyperlink r:id="rId72" w:anchor="art156§7" w:history="1">
        <w:r w:rsidRPr="00D06CC0">
          <w:rPr>
            <w:rStyle w:val="Hyperlink"/>
            <w:rFonts w:ascii="Century Gothic" w:hAnsi="Century Gothic" w:cstheme="majorHAnsi"/>
          </w:rPr>
          <w:t>art. 156, §7º, da Lei nº 14.133, de 2021</w:t>
        </w:r>
      </w:hyperlink>
      <w:r w:rsidRPr="00D06CC0">
        <w:rPr>
          <w:rFonts w:ascii="Century Gothic" w:hAnsi="Century Gothic" w:cstheme="majorHAnsi"/>
        </w:rPr>
        <w:t>).</w:t>
      </w:r>
    </w:p>
    <w:p w14:paraId="5C76C601" w14:textId="77777777" w:rsidR="00F730F9" w:rsidRPr="00D06CC0" w:rsidRDefault="00F730F9" w:rsidP="00FB7D71">
      <w:pPr>
        <w:pStyle w:val="Nivel3"/>
        <w:spacing w:line="240" w:lineRule="auto"/>
        <w:ind w:left="0"/>
        <w:rPr>
          <w:rFonts w:ascii="Century Gothic" w:hAnsi="Century Gothic" w:cstheme="majorHAnsi"/>
        </w:rPr>
      </w:pPr>
      <w:r w:rsidRPr="00D06CC0">
        <w:rPr>
          <w:rFonts w:ascii="Century Gothic" w:hAnsi="Century Gothic" w:cstheme="majorHAnsi"/>
        </w:rPr>
        <w:t>Antes da aplicação da multa será facultada a defesa do interessado no prazo de 15 (quinze) dias úteis, contado da data de sua intimação (</w:t>
      </w:r>
      <w:hyperlink r:id="rId73" w:anchor="art157" w:history="1">
        <w:r w:rsidRPr="00D06CC0">
          <w:rPr>
            <w:rStyle w:val="Hyperlink"/>
            <w:rFonts w:ascii="Century Gothic" w:hAnsi="Century Gothic" w:cstheme="majorHAnsi"/>
          </w:rPr>
          <w:t>art. 157, da Lei nº 14.133, de 2021</w:t>
        </w:r>
      </w:hyperlink>
      <w:r w:rsidRPr="00D06CC0">
        <w:rPr>
          <w:rFonts w:ascii="Century Gothic" w:hAnsi="Century Gothic" w:cstheme="majorHAnsi"/>
        </w:rPr>
        <w:t>)</w:t>
      </w:r>
    </w:p>
    <w:p w14:paraId="53970D85" w14:textId="77777777" w:rsidR="00F730F9" w:rsidRPr="00D06CC0" w:rsidRDefault="00F730F9" w:rsidP="00FB7D71">
      <w:pPr>
        <w:pStyle w:val="Nivel3"/>
        <w:spacing w:line="240" w:lineRule="auto"/>
        <w:ind w:left="0"/>
        <w:rPr>
          <w:rFonts w:ascii="Century Gothic" w:hAnsi="Century Gothic" w:cstheme="majorHAnsi"/>
        </w:rPr>
      </w:pPr>
      <w:r w:rsidRPr="00D06CC0">
        <w:rPr>
          <w:rFonts w:ascii="Century Gothic" w:hAnsi="Century Gothic" w:cstheme="majorHAnsi"/>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4" w:anchor="art156§8" w:history="1">
        <w:r w:rsidRPr="00D06CC0">
          <w:rPr>
            <w:rStyle w:val="Hyperlink"/>
            <w:rFonts w:ascii="Century Gothic" w:hAnsi="Century Gothic" w:cstheme="majorHAnsi"/>
          </w:rPr>
          <w:t>art. 156, §8º, da Lei nº 14.133, de 2021</w:t>
        </w:r>
      </w:hyperlink>
      <w:r w:rsidRPr="00D06CC0">
        <w:rPr>
          <w:rFonts w:ascii="Century Gothic" w:hAnsi="Century Gothic" w:cstheme="majorHAnsi"/>
        </w:rPr>
        <w:t>).</w:t>
      </w:r>
    </w:p>
    <w:p w14:paraId="64EE9C81" w14:textId="77777777" w:rsidR="00F730F9" w:rsidRPr="00D06CC0" w:rsidRDefault="00F730F9" w:rsidP="00FB7D71">
      <w:pPr>
        <w:pStyle w:val="Nivel3"/>
        <w:spacing w:line="240" w:lineRule="auto"/>
        <w:ind w:left="0"/>
        <w:rPr>
          <w:rFonts w:ascii="Century Gothic" w:hAnsi="Century Gothic" w:cstheme="majorHAnsi"/>
        </w:rPr>
      </w:pPr>
      <w:r w:rsidRPr="00D06CC0">
        <w:rPr>
          <w:rFonts w:ascii="Century Gothic" w:hAnsi="Century Gothic" w:cstheme="majorHAnsi"/>
        </w:rPr>
        <w:t xml:space="preserve">Previamente ao encaminhamento à cobrança judicial, a multa poderá ser recolhida administrativamente no prazo máximo de </w:t>
      </w:r>
      <w:r w:rsidRPr="00D06CC0">
        <w:rPr>
          <w:rFonts w:ascii="Century Gothic" w:hAnsi="Century Gothic" w:cstheme="majorHAnsi"/>
          <w:i/>
          <w:iCs/>
          <w:color w:val="auto"/>
        </w:rPr>
        <w:t xml:space="preserve">XX (XXXX) </w:t>
      </w:r>
      <w:r w:rsidRPr="00D06CC0">
        <w:rPr>
          <w:rFonts w:ascii="Century Gothic" w:hAnsi="Century Gothic" w:cstheme="majorHAnsi"/>
        </w:rPr>
        <w:t>dias, a contar da data do recebimento da comunicação enviada pela autoridade competente.</w:t>
      </w:r>
      <w:bookmarkStart w:id="44" w:name="_Hlk78351618"/>
      <w:bookmarkEnd w:id="44"/>
    </w:p>
    <w:p w14:paraId="30F6DE00"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 xml:space="preserve">A aplicação das sanções realizar-se-á em processo administrativo que assegure o contraditório e a ampla defesa ao Contratado, observando-se o procedimento previsto no </w:t>
      </w:r>
      <w:r w:rsidRPr="00D06CC0">
        <w:rPr>
          <w:rFonts w:ascii="Century Gothic" w:hAnsi="Century Gothic" w:cstheme="majorHAnsi"/>
          <w:b/>
          <w:bCs/>
        </w:rPr>
        <w:t xml:space="preserve">caput </w:t>
      </w:r>
      <w:r w:rsidRPr="00D06CC0">
        <w:rPr>
          <w:rFonts w:ascii="Century Gothic" w:hAnsi="Century Gothic" w:cstheme="majorHAnsi"/>
        </w:rPr>
        <w:t xml:space="preserve">e parágrafos do </w:t>
      </w:r>
      <w:hyperlink r:id="rId75" w:anchor="art158" w:history="1">
        <w:r w:rsidRPr="00D06CC0">
          <w:rPr>
            <w:rStyle w:val="Hyperlink"/>
            <w:rFonts w:ascii="Century Gothic" w:hAnsi="Century Gothic" w:cstheme="majorHAnsi"/>
          </w:rPr>
          <w:t>art. 158 da Lei nº 14.133, de 2021</w:t>
        </w:r>
      </w:hyperlink>
      <w:r w:rsidRPr="00D06CC0">
        <w:rPr>
          <w:rFonts w:ascii="Century Gothic" w:hAnsi="Century Gothic" w:cstheme="majorHAnsi"/>
        </w:rPr>
        <w:t>, para as penalidades de impedimento de licitar e contratar e de declaração de inidoneidade para licitar ou contratar.</w:t>
      </w:r>
    </w:p>
    <w:p w14:paraId="09AF7760"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lastRenderedPageBreak/>
        <w:t>Na aplicação das sanções serão considerados (</w:t>
      </w:r>
      <w:hyperlink r:id="rId76" w:anchor="art156§1" w:history="1">
        <w:r w:rsidRPr="00D06CC0">
          <w:rPr>
            <w:rStyle w:val="Hyperlink"/>
            <w:rFonts w:ascii="Century Gothic" w:hAnsi="Century Gothic" w:cstheme="majorHAnsi"/>
          </w:rPr>
          <w:t>art. 156, §1º, da Lei nº 14.133, de 2021</w:t>
        </w:r>
      </w:hyperlink>
      <w:r w:rsidRPr="00D06CC0">
        <w:rPr>
          <w:rFonts w:ascii="Century Gothic" w:hAnsi="Century Gothic" w:cstheme="majorHAnsi"/>
        </w:rPr>
        <w:t>):</w:t>
      </w:r>
    </w:p>
    <w:p w14:paraId="2B835B65" w14:textId="77777777" w:rsidR="00F730F9" w:rsidRPr="00D06CC0" w:rsidRDefault="00F730F9" w:rsidP="00655B0D">
      <w:pPr>
        <w:numPr>
          <w:ilvl w:val="0"/>
          <w:numId w:val="19"/>
        </w:numPr>
        <w:suppressAutoHyphens/>
        <w:spacing w:before="120" w:after="120"/>
        <w:ind w:left="0" w:firstLine="0"/>
        <w:contextualSpacing/>
        <w:jc w:val="both"/>
        <w:rPr>
          <w:rFonts w:ascii="Century Gothic" w:eastAsia="Arial" w:hAnsi="Century Gothic" w:cstheme="majorHAnsi"/>
          <w:sz w:val="20"/>
          <w:szCs w:val="20"/>
        </w:rPr>
      </w:pPr>
      <w:r w:rsidRPr="00D06CC0">
        <w:rPr>
          <w:rFonts w:ascii="Century Gothic" w:eastAsia="Arial" w:hAnsi="Century Gothic" w:cstheme="majorHAnsi"/>
          <w:sz w:val="20"/>
          <w:szCs w:val="20"/>
        </w:rPr>
        <w:t>a natureza e a gravidade da infração cometida;</w:t>
      </w:r>
    </w:p>
    <w:p w14:paraId="6955EA09" w14:textId="77777777" w:rsidR="00F730F9" w:rsidRPr="00D06CC0" w:rsidRDefault="00F730F9" w:rsidP="00655B0D">
      <w:pPr>
        <w:numPr>
          <w:ilvl w:val="0"/>
          <w:numId w:val="19"/>
        </w:numPr>
        <w:suppressAutoHyphens/>
        <w:spacing w:before="120" w:after="120"/>
        <w:ind w:left="0" w:firstLine="0"/>
        <w:contextualSpacing/>
        <w:jc w:val="both"/>
        <w:rPr>
          <w:rFonts w:ascii="Century Gothic" w:eastAsia="Arial" w:hAnsi="Century Gothic" w:cstheme="majorHAnsi"/>
          <w:sz w:val="20"/>
          <w:szCs w:val="20"/>
        </w:rPr>
      </w:pPr>
      <w:r w:rsidRPr="00D06CC0">
        <w:rPr>
          <w:rFonts w:ascii="Century Gothic" w:eastAsia="Arial" w:hAnsi="Century Gothic" w:cstheme="majorHAnsi"/>
          <w:sz w:val="20"/>
          <w:szCs w:val="20"/>
        </w:rPr>
        <w:t>as peculiaridades do caso concreto;</w:t>
      </w:r>
    </w:p>
    <w:p w14:paraId="20004BE4" w14:textId="77777777" w:rsidR="00F730F9" w:rsidRPr="00D06CC0" w:rsidRDefault="00F730F9" w:rsidP="00655B0D">
      <w:pPr>
        <w:numPr>
          <w:ilvl w:val="0"/>
          <w:numId w:val="19"/>
        </w:numPr>
        <w:suppressAutoHyphens/>
        <w:spacing w:before="120" w:after="120"/>
        <w:ind w:left="0" w:firstLine="0"/>
        <w:contextualSpacing/>
        <w:jc w:val="both"/>
        <w:rPr>
          <w:rFonts w:ascii="Century Gothic" w:eastAsia="Arial" w:hAnsi="Century Gothic" w:cstheme="majorHAnsi"/>
          <w:sz w:val="20"/>
          <w:szCs w:val="20"/>
        </w:rPr>
      </w:pPr>
      <w:r w:rsidRPr="00D06CC0">
        <w:rPr>
          <w:rFonts w:ascii="Century Gothic" w:eastAsia="Arial" w:hAnsi="Century Gothic" w:cstheme="majorHAnsi"/>
          <w:sz w:val="20"/>
          <w:szCs w:val="20"/>
        </w:rPr>
        <w:t>as circunstâncias agravantes ou atenuantes;</w:t>
      </w:r>
    </w:p>
    <w:p w14:paraId="466C1D87" w14:textId="77777777" w:rsidR="00F730F9" w:rsidRPr="00D06CC0" w:rsidRDefault="00F730F9" w:rsidP="00655B0D">
      <w:pPr>
        <w:numPr>
          <w:ilvl w:val="0"/>
          <w:numId w:val="19"/>
        </w:numPr>
        <w:suppressAutoHyphens/>
        <w:spacing w:before="120" w:after="120"/>
        <w:ind w:left="0" w:firstLine="0"/>
        <w:contextualSpacing/>
        <w:jc w:val="both"/>
        <w:rPr>
          <w:rFonts w:ascii="Century Gothic" w:eastAsia="Arial" w:hAnsi="Century Gothic" w:cstheme="majorHAnsi"/>
          <w:sz w:val="20"/>
          <w:szCs w:val="20"/>
        </w:rPr>
      </w:pPr>
      <w:r w:rsidRPr="00D06CC0">
        <w:rPr>
          <w:rFonts w:ascii="Century Gothic" w:eastAsia="Arial" w:hAnsi="Century Gothic" w:cstheme="majorHAnsi"/>
          <w:sz w:val="20"/>
          <w:szCs w:val="20"/>
        </w:rPr>
        <w:t>os danos que dela provierem para o Contratante;</w:t>
      </w:r>
    </w:p>
    <w:p w14:paraId="3CB5AA9F" w14:textId="77777777" w:rsidR="00F730F9" w:rsidRPr="00D06CC0" w:rsidRDefault="00F730F9" w:rsidP="00655B0D">
      <w:pPr>
        <w:numPr>
          <w:ilvl w:val="0"/>
          <w:numId w:val="19"/>
        </w:numPr>
        <w:suppressAutoHyphens/>
        <w:spacing w:before="120" w:after="120"/>
        <w:ind w:left="0" w:firstLine="0"/>
        <w:contextualSpacing/>
        <w:jc w:val="both"/>
        <w:rPr>
          <w:rFonts w:ascii="Century Gothic" w:eastAsia="Arial" w:hAnsi="Century Gothic" w:cstheme="majorHAnsi"/>
          <w:sz w:val="20"/>
          <w:szCs w:val="20"/>
        </w:rPr>
      </w:pPr>
      <w:r w:rsidRPr="00D06CC0">
        <w:rPr>
          <w:rFonts w:ascii="Century Gothic" w:eastAsia="Arial" w:hAnsi="Century Gothic" w:cstheme="majorHAnsi"/>
          <w:sz w:val="20"/>
          <w:szCs w:val="20"/>
        </w:rPr>
        <w:t>a implantação ou o aperfeiçoamento de programa de integridade, conforme normas e orientações dos órgãos de controle.</w:t>
      </w:r>
    </w:p>
    <w:p w14:paraId="205F62CA"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 xml:space="preserve">Os atos previstos como infrações administrativas na </w:t>
      </w:r>
      <w:hyperlink r:id="rId77" w:history="1">
        <w:r w:rsidRPr="00D06CC0">
          <w:rPr>
            <w:rStyle w:val="Hyperlink"/>
            <w:rFonts w:ascii="Century Gothic" w:hAnsi="Century Gothic" w:cstheme="majorHAnsi"/>
          </w:rPr>
          <w:t>Lei nº 14.133, de 2021</w:t>
        </w:r>
      </w:hyperlink>
      <w:r w:rsidRPr="00D06CC0">
        <w:rPr>
          <w:rFonts w:ascii="Century Gothic" w:hAnsi="Century Gothic" w:cstheme="majorHAnsi"/>
        </w:rPr>
        <w:t xml:space="preserve">, ou em outras leis de licitações e contratos da Administração Pública que também sejam tipificados como atos lesivos na </w:t>
      </w:r>
      <w:hyperlink r:id="rId78" w:history="1">
        <w:r w:rsidRPr="00D06CC0">
          <w:rPr>
            <w:rStyle w:val="Hyperlink"/>
            <w:rFonts w:ascii="Century Gothic" w:hAnsi="Century Gothic" w:cstheme="majorHAnsi"/>
          </w:rPr>
          <w:t>Lei nº 12.846, de 2013</w:t>
        </w:r>
      </w:hyperlink>
      <w:r w:rsidRPr="00D06CC0">
        <w:rPr>
          <w:rFonts w:ascii="Century Gothic" w:hAnsi="Century Gothic" w:cstheme="majorHAnsi"/>
        </w:rPr>
        <w:t>, serão apurados e julgados conjuntamente, nos mesmos autos, observados o rito procedimental e autoridade competente definidos na referida Lei (</w:t>
      </w:r>
      <w:hyperlink r:id="rId79" w:history="1">
        <w:r w:rsidRPr="00D06CC0">
          <w:rPr>
            <w:rStyle w:val="Hyperlink"/>
            <w:rFonts w:ascii="Century Gothic" w:hAnsi="Century Gothic" w:cstheme="majorHAnsi"/>
          </w:rPr>
          <w:t>art. 159</w:t>
        </w:r>
      </w:hyperlink>
      <w:r w:rsidRPr="00D06CC0">
        <w:rPr>
          <w:rFonts w:ascii="Century Gothic" w:hAnsi="Century Gothic" w:cstheme="majorHAnsi"/>
        </w:rPr>
        <w:t>).</w:t>
      </w:r>
    </w:p>
    <w:p w14:paraId="065DAEBC" w14:textId="77777777" w:rsidR="00F730F9" w:rsidRPr="00D06CC0" w:rsidRDefault="00F730F9" w:rsidP="00FB7D71">
      <w:pPr>
        <w:pStyle w:val="Nivel2"/>
        <w:spacing w:line="240" w:lineRule="auto"/>
        <w:rPr>
          <w:rFonts w:ascii="Century Gothic" w:hAnsi="Century Gothic" w:cstheme="majorHAnsi"/>
          <w:i/>
          <w:iCs/>
        </w:rPr>
      </w:pPr>
      <w:r w:rsidRPr="00D06CC0">
        <w:rPr>
          <w:rFonts w:ascii="Century Gothic" w:hAnsi="Century Gothic" w:cstheme="maj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0" w:anchor="art160" w:history="1">
        <w:r w:rsidRPr="00D06CC0">
          <w:rPr>
            <w:rStyle w:val="Hyperlink"/>
            <w:rFonts w:ascii="Century Gothic" w:hAnsi="Century Gothic" w:cstheme="majorHAnsi"/>
          </w:rPr>
          <w:t>art. 160, da Lei nº 14.133, de 2021</w:t>
        </w:r>
      </w:hyperlink>
      <w:r w:rsidRPr="00D06CC0">
        <w:rPr>
          <w:rFonts w:ascii="Century Gothic" w:hAnsi="Century Gothic" w:cstheme="majorHAnsi"/>
        </w:rPr>
        <w:t>).</w:t>
      </w:r>
    </w:p>
    <w:p w14:paraId="5305237C" w14:textId="77777777" w:rsidR="00F730F9" w:rsidRPr="00D06CC0" w:rsidRDefault="00F730F9" w:rsidP="00FB7D71">
      <w:pPr>
        <w:pStyle w:val="Nivel2"/>
        <w:spacing w:line="240" w:lineRule="auto"/>
        <w:rPr>
          <w:rFonts w:ascii="Century Gothic" w:hAnsi="Century Gothic" w:cstheme="majorHAnsi"/>
          <w:i/>
          <w:iCs/>
        </w:rPr>
      </w:pPr>
      <w:r w:rsidRPr="00D06CC0">
        <w:rPr>
          <w:rFonts w:ascii="Century Gothic" w:hAnsi="Century Gothic" w:cstheme="majorHAnsi"/>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1" w:anchor="art161" w:history="1">
        <w:r w:rsidRPr="00D06CC0">
          <w:rPr>
            <w:rStyle w:val="Hyperlink"/>
            <w:rFonts w:ascii="Century Gothic" w:hAnsi="Century Gothic" w:cstheme="majorHAnsi"/>
          </w:rPr>
          <w:t>Art. 161, da Lei nº 14.133, de 2021</w:t>
        </w:r>
      </w:hyperlink>
      <w:r w:rsidRPr="00D06CC0">
        <w:rPr>
          <w:rFonts w:ascii="Century Gothic" w:hAnsi="Century Gothic" w:cstheme="majorHAnsi"/>
        </w:rPr>
        <w:t>).</w:t>
      </w:r>
    </w:p>
    <w:p w14:paraId="072F26F0" w14:textId="77777777" w:rsidR="00F730F9" w:rsidRPr="00D06CC0" w:rsidRDefault="00F730F9" w:rsidP="00FB7D71">
      <w:pPr>
        <w:pStyle w:val="Nivel2"/>
        <w:spacing w:line="240" w:lineRule="auto"/>
        <w:rPr>
          <w:rFonts w:ascii="Century Gothic" w:hAnsi="Century Gothic" w:cstheme="majorHAnsi"/>
          <w:i/>
          <w:iCs/>
        </w:rPr>
      </w:pPr>
      <w:r w:rsidRPr="00D06CC0">
        <w:rPr>
          <w:rFonts w:ascii="Century Gothic" w:hAnsi="Century Gothic" w:cstheme="majorHAnsi"/>
        </w:rPr>
        <w:t xml:space="preserve">As sanções de impedimento de licitar e contratar e declaração de inidoneidade para licitar ou contratar são passíveis de reabilitação na forma do </w:t>
      </w:r>
      <w:hyperlink r:id="rId82" w:anchor="163" w:history="1">
        <w:r w:rsidRPr="00D06CC0">
          <w:rPr>
            <w:rStyle w:val="Hyperlink"/>
            <w:rFonts w:ascii="Century Gothic" w:hAnsi="Century Gothic" w:cstheme="majorHAnsi"/>
          </w:rPr>
          <w:t>art. 163 da Lei nº 14.133/21</w:t>
        </w:r>
      </w:hyperlink>
      <w:r w:rsidRPr="00D06CC0">
        <w:rPr>
          <w:rFonts w:ascii="Century Gothic" w:hAnsi="Century Gothic" w:cstheme="majorHAnsi"/>
        </w:rPr>
        <w:t>.</w:t>
      </w:r>
    </w:p>
    <w:p w14:paraId="36F58554" w14:textId="77777777" w:rsidR="00F730F9" w:rsidRPr="00D06CC0" w:rsidRDefault="00F730F9" w:rsidP="00FB7D71">
      <w:pPr>
        <w:pStyle w:val="Nivel2"/>
        <w:spacing w:line="240" w:lineRule="auto"/>
        <w:rPr>
          <w:rFonts w:ascii="Century Gothic" w:hAnsi="Century Gothic" w:cstheme="majorHAnsi"/>
        </w:rPr>
      </w:pPr>
      <w:r w:rsidRPr="00D06CC0">
        <w:rPr>
          <w:rFonts w:ascii="Century Gothic" w:hAnsi="Century Gothic" w:cstheme="majorHAnsi"/>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3" w:history="1">
        <w:r w:rsidRPr="00D06CC0">
          <w:rPr>
            <w:rStyle w:val="Hyperlink"/>
            <w:rFonts w:ascii="Century Gothic" w:hAnsi="Century Gothic" w:cstheme="majorHAnsi"/>
          </w:rPr>
          <w:t>Normativa SEGES/ME nº 26, de 13 de abril de 2022</w:t>
        </w:r>
      </w:hyperlink>
      <w:r w:rsidRPr="00D06CC0">
        <w:rPr>
          <w:rFonts w:ascii="Century Gothic" w:hAnsi="Century Gothic" w:cstheme="majorHAnsi"/>
        </w:rPr>
        <w:t xml:space="preserve">. </w:t>
      </w:r>
    </w:p>
    <w:p w14:paraId="0408AD94"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DÉCIMA SEGUNDA– DA EXTINÇÃO CONTRATUAL (</w:t>
      </w:r>
      <w:hyperlink r:id="rId84" w:anchor="art92" w:history="1">
        <w:r w:rsidRPr="00D06CC0">
          <w:rPr>
            <w:rStyle w:val="Hyperlink"/>
            <w:rFonts w:ascii="Century Gothic" w:hAnsi="Century Gothic" w:cstheme="majorHAnsi"/>
          </w:rPr>
          <w:t>art. 92, XIX</w:t>
        </w:r>
      </w:hyperlink>
      <w:r w:rsidRPr="00D06CC0">
        <w:rPr>
          <w:rFonts w:ascii="Century Gothic" w:hAnsi="Century Gothic" w:cstheme="majorHAnsi"/>
        </w:rPr>
        <w:t>)</w:t>
      </w:r>
    </w:p>
    <w:p w14:paraId="5BF7B3DF" w14:textId="77777777" w:rsidR="00F730F9" w:rsidRPr="00D06CC0" w:rsidRDefault="00F730F9" w:rsidP="001C3656">
      <w:pPr>
        <w:pStyle w:val="Nvel2-Red"/>
        <w:numPr>
          <w:ilvl w:val="0"/>
          <w:numId w:val="0"/>
        </w:numPr>
        <w:spacing w:line="240" w:lineRule="auto"/>
        <w:rPr>
          <w:rFonts w:ascii="Century Gothic" w:hAnsi="Century Gothic" w:cstheme="majorHAnsi"/>
          <w:i w:val="0"/>
          <w:iCs w:val="0"/>
          <w:color w:val="000000"/>
        </w:rPr>
      </w:pPr>
      <w:r w:rsidRPr="00D06CC0">
        <w:rPr>
          <w:rFonts w:ascii="Century Gothic" w:hAnsi="Century Gothic" w:cstheme="majorHAnsi"/>
          <w:i w:val="0"/>
          <w:iCs w:val="0"/>
          <w:color w:val="000000"/>
        </w:rPr>
        <w:t>O contrato será extinto quando vencido o prazo nele estipulado, independentemente de terem sido cumpridas ou não as obrigações de ambas as partes contraentes.</w:t>
      </w:r>
    </w:p>
    <w:p w14:paraId="48BC5930" w14:textId="77777777" w:rsidR="00F730F9" w:rsidRPr="00D06CC0" w:rsidRDefault="00F730F9" w:rsidP="00FB7D71">
      <w:pPr>
        <w:pStyle w:val="Nvel3-R"/>
        <w:spacing w:line="240" w:lineRule="auto"/>
        <w:ind w:left="0"/>
        <w:rPr>
          <w:rFonts w:ascii="Century Gothic" w:hAnsi="Century Gothic" w:cstheme="majorHAnsi"/>
          <w:i w:val="0"/>
          <w:iCs w:val="0"/>
          <w:color w:val="000000"/>
        </w:rPr>
      </w:pPr>
      <w:r w:rsidRPr="00D06CC0">
        <w:rPr>
          <w:rFonts w:ascii="Century Gothic" w:hAnsi="Century Gothic" w:cstheme="majorHAnsi"/>
          <w:i w:val="0"/>
          <w:iCs w:val="0"/>
          <w:color w:val="000000"/>
        </w:rPr>
        <w:t>O contrato poderá ser extinto antes do prazo nele fixado, sem ônus para o Contratante, quando este não dispuser de créditos orçamentários para sua continuidade ou quando entender que o contrato não mais lhe oferece vantagem.</w:t>
      </w:r>
    </w:p>
    <w:p w14:paraId="7CB664D8" w14:textId="77777777" w:rsidR="00F730F9" w:rsidRPr="00D06CC0" w:rsidRDefault="00F730F9" w:rsidP="00FB7D71">
      <w:pPr>
        <w:pStyle w:val="Nvel3-R"/>
        <w:spacing w:line="240" w:lineRule="auto"/>
        <w:ind w:left="0"/>
        <w:rPr>
          <w:rFonts w:ascii="Century Gothic" w:hAnsi="Century Gothic" w:cstheme="majorHAnsi"/>
          <w:i w:val="0"/>
          <w:iCs w:val="0"/>
          <w:color w:val="000000"/>
        </w:rPr>
      </w:pPr>
      <w:r w:rsidRPr="00D06CC0">
        <w:rPr>
          <w:rFonts w:ascii="Century Gothic" w:hAnsi="Century Gothic" w:cstheme="majorHAnsi"/>
          <w:i w:val="0"/>
          <w:iCs w:val="0"/>
          <w:color w:val="000000"/>
        </w:rPr>
        <w:t>A extinção nesta hipótese ocorrerá na próxima data de aniversário do contrato, desde que haja a notificação do contratado pelo contratante nesse sentido com pelo menos 2 (dois) meses de antecedência desse dia.</w:t>
      </w:r>
    </w:p>
    <w:p w14:paraId="7C47AD93" w14:textId="77777777" w:rsidR="00F730F9" w:rsidRPr="00D06CC0" w:rsidRDefault="00F730F9" w:rsidP="00FB7D71">
      <w:pPr>
        <w:pStyle w:val="Nvel3-R"/>
        <w:spacing w:line="240" w:lineRule="auto"/>
        <w:ind w:left="0"/>
        <w:rPr>
          <w:rFonts w:ascii="Century Gothic" w:hAnsi="Century Gothic" w:cstheme="majorHAnsi"/>
          <w:i w:val="0"/>
          <w:iCs w:val="0"/>
          <w:color w:val="000000"/>
        </w:rPr>
      </w:pPr>
      <w:r w:rsidRPr="00D06CC0">
        <w:rPr>
          <w:rFonts w:ascii="Century Gothic" w:hAnsi="Century Gothic" w:cstheme="majorHAnsi"/>
          <w:i w:val="0"/>
          <w:iCs w:val="0"/>
          <w:color w:val="000000"/>
        </w:rPr>
        <w:lastRenderedPageBreak/>
        <w:t>Caso a notificação da não-continuidade do contrato de que trata este subitem ocorra com menos de 2 (dois) meses da data de aniversário, a extinção contratual ocorrerá após 2 (dois) meses da data da comunicação.</w:t>
      </w:r>
    </w:p>
    <w:p w14:paraId="64DACB06" w14:textId="77777777" w:rsidR="00F730F9" w:rsidRPr="00D06CC0" w:rsidRDefault="00F730F9" w:rsidP="001C3656">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 xml:space="preserve">O contrato poderá ser extinto antes de cumpridas as obrigações nele estipuladas, ou antes do prazo nele fixado, por algum dos motivos previstos no </w:t>
      </w:r>
      <w:hyperlink r:id="rId85" w:anchor="art137" w:history="1">
        <w:r w:rsidRPr="00D06CC0">
          <w:rPr>
            <w:rStyle w:val="Hyperlink"/>
            <w:rFonts w:ascii="Century Gothic" w:hAnsi="Century Gothic" w:cstheme="majorHAnsi"/>
          </w:rPr>
          <w:t>artigo 137 da Lei nº 14.133/21</w:t>
        </w:r>
      </w:hyperlink>
      <w:r w:rsidRPr="00D06CC0">
        <w:rPr>
          <w:rFonts w:ascii="Century Gothic" w:hAnsi="Century Gothic" w:cstheme="majorHAnsi"/>
        </w:rPr>
        <w:t xml:space="preserve">, bem como amigavelmente, </w:t>
      </w:r>
      <w:r w:rsidRPr="00D06CC0">
        <w:rPr>
          <w:rFonts w:ascii="Century Gothic" w:hAnsi="Century Gothic" w:cstheme="majorHAnsi"/>
          <w:color w:val="000000" w:themeColor="text1"/>
        </w:rPr>
        <w:t>assegurados o contraditório e a ampla defesa</w:t>
      </w:r>
      <w:r w:rsidRPr="00D06CC0">
        <w:rPr>
          <w:rFonts w:ascii="Century Gothic" w:hAnsi="Century Gothic" w:cstheme="majorHAnsi"/>
        </w:rPr>
        <w:t>.</w:t>
      </w:r>
    </w:p>
    <w:p w14:paraId="38AB914D" w14:textId="77777777" w:rsidR="00F730F9" w:rsidRPr="00D06CC0" w:rsidRDefault="00F730F9" w:rsidP="00FB7D71">
      <w:pPr>
        <w:pStyle w:val="Nivel3"/>
        <w:spacing w:line="240" w:lineRule="auto"/>
        <w:ind w:left="0"/>
        <w:rPr>
          <w:rFonts w:ascii="Century Gothic" w:hAnsi="Century Gothic" w:cstheme="majorHAnsi"/>
        </w:rPr>
      </w:pPr>
      <w:r w:rsidRPr="00D06CC0">
        <w:rPr>
          <w:rFonts w:ascii="Century Gothic" w:hAnsi="Century Gothic" w:cstheme="majorHAnsi"/>
        </w:rPr>
        <w:t xml:space="preserve">Nesta hipótese, aplicam-se também os </w:t>
      </w:r>
      <w:hyperlink r:id="rId86" w:anchor="art138" w:history="1">
        <w:r w:rsidRPr="00D06CC0">
          <w:rPr>
            <w:rStyle w:val="Hyperlink"/>
            <w:rFonts w:ascii="Century Gothic" w:hAnsi="Century Gothic" w:cstheme="majorHAnsi"/>
          </w:rPr>
          <w:t>artigos 138 e 139 da mesma Lei</w:t>
        </w:r>
      </w:hyperlink>
      <w:r w:rsidRPr="00D06CC0">
        <w:rPr>
          <w:rFonts w:ascii="Century Gothic" w:hAnsi="Century Gothic" w:cstheme="majorHAnsi"/>
        </w:rPr>
        <w:t>.</w:t>
      </w:r>
    </w:p>
    <w:p w14:paraId="28F214EF" w14:textId="77777777" w:rsidR="00F730F9" w:rsidRPr="00D06CC0" w:rsidRDefault="00F730F9" w:rsidP="00FB7D71">
      <w:pPr>
        <w:pStyle w:val="Nivel3"/>
        <w:spacing w:line="240" w:lineRule="auto"/>
        <w:ind w:left="0"/>
        <w:rPr>
          <w:rFonts w:ascii="Century Gothic" w:hAnsi="Century Gothic" w:cstheme="majorHAnsi"/>
        </w:rPr>
      </w:pPr>
      <w:r w:rsidRPr="00D06CC0">
        <w:rPr>
          <w:rFonts w:ascii="Century Gothic" w:hAnsi="Century Gothic" w:cstheme="majorHAnsi"/>
        </w:rPr>
        <w:t>A alteração social ou a modificação da finalidade ou da estrutura da empresa não ensejará a extinção se não restringir sua capacidade de concluir o contrato.</w:t>
      </w:r>
    </w:p>
    <w:p w14:paraId="6A19E61F" w14:textId="77777777" w:rsidR="00F730F9" w:rsidRPr="00D06CC0" w:rsidRDefault="00F730F9" w:rsidP="00FB7D71">
      <w:pPr>
        <w:pStyle w:val="Nivel4"/>
        <w:spacing w:line="240" w:lineRule="auto"/>
        <w:ind w:left="0"/>
        <w:rPr>
          <w:rFonts w:ascii="Century Gothic" w:hAnsi="Century Gothic" w:cstheme="majorHAnsi"/>
        </w:rPr>
      </w:pPr>
      <w:r w:rsidRPr="00D06CC0">
        <w:rPr>
          <w:rFonts w:ascii="Century Gothic" w:hAnsi="Century Gothic" w:cstheme="majorHAnsi"/>
          <w:color w:val="000000" w:themeColor="text1"/>
        </w:rPr>
        <w:t xml:space="preserve">Se a </w:t>
      </w:r>
      <w:r w:rsidRPr="00D06CC0">
        <w:rPr>
          <w:rFonts w:ascii="Century Gothic" w:hAnsi="Century Gothic" w:cstheme="majorHAnsi"/>
        </w:rPr>
        <w:t>operação</w:t>
      </w:r>
      <w:r w:rsidRPr="00D06CC0">
        <w:rPr>
          <w:rFonts w:ascii="Century Gothic" w:hAnsi="Century Gothic" w:cstheme="majorHAnsi"/>
          <w:color w:val="000000" w:themeColor="text1"/>
        </w:rPr>
        <w:t xml:space="preserve"> </w:t>
      </w:r>
      <w:r w:rsidRPr="00D06CC0">
        <w:rPr>
          <w:rFonts w:ascii="Century Gothic" w:hAnsi="Century Gothic" w:cstheme="majorHAnsi"/>
        </w:rPr>
        <w:t>implicar mudança da pessoa jurídica contratada, deverá ser formalizado termo aditivo para alteração subjetiva.</w:t>
      </w:r>
    </w:p>
    <w:p w14:paraId="7E9E102B" w14:textId="77777777" w:rsidR="00F730F9" w:rsidRPr="00D06CC0" w:rsidRDefault="00F730F9" w:rsidP="001C3656">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O termo de extinção, sempre que possível, será precedido:</w:t>
      </w:r>
    </w:p>
    <w:p w14:paraId="10DF4AD1" w14:textId="77777777" w:rsidR="00F730F9" w:rsidRPr="00D06CC0" w:rsidRDefault="00F730F9" w:rsidP="00FB7D71">
      <w:pPr>
        <w:pStyle w:val="Nivel3"/>
        <w:spacing w:line="240" w:lineRule="auto"/>
        <w:ind w:left="0"/>
        <w:rPr>
          <w:rFonts w:ascii="Century Gothic" w:hAnsi="Century Gothic" w:cstheme="majorHAnsi"/>
        </w:rPr>
      </w:pPr>
      <w:r w:rsidRPr="00D06CC0">
        <w:rPr>
          <w:rFonts w:ascii="Century Gothic" w:hAnsi="Century Gothic" w:cstheme="majorHAnsi"/>
        </w:rPr>
        <w:t>Balanço dos eventos contratuais já cumpridos ou parcialmente cumpridos;</w:t>
      </w:r>
    </w:p>
    <w:p w14:paraId="6145FDE1" w14:textId="77777777" w:rsidR="00F730F9" w:rsidRPr="00D06CC0" w:rsidRDefault="00F730F9" w:rsidP="00FB7D71">
      <w:pPr>
        <w:pStyle w:val="Nivel3"/>
        <w:spacing w:line="240" w:lineRule="auto"/>
        <w:ind w:left="0"/>
        <w:rPr>
          <w:rFonts w:ascii="Century Gothic" w:hAnsi="Century Gothic" w:cstheme="majorHAnsi"/>
        </w:rPr>
      </w:pPr>
      <w:r w:rsidRPr="00D06CC0">
        <w:rPr>
          <w:rFonts w:ascii="Century Gothic" w:hAnsi="Century Gothic" w:cstheme="majorHAnsi"/>
        </w:rPr>
        <w:t>Relação dos pagamentos já efetuados e ainda devidos;</w:t>
      </w:r>
    </w:p>
    <w:p w14:paraId="5529854B" w14:textId="77777777" w:rsidR="00F730F9" w:rsidRPr="00D06CC0" w:rsidRDefault="00F730F9" w:rsidP="00FB7D71">
      <w:pPr>
        <w:pStyle w:val="Nivel3"/>
        <w:spacing w:line="240" w:lineRule="auto"/>
        <w:ind w:left="0"/>
        <w:rPr>
          <w:rFonts w:ascii="Century Gothic" w:hAnsi="Century Gothic" w:cstheme="majorHAnsi"/>
        </w:rPr>
      </w:pPr>
      <w:r w:rsidRPr="00D06CC0">
        <w:rPr>
          <w:rFonts w:ascii="Century Gothic" w:hAnsi="Century Gothic" w:cstheme="majorHAnsi"/>
        </w:rPr>
        <w:t>Indenizações e multas.</w:t>
      </w:r>
    </w:p>
    <w:p w14:paraId="34EB5EF2" w14:textId="77777777" w:rsidR="00F730F9" w:rsidRPr="00D06CC0" w:rsidRDefault="00F730F9" w:rsidP="001C3656">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A extinção do contrato não configura óbice para o reconhecimento do desequilíbrio econômico-financeiro, hipótese em que será concedida indenização por meio de termo indenizatório (</w:t>
      </w:r>
      <w:hyperlink r:id="rId87" w:anchor="art131">
        <w:r w:rsidRPr="00D06CC0">
          <w:rPr>
            <w:rStyle w:val="Hyperlink"/>
            <w:rFonts w:ascii="Century Gothic" w:hAnsi="Century Gothic" w:cstheme="majorHAnsi"/>
          </w:rPr>
          <w:t xml:space="preserve">art. 131, </w:t>
        </w:r>
        <w:r w:rsidRPr="00D06CC0">
          <w:rPr>
            <w:rStyle w:val="Hyperlink"/>
            <w:rFonts w:ascii="Century Gothic" w:hAnsi="Century Gothic" w:cstheme="majorHAnsi"/>
            <w:i/>
            <w:iCs/>
          </w:rPr>
          <w:t xml:space="preserve">caput, </w:t>
        </w:r>
        <w:r w:rsidRPr="00D06CC0">
          <w:rPr>
            <w:rStyle w:val="Hyperlink"/>
            <w:rFonts w:ascii="Century Gothic" w:hAnsi="Century Gothic" w:cstheme="majorHAnsi"/>
          </w:rPr>
          <w:t>da Lei n.º 14.133, de 2021</w:t>
        </w:r>
      </w:hyperlink>
      <w:r w:rsidRPr="00D06CC0">
        <w:rPr>
          <w:rFonts w:ascii="Century Gothic" w:hAnsi="Century Gothic" w:cstheme="majorHAnsi"/>
        </w:rPr>
        <w:t xml:space="preserve">). </w:t>
      </w:r>
    </w:p>
    <w:p w14:paraId="44A63571" w14:textId="77777777" w:rsidR="00F730F9" w:rsidRPr="00D06CC0" w:rsidRDefault="00F730F9" w:rsidP="001C3656">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75D0D7D"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DÉCIMA TERCEIRA – DOTAÇÃO ORÇAMENTÁRIA (</w:t>
      </w:r>
      <w:hyperlink r:id="rId88" w:anchor="art92" w:history="1">
        <w:r w:rsidRPr="00D06CC0">
          <w:rPr>
            <w:rStyle w:val="Hyperlink"/>
            <w:rFonts w:ascii="Century Gothic" w:hAnsi="Century Gothic" w:cstheme="majorHAnsi"/>
          </w:rPr>
          <w:t>art. 92, VIII</w:t>
        </w:r>
      </w:hyperlink>
      <w:r w:rsidRPr="00D06CC0">
        <w:rPr>
          <w:rFonts w:ascii="Century Gothic" w:hAnsi="Century Gothic" w:cstheme="majorHAnsi"/>
        </w:rPr>
        <w:t>)</w:t>
      </w:r>
    </w:p>
    <w:p w14:paraId="07DB3B4C"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As despesas decorrentes da presente contratação correrão à conta de recursos específicos consignados no Orçamento Geral da União deste exercício, na dotação abaixo discriminada:</w:t>
      </w:r>
    </w:p>
    <w:p w14:paraId="007E7FA5" w14:textId="77777777" w:rsidR="00F730F9" w:rsidRPr="00D06CC0" w:rsidRDefault="00F730F9" w:rsidP="00FB7D71">
      <w:pPr>
        <w:pStyle w:val="Nvel2-Red"/>
        <w:numPr>
          <w:ilvl w:val="0"/>
          <w:numId w:val="0"/>
        </w:numPr>
        <w:spacing w:line="240" w:lineRule="auto"/>
        <w:rPr>
          <w:rFonts w:ascii="Century Gothic" w:hAnsi="Century Gothic" w:cstheme="majorHAnsi"/>
          <w:i w:val="0"/>
          <w:iCs w:val="0"/>
          <w:color w:val="000000"/>
        </w:rPr>
      </w:pPr>
      <w:r w:rsidRPr="00D06CC0">
        <w:rPr>
          <w:rFonts w:ascii="Century Gothic" w:hAnsi="Century Gothic" w:cstheme="majorHAnsi"/>
          <w:i w:val="0"/>
          <w:iCs w:val="0"/>
          <w:color w:val="000000"/>
        </w:rPr>
        <w:t>A dotação relativa aos exercícios financeiros subsequentes será indicada após aprovação da Lei Orçamentária respectiva e liberação dos créditos correspondentes, mediante apostilamento.</w:t>
      </w:r>
    </w:p>
    <w:p w14:paraId="0FF396CA"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DÉCIMA QUARTA – DOS CASOS OMISSOS (</w:t>
      </w:r>
      <w:hyperlink r:id="rId89" w:anchor="art92" w:history="1">
        <w:r w:rsidRPr="00D06CC0">
          <w:rPr>
            <w:rStyle w:val="Hyperlink"/>
            <w:rFonts w:ascii="Century Gothic" w:hAnsi="Century Gothic" w:cstheme="majorHAnsi"/>
          </w:rPr>
          <w:t>art. 92, III</w:t>
        </w:r>
      </w:hyperlink>
      <w:r w:rsidRPr="00D06CC0">
        <w:rPr>
          <w:rFonts w:ascii="Century Gothic" w:hAnsi="Century Gothic" w:cstheme="majorHAnsi"/>
        </w:rPr>
        <w:t>)</w:t>
      </w:r>
    </w:p>
    <w:p w14:paraId="0EEC7F8E"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 xml:space="preserve">Os casos omissos serão decididos pelo contratante, segundo as disposições contidas na Lei </w:t>
      </w:r>
      <w:hyperlink r:id="rId90" w:history="1">
        <w:r w:rsidRPr="00D06CC0">
          <w:rPr>
            <w:rStyle w:val="Hyperlink"/>
            <w:rFonts w:ascii="Century Gothic" w:hAnsi="Century Gothic" w:cstheme="majorHAnsi"/>
          </w:rPr>
          <w:t>nº 14.133, de 2021</w:t>
        </w:r>
      </w:hyperlink>
      <w:r w:rsidRPr="00D06CC0">
        <w:rPr>
          <w:rFonts w:ascii="Century Gothic" w:hAnsi="Century Gothic" w:cstheme="majorHAnsi"/>
        </w:rPr>
        <w:t xml:space="preserve">, e demais normas federais aplicáveis e, subsidiariamente, segundo as disposições contidas na </w:t>
      </w:r>
      <w:hyperlink r:id="rId91" w:history="1">
        <w:r w:rsidRPr="00D06CC0">
          <w:rPr>
            <w:rStyle w:val="Hyperlink"/>
            <w:rFonts w:ascii="Century Gothic" w:hAnsi="Century Gothic" w:cstheme="majorHAnsi"/>
          </w:rPr>
          <w:t>Lei nº 8.078, de 1990 – Código de Defesa do Consumidor</w:t>
        </w:r>
      </w:hyperlink>
      <w:r w:rsidRPr="00D06CC0">
        <w:rPr>
          <w:rFonts w:ascii="Century Gothic" w:hAnsi="Century Gothic" w:cstheme="majorHAnsi"/>
        </w:rPr>
        <w:t xml:space="preserve"> – e normas e princípios gerais dos contratos.</w:t>
      </w:r>
    </w:p>
    <w:p w14:paraId="21E62418"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lastRenderedPageBreak/>
        <w:t>CLÁUSULA DÉCIMA QUINTA – ALTERAÇÕES</w:t>
      </w:r>
    </w:p>
    <w:p w14:paraId="15038314"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 xml:space="preserve">Eventuais alterações contratuais reger-se-ão pela disciplina dos </w:t>
      </w:r>
      <w:hyperlink r:id="rId92" w:anchor="art124" w:history="1">
        <w:r w:rsidRPr="00D06CC0">
          <w:rPr>
            <w:rStyle w:val="Hyperlink"/>
            <w:rFonts w:ascii="Century Gothic" w:hAnsi="Century Gothic" w:cstheme="majorHAnsi"/>
          </w:rPr>
          <w:t>arts. 124 e seguintes da Lei nº 14.133, de 2021</w:t>
        </w:r>
      </w:hyperlink>
      <w:r w:rsidRPr="00D06CC0">
        <w:rPr>
          <w:rFonts w:ascii="Century Gothic" w:hAnsi="Century Gothic" w:cstheme="majorHAnsi"/>
        </w:rPr>
        <w:t>.</w:t>
      </w:r>
    </w:p>
    <w:p w14:paraId="42C843A3"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O contratado é obrigado a aceitar, nas mesmas condições contratuais, os acréscimos ou supressões que se fizerem necessários, até o limite de 25% (vinte e cinco por cento) do valor inicial atualizado do contrato.</w:t>
      </w:r>
    </w:p>
    <w:p w14:paraId="17D78A3D"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2DF0301"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 xml:space="preserve">Registros que não caracterizam alteração do contrato podem ser realizados por simples apostila, dispensada a celebração de termo aditivo, na forma do </w:t>
      </w:r>
      <w:hyperlink r:id="rId93" w:anchor="art136" w:history="1">
        <w:r w:rsidRPr="00D06CC0">
          <w:rPr>
            <w:rStyle w:val="Hyperlink"/>
            <w:rFonts w:ascii="Century Gothic" w:hAnsi="Century Gothic" w:cstheme="majorHAnsi"/>
          </w:rPr>
          <w:t>art. 136 da Lei nº 14.133, de 2021</w:t>
        </w:r>
      </w:hyperlink>
      <w:r w:rsidRPr="00D06CC0">
        <w:rPr>
          <w:rFonts w:ascii="Century Gothic" w:hAnsi="Century Gothic" w:cstheme="majorHAnsi"/>
        </w:rPr>
        <w:t>.</w:t>
      </w:r>
    </w:p>
    <w:p w14:paraId="008303BA"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DÉCIMA SEXTA – PUBLICAÇÃO</w:t>
      </w:r>
    </w:p>
    <w:p w14:paraId="3D329930"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rPr>
        <w:t xml:space="preserve">Incumbirá ao contratante divulgar o presente instrumento na forma prevista no </w:t>
      </w:r>
      <w:hyperlink r:id="rId94" w:anchor="art94" w:history="1">
        <w:r w:rsidRPr="00D06CC0">
          <w:rPr>
            <w:rStyle w:val="Hyperlink"/>
            <w:rFonts w:ascii="Century Gothic" w:hAnsi="Century Gothic" w:cstheme="majorHAnsi"/>
          </w:rPr>
          <w:t>art. 94 da Lei 14.133, de 2021</w:t>
        </w:r>
      </w:hyperlink>
      <w:r w:rsidRPr="00D06CC0">
        <w:rPr>
          <w:rFonts w:ascii="Century Gothic" w:hAnsi="Century Gothic" w:cstheme="majorHAnsi"/>
        </w:rPr>
        <w:t xml:space="preserve">, bem como no respectivo sítio oficial na Internet, em atenção </w:t>
      </w:r>
      <w:r w:rsidRPr="00D06CC0">
        <w:rPr>
          <w:rFonts w:ascii="Century Gothic" w:hAnsi="Century Gothic" w:cstheme="majorHAnsi"/>
          <w:highlight w:val="yellow"/>
        </w:rPr>
        <w:t xml:space="preserve">ao art. 91, </w:t>
      </w:r>
      <w:r w:rsidRPr="00D06CC0">
        <w:rPr>
          <w:rFonts w:ascii="Century Gothic" w:hAnsi="Century Gothic" w:cstheme="majorHAnsi"/>
          <w:i/>
          <w:highlight w:val="yellow"/>
        </w:rPr>
        <w:t>caput,</w:t>
      </w:r>
      <w:r w:rsidRPr="00D06CC0">
        <w:rPr>
          <w:rFonts w:ascii="Century Gothic" w:hAnsi="Century Gothic" w:cstheme="majorHAnsi"/>
          <w:highlight w:val="yellow"/>
        </w:rPr>
        <w:t xml:space="preserve"> da Lei n.º 14.133, de 2021, e </w:t>
      </w:r>
      <w:r w:rsidRPr="00D06CC0">
        <w:rPr>
          <w:rFonts w:ascii="Century Gothic" w:hAnsi="Century Gothic" w:cstheme="majorHAnsi"/>
        </w:rPr>
        <w:t xml:space="preserve">ao </w:t>
      </w:r>
      <w:hyperlink r:id="rId95" w:anchor="art8§2" w:history="1">
        <w:r w:rsidRPr="00D06CC0">
          <w:rPr>
            <w:rStyle w:val="Hyperlink"/>
            <w:rFonts w:ascii="Century Gothic" w:hAnsi="Century Gothic" w:cstheme="majorHAnsi"/>
          </w:rPr>
          <w:t>art. 8º, §2º, da Lei n. 12.527, de 2011</w:t>
        </w:r>
      </w:hyperlink>
      <w:r w:rsidRPr="00D06CC0">
        <w:rPr>
          <w:rFonts w:ascii="Century Gothic" w:hAnsi="Century Gothic" w:cstheme="majorHAnsi"/>
        </w:rPr>
        <w:t xml:space="preserve">, c/c </w:t>
      </w:r>
      <w:hyperlink r:id="rId96" w:anchor="art7§3" w:history="1">
        <w:r w:rsidRPr="00D06CC0">
          <w:rPr>
            <w:rStyle w:val="Hyperlink"/>
            <w:rFonts w:ascii="Century Gothic" w:hAnsi="Century Gothic" w:cstheme="majorHAnsi"/>
          </w:rPr>
          <w:t>art. 7º, §3º, inciso V, do Decreto n. 7.724, de 2012</w:t>
        </w:r>
      </w:hyperlink>
      <w:r w:rsidRPr="00D06CC0">
        <w:rPr>
          <w:rFonts w:ascii="Century Gothic" w:hAnsi="Century Gothic" w:cstheme="majorHAnsi"/>
        </w:rPr>
        <w:t>.</w:t>
      </w:r>
    </w:p>
    <w:p w14:paraId="592B9D21" w14:textId="77777777" w:rsidR="00F730F9" w:rsidRPr="00D06CC0" w:rsidRDefault="00F730F9" w:rsidP="00262785">
      <w:pPr>
        <w:pStyle w:val="Nivel010"/>
        <w:rPr>
          <w:rFonts w:ascii="Century Gothic" w:hAnsi="Century Gothic" w:cstheme="majorHAnsi"/>
          <w:color w:val="FFFFFF" w:themeColor="background1"/>
        </w:rPr>
      </w:pPr>
      <w:r w:rsidRPr="00D06CC0">
        <w:rPr>
          <w:rFonts w:ascii="Century Gothic" w:hAnsi="Century Gothic" w:cstheme="majorHAnsi"/>
        </w:rPr>
        <w:t>CLÁUSULA DÉCIMA SÉTIMA– FORO (</w:t>
      </w:r>
      <w:hyperlink r:id="rId97" w:anchor="art92§1" w:history="1">
        <w:r w:rsidRPr="00D06CC0">
          <w:rPr>
            <w:rStyle w:val="Hyperlink"/>
            <w:rFonts w:ascii="Century Gothic" w:hAnsi="Century Gothic" w:cstheme="majorHAnsi"/>
          </w:rPr>
          <w:t>art. 92, §1º</w:t>
        </w:r>
      </w:hyperlink>
      <w:r w:rsidRPr="00D06CC0">
        <w:rPr>
          <w:rFonts w:ascii="Century Gothic" w:hAnsi="Century Gothic" w:cstheme="majorHAnsi"/>
        </w:rPr>
        <w:t>)</w:t>
      </w:r>
    </w:p>
    <w:p w14:paraId="7937E65B" w14:textId="77777777" w:rsidR="00F730F9" w:rsidRPr="00D06CC0" w:rsidRDefault="00F730F9" w:rsidP="00FB7D71">
      <w:pPr>
        <w:pStyle w:val="Nivel2"/>
        <w:numPr>
          <w:ilvl w:val="0"/>
          <w:numId w:val="0"/>
        </w:numPr>
        <w:spacing w:line="240" w:lineRule="auto"/>
        <w:rPr>
          <w:rFonts w:ascii="Century Gothic" w:hAnsi="Century Gothic" w:cstheme="majorHAnsi"/>
        </w:rPr>
      </w:pPr>
      <w:r w:rsidRPr="00D06CC0">
        <w:rPr>
          <w:rFonts w:ascii="Century Gothic" w:hAnsi="Century Gothic" w:cstheme="majorHAnsi"/>
          <w:color w:val="auto"/>
          <w:lang w:eastAsia="en-US"/>
        </w:rPr>
        <w:t>Fica eleito o Foro da Justiça Federal em ..</w:t>
      </w:r>
      <w:r w:rsidRPr="00D06CC0">
        <w:rPr>
          <w:rFonts w:ascii="Century Gothic" w:hAnsi="Century Gothic" w:cstheme="majorHAnsi"/>
          <w:color w:val="FF0000"/>
        </w:rPr>
        <w:t>....</w:t>
      </w:r>
      <w:r w:rsidRPr="00D06CC0">
        <w:rPr>
          <w:rFonts w:ascii="Century Gothic" w:hAnsi="Century Gothic" w:cstheme="majorHAnsi"/>
        </w:rPr>
        <w:t>, Seção Judiciária de</w:t>
      </w:r>
      <w:r w:rsidRPr="00D06CC0">
        <w:rPr>
          <w:rFonts w:ascii="Century Gothic" w:hAnsi="Century Gothic" w:cstheme="majorHAnsi"/>
          <w:color w:val="FF0000"/>
        </w:rPr>
        <w:t>......</w:t>
      </w:r>
      <w:r w:rsidRPr="00D06CC0">
        <w:rPr>
          <w:rFonts w:ascii="Century Gothic" w:hAnsi="Century Gothic" w:cstheme="majorHAnsi"/>
        </w:rPr>
        <w:t xml:space="preserve"> para dirimir os litígios que decorrerem da execução deste Termo de Contrato que não puderem ser compostos pela conciliação, conforme </w:t>
      </w:r>
      <w:hyperlink r:id="rId98" w:anchor="art92§1" w:history="1">
        <w:r w:rsidRPr="00D06CC0">
          <w:rPr>
            <w:rStyle w:val="Hyperlink"/>
            <w:rFonts w:ascii="Century Gothic" w:hAnsi="Century Gothic" w:cstheme="majorHAnsi"/>
          </w:rPr>
          <w:t>art. 92, §1º, da Lei nº 14.133/21</w:t>
        </w:r>
      </w:hyperlink>
      <w:r w:rsidRPr="00D06CC0">
        <w:rPr>
          <w:rFonts w:ascii="Century Gothic" w:hAnsi="Century Gothic" w:cstheme="majorHAnsi"/>
        </w:rPr>
        <w:t>.</w:t>
      </w:r>
    </w:p>
    <w:p w14:paraId="7553F5BD" w14:textId="429D4035" w:rsidR="00F730F9" w:rsidRPr="00D06CC0" w:rsidRDefault="00F730F9" w:rsidP="00227AC3">
      <w:pPr>
        <w:pStyle w:val="Nivel2"/>
        <w:numPr>
          <w:ilvl w:val="0"/>
          <w:numId w:val="0"/>
        </w:numPr>
        <w:spacing w:afterLines="120" w:after="288" w:line="240" w:lineRule="auto"/>
        <w:ind w:firstLine="567"/>
        <w:rPr>
          <w:rFonts w:ascii="Century Gothic" w:hAnsi="Century Gothic" w:cstheme="majorHAnsi"/>
          <w:bCs/>
        </w:rPr>
      </w:pPr>
      <w:r w:rsidRPr="00D06CC0">
        <w:rPr>
          <w:rFonts w:ascii="Century Gothic" w:hAnsi="Century Gothic" w:cstheme="majorHAnsi"/>
          <w:i/>
          <w:iCs/>
          <w:color w:val="FF0000"/>
        </w:rPr>
        <w:t>[Local]</w:t>
      </w:r>
      <w:r w:rsidRPr="00D06CC0">
        <w:rPr>
          <w:rFonts w:ascii="Century Gothic" w:hAnsi="Century Gothic" w:cstheme="majorHAnsi"/>
          <w:i/>
          <w:iCs/>
          <w:color w:val="auto"/>
        </w:rPr>
        <w:t>,</w:t>
      </w:r>
      <w:r w:rsidRPr="00D06CC0">
        <w:rPr>
          <w:rFonts w:ascii="Century Gothic" w:hAnsi="Century Gothic" w:cstheme="majorHAnsi"/>
          <w:i/>
          <w:iCs/>
          <w:color w:val="FF0000"/>
        </w:rPr>
        <w:t xml:space="preserve"> [dia] </w:t>
      </w:r>
      <w:r w:rsidRPr="00D06CC0">
        <w:rPr>
          <w:rFonts w:ascii="Century Gothic" w:hAnsi="Century Gothic" w:cstheme="majorHAnsi"/>
          <w:i/>
          <w:iCs/>
          <w:color w:val="auto"/>
        </w:rPr>
        <w:t>de</w:t>
      </w:r>
      <w:r w:rsidRPr="00D06CC0">
        <w:rPr>
          <w:rFonts w:ascii="Century Gothic" w:hAnsi="Century Gothic" w:cstheme="majorHAnsi"/>
          <w:i/>
          <w:iCs/>
          <w:color w:val="FF0000"/>
        </w:rPr>
        <w:t xml:space="preserve"> [mês] </w:t>
      </w:r>
      <w:r w:rsidRPr="00D06CC0">
        <w:rPr>
          <w:rFonts w:ascii="Century Gothic" w:hAnsi="Century Gothic" w:cstheme="majorHAnsi"/>
          <w:i/>
          <w:iCs/>
          <w:color w:val="auto"/>
        </w:rPr>
        <w:t>de</w:t>
      </w:r>
      <w:r w:rsidRPr="00D06CC0">
        <w:rPr>
          <w:rFonts w:ascii="Century Gothic" w:hAnsi="Century Gothic" w:cstheme="majorHAnsi"/>
          <w:i/>
          <w:iCs/>
          <w:color w:val="FF0000"/>
        </w:rPr>
        <w:t xml:space="preserve"> [ano].</w:t>
      </w:r>
      <w:r w:rsidRPr="00D06CC0">
        <w:rPr>
          <w:rFonts w:ascii="Century Gothic" w:hAnsi="Century Gothic" w:cstheme="majorHAnsi"/>
          <w:bCs/>
        </w:rPr>
        <w:t>_________________________</w:t>
      </w:r>
    </w:p>
    <w:p w14:paraId="31075344" w14:textId="77777777" w:rsidR="00F730F9" w:rsidRPr="00D06CC0" w:rsidRDefault="00F730F9" w:rsidP="00FB7D71">
      <w:pPr>
        <w:spacing w:before="120" w:afterLines="120" w:after="288"/>
        <w:ind w:firstLine="567"/>
        <w:jc w:val="both"/>
        <w:rPr>
          <w:rFonts w:ascii="Century Gothic" w:hAnsi="Century Gothic" w:cstheme="majorHAnsi"/>
          <w:bCs/>
          <w:sz w:val="20"/>
          <w:szCs w:val="20"/>
        </w:rPr>
      </w:pPr>
      <w:r w:rsidRPr="00D06CC0">
        <w:rPr>
          <w:rFonts w:ascii="Century Gothic" w:hAnsi="Century Gothic" w:cstheme="majorHAnsi"/>
          <w:bCs/>
          <w:sz w:val="20"/>
          <w:szCs w:val="20"/>
        </w:rPr>
        <w:t>Representante legal do CONTRATANTE</w:t>
      </w:r>
    </w:p>
    <w:p w14:paraId="58CD5BF2" w14:textId="6F55F67E" w:rsidR="00EE61B7" w:rsidRPr="00D06CC0" w:rsidRDefault="00F730F9" w:rsidP="000B1425">
      <w:pPr>
        <w:spacing w:before="120" w:afterLines="120" w:after="288"/>
        <w:ind w:firstLine="567"/>
        <w:jc w:val="both"/>
        <w:rPr>
          <w:rFonts w:ascii="Century Gothic" w:hAnsi="Century Gothic" w:cstheme="majorHAnsi"/>
          <w:i/>
          <w:iCs/>
          <w:sz w:val="20"/>
          <w:szCs w:val="20"/>
        </w:rPr>
      </w:pPr>
      <w:r w:rsidRPr="00D06CC0">
        <w:rPr>
          <w:rFonts w:ascii="Century Gothic" w:hAnsi="Century Gothic" w:cstheme="majorHAnsi"/>
          <w:sz w:val="20"/>
          <w:szCs w:val="20"/>
        </w:rPr>
        <w:t>_________________________</w:t>
      </w:r>
      <w:r w:rsidRPr="00D06CC0">
        <w:rPr>
          <w:rFonts w:ascii="Century Gothic" w:hAnsi="Century Gothic" w:cstheme="majorHAnsi"/>
          <w:bCs/>
          <w:sz w:val="20"/>
          <w:szCs w:val="20"/>
        </w:rPr>
        <w:t>Representante</w:t>
      </w:r>
      <w:r w:rsidRPr="00D06CC0">
        <w:rPr>
          <w:rFonts w:ascii="Century Gothic" w:hAnsi="Century Gothic" w:cstheme="majorHAnsi"/>
          <w:sz w:val="20"/>
          <w:szCs w:val="20"/>
        </w:rPr>
        <w:t xml:space="preserve"> legal do CONTRATADO</w:t>
      </w:r>
      <w:r w:rsidR="00227AC3" w:rsidRPr="00D06CC0">
        <w:rPr>
          <w:rFonts w:ascii="Century Gothic" w:hAnsi="Century Gothic" w:cstheme="majorHAnsi"/>
          <w:sz w:val="20"/>
          <w:szCs w:val="20"/>
        </w:rPr>
        <w:t xml:space="preserve"> </w:t>
      </w:r>
      <w:r w:rsidRPr="00D06CC0">
        <w:rPr>
          <w:rFonts w:ascii="Century Gothic" w:hAnsi="Century Gothic" w:cstheme="majorHAnsi"/>
          <w:i/>
          <w:iCs/>
          <w:sz w:val="20"/>
          <w:szCs w:val="20"/>
        </w:rPr>
        <w:t>TESTEMUNHAS</w:t>
      </w:r>
    </w:p>
    <w:p w14:paraId="4FDE2E84" w14:textId="77777777" w:rsidR="00EE61B7" w:rsidRPr="00D06CC0" w:rsidRDefault="00EE61B7">
      <w:pPr>
        <w:rPr>
          <w:rFonts w:ascii="Century Gothic" w:hAnsi="Century Gothic" w:cstheme="majorHAnsi"/>
          <w:i/>
          <w:iCs/>
          <w:sz w:val="20"/>
          <w:szCs w:val="20"/>
        </w:rPr>
      </w:pPr>
      <w:r w:rsidRPr="00D06CC0">
        <w:rPr>
          <w:rFonts w:ascii="Century Gothic" w:hAnsi="Century Gothic" w:cstheme="majorHAnsi"/>
          <w:i/>
          <w:iCs/>
          <w:sz w:val="20"/>
          <w:szCs w:val="20"/>
        </w:rPr>
        <w:br w:type="page"/>
      </w:r>
    </w:p>
    <w:p w14:paraId="19AB69C7" w14:textId="77777777" w:rsidR="00EE61B7" w:rsidRPr="00D06CC0" w:rsidRDefault="00EE61B7" w:rsidP="00EE61B7">
      <w:pPr>
        <w:pBdr>
          <w:top w:val="single" w:sz="4" w:space="1" w:color="000000"/>
          <w:bottom w:val="single" w:sz="4" w:space="1" w:color="000000"/>
        </w:pBdr>
        <w:shd w:val="clear" w:color="auto" w:fill="DBDBDB" w:themeFill="accent3" w:themeFillTint="66"/>
        <w:jc w:val="center"/>
        <w:rPr>
          <w:rFonts w:ascii="Century Gothic" w:eastAsia="Calibri" w:hAnsi="Century Gothic" w:cstheme="majorHAnsi"/>
          <w:b/>
        </w:rPr>
      </w:pPr>
      <w:r w:rsidRPr="00D06CC0">
        <w:rPr>
          <w:rFonts w:ascii="Century Gothic" w:eastAsia="Calibri" w:hAnsi="Century Gothic" w:cstheme="majorHAnsi"/>
          <w:b/>
        </w:rPr>
        <w:lastRenderedPageBreak/>
        <w:t>ANEXO X – MINUTA DA ATA DE REGISTRO DE PREÇO</w:t>
      </w:r>
    </w:p>
    <w:p w14:paraId="6005B961" w14:textId="77777777" w:rsidR="00EE61B7" w:rsidRPr="00D06CC0" w:rsidRDefault="00EE61B7" w:rsidP="00EE61B7">
      <w:pPr>
        <w:spacing w:line="360" w:lineRule="auto"/>
        <w:rPr>
          <w:rFonts w:ascii="Century Gothic" w:hAnsi="Century Gothic" w:cstheme="majorHAnsi"/>
        </w:rPr>
      </w:pPr>
    </w:p>
    <w:p w14:paraId="56A5A005"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color w:val="0A0000"/>
        </w:rPr>
        <w:t>Por este instrumento particular, o MUNICÍPIO DE xxxxxxxx /MA, através da Secretaria Municipal de ADMINISTRAÇAO de XXXXXXXXXXXXXX/MA, situada na xxxxxxxxxxxxxx - xxxxxxxxxx /Ma, inscrita no CNPJ sob o nº xxxxxxxxxxxxxx, neste ato representado pela Secretária Municipal, Sr(a). ....................................., brasileira, portador do RG nº ..................................... SSP/......, CPF nº. ....................................., residente e domiciliado na ..................................... (endereço completo), doravante denominado ÓRGÃO GERENCIADOR, para atender a demanda das Secretárias Municipais de XXXXXXXXXXXXXX/Ma</w:t>
      </w:r>
      <w:r w:rsidRPr="00D06CC0">
        <w:rPr>
          <w:rFonts w:ascii="Century Gothic" w:hAnsi="Century Gothic" w:cstheme="majorHAnsi"/>
        </w:rPr>
        <w:t>, nos termos do edital do processo acima referenciado e conforme todas as disposições da Lei nº 14.133/21 de 01 de abril de 2021, resolvem celebrar o presente contrato de fornecimento mediante as cláusulas e condições que se seguem:</w:t>
      </w:r>
    </w:p>
    <w:p w14:paraId="2AF8BB3B" w14:textId="77777777" w:rsidR="00EE61B7" w:rsidRPr="00D06CC0" w:rsidRDefault="00EE61B7" w:rsidP="00EE61B7">
      <w:pPr>
        <w:spacing w:line="360" w:lineRule="auto"/>
        <w:rPr>
          <w:rFonts w:ascii="Century Gothic" w:eastAsia="Calibri" w:hAnsi="Century Gothic" w:cstheme="majorHAnsi"/>
          <w:b/>
        </w:rPr>
      </w:pPr>
    </w:p>
    <w:p w14:paraId="233390FD" w14:textId="77777777" w:rsidR="00EE61B7" w:rsidRPr="00D06CC0" w:rsidRDefault="00EE61B7" w:rsidP="00EE61B7">
      <w:pPr>
        <w:shd w:val="clear" w:color="auto" w:fill="DBDBDB" w:themeFill="accent3" w:themeFillTint="66"/>
        <w:spacing w:line="360" w:lineRule="auto"/>
        <w:rPr>
          <w:rFonts w:ascii="Century Gothic" w:eastAsia="Calibri" w:hAnsi="Century Gothic" w:cstheme="majorHAnsi"/>
          <w:b/>
        </w:rPr>
      </w:pPr>
      <w:r w:rsidRPr="00D06CC0">
        <w:rPr>
          <w:rFonts w:ascii="Century Gothic" w:eastAsia="Calibri" w:hAnsi="Century Gothic" w:cstheme="majorHAnsi"/>
          <w:b/>
        </w:rPr>
        <w:t>1.</w:t>
      </w:r>
      <w:r w:rsidRPr="00D06CC0">
        <w:rPr>
          <w:rFonts w:ascii="Century Gothic" w:eastAsia="Calibri" w:hAnsi="Century Gothic" w:cstheme="majorHAnsi"/>
          <w:b/>
        </w:rPr>
        <w:tab/>
        <w:t>CLÁUSULA PRIMEIRA – DO OBJETO</w:t>
      </w:r>
    </w:p>
    <w:p w14:paraId="0C4E097D" w14:textId="77777777" w:rsidR="00EE61B7" w:rsidRPr="00D06CC0" w:rsidRDefault="00EE61B7" w:rsidP="00EE61B7">
      <w:pPr>
        <w:spacing w:line="360" w:lineRule="auto"/>
        <w:rPr>
          <w:rFonts w:ascii="Century Gothic" w:hAnsi="Century Gothic" w:cstheme="majorHAnsi"/>
        </w:rPr>
      </w:pPr>
      <w:r w:rsidRPr="00D06CC0">
        <w:rPr>
          <w:rFonts w:ascii="Century Gothic" w:hAnsi="Century Gothic" w:cstheme="majorHAnsi"/>
        </w:rPr>
        <w:t>Constitui objeto do presente ARP é xxxxxxxxxxxxxxxxxxxxxxxxxxx, de acordo com as especificações constantes do Anexo I do Instrumento Convocatório e condições previstas neste contrato e na Proposta de Preços apresentada pela CONTRATADA:</w:t>
      </w:r>
    </w:p>
    <w:p w14:paraId="28CEB024" w14:textId="77777777" w:rsidR="00EE61B7" w:rsidRPr="00D06CC0" w:rsidRDefault="00EE61B7" w:rsidP="00EE61B7">
      <w:pPr>
        <w:spacing w:line="360" w:lineRule="auto"/>
        <w:rPr>
          <w:rFonts w:ascii="Century Gothic" w:hAnsi="Century Gothic" w:cstheme="majorHAnsi"/>
        </w:rPr>
      </w:pPr>
      <w:r w:rsidRPr="00D06CC0">
        <w:rPr>
          <w:rFonts w:ascii="Century Gothic" w:hAnsi="Century Gothic" w:cstheme="majorHAnsi"/>
        </w:rPr>
        <w:t>LOT E</w:t>
      </w:r>
      <w:r w:rsidRPr="00D06CC0">
        <w:rPr>
          <w:rFonts w:ascii="Century Gothic" w:hAnsi="Century Gothic" w:cstheme="majorHAnsi"/>
        </w:rPr>
        <w:tab/>
        <w:t>ITE M</w:t>
      </w:r>
      <w:r w:rsidRPr="00D06CC0">
        <w:rPr>
          <w:rFonts w:ascii="Century Gothic" w:hAnsi="Century Gothic" w:cstheme="majorHAnsi"/>
        </w:rPr>
        <w:tab/>
        <w:t>CÓDIG O</w:t>
      </w:r>
      <w:r w:rsidRPr="00D06CC0">
        <w:rPr>
          <w:rFonts w:ascii="Century Gothic" w:hAnsi="Century Gothic" w:cstheme="majorHAnsi"/>
        </w:rPr>
        <w:tab/>
        <w:t>UNIDAD E</w:t>
      </w:r>
      <w:r w:rsidRPr="00D06CC0">
        <w:rPr>
          <w:rFonts w:ascii="Century Gothic" w:hAnsi="Century Gothic" w:cstheme="majorHAnsi"/>
        </w:rPr>
        <w:tab/>
        <w:t>QUANTIDAD E</w:t>
      </w:r>
      <w:r w:rsidRPr="00D06CC0">
        <w:rPr>
          <w:rFonts w:ascii="Century Gothic" w:hAnsi="Century Gothic" w:cstheme="majorHAnsi"/>
        </w:rPr>
        <w:tab/>
        <w:t>DESCRIÇÃ O</w:t>
      </w:r>
      <w:r w:rsidRPr="00D06CC0">
        <w:rPr>
          <w:rFonts w:ascii="Century Gothic" w:hAnsi="Century Gothic" w:cstheme="majorHAnsi"/>
        </w:rPr>
        <w:tab/>
        <w:t>MARCA/MODEL O</w:t>
      </w:r>
      <w:r w:rsidRPr="00D06CC0">
        <w:rPr>
          <w:rFonts w:ascii="Century Gothic" w:hAnsi="Century Gothic" w:cstheme="majorHAnsi"/>
        </w:rPr>
        <w:tab/>
        <w:t>VALOR UNITÁRI O (R$)</w:t>
      </w:r>
      <w:r w:rsidRPr="00D06CC0">
        <w:rPr>
          <w:rFonts w:ascii="Century Gothic" w:hAnsi="Century Gothic" w:cstheme="majorHAnsi"/>
        </w:rPr>
        <w:tab/>
      </w:r>
      <w:r w:rsidRPr="00D06CC0">
        <w:rPr>
          <w:rFonts w:ascii="Century Gothic" w:hAnsi="Century Gothic" w:cstheme="majorHAnsi"/>
        </w:rPr>
        <w:tab/>
      </w:r>
      <w:r w:rsidRPr="00D06CC0">
        <w:rPr>
          <w:rFonts w:ascii="Century Gothic" w:hAnsi="Century Gothic" w:cstheme="majorHAnsi"/>
        </w:rPr>
        <w:tab/>
      </w:r>
      <w:r w:rsidRPr="00D06CC0">
        <w:rPr>
          <w:rFonts w:ascii="Century Gothic" w:hAnsi="Century Gothic" w:cstheme="majorHAnsi"/>
        </w:rPr>
        <w:tab/>
      </w:r>
      <w:r w:rsidRPr="00D06CC0">
        <w:rPr>
          <w:rFonts w:ascii="Century Gothic" w:hAnsi="Century Gothic" w:cstheme="majorHAnsi"/>
        </w:rPr>
        <w:tab/>
      </w:r>
    </w:p>
    <w:p w14:paraId="1C48239B"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1.1</w:t>
      </w:r>
      <w:r w:rsidRPr="00D06CC0">
        <w:rPr>
          <w:rFonts w:ascii="Century Gothic" w:hAnsi="Century Gothic" w:cstheme="majorHAnsi"/>
        </w:rPr>
        <w:tab/>
        <w:t>A presente Ata de Registro de Preços, durante sua vigência,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14.133/2021.</w:t>
      </w:r>
    </w:p>
    <w:p w14:paraId="168AB293" w14:textId="77777777" w:rsidR="00EE61B7" w:rsidRPr="00D06CC0" w:rsidRDefault="00EE61B7" w:rsidP="00EE61B7">
      <w:pPr>
        <w:spacing w:line="360" w:lineRule="auto"/>
        <w:rPr>
          <w:rFonts w:ascii="Century Gothic" w:hAnsi="Century Gothic" w:cstheme="majorHAnsi"/>
        </w:rPr>
      </w:pPr>
      <w:r w:rsidRPr="00D06CC0">
        <w:rPr>
          <w:rFonts w:ascii="Century Gothic" w:hAnsi="Century Gothic" w:cstheme="majorHAnsi"/>
        </w:rPr>
        <w:lastRenderedPageBreak/>
        <w:t>1.2</w:t>
      </w:r>
      <w:r w:rsidRPr="00D06CC0">
        <w:rPr>
          <w:rFonts w:ascii="Century Gothic" w:hAnsi="Century Gothic" w:cstheme="majorHAnsi"/>
        </w:rPr>
        <w:tab/>
        <w:t>A adesão à Ata de Registro de Preços por órgãos não participantes deverá ser formalizada por meio de termo de adesão, conforme disposto no art. 86 da Lei nº 14.133/2021.</w:t>
      </w:r>
    </w:p>
    <w:p w14:paraId="61F16CE5" w14:textId="77777777" w:rsidR="00EE61B7" w:rsidRPr="00D06CC0" w:rsidRDefault="00EE61B7" w:rsidP="00EE61B7">
      <w:pPr>
        <w:spacing w:line="360" w:lineRule="auto"/>
        <w:rPr>
          <w:rFonts w:ascii="Century Gothic" w:hAnsi="Century Gothic" w:cstheme="majorHAnsi"/>
          <w:b/>
          <w:bCs/>
        </w:rPr>
      </w:pPr>
      <w:r w:rsidRPr="00D06CC0">
        <w:rPr>
          <w:rFonts w:ascii="Century Gothic" w:hAnsi="Century Gothic" w:cstheme="majorHAnsi"/>
          <w:b/>
          <w:bCs/>
        </w:rPr>
        <w:t>1.3.</w:t>
      </w:r>
      <w:r w:rsidRPr="00D06CC0">
        <w:rPr>
          <w:rFonts w:ascii="Century Gothic" w:hAnsi="Century Gothic" w:cstheme="majorHAnsi"/>
          <w:b/>
          <w:bCs/>
        </w:rPr>
        <w:tab/>
        <w:t>Procedimento para Adesão</w:t>
      </w:r>
    </w:p>
    <w:p w14:paraId="05EB6F93"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 xml:space="preserve"> 1.3.1.</w:t>
      </w:r>
      <w:r w:rsidRPr="00D06CC0">
        <w:rPr>
          <w:rFonts w:ascii="Century Gothic" w:hAnsi="Century Gothic" w:cstheme="majorHAnsi"/>
        </w:rPr>
        <w:tab/>
        <w:t>Os órgãos e entidades não participantes que desejarem fazer uso da Ata de Registro de Preços deverão encaminhar solicitação prévia ao órgão gerenciador, no seguinte endereço eletrônico: [inserir e-mail], contendo, no mínimo:</w:t>
      </w:r>
    </w:p>
    <w:p w14:paraId="342420D6" w14:textId="77777777" w:rsidR="00EE61B7" w:rsidRPr="00D06CC0" w:rsidRDefault="00EE61B7" w:rsidP="00EE61B7">
      <w:pPr>
        <w:spacing w:line="360" w:lineRule="auto"/>
        <w:rPr>
          <w:rFonts w:ascii="Century Gothic" w:hAnsi="Century Gothic" w:cstheme="majorHAnsi"/>
        </w:rPr>
      </w:pPr>
      <w:r w:rsidRPr="00D06CC0">
        <w:rPr>
          <w:rFonts w:ascii="Century Gothic" w:hAnsi="Century Gothic" w:cstheme="majorHAnsi"/>
        </w:rPr>
        <w:t>a)</w:t>
      </w:r>
      <w:r w:rsidRPr="00D06CC0">
        <w:rPr>
          <w:rFonts w:ascii="Century Gothic" w:hAnsi="Century Gothic" w:cstheme="majorHAnsi"/>
        </w:rPr>
        <w:tab/>
        <w:t>Identificação do órgão interessado;</w:t>
      </w:r>
    </w:p>
    <w:p w14:paraId="690C81B0" w14:textId="77777777" w:rsidR="00EE61B7" w:rsidRPr="00D06CC0" w:rsidRDefault="00EE61B7" w:rsidP="00EE61B7">
      <w:pPr>
        <w:spacing w:line="360" w:lineRule="auto"/>
        <w:rPr>
          <w:rFonts w:ascii="Century Gothic" w:hAnsi="Century Gothic" w:cstheme="majorHAnsi"/>
        </w:rPr>
      </w:pPr>
      <w:r w:rsidRPr="00D06CC0">
        <w:rPr>
          <w:rFonts w:ascii="Century Gothic" w:hAnsi="Century Gothic" w:cstheme="majorHAnsi"/>
        </w:rPr>
        <w:t>b)</w:t>
      </w:r>
      <w:r w:rsidRPr="00D06CC0">
        <w:rPr>
          <w:rFonts w:ascii="Century Gothic" w:hAnsi="Century Gothic" w:cstheme="majorHAnsi"/>
        </w:rPr>
        <w:tab/>
        <w:t>Indicação dos itens e respectivas quantidades pretendidas;</w:t>
      </w:r>
    </w:p>
    <w:p w14:paraId="1FD835E0" w14:textId="77777777" w:rsidR="00EE61B7" w:rsidRPr="00D06CC0" w:rsidRDefault="00EE61B7" w:rsidP="00EE61B7">
      <w:pPr>
        <w:spacing w:line="360" w:lineRule="auto"/>
        <w:rPr>
          <w:rFonts w:ascii="Century Gothic" w:hAnsi="Century Gothic" w:cstheme="majorHAnsi"/>
        </w:rPr>
      </w:pPr>
      <w:r w:rsidRPr="00D06CC0">
        <w:rPr>
          <w:rFonts w:ascii="Century Gothic" w:hAnsi="Century Gothic" w:cstheme="majorHAnsi"/>
        </w:rPr>
        <w:t>c)</w:t>
      </w:r>
      <w:r w:rsidRPr="00D06CC0">
        <w:rPr>
          <w:rFonts w:ascii="Century Gothic" w:hAnsi="Century Gothic" w:cstheme="majorHAnsi"/>
        </w:rPr>
        <w:tab/>
        <w:t>Justificativa da necessidade e da vantajosidade da adesão.</w:t>
      </w:r>
    </w:p>
    <w:p w14:paraId="44978C4B"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1.3.2.</w:t>
      </w:r>
      <w:r w:rsidRPr="00D06CC0">
        <w:rPr>
          <w:rFonts w:ascii="Century Gothic" w:hAnsi="Century Gothic" w:cstheme="majorHAnsi"/>
        </w:rPr>
        <w:tab/>
        <w:t>O órgão gerenciador terá o prazo de 5 (cinco) dias úteis, contados a partir do recebimento da solicitação, para se manifestar quanto à possibilidade de adesão, podendo:</w:t>
      </w:r>
    </w:p>
    <w:p w14:paraId="04EE02C0" w14:textId="77777777" w:rsidR="00EE61B7" w:rsidRPr="00D06CC0" w:rsidRDefault="00EE61B7" w:rsidP="00EE61B7">
      <w:pPr>
        <w:spacing w:line="360" w:lineRule="auto"/>
        <w:rPr>
          <w:rFonts w:ascii="Century Gothic" w:hAnsi="Century Gothic" w:cstheme="majorHAnsi"/>
        </w:rPr>
      </w:pPr>
      <w:r w:rsidRPr="00D06CC0">
        <w:rPr>
          <w:rFonts w:ascii="Century Gothic" w:hAnsi="Century Gothic" w:cstheme="majorHAnsi"/>
        </w:rPr>
        <w:t>a)</w:t>
      </w:r>
      <w:r w:rsidRPr="00D06CC0">
        <w:rPr>
          <w:rFonts w:ascii="Century Gothic" w:hAnsi="Century Gothic" w:cstheme="majorHAnsi"/>
        </w:rPr>
        <w:tab/>
        <w:t>Autorizar a adesão;</w:t>
      </w:r>
    </w:p>
    <w:p w14:paraId="39EC29A3" w14:textId="77777777" w:rsidR="00EE61B7" w:rsidRPr="00D06CC0" w:rsidRDefault="00EE61B7" w:rsidP="00EE61B7">
      <w:pPr>
        <w:spacing w:line="360" w:lineRule="auto"/>
        <w:rPr>
          <w:rFonts w:ascii="Century Gothic" w:hAnsi="Century Gothic" w:cstheme="majorHAnsi"/>
        </w:rPr>
      </w:pPr>
      <w:r w:rsidRPr="00D06CC0">
        <w:rPr>
          <w:rFonts w:ascii="Century Gothic" w:hAnsi="Century Gothic" w:cstheme="majorHAnsi"/>
        </w:rPr>
        <w:t>b)</w:t>
      </w:r>
      <w:r w:rsidRPr="00D06CC0">
        <w:rPr>
          <w:rFonts w:ascii="Century Gothic" w:hAnsi="Century Gothic" w:cstheme="majorHAnsi"/>
        </w:rPr>
        <w:tab/>
        <w:t>Negar a adesão, apresentando justificativa;</w:t>
      </w:r>
    </w:p>
    <w:p w14:paraId="34061A4C" w14:textId="77777777" w:rsidR="00EE61B7" w:rsidRPr="00D06CC0" w:rsidRDefault="00EE61B7" w:rsidP="00EE61B7">
      <w:pPr>
        <w:spacing w:line="360" w:lineRule="auto"/>
        <w:rPr>
          <w:rFonts w:ascii="Century Gothic" w:hAnsi="Century Gothic" w:cstheme="majorHAnsi"/>
        </w:rPr>
      </w:pPr>
      <w:r w:rsidRPr="00D06CC0">
        <w:rPr>
          <w:rFonts w:ascii="Century Gothic" w:hAnsi="Century Gothic" w:cstheme="majorHAnsi"/>
        </w:rPr>
        <w:t>c)</w:t>
      </w:r>
      <w:r w:rsidRPr="00D06CC0">
        <w:rPr>
          <w:rFonts w:ascii="Century Gothic" w:hAnsi="Century Gothic" w:cstheme="majorHAnsi"/>
        </w:rPr>
        <w:tab/>
        <w:t>Solicitar informações complementares ao órgão interessado.</w:t>
      </w:r>
    </w:p>
    <w:p w14:paraId="692BA568"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1.3.3.</w:t>
      </w:r>
      <w:r w:rsidRPr="00D06CC0">
        <w:rPr>
          <w:rFonts w:ascii="Century Gothic" w:hAnsi="Century Gothic" w:cstheme="majorHAnsi"/>
        </w:rPr>
        <w:tab/>
        <w:t>Após a autorização do órgão gerenciador, o órgão não participante deverá efetivar a contratação solicitada em até 90 (noventa) dias, observado o prazo de vigência da Ata.</w:t>
      </w:r>
    </w:p>
    <w:p w14:paraId="4A7571C7" w14:textId="77777777" w:rsidR="00EE61B7" w:rsidRPr="00D06CC0" w:rsidRDefault="00EE61B7" w:rsidP="00EE61B7">
      <w:pPr>
        <w:pBdr>
          <w:top w:val="single" w:sz="4" w:space="1" w:color="auto"/>
          <w:bottom w:val="single" w:sz="4" w:space="0" w:color="auto"/>
        </w:pBdr>
        <w:shd w:val="clear" w:color="auto" w:fill="DBDBDB" w:themeFill="accent3" w:themeFillTint="66"/>
        <w:spacing w:line="360" w:lineRule="auto"/>
        <w:rPr>
          <w:rFonts w:ascii="Century Gothic" w:hAnsi="Century Gothic" w:cstheme="majorHAnsi"/>
        </w:rPr>
      </w:pPr>
      <w:r w:rsidRPr="00D06CC0">
        <w:rPr>
          <w:rFonts w:ascii="Century Gothic" w:eastAsia="Calibri" w:hAnsi="Century Gothic" w:cstheme="majorHAnsi"/>
          <w:b/>
        </w:rPr>
        <w:t>2.</w:t>
      </w:r>
      <w:r w:rsidRPr="00D06CC0">
        <w:rPr>
          <w:rFonts w:ascii="Century Gothic" w:eastAsia="Calibri" w:hAnsi="Century Gothic" w:cstheme="majorHAnsi"/>
          <w:b/>
        </w:rPr>
        <w:tab/>
        <w:t>DOS PREÇOS, ESPECIFICAÇÕES E</w:t>
      </w:r>
      <w:r w:rsidRPr="00D06CC0">
        <w:rPr>
          <w:rFonts w:ascii="Century Gothic" w:hAnsi="Century Gothic" w:cstheme="majorHAnsi"/>
          <w:b/>
        </w:rPr>
        <w:t xml:space="preserve"> QUANTITATIVOS</w:t>
      </w:r>
    </w:p>
    <w:p w14:paraId="169AC7D2"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2.1. O preço registrado, as especificações do objeto, as quantidades mínimas e máximas de cada item, fornecedor(es) e as demais condições ofertadas na(s) proposta(s) são as que</w:t>
      </w:r>
    </w:p>
    <w:p w14:paraId="4AF085AD" w14:textId="77777777" w:rsidR="00EE61B7" w:rsidRPr="00D06CC0" w:rsidRDefault="00EE61B7" w:rsidP="00EE61B7">
      <w:pPr>
        <w:spacing w:line="360" w:lineRule="auto"/>
        <w:rPr>
          <w:rFonts w:ascii="Century Gothic" w:hAnsi="Century Gothic" w:cstheme="majorHAnsi"/>
        </w:rPr>
      </w:pPr>
      <w:r w:rsidRPr="00D06CC0">
        <w:rPr>
          <w:rFonts w:ascii="Century Gothic" w:hAnsi="Century Gothic" w:cstheme="majorHAnsi"/>
        </w:rPr>
        <w:t>2.3. É vedado efetuar acréscimos nos quantitativos fixados na ata de registro de preços.</w:t>
      </w:r>
    </w:p>
    <w:p w14:paraId="08451525" w14:textId="77777777" w:rsidR="00EE61B7" w:rsidRPr="00D06CC0" w:rsidRDefault="00EE61B7" w:rsidP="00EE61B7">
      <w:pPr>
        <w:pBdr>
          <w:top w:val="single" w:sz="4" w:space="1" w:color="auto"/>
          <w:bottom w:val="single" w:sz="4" w:space="1" w:color="auto"/>
        </w:pBdr>
        <w:shd w:val="clear" w:color="auto" w:fill="DBDBDB" w:themeFill="accent3" w:themeFillTint="66"/>
        <w:spacing w:line="360" w:lineRule="auto"/>
        <w:jc w:val="both"/>
        <w:rPr>
          <w:rFonts w:ascii="Century Gothic" w:eastAsia="Calibri" w:hAnsi="Century Gothic" w:cstheme="majorHAnsi"/>
          <w:b/>
        </w:rPr>
      </w:pPr>
      <w:r w:rsidRPr="00D06CC0">
        <w:rPr>
          <w:rFonts w:ascii="Century Gothic" w:eastAsia="Calibri" w:hAnsi="Century Gothic" w:cstheme="majorHAnsi"/>
          <w:b/>
        </w:rPr>
        <w:lastRenderedPageBreak/>
        <w:t>3.</w:t>
      </w:r>
      <w:r w:rsidRPr="00D06CC0">
        <w:rPr>
          <w:rFonts w:ascii="Century Gothic" w:eastAsia="Calibri" w:hAnsi="Century Gothic" w:cstheme="majorHAnsi"/>
          <w:b/>
        </w:rPr>
        <w:tab/>
        <w:t>VALIDADE, FORMALIZAÇÃO DA ATA DE REGISTRO DE PREÇOS E CADASTRO RESERVA</w:t>
      </w:r>
    </w:p>
    <w:p w14:paraId="5D48D101"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3.1.</w:t>
      </w:r>
      <w:r w:rsidRPr="00D06CC0">
        <w:rPr>
          <w:rFonts w:ascii="Century Gothic" w:hAnsi="Century Gothic" w:cstheme="majorHAnsi"/>
        </w:rPr>
        <w:tab/>
        <w:t xml:space="preserve">A validade da Ata de Registro de Preços será́ de 1 (um) ano, contado a partir do primeiro dia </w:t>
      </w:r>
      <w:r w:rsidRPr="00D06CC0">
        <w:rPr>
          <w:rFonts w:ascii="Century Gothic" w:hAnsi="Century Gothic" w:cs="Century Gothic"/>
        </w:rPr>
        <w:t>ú</w:t>
      </w:r>
      <w:r w:rsidRPr="00D06CC0">
        <w:rPr>
          <w:rFonts w:ascii="Century Gothic" w:hAnsi="Century Gothic" w:cstheme="majorHAnsi"/>
        </w:rPr>
        <w:t>til subsequente à data de divulga</w:t>
      </w:r>
      <w:r w:rsidRPr="00D06CC0">
        <w:rPr>
          <w:rFonts w:ascii="Century Gothic" w:hAnsi="Century Gothic" w:cs="Century Gothic"/>
        </w:rPr>
        <w:t>çã</w:t>
      </w:r>
      <w:r w:rsidRPr="00D06CC0">
        <w:rPr>
          <w:rFonts w:ascii="Century Gothic" w:hAnsi="Century Gothic" w:cstheme="majorHAnsi"/>
        </w:rPr>
        <w:t>o no PNCP, podendo ser prorrogada por igual período, mediante a anuência do fornecedor, desde que comprovado o preço vantajoso.</w:t>
      </w:r>
    </w:p>
    <w:p w14:paraId="4D8705C7"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3.1.1.</w:t>
      </w:r>
      <w:r w:rsidRPr="00D06CC0">
        <w:rPr>
          <w:rFonts w:ascii="Century Gothic" w:hAnsi="Century Gothic" w:cstheme="majorHAnsi"/>
        </w:rPr>
        <w:tab/>
        <w:t>O contrato decorrente da ata de registro de preços terá́ sua vig</w:t>
      </w:r>
      <w:r w:rsidRPr="00D06CC0">
        <w:rPr>
          <w:rFonts w:ascii="Century Gothic" w:hAnsi="Century Gothic" w:cs="Century Gothic"/>
        </w:rPr>
        <w:t>ê</w:t>
      </w:r>
      <w:r w:rsidRPr="00D06CC0">
        <w:rPr>
          <w:rFonts w:ascii="Century Gothic" w:hAnsi="Century Gothic" w:cstheme="majorHAnsi"/>
        </w:rPr>
        <w:t>ncia estabelecida no pr</w:t>
      </w:r>
      <w:r w:rsidRPr="00D06CC0">
        <w:rPr>
          <w:rFonts w:ascii="Century Gothic" w:hAnsi="Century Gothic" w:cs="Century Gothic"/>
        </w:rPr>
        <w:t>ó</w:t>
      </w:r>
      <w:r w:rsidRPr="00D06CC0">
        <w:rPr>
          <w:rFonts w:ascii="Century Gothic" w:hAnsi="Century Gothic" w:cstheme="majorHAnsi"/>
        </w:rPr>
        <w:t>prio instrumento contratual e observar</w:t>
      </w:r>
      <w:r w:rsidRPr="00D06CC0">
        <w:rPr>
          <w:rFonts w:ascii="Century Gothic" w:hAnsi="Century Gothic" w:cs="Century Gothic"/>
        </w:rPr>
        <w:t>á</w:t>
      </w:r>
      <w:r w:rsidRPr="00D06CC0">
        <w:rPr>
          <w:rFonts w:ascii="Century Gothic" w:hAnsi="Century Gothic" w:cstheme="majorHAnsi"/>
        </w:rPr>
        <w:t xml:space="preserve"> no momento da contrata</w:t>
      </w:r>
      <w:r w:rsidRPr="00D06CC0">
        <w:rPr>
          <w:rFonts w:ascii="Century Gothic" w:hAnsi="Century Gothic" w:cs="Century Gothic"/>
        </w:rPr>
        <w:t>çã</w:t>
      </w:r>
      <w:r w:rsidRPr="00D06CC0">
        <w:rPr>
          <w:rFonts w:ascii="Century Gothic" w:hAnsi="Century Gothic" w:cstheme="majorHAnsi"/>
        </w:rPr>
        <w:t>o e a cada exerc</w:t>
      </w:r>
      <w:r w:rsidRPr="00D06CC0">
        <w:rPr>
          <w:rFonts w:ascii="Century Gothic" w:hAnsi="Century Gothic" w:cs="Century Gothic"/>
        </w:rPr>
        <w:t>í</w:t>
      </w:r>
      <w:r w:rsidRPr="00D06CC0">
        <w:rPr>
          <w:rFonts w:ascii="Century Gothic" w:hAnsi="Century Gothic" w:cstheme="majorHAnsi"/>
        </w:rPr>
        <w:t>cio financeiro a disponibilidade de cr</w:t>
      </w:r>
      <w:r w:rsidRPr="00D06CC0">
        <w:rPr>
          <w:rFonts w:ascii="Century Gothic" w:hAnsi="Century Gothic" w:cs="Century Gothic"/>
        </w:rPr>
        <w:t>é</w:t>
      </w:r>
      <w:r w:rsidRPr="00D06CC0">
        <w:rPr>
          <w:rFonts w:ascii="Century Gothic" w:hAnsi="Century Gothic" w:cstheme="majorHAnsi"/>
        </w:rPr>
        <w:t>ditos or</w:t>
      </w:r>
      <w:r w:rsidRPr="00D06CC0">
        <w:rPr>
          <w:rFonts w:ascii="Century Gothic" w:hAnsi="Century Gothic" w:cs="Century Gothic"/>
        </w:rPr>
        <w:t>ç</w:t>
      </w:r>
      <w:r w:rsidRPr="00D06CC0">
        <w:rPr>
          <w:rFonts w:ascii="Century Gothic" w:hAnsi="Century Gothic" w:cstheme="majorHAnsi"/>
        </w:rPr>
        <w:t>ament</w:t>
      </w:r>
      <w:r w:rsidRPr="00D06CC0">
        <w:rPr>
          <w:rFonts w:ascii="Century Gothic" w:hAnsi="Century Gothic" w:cs="Century Gothic"/>
        </w:rPr>
        <w:t>á</w:t>
      </w:r>
      <w:r w:rsidRPr="00D06CC0">
        <w:rPr>
          <w:rFonts w:ascii="Century Gothic" w:hAnsi="Century Gothic" w:cstheme="majorHAnsi"/>
        </w:rPr>
        <w:t>rios, bem como a previs</w:t>
      </w:r>
      <w:r w:rsidRPr="00D06CC0">
        <w:rPr>
          <w:rFonts w:ascii="Century Gothic" w:hAnsi="Century Gothic" w:cs="Century Gothic"/>
        </w:rPr>
        <w:t>ã</w:t>
      </w:r>
      <w:r w:rsidRPr="00D06CC0">
        <w:rPr>
          <w:rFonts w:ascii="Century Gothic" w:hAnsi="Century Gothic" w:cstheme="majorHAnsi"/>
        </w:rPr>
        <w:t>o no plano plurianual, quando ultrapassar 1 (um) exercício financeiro.</w:t>
      </w:r>
    </w:p>
    <w:p w14:paraId="4FF58B25"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3.1.2.</w:t>
      </w:r>
      <w:r w:rsidRPr="00D06CC0">
        <w:rPr>
          <w:rFonts w:ascii="Century Gothic" w:hAnsi="Century Gothic" w:cstheme="majorHAnsi"/>
        </w:rPr>
        <w:tab/>
        <w:t>Na formalização do contrato ou do instrumento substituto deverá haver a indicação da disponibilidade dos créditos orçamentários respectivos.</w:t>
      </w:r>
    </w:p>
    <w:p w14:paraId="19E7DAD8"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 xml:space="preserve"> 3.2.</w:t>
      </w:r>
      <w:r w:rsidRPr="00D06CC0">
        <w:rPr>
          <w:rFonts w:ascii="Century Gothic" w:hAnsi="Century Gothic" w:cstheme="majorHAnsi"/>
        </w:rPr>
        <w:tab/>
        <w:t>A contratação com os fornecedores registrados na ata será́ formalizada pelo órgão ou pela entidade interessada por intermédio de instrumento contratual, emissão de nota de empenho de despesa, autorização de compra ou outro instrumento hábil, conforme o art. 95 da Lei no 14.133, de 2021.</w:t>
      </w:r>
    </w:p>
    <w:p w14:paraId="6EC3401F"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3.2.1.</w:t>
      </w:r>
      <w:r w:rsidRPr="00D06CC0">
        <w:rPr>
          <w:rFonts w:ascii="Century Gothic" w:hAnsi="Century Gothic" w:cstheme="majorHAnsi"/>
        </w:rPr>
        <w:tab/>
        <w:t>O instrumento contratual de que trata o item 5.2. deverá ser assinado no prazo de validade da ata de registro de preços.</w:t>
      </w:r>
    </w:p>
    <w:p w14:paraId="537FD32E"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3.3.</w:t>
      </w:r>
      <w:r w:rsidRPr="00D06CC0">
        <w:rPr>
          <w:rFonts w:ascii="Century Gothic" w:hAnsi="Century Gothic" w:cstheme="majorHAnsi"/>
        </w:rPr>
        <w:tab/>
        <w:t>Os contratos decorrentes do sistema de registro de preços poderão ser alterados, observado o art. 124 da Lei no 14.133, de 2021.</w:t>
      </w:r>
    </w:p>
    <w:p w14:paraId="69D57788"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3.4.</w:t>
      </w:r>
      <w:r w:rsidRPr="00D06CC0">
        <w:rPr>
          <w:rFonts w:ascii="Century Gothic" w:hAnsi="Century Gothic" w:cstheme="majorHAnsi"/>
        </w:rPr>
        <w:tab/>
        <w:t>Após a homologação da licitação ou da contratação direta, deverão ser observadas as seguintes condições para formalização da ata de registro de preços:</w:t>
      </w:r>
    </w:p>
    <w:p w14:paraId="3D5784DB"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3.4.1.</w:t>
      </w:r>
      <w:r w:rsidRPr="00D06CC0">
        <w:rPr>
          <w:rFonts w:ascii="Century Gothic" w:hAnsi="Century Gothic" w:cstheme="majorHAnsi"/>
        </w:rPr>
        <w:tab/>
        <w:t>serão registrados na ata os preços e os quantitativos do adjudicatário, devendo ser observada a possibilidade de o licitante oferecer ou não proposta em quantitativo inferior ao máximo previsto no edital e se obrigar nos limites dela;</w:t>
      </w:r>
    </w:p>
    <w:p w14:paraId="6190A757"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lastRenderedPageBreak/>
        <w:t>3.4.2.</w:t>
      </w:r>
      <w:r w:rsidRPr="00D06CC0">
        <w:rPr>
          <w:rFonts w:ascii="Century Gothic" w:hAnsi="Century Gothic" w:cstheme="majorHAnsi"/>
        </w:rPr>
        <w:tab/>
        <w:t>será́ inclu</w:t>
      </w:r>
      <w:r w:rsidRPr="00D06CC0">
        <w:rPr>
          <w:rFonts w:ascii="Century Gothic" w:hAnsi="Century Gothic" w:cs="Century Gothic"/>
        </w:rPr>
        <w:t>í</w:t>
      </w:r>
      <w:r w:rsidRPr="00D06CC0">
        <w:rPr>
          <w:rFonts w:ascii="Century Gothic" w:hAnsi="Century Gothic" w:cstheme="majorHAnsi"/>
        </w:rPr>
        <w:t>do na ata, na forma de anexo, o registro dos licitantes ou dos fornecedores que:</w:t>
      </w:r>
    </w:p>
    <w:p w14:paraId="05709006"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3.4.2.1.</w:t>
      </w:r>
      <w:r w:rsidRPr="00D06CC0">
        <w:rPr>
          <w:rFonts w:ascii="Century Gothic" w:hAnsi="Century Gothic" w:cstheme="majorHAnsi"/>
        </w:rPr>
        <w:tab/>
        <w:t>Aceitar em cotar os bens, as obras ou os serviços com preços iguais aos do adjudicatário, observada a classificação da licitação; e</w:t>
      </w:r>
    </w:p>
    <w:p w14:paraId="4A51DA5F"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3.4.2.2.</w:t>
      </w:r>
      <w:r w:rsidRPr="00D06CC0">
        <w:rPr>
          <w:rFonts w:ascii="Century Gothic" w:hAnsi="Century Gothic" w:cstheme="majorHAnsi"/>
        </w:rPr>
        <w:tab/>
        <w:t>Mantiver em sua proposta original.</w:t>
      </w:r>
    </w:p>
    <w:p w14:paraId="41333E16"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3.4.3.</w:t>
      </w:r>
      <w:r w:rsidRPr="00D06CC0">
        <w:rPr>
          <w:rFonts w:ascii="Century Gothic" w:hAnsi="Century Gothic" w:cstheme="majorHAnsi"/>
        </w:rPr>
        <w:tab/>
        <w:t>será́ respeitada, nas contrata</w:t>
      </w:r>
      <w:r w:rsidRPr="00D06CC0">
        <w:rPr>
          <w:rFonts w:ascii="Century Gothic" w:hAnsi="Century Gothic" w:cs="Century Gothic"/>
        </w:rPr>
        <w:t>çõ</w:t>
      </w:r>
      <w:r w:rsidRPr="00D06CC0">
        <w:rPr>
          <w:rFonts w:ascii="Century Gothic" w:hAnsi="Century Gothic" w:cstheme="majorHAnsi"/>
        </w:rPr>
        <w:t>es, a ordem de classifica</w:t>
      </w:r>
      <w:r w:rsidRPr="00D06CC0">
        <w:rPr>
          <w:rFonts w:ascii="Century Gothic" w:hAnsi="Century Gothic" w:cs="Century Gothic"/>
        </w:rPr>
        <w:t>çã</w:t>
      </w:r>
      <w:r w:rsidRPr="00D06CC0">
        <w:rPr>
          <w:rFonts w:ascii="Century Gothic" w:hAnsi="Century Gothic" w:cstheme="majorHAnsi"/>
        </w:rPr>
        <w:t>o dos licitantes ou dos fornecedores registrados na ata.</w:t>
      </w:r>
    </w:p>
    <w:p w14:paraId="65E1A815"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3.5.</w:t>
      </w:r>
      <w:r w:rsidRPr="00D06CC0">
        <w:rPr>
          <w:rFonts w:ascii="Century Gothic" w:hAnsi="Century Gothic" w:cstheme="majorHAnsi"/>
        </w:rPr>
        <w:tab/>
        <w:t>O registro a que se refere o item 5.4.2 tem por objetivo a formação de cadastro de reserva para o caso de impossibilidade de atendimento pelo signatário da ata.</w:t>
      </w:r>
    </w:p>
    <w:p w14:paraId="1CFA2285"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3.6.</w:t>
      </w:r>
      <w:r w:rsidRPr="00D06CC0">
        <w:rPr>
          <w:rFonts w:ascii="Century Gothic" w:hAnsi="Century Gothic" w:cstheme="majorHAnsi"/>
        </w:rPr>
        <w:tab/>
        <w:t>Para fins da ordem de classificação, os licitantes ou fornecedores que aceitarem reduzir suas propostas para o preço do adjudicatário antecederão aqueles que mantiverem sua proposta original.</w:t>
      </w:r>
    </w:p>
    <w:p w14:paraId="430B0994"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3.7.</w:t>
      </w:r>
      <w:r w:rsidRPr="00D06CC0">
        <w:rPr>
          <w:rFonts w:ascii="Century Gothic" w:hAnsi="Century Gothic" w:cstheme="majorHAnsi"/>
        </w:rPr>
        <w:tab/>
        <w:t>A habilitação dos licitantes que comporão o cadastro de reserva a que se refere o item 3.4.2.2 somente será́ efetuada quando houver necessidade de contratação dos licitantes remanescentes, nas seguintes hipóteses:</w:t>
      </w:r>
    </w:p>
    <w:p w14:paraId="197B54A0"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3.7.1.</w:t>
      </w:r>
      <w:r w:rsidRPr="00D06CC0">
        <w:rPr>
          <w:rFonts w:ascii="Century Gothic" w:hAnsi="Century Gothic" w:cstheme="majorHAnsi"/>
        </w:rPr>
        <w:tab/>
        <w:t>Quando o licitante vencedor não assinar a ata de registro de preços, no prazo e nas condições estabelecidos no edital; e</w:t>
      </w:r>
    </w:p>
    <w:p w14:paraId="2B6A3A25"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3.7.2.</w:t>
      </w:r>
      <w:r w:rsidRPr="00D06CC0">
        <w:rPr>
          <w:rFonts w:ascii="Century Gothic" w:hAnsi="Century Gothic" w:cstheme="majorHAnsi"/>
        </w:rPr>
        <w:tab/>
        <w:t>Quando houver o cancelamento do registro do licitante ou do registro de preços nas hipóteses previstas no item 7.</w:t>
      </w:r>
    </w:p>
    <w:p w14:paraId="254563E0"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3.8.</w:t>
      </w:r>
      <w:r w:rsidRPr="00D06CC0">
        <w:rPr>
          <w:rFonts w:ascii="Century Gothic" w:hAnsi="Century Gothic" w:cstheme="majorHAnsi"/>
        </w:rPr>
        <w:tab/>
        <w:t>O preço registrado com indicação dos licitantes e fornecedores será́ divulgado no PNCP e ficar</w:t>
      </w:r>
      <w:r w:rsidRPr="00D06CC0">
        <w:rPr>
          <w:rFonts w:ascii="Century Gothic" w:hAnsi="Century Gothic" w:cs="Century Gothic"/>
        </w:rPr>
        <w:t>á</w:t>
      </w:r>
      <w:r w:rsidRPr="00D06CC0">
        <w:rPr>
          <w:rFonts w:ascii="Century Gothic" w:hAnsi="Century Gothic" w:cstheme="majorHAnsi"/>
        </w:rPr>
        <w:t xml:space="preserve"> disponibilizado durante a vig</w:t>
      </w:r>
      <w:r w:rsidRPr="00D06CC0">
        <w:rPr>
          <w:rFonts w:ascii="Century Gothic" w:hAnsi="Century Gothic" w:cs="Century Gothic"/>
        </w:rPr>
        <w:t>ê</w:t>
      </w:r>
      <w:r w:rsidRPr="00D06CC0">
        <w:rPr>
          <w:rFonts w:ascii="Century Gothic" w:hAnsi="Century Gothic" w:cstheme="majorHAnsi"/>
        </w:rPr>
        <w:t>ncia da ata de registro de pre</w:t>
      </w:r>
      <w:r w:rsidRPr="00D06CC0">
        <w:rPr>
          <w:rFonts w:ascii="Century Gothic" w:hAnsi="Century Gothic" w:cs="Century Gothic"/>
        </w:rPr>
        <w:t>ç</w:t>
      </w:r>
      <w:r w:rsidRPr="00D06CC0">
        <w:rPr>
          <w:rFonts w:ascii="Century Gothic" w:hAnsi="Century Gothic" w:cstheme="majorHAnsi"/>
        </w:rPr>
        <w:t>os.</w:t>
      </w:r>
    </w:p>
    <w:p w14:paraId="72155852"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3.9.</w:t>
      </w:r>
      <w:r w:rsidRPr="00D06CC0">
        <w:rPr>
          <w:rFonts w:ascii="Century Gothic" w:hAnsi="Century Gothic" w:cstheme="majorHAnsi"/>
        </w:rPr>
        <w:tab/>
        <w:t>Após a homologação da licitação ou da contratação direta, o licitante mais bem classificado ou o fornecedor, no caso da contratação direta, será́ convocado para assinar a ata de registro de pre</w:t>
      </w:r>
      <w:r w:rsidRPr="00D06CC0">
        <w:rPr>
          <w:rFonts w:ascii="Century Gothic" w:hAnsi="Century Gothic" w:cs="Century Gothic"/>
        </w:rPr>
        <w:t>ç</w:t>
      </w:r>
      <w:r w:rsidRPr="00D06CC0">
        <w:rPr>
          <w:rFonts w:ascii="Century Gothic" w:hAnsi="Century Gothic" w:cstheme="majorHAnsi"/>
        </w:rPr>
        <w:t>os, no prazo e nas condi</w:t>
      </w:r>
      <w:r w:rsidRPr="00D06CC0">
        <w:rPr>
          <w:rFonts w:ascii="Century Gothic" w:hAnsi="Century Gothic" w:cs="Century Gothic"/>
        </w:rPr>
        <w:t>çõ</w:t>
      </w:r>
      <w:r w:rsidRPr="00D06CC0">
        <w:rPr>
          <w:rFonts w:ascii="Century Gothic" w:hAnsi="Century Gothic" w:cstheme="majorHAnsi"/>
        </w:rPr>
        <w:t xml:space="preserve">es </w:t>
      </w:r>
      <w:r w:rsidRPr="00D06CC0">
        <w:rPr>
          <w:rFonts w:ascii="Century Gothic" w:hAnsi="Century Gothic" w:cstheme="majorHAnsi"/>
        </w:rPr>
        <w:lastRenderedPageBreak/>
        <w:t>estabelecidos no edital de licitação ou no aviso de contratação direta, sob pena de decair o direito, sem prejuízo das sanções previstas na Lei no 14.133, de 2021.</w:t>
      </w:r>
    </w:p>
    <w:p w14:paraId="37EA3AB9"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3.9.1.</w:t>
      </w:r>
      <w:r w:rsidRPr="00D06CC0">
        <w:rPr>
          <w:rFonts w:ascii="Century Gothic" w:hAnsi="Century Gothic" w:cstheme="majorHAnsi"/>
        </w:rPr>
        <w:tab/>
        <w:t>O prazo de convocação poderá́ ser prorrogado 1 (uma) vez, por igual per</w:t>
      </w:r>
      <w:r w:rsidRPr="00D06CC0">
        <w:rPr>
          <w:rFonts w:ascii="Century Gothic" w:hAnsi="Century Gothic" w:cs="Century Gothic"/>
        </w:rPr>
        <w:t>í</w:t>
      </w:r>
      <w:r w:rsidRPr="00D06CC0">
        <w:rPr>
          <w:rFonts w:ascii="Century Gothic" w:hAnsi="Century Gothic" w:cstheme="majorHAnsi"/>
        </w:rPr>
        <w:t>odo, mediante solicita</w:t>
      </w:r>
      <w:r w:rsidRPr="00D06CC0">
        <w:rPr>
          <w:rFonts w:ascii="Century Gothic" w:hAnsi="Century Gothic" w:cs="Century Gothic"/>
        </w:rPr>
        <w:t>çã</w:t>
      </w:r>
      <w:r w:rsidRPr="00D06CC0">
        <w:rPr>
          <w:rFonts w:ascii="Century Gothic" w:hAnsi="Century Gothic" w:cstheme="majorHAnsi"/>
        </w:rPr>
        <w:t>o do licitante ou fornecedor convocado, desde que apresentada dentro do prazo, devidamente justificada, e que a justificativa seja aceita pela Administração.</w:t>
      </w:r>
    </w:p>
    <w:p w14:paraId="2FDBABA4"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3.10.</w:t>
      </w:r>
      <w:r w:rsidRPr="00D06CC0">
        <w:rPr>
          <w:rFonts w:ascii="Century Gothic" w:hAnsi="Century Gothic" w:cstheme="majorHAnsi"/>
        </w:rPr>
        <w:tab/>
        <w:t>A ata de registro de preços será́ assinada por meio de assinatura digital e disponibilizada no Sistema de Registro de Preços.</w:t>
      </w:r>
    </w:p>
    <w:p w14:paraId="195483A7"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3.11.</w:t>
      </w:r>
      <w:r w:rsidRPr="00D06CC0">
        <w:rPr>
          <w:rFonts w:ascii="Century Gothic" w:hAnsi="Century Gothic" w:cstheme="majorHAnsi"/>
        </w:rPr>
        <w:tab/>
        <w:t>Quando o convocado não assinar a ata de registro de preços no prazo e nas condições estabelecidos no edital ou no aviso de contratação, e observado o disposto no item 3.7, observando o item 5.7 e subitens, fica facultado à Administração convocar os licitantes remanescentes do cadastro de reserva, na ordem de classificação, para faze</w:t>
      </w:r>
      <w:r w:rsidRPr="00D06CC0">
        <w:rPr>
          <w:rFonts w:ascii="Arial" w:hAnsi="Arial" w:cs="Arial"/>
        </w:rPr>
        <w:t>̂</w:t>
      </w:r>
      <w:r w:rsidRPr="00D06CC0">
        <w:rPr>
          <w:rFonts w:ascii="Century Gothic" w:hAnsi="Century Gothic" w:cstheme="majorHAnsi"/>
        </w:rPr>
        <w:t>-l</w:t>
      </w:r>
      <w:r w:rsidRPr="00D06CC0">
        <w:rPr>
          <w:rFonts w:ascii="Century Gothic" w:hAnsi="Century Gothic" w:cs="Century Gothic"/>
        </w:rPr>
        <w:t>ó</w:t>
      </w:r>
      <w:r w:rsidRPr="00D06CC0">
        <w:rPr>
          <w:rFonts w:ascii="Century Gothic" w:hAnsi="Century Gothic" w:cstheme="majorHAnsi"/>
        </w:rPr>
        <w:t xml:space="preserve"> em igual prazo e nas condi</w:t>
      </w:r>
      <w:r w:rsidRPr="00D06CC0">
        <w:rPr>
          <w:rFonts w:ascii="Century Gothic" w:hAnsi="Century Gothic" w:cs="Century Gothic"/>
        </w:rPr>
        <w:t>ç</w:t>
      </w:r>
      <w:r w:rsidRPr="00D06CC0">
        <w:rPr>
          <w:rFonts w:ascii="Century Gothic" w:hAnsi="Century Gothic" w:cstheme="majorHAnsi"/>
        </w:rPr>
        <w:t>ões propostas pelo primeiro classificado.</w:t>
      </w:r>
    </w:p>
    <w:p w14:paraId="5A4B65AC"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3.12.</w:t>
      </w:r>
      <w:r w:rsidRPr="00D06CC0">
        <w:rPr>
          <w:rFonts w:ascii="Century Gothic" w:hAnsi="Century Gothic" w:cstheme="majorHAnsi"/>
        </w:rPr>
        <w:tab/>
        <w:t>Na hipótese de nenhum dos licitantes que trata o item 5.4.2.1, aceitar a contratação nos termos do item anterior, a Administração, observados o valor estimado e sua eventual atualização nos termos do edital, poderá́:</w:t>
      </w:r>
    </w:p>
    <w:p w14:paraId="198866AE"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3.12.1.</w:t>
      </w:r>
      <w:r w:rsidRPr="00D06CC0">
        <w:rPr>
          <w:rFonts w:ascii="Century Gothic" w:hAnsi="Century Gothic" w:cstheme="majorHAnsi"/>
        </w:rPr>
        <w:tab/>
        <w:t>Convocar para negociação os demais licitantes ou fornecedores remanescentes cujos preços foram registrados sem redução, observada a ordem de classificação, com vistas à obten</w:t>
      </w:r>
      <w:r w:rsidRPr="00D06CC0">
        <w:rPr>
          <w:rFonts w:ascii="Century Gothic" w:hAnsi="Century Gothic" w:cs="Century Gothic"/>
        </w:rPr>
        <w:t>çã</w:t>
      </w:r>
      <w:r w:rsidRPr="00D06CC0">
        <w:rPr>
          <w:rFonts w:ascii="Century Gothic" w:hAnsi="Century Gothic" w:cstheme="majorHAnsi"/>
        </w:rPr>
        <w:t>o de pre</w:t>
      </w:r>
      <w:r w:rsidRPr="00D06CC0">
        <w:rPr>
          <w:rFonts w:ascii="Century Gothic" w:hAnsi="Century Gothic" w:cs="Century Gothic"/>
        </w:rPr>
        <w:t>ç</w:t>
      </w:r>
      <w:r w:rsidRPr="00D06CC0">
        <w:rPr>
          <w:rFonts w:ascii="Century Gothic" w:hAnsi="Century Gothic" w:cstheme="majorHAnsi"/>
        </w:rPr>
        <w:t>o melhor, mesmo que acima do pre</w:t>
      </w:r>
      <w:r w:rsidRPr="00D06CC0">
        <w:rPr>
          <w:rFonts w:ascii="Century Gothic" w:hAnsi="Century Gothic" w:cs="Century Gothic"/>
        </w:rPr>
        <w:t>ç</w:t>
      </w:r>
      <w:r w:rsidRPr="00D06CC0">
        <w:rPr>
          <w:rFonts w:ascii="Century Gothic" w:hAnsi="Century Gothic" w:cstheme="majorHAnsi"/>
        </w:rPr>
        <w:t>o do adjudicat</w:t>
      </w:r>
      <w:r w:rsidRPr="00D06CC0">
        <w:rPr>
          <w:rFonts w:ascii="Century Gothic" w:hAnsi="Century Gothic" w:cs="Century Gothic"/>
        </w:rPr>
        <w:t>á</w:t>
      </w:r>
      <w:r w:rsidRPr="00D06CC0">
        <w:rPr>
          <w:rFonts w:ascii="Century Gothic" w:hAnsi="Century Gothic" w:cstheme="majorHAnsi"/>
        </w:rPr>
        <w:t>rio; ou</w:t>
      </w:r>
    </w:p>
    <w:p w14:paraId="20D7E9F8"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3.12.2.</w:t>
      </w:r>
      <w:r w:rsidRPr="00D06CC0">
        <w:rPr>
          <w:rFonts w:ascii="Century Gothic" w:hAnsi="Century Gothic" w:cstheme="majorHAnsi"/>
        </w:rPr>
        <w:tab/>
        <w:t>Adjudicar e firmar o contrato nas condições ofertadas pelos licitantes ou fornecedores remanescentes, atendida a ordem classificatória, quando frustrada a negociação de melhor condição.</w:t>
      </w:r>
    </w:p>
    <w:p w14:paraId="163790E2"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3.13.</w:t>
      </w:r>
      <w:r w:rsidRPr="00D06CC0">
        <w:rPr>
          <w:rFonts w:ascii="Century Gothic" w:hAnsi="Century Gothic" w:cstheme="majorHAnsi"/>
        </w:rPr>
        <w:tab/>
        <w:t xml:space="preserve">A existência de preços registrados implicará compromisso de fornecimento nas condições estabelecidas, mas não obrigará a Administração a contratar, </w:t>
      </w:r>
      <w:r w:rsidRPr="00D06CC0">
        <w:rPr>
          <w:rFonts w:ascii="Century Gothic" w:hAnsi="Century Gothic" w:cstheme="majorHAnsi"/>
        </w:rPr>
        <w:lastRenderedPageBreak/>
        <w:t>facultada a realização de licitação específica para a aquisição pretendida, desde que devidamente justificada.</w:t>
      </w:r>
    </w:p>
    <w:p w14:paraId="6CBDF402" w14:textId="77777777" w:rsidR="00EE61B7" w:rsidRPr="00D06CC0" w:rsidRDefault="00EE61B7" w:rsidP="00EE61B7">
      <w:pPr>
        <w:pBdr>
          <w:top w:val="single" w:sz="4" w:space="1" w:color="auto"/>
          <w:bottom w:val="single" w:sz="4" w:space="1" w:color="auto"/>
        </w:pBdr>
        <w:shd w:val="clear" w:color="auto" w:fill="DBDBDB" w:themeFill="accent3" w:themeFillTint="66"/>
        <w:spacing w:line="360" w:lineRule="auto"/>
        <w:rPr>
          <w:rFonts w:ascii="Century Gothic" w:hAnsi="Century Gothic" w:cstheme="majorHAnsi"/>
          <w:b/>
          <w:bCs/>
        </w:rPr>
      </w:pPr>
      <w:r w:rsidRPr="00D06CC0">
        <w:rPr>
          <w:rFonts w:ascii="Century Gothic" w:hAnsi="Century Gothic" w:cstheme="majorHAnsi"/>
          <w:b/>
          <w:bCs/>
        </w:rPr>
        <w:t>4.</w:t>
      </w:r>
      <w:r w:rsidRPr="00D06CC0">
        <w:rPr>
          <w:rFonts w:ascii="Century Gothic" w:hAnsi="Century Gothic" w:cstheme="majorHAnsi"/>
          <w:b/>
          <w:bCs/>
        </w:rPr>
        <w:tab/>
        <w:t>ALTERAÇÃO OU ATUALIZAÇÃO DOS PREÇOS REGISTRADOS</w:t>
      </w:r>
    </w:p>
    <w:p w14:paraId="4E46DC9F"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4.1.</w:t>
      </w:r>
      <w:r w:rsidRPr="00D06CC0">
        <w:rPr>
          <w:rFonts w:ascii="Century Gothic" w:hAnsi="Century Gothic" w:cstheme="majorHAnsi"/>
        </w:rPr>
        <w:tab/>
        <w:t>Os preços registrados poderão ser alterados ou atualizados em decorrência de eventual redução dos preços praticados no mercado ou de fato que eleve o custo dos bens, das obras ou dos serviços registrados, nas seguintes situações:</w:t>
      </w:r>
    </w:p>
    <w:p w14:paraId="0F8AAF2F"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4.1.1.</w:t>
      </w:r>
      <w:r w:rsidRPr="00D06CC0">
        <w:rPr>
          <w:rFonts w:ascii="Century Gothic" w:hAnsi="Century Gothic" w:cstheme="majorHAnsi"/>
        </w:rPr>
        <w:tab/>
        <w:t>Em caso de forca maior, caso fortuito ou fato do príncipe ou em decorrência de fatos imprevisíveis ou previsíveis de consequências incalculáveis, que inviabilizem a execução da ata tal como pactuada, nos termos da alínea “d” do inciso II do caput do art. 124 da Lei no 14.133, de 2021;</w:t>
      </w:r>
    </w:p>
    <w:p w14:paraId="566F555F"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4.1.2.</w:t>
      </w:r>
      <w:r w:rsidRPr="00D06CC0">
        <w:rPr>
          <w:rFonts w:ascii="Century Gothic" w:hAnsi="Century Gothic" w:cstheme="majorHAnsi"/>
        </w:rPr>
        <w:tab/>
        <w:t>Em caso de criação, alteração ou extinção de quaisquer tributos ou encargos legais ou a superveniência de disposições legais, com comprovada repercussão sobre os preços registrados;</w:t>
      </w:r>
    </w:p>
    <w:p w14:paraId="082AF94D"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4.1.3.</w:t>
      </w:r>
      <w:r w:rsidRPr="00D06CC0">
        <w:rPr>
          <w:rFonts w:ascii="Century Gothic" w:hAnsi="Century Gothic" w:cstheme="majorHAnsi"/>
        </w:rPr>
        <w:tab/>
        <w:t>Na hipótese de previsão no edital ou no aviso de contratação direta de cláusula de reajustamento ou repactuação sobre os preços registrados, nos termos da Lei no 14.133, de 2021.</w:t>
      </w:r>
    </w:p>
    <w:p w14:paraId="73AAC600"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4.1.3.1.</w:t>
      </w:r>
      <w:r w:rsidRPr="00D06CC0">
        <w:rPr>
          <w:rFonts w:ascii="Century Gothic" w:hAnsi="Century Gothic" w:cstheme="majorHAnsi"/>
        </w:rPr>
        <w:tab/>
        <w:t>No caso do reajustamento, deverá ser respeitada a contagem da anualidade e o índice previstos para a contratação;</w:t>
      </w:r>
    </w:p>
    <w:p w14:paraId="797AF5B1"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4.1.3.2.</w:t>
      </w:r>
      <w:r w:rsidRPr="00D06CC0">
        <w:rPr>
          <w:rFonts w:ascii="Century Gothic" w:hAnsi="Century Gothic" w:cstheme="majorHAnsi"/>
        </w:rPr>
        <w:tab/>
        <w:t>No caso da repactuação, poderá ser a pedido do interessado, conforme critérios definidos para a contratação.</w:t>
      </w:r>
    </w:p>
    <w:p w14:paraId="7D3085B4" w14:textId="77777777" w:rsidR="00EE61B7" w:rsidRPr="00D06CC0" w:rsidRDefault="00EE61B7" w:rsidP="00EE61B7">
      <w:pPr>
        <w:spacing w:line="360" w:lineRule="auto"/>
        <w:rPr>
          <w:rFonts w:ascii="Century Gothic" w:hAnsi="Century Gothic" w:cstheme="majorHAnsi"/>
        </w:rPr>
      </w:pPr>
    </w:p>
    <w:p w14:paraId="498634B7" w14:textId="77777777" w:rsidR="00EE61B7" w:rsidRPr="00D06CC0" w:rsidRDefault="00EE61B7" w:rsidP="00EE61B7">
      <w:pPr>
        <w:pStyle w:val="PargrafodaLista"/>
        <w:numPr>
          <w:ilvl w:val="0"/>
          <w:numId w:val="27"/>
        </w:numPr>
        <w:pBdr>
          <w:top w:val="single" w:sz="4" w:space="1" w:color="auto"/>
          <w:bottom w:val="single" w:sz="4" w:space="1" w:color="auto"/>
        </w:pBdr>
        <w:shd w:val="clear" w:color="auto" w:fill="DBDBDB" w:themeFill="accent3" w:themeFillTint="66"/>
        <w:spacing w:line="360" w:lineRule="auto"/>
        <w:ind w:left="0" w:firstLine="142"/>
        <w:contextualSpacing w:val="0"/>
        <w:rPr>
          <w:rFonts w:ascii="Century Gothic" w:hAnsi="Century Gothic" w:cstheme="majorHAnsi"/>
          <w:b/>
          <w:bCs/>
        </w:rPr>
      </w:pPr>
      <w:r w:rsidRPr="00D06CC0">
        <w:rPr>
          <w:rFonts w:ascii="Century Gothic" w:hAnsi="Century Gothic" w:cstheme="majorHAnsi"/>
          <w:b/>
          <w:bCs/>
        </w:rPr>
        <w:t>NEGOCIAÇÃO DE PREÇOS REGISTRADOS</w:t>
      </w:r>
    </w:p>
    <w:p w14:paraId="3CA120BB"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5.1 Na hipótese de o preço registrado tornar-se superior ao preço praticado no mercado</w:t>
      </w:r>
      <w:r w:rsidRPr="00D06CC0">
        <w:rPr>
          <w:rFonts w:ascii="Century Gothic" w:hAnsi="Century Gothic" w:cstheme="majorHAnsi"/>
        </w:rPr>
        <w:tab/>
        <w:t>por</w:t>
      </w:r>
      <w:r w:rsidRPr="00D06CC0">
        <w:rPr>
          <w:rFonts w:ascii="Century Gothic" w:hAnsi="Century Gothic" w:cstheme="majorHAnsi"/>
        </w:rPr>
        <w:tab/>
        <w:t>motivo superveniente, o órgão ou entidade gerenciadora convocará o fornecedor para negociar a redução do preço registrado.</w:t>
      </w:r>
    </w:p>
    <w:p w14:paraId="0C716E05"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lastRenderedPageBreak/>
        <w:t>5.1.1.</w:t>
      </w:r>
      <w:r w:rsidRPr="00D06CC0">
        <w:rPr>
          <w:rFonts w:ascii="Century Gothic" w:hAnsi="Century Gothic" w:cstheme="majorHAnsi"/>
        </w:rPr>
        <w:tab/>
        <w:t>Caso não aceite reduzir seu preço aos valores praticados pelo mercado, o fornecedor será́ liberado do compromisso assumido quanto ao item registrado, sem aplicação de penalidades administrativas.</w:t>
      </w:r>
    </w:p>
    <w:p w14:paraId="76965F40"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5.1.2.</w:t>
      </w:r>
      <w:r w:rsidRPr="00D06CC0">
        <w:rPr>
          <w:rFonts w:ascii="Century Gothic" w:hAnsi="Century Gothic" w:cstheme="majorHAnsi"/>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1D10540"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5.1.3.</w:t>
      </w:r>
      <w:r w:rsidRPr="00D06CC0">
        <w:rPr>
          <w:rFonts w:ascii="Century Gothic" w:hAnsi="Century Gothic" w:cstheme="majorHAnsi"/>
        </w:rPr>
        <w:tab/>
        <w:t>Se não obtiver êxito nas negociações, o órgão ou entidade gerenciadora procederá ao cancelamento da ata de registro de preços, adotando as medidas cabíveis para obtenção de contratação mais vantajosa.</w:t>
      </w:r>
    </w:p>
    <w:p w14:paraId="4AC32A69"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5.1.4.</w:t>
      </w:r>
      <w:r w:rsidRPr="00D06CC0">
        <w:rPr>
          <w:rFonts w:ascii="Century Gothic" w:hAnsi="Century Gothic" w:cstheme="majorHAnsi"/>
        </w:rPr>
        <w:tab/>
        <w:t>Na hipótese de redução do preço registrado, o gerenciador comunicará aos órgãos e as entidades que tiverem firmado contratos decorrentes da ata de registro de preços para que avaliem a conveniência e a oportunidade de diligenciarem negociação com vistas à altera</w:t>
      </w:r>
      <w:r w:rsidRPr="00D06CC0">
        <w:rPr>
          <w:rFonts w:ascii="Century Gothic" w:hAnsi="Century Gothic" w:cs="Century Gothic"/>
        </w:rPr>
        <w:t>çã</w:t>
      </w:r>
      <w:r w:rsidRPr="00D06CC0">
        <w:rPr>
          <w:rFonts w:ascii="Century Gothic" w:hAnsi="Century Gothic" w:cstheme="majorHAnsi"/>
        </w:rPr>
        <w:t>o contratual, observado o disposto no art. 124 da Lei no 14.133, de 2021.</w:t>
      </w:r>
    </w:p>
    <w:p w14:paraId="3C3EE6E6"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5.2.</w:t>
      </w:r>
      <w:r w:rsidRPr="00D06CC0">
        <w:rPr>
          <w:rFonts w:ascii="Century Gothic" w:hAnsi="Century Gothic" w:cstheme="majorHAnsi"/>
        </w:rPr>
        <w:tab/>
        <w:t>Na hipótese de o preço de mercado tornar-se superior ao preço registrado e o fornecedor não poder cumprir as obrigações estabelecidas na ata, será́ facultado ao fornecedor requerer ao gerenciador a altera</w:t>
      </w:r>
      <w:r w:rsidRPr="00D06CC0">
        <w:rPr>
          <w:rFonts w:ascii="Century Gothic" w:hAnsi="Century Gothic" w:cs="Century Gothic"/>
        </w:rPr>
        <w:t>çã</w:t>
      </w:r>
      <w:r w:rsidRPr="00D06CC0">
        <w:rPr>
          <w:rFonts w:ascii="Century Gothic" w:hAnsi="Century Gothic" w:cstheme="majorHAnsi"/>
        </w:rPr>
        <w:t>o do pre</w:t>
      </w:r>
      <w:r w:rsidRPr="00D06CC0">
        <w:rPr>
          <w:rFonts w:ascii="Century Gothic" w:hAnsi="Century Gothic" w:cs="Century Gothic"/>
        </w:rPr>
        <w:t>ç</w:t>
      </w:r>
      <w:r w:rsidRPr="00D06CC0">
        <w:rPr>
          <w:rFonts w:ascii="Century Gothic" w:hAnsi="Century Gothic" w:cstheme="majorHAnsi"/>
        </w:rPr>
        <w:t>o registrado, mediante comprovação de fato superveniente que supostamente o impossibilite de cumprir o compromisso.</w:t>
      </w:r>
    </w:p>
    <w:p w14:paraId="542CCD7C"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5.2.1.</w:t>
      </w:r>
      <w:r w:rsidRPr="00D06CC0">
        <w:rPr>
          <w:rFonts w:ascii="Century Gothic" w:hAnsi="Century Gothic" w:cstheme="majorHAnsi"/>
        </w:rPr>
        <w:tab/>
        <w:t>Neste caso, o fornecedor encaminhará, juntamente com o pedido de alteração, a documentação comprobatória ou a planilha de custos que demonstre a inviabilidade do preço registrado em relação as condições inicialmente pactuadas.</w:t>
      </w:r>
    </w:p>
    <w:p w14:paraId="55D3F645"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5.2.2.</w:t>
      </w:r>
      <w:r w:rsidRPr="00D06CC0">
        <w:rPr>
          <w:rFonts w:ascii="Century Gothic" w:hAnsi="Century Gothic" w:cstheme="majorHAnsi"/>
        </w:rPr>
        <w:tab/>
        <w:t xml:space="preserve">Não hipótese de não comprovação da existência de fato superveniente que inviabilize o preço registrado, o pedido será́ indeferido pelo </w:t>
      </w:r>
      <w:r w:rsidRPr="00D06CC0">
        <w:rPr>
          <w:rFonts w:ascii="Century Gothic" w:hAnsi="Century Gothic" w:cs="Century Gothic"/>
        </w:rPr>
        <w:t>ó</w:t>
      </w:r>
      <w:r w:rsidRPr="00D06CC0">
        <w:rPr>
          <w:rFonts w:ascii="Century Gothic" w:hAnsi="Century Gothic" w:cstheme="majorHAnsi"/>
        </w:rPr>
        <w:t>rg</w:t>
      </w:r>
      <w:r w:rsidRPr="00D06CC0">
        <w:rPr>
          <w:rFonts w:ascii="Century Gothic" w:hAnsi="Century Gothic" w:cs="Century Gothic"/>
        </w:rPr>
        <w:t>ã</w:t>
      </w:r>
      <w:r w:rsidRPr="00D06CC0">
        <w:rPr>
          <w:rFonts w:ascii="Century Gothic" w:hAnsi="Century Gothic" w:cstheme="majorHAnsi"/>
        </w:rPr>
        <w:t xml:space="preserve">o ou entidade gerenciadora e o fornecedor deverá cumprir as obrigações </w:t>
      </w:r>
      <w:r w:rsidRPr="00D06CC0">
        <w:rPr>
          <w:rFonts w:ascii="Century Gothic" w:hAnsi="Century Gothic" w:cstheme="majorHAnsi"/>
        </w:rPr>
        <w:lastRenderedPageBreak/>
        <w:t>estabelecidas na ata, sob pena de cancelamento do seu registro, nos termos do item 7.1, sem prejuízo das sanções previstas na Lei no 14.133, de 2021, e na legislação aplicável.</w:t>
      </w:r>
    </w:p>
    <w:p w14:paraId="3F9BA84E"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5.2.3.</w:t>
      </w:r>
      <w:r w:rsidRPr="00D06CC0">
        <w:rPr>
          <w:rFonts w:ascii="Century Gothic" w:hAnsi="Century Gothic" w:cstheme="majorHAnsi"/>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194A01C"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5.2.4.</w:t>
      </w:r>
      <w:r w:rsidRPr="00D06CC0">
        <w:rPr>
          <w:rFonts w:ascii="Century Gothic" w:hAnsi="Century Gothic" w:cstheme="majorHAnsi"/>
        </w:rPr>
        <w:tab/>
        <w:t>Se não obtiver êxito nas negociações, o órgão ou entidade gerenciadora procederá ao cancelamento da ata de registro de preços, nos termos do item 7.4, e adotará as medidas cabíveis para a obtenção da contratação mais vantajosa.</w:t>
      </w:r>
    </w:p>
    <w:p w14:paraId="4DCF41F7"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5.2.5.</w:t>
      </w:r>
      <w:r w:rsidRPr="00D06CC0">
        <w:rPr>
          <w:rFonts w:ascii="Century Gothic" w:hAnsi="Century Gothic" w:cstheme="majorHAnsi"/>
        </w:rPr>
        <w:tab/>
        <w:t>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23227ADF"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5.2.6.</w:t>
      </w:r>
      <w:r w:rsidRPr="00D06CC0">
        <w:rPr>
          <w:rFonts w:ascii="Century Gothic" w:hAnsi="Century Gothic" w:cstheme="majorHAnsi"/>
        </w:rPr>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no 14.133, de 2021.</w:t>
      </w:r>
    </w:p>
    <w:p w14:paraId="7CD08431" w14:textId="77777777" w:rsidR="00EE61B7" w:rsidRPr="00D06CC0" w:rsidRDefault="00EE61B7" w:rsidP="00EE61B7">
      <w:pPr>
        <w:pBdr>
          <w:top w:val="single" w:sz="4" w:space="1" w:color="auto"/>
          <w:bottom w:val="single" w:sz="4" w:space="1" w:color="auto"/>
        </w:pBdr>
        <w:shd w:val="clear" w:color="auto" w:fill="DBDBDB" w:themeFill="accent3" w:themeFillTint="66"/>
        <w:spacing w:line="360" w:lineRule="auto"/>
        <w:jc w:val="both"/>
        <w:rPr>
          <w:rFonts w:ascii="Century Gothic" w:hAnsi="Century Gothic" w:cstheme="majorHAnsi"/>
          <w:b/>
          <w:bCs/>
        </w:rPr>
      </w:pPr>
      <w:r w:rsidRPr="00D06CC0">
        <w:rPr>
          <w:rFonts w:ascii="Century Gothic" w:hAnsi="Century Gothic" w:cstheme="majorHAnsi"/>
          <w:b/>
          <w:bCs/>
        </w:rPr>
        <w:t>6.</w:t>
      </w:r>
      <w:r w:rsidRPr="00D06CC0">
        <w:rPr>
          <w:rFonts w:ascii="Century Gothic" w:hAnsi="Century Gothic" w:cstheme="majorHAnsi"/>
          <w:b/>
          <w:bCs/>
        </w:rPr>
        <w:tab/>
        <w:t>DE PREÇOS</w:t>
      </w:r>
    </w:p>
    <w:p w14:paraId="666C3B11"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REMANEJAMENTO DAS QUANTIDADES REGISTRADAS NA ATA DE REGISTRO</w:t>
      </w:r>
    </w:p>
    <w:p w14:paraId="6122F156"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6.1.</w:t>
      </w:r>
      <w:r w:rsidRPr="00D06CC0">
        <w:rPr>
          <w:rFonts w:ascii="Century Gothic" w:hAnsi="Century Gothic" w:cstheme="majorHAnsi"/>
        </w:rPr>
        <w:tab/>
        <w:t>As quantidades previstas para os itens com preços registrados nas atas de registro de preços não poderão ser remanejadas.</w:t>
      </w:r>
    </w:p>
    <w:p w14:paraId="14915B3E" w14:textId="77777777" w:rsidR="00EE61B7" w:rsidRPr="00D06CC0" w:rsidRDefault="00EE61B7" w:rsidP="00EE61B7">
      <w:pPr>
        <w:pBdr>
          <w:top w:val="single" w:sz="4" w:space="1" w:color="auto"/>
          <w:bottom w:val="single" w:sz="4" w:space="1" w:color="auto"/>
        </w:pBdr>
        <w:shd w:val="clear" w:color="auto" w:fill="DBDBDB" w:themeFill="accent3" w:themeFillTint="66"/>
        <w:spacing w:line="360" w:lineRule="auto"/>
        <w:jc w:val="both"/>
        <w:rPr>
          <w:rFonts w:ascii="Century Gothic" w:hAnsi="Century Gothic" w:cstheme="majorHAnsi"/>
          <w:b/>
          <w:bCs/>
        </w:rPr>
      </w:pPr>
      <w:r w:rsidRPr="00D06CC0">
        <w:rPr>
          <w:rFonts w:ascii="Century Gothic" w:hAnsi="Century Gothic" w:cstheme="majorHAnsi"/>
          <w:b/>
          <w:bCs/>
        </w:rPr>
        <w:t>7.</w:t>
      </w:r>
      <w:r w:rsidRPr="00D06CC0">
        <w:rPr>
          <w:rFonts w:ascii="Century Gothic" w:hAnsi="Century Gothic" w:cstheme="majorHAnsi"/>
          <w:b/>
          <w:bCs/>
        </w:rPr>
        <w:tab/>
        <w:t>CANCELAMENTO DO REGISTRO DO LICITANTE VENCEDOR E DOS PREÇOS REGISTRADOS</w:t>
      </w:r>
    </w:p>
    <w:p w14:paraId="27661BB0"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7.1.</w:t>
      </w:r>
      <w:r w:rsidRPr="00D06CC0">
        <w:rPr>
          <w:rFonts w:ascii="Century Gothic" w:hAnsi="Century Gothic" w:cstheme="majorHAnsi"/>
        </w:rPr>
        <w:tab/>
        <w:t>O registro do fornecedor será́ cancelado pelo gerenciador, quando o fornecedor:</w:t>
      </w:r>
    </w:p>
    <w:p w14:paraId="1340F154"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lastRenderedPageBreak/>
        <w:t>7.1.1. Descumprir as condições da ata de registro de preços, sem motivo justificado;</w:t>
      </w:r>
    </w:p>
    <w:p w14:paraId="3D76D472"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7.1.2. Não retirar a nota de empenho, ou instrumento equivalente, no prazo estabelecido pela Administração sem justificativa razoável;</w:t>
      </w:r>
    </w:p>
    <w:p w14:paraId="12C0E458"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7.1.3.</w:t>
      </w:r>
      <w:r w:rsidRPr="00D06CC0">
        <w:rPr>
          <w:rFonts w:ascii="Century Gothic" w:hAnsi="Century Gothic" w:cstheme="majorHAnsi"/>
        </w:rPr>
        <w:tab/>
        <w:t>Não aceitar manter seu preço registrado, na hipótese prevista no artigo 27,</w:t>
      </w:r>
    </w:p>
    <w:p w14:paraId="0D04D006"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 2º, do Decreto no 11.462, de 2023; ou</w:t>
      </w:r>
    </w:p>
    <w:p w14:paraId="0CAD37AC"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7.1.4.</w:t>
      </w:r>
      <w:r w:rsidRPr="00D06CC0">
        <w:rPr>
          <w:rFonts w:ascii="Century Gothic" w:hAnsi="Century Gothic" w:cstheme="majorHAnsi"/>
        </w:rPr>
        <w:tab/>
        <w:t>Sofrer sanção prevista nos incisos III ou IV do caput do art. 156 da Lei no 14.133, de 2021.</w:t>
      </w:r>
    </w:p>
    <w:p w14:paraId="6C3D6B84"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7.1.4.1.</w:t>
      </w:r>
      <w:r w:rsidRPr="00D06CC0">
        <w:rPr>
          <w:rFonts w:ascii="Century Gothic" w:hAnsi="Century Gothic" w:cstheme="majorHAnsi"/>
        </w:rPr>
        <w:tab/>
        <w:t xml:space="preserve">Na hipótese de aplicação de sanção prevista nos incisos III ou IV do caput do art. 156 da Lei no 14.133, de 2021, caso a penalidade aplicada ao fornecedor não ultrapasse o prazo de vigência da ata de registro de preços, poderá́ o </w:t>
      </w:r>
      <w:r w:rsidRPr="00D06CC0">
        <w:rPr>
          <w:rFonts w:ascii="Century Gothic" w:hAnsi="Century Gothic" w:cs="Century Gothic"/>
        </w:rPr>
        <w:t>ó</w:t>
      </w:r>
      <w:r w:rsidRPr="00D06CC0">
        <w:rPr>
          <w:rFonts w:ascii="Century Gothic" w:hAnsi="Century Gothic" w:cstheme="majorHAnsi"/>
        </w:rPr>
        <w:t>rg</w:t>
      </w:r>
      <w:r w:rsidRPr="00D06CC0">
        <w:rPr>
          <w:rFonts w:ascii="Century Gothic" w:hAnsi="Century Gothic" w:cs="Century Gothic"/>
        </w:rPr>
        <w:t>ã</w:t>
      </w:r>
      <w:r w:rsidRPr="00D06CC0">
        <w:rPr>
          <w:rFonts w:ascii="Century Gothic" w:hAnsi="Century Gothic" w:cstheme="majorHAnsi"/>
        </w:rPr>
        <w:t>o ou a entidade gerenciadora poder</w:t>
      </w:r>
      <w:r w:rsidRPr="00D06CC0">
        <w:rPr>
          <w:rFonts w:ascii="Century Gothic" w:hAnsi="Century Gothic" w:cs="Century Gothic"/>
        </w:rPr>
        <w:t>á</w:t>
      </w:r>
      <w:r w:rsidRPr="00D06CC0">
        <w:rPr>
          <w:rFonts w:ascii="Century Gothic" w:hAnsi="Century Gothic" w:cstheme="majorHAnsi"/>
        </w:rPr>
        <w:t>́, mediante decis</w:t>
      </w:r>
      <w:r w:rsidRPr="00D06CC0">
        <w:rPr>
          <w:rFonts w:ascii="Century Gothic" w:hAnsi="Century Gothic" w:cs="Century Gothic"/>
        </w:rPr>
        <w:t>ã</w:t>
      </w:r>
      <w:r w:rsidRPr="00D06CC0">
        <w:rPr>
          <w:rFonts w:ascii="Century Gothic" w:hAnsi="Century Gothic" w:cstheme="majorHAnsi"/>
        </w:rPr>
        <w:t>o fundamentada, decidir pela manuten</w:t>
      </w:r>
      <w:r w:rsidRPr="00D06CC0">
        <w:rPr>
          <w:rFonts w:ascii="Century Gothic" w:hAnsi="Century Gothic" w:cs="Century Gothic"/>
        </w:rPr>
        <w:t>çã</w:t>
      </w:r>
      <w:r w:rsidRPr="00D06CC0">
        <w:rPr>
          <w:rFonts w:ascii="Century Gothic" w:hAnsi="Century Gothic" w:cstheme="majorHAnsi"/>
        </w:rPr>
        <w:t>o do registro de pre</w:t>
      </w:r>
      <w:r w:rsidRPr="00D06CC0">
        <w:rPr>
          <w:rFonts w:ascii="Century Gothic" w:hAnsi="Century Gothic" w:cs="Century Gothic"/>
        </w:rPr>
        <w:t>ç</w:t>
      </w:r>
      <w:r w:rsidRPr="00D06CC0">
        <w:rPr>
          <w:rFonts w:ascii="Century Gothic" w:hAnsi="Century Gothic" w:cstheme="majorHAnsi"/>
        </w:rPr>
        <w:t>os, vedadas contrata</w:t>
      </w:r>
      <w:r w:rsidRPr="00D06CC0">
        <w:rPr>
          <w:rFonts w:ascii="Century Gothic" w:hAnsi="Century Gothic" w:cs="Century Gothic"/>
        </w:rPr>
        <w:t>çõ</w:t>
      </w:r>
      <w:r w:rsidRPr="00D06CC0">
        <w:rPr>
          <w:rFonts w:ascii="Century Gothic" w:hAnsi="Century Gothic" w:cstheme="majorHAnsi"/>
        </w:rPr>
        <w:t>es derivadas da ata enquanto perdurarem os efeitos da sanção.</w:t>
      </w:r>
    </w:p>
    <w:p w14:paraId="0B52A356"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 xml:space="preserve">7.2 O cancelamento de registros nas hipóteses previstas no item 7.1 será́ formalizado por despacho do </w:t>
      </w:r>
      <w:r w:rsidRPr="00D06CC0">
        <w:rPr>
          <w:rFonts w:ascii="Century Gothic" w:hAnsi="Century Gothic" w:cs="Century Gothic"/>
        </w:rPr>
        <w:t>ó</w:t>
      </w:r>
      <w:r w:rsidRPr="00D06CC0">
        <w:rPr>
          <w:rFonts w:ascii="Century Gothic" w:hAnsi="Century Gothic" w:cstheme="majorHAnsi"/>
        </w:rPr>
        <w:t>rg</w:t>
      </w:r>
      <w:r w:rsidRPr="00D06CC0">
        <w:rPr>
          <w:rFonts w:ascii="Century Gothic" w:hAnsi="Century Gothic" w:cs="Century Gothic"/>
        </w:rPr>
        <w:t>ã</w:t>
      </w:r>
      <w:r w:rsidRPr="00D06CC0">
        <w:rPr>
          <w:rFonts w:ascii="Century Gothic" w:hAnsi="Century Gothic" w:cstheme="majorHAnsi"/>
        </w:rPr>
        <w:t>o ou da entidade gerenciadora, garantidos os princ</w:t>
      </w:r>
      <w:r w:rsidRPr="00D06CC0">
        <w:rPr>
          <w:rFonts w:ascii="Century Gothic" w:hAnsi="Century Gothic" w:cs="Century Gothic"/>
        </w:rPr>
        <w:t>í</w:t>
      </w:r>
      <w:r w:rsidRPr="00D06CC0">
        <w:rPr>
          <w:rFonts w:ascii="Century Gothic" w:hAnsi="Century Gothic" w:cstheme="majorHAnsi"/>
        </w:rPr>
        <w:t>pios do contradit</w:t>
      </w:r>
      <w:r w:rsidRPr="00D06CC0">
        <w:rPr>
          <w:rFonts w:ascii="Century Gothic" w:hAnsi="Century Gothic" w:cs="Century Gothic"/>
        </w:rPr>
        <w:t>ó</w:t>
      </w:r>
      <w:r w:rsidRPr="00D06CC0">
        <w:rPr>
          <w:rFonts w:ascii="Century Gothic" w:hAnsi="Century Gothic" w:cstheme="majorHAnsi"/>
        </w:rPr>
        <w:t>rio e da ampla defesa.</w:t>
      </w:r>
    </w:p>
    <w:p w14:paraId="7C50E1CC"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7.3.</w:t>
      </w:r>
      <w:r w:rsidRPr="00D06CC0">
        <w:rPr>
          <w:rFonts w:ascii="Century Gothic" w:hAnsi="Century Gothic" w:cstheme="majorHAnsi"/>
        </w:rPr>
        <w:tab/>
        <w:t>Na hipótese de cancelamento do registro do fornecedor, o órgão ou a entidade gerenciadora poderá́ convocar os licitantes que comp</w:t>
      </w:r>
      <w:r w:rsidRPr="00D06CC0">
        <w:rPr>
          <w:rFonts w:ascii="Century Gothic" w:hAnsi="Century Gothic" w:cs="Century Gothic"/>
        </w:rPr>
        <w:t>õ</w:t>
      </w:r>
      <w:r w:rsidRPr="00D06CC0">
        <w:rPr>
          <w:rFonts w:ascii="Century Gothic" w:hAnsi="Century Gothic" w:cstheme="majorHAnsi"/>
        </w:rPr>
        <w:t>em o cadastro de reserva, observada a ordem de classifica</w:t>
      </w:r>
      <w:r w:rsidRPr="00D06CC0">
        <w:rPr>
          <w:rFonts w:ascii="Century Gothic" w:hAnsi="Century Gothic" w:cs="Century Gothic"/>
        </w:rPr>
        <w:t>çã</w:t>
      </w:r>
      <w:r w:rsidRPr="00D06CC0">
        <w:rPr>
          <w:rFonts w:ascii="Century Gothic" w:hAnsi="Century Gothic" w:cstheme="majorHAnsi"/>
        </w:rPr>
        <w:t>o.</w:t>
      </w:r>
    </w:p>
    <w:p w14:paraId="45F33ADB"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7.4.</w:t>
      </w:r>
      <w:r w:rsidRPr="00D06CC0">
        <w:rPr>
          <w:rFonts w:ascii="Century Gothic" w:hAnsi="Century Gothic" w:cstheme="majorHAnsi"/>
        </w:rPr>
        <w:tab/>
        <w:t>O cancelamento dos preços registrados poderá́ ser realizado pelo gerenciador, em determinada ata de registro de preços, total ou parcialmente, nas seguintes hipóteses, desde que devidamente comprovadas e justificadas:</w:t>
      </w:r>
    </w:p>
    <w:p w14:paraId="1F25C531"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7.4.1. Por razão de interesse público;</w:t>
      </w:r>
    </w:p>
    <w:p w14:paraId="070AB648"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 xml:space="preserve">7.4.2. A pedido do fornecedor, decorrente de caso fortuito ou força maior; ou 3. 7.4.3. Se não houver êxito nas negociações, nas hipóteses em que o preço de </w:t>
      </w:r>
      <w:r w:rsidRPr="00D06CC0">
        <w:rPr>
          <w:rFonts w:ascii="Century Gothic" w:hAnsi="Century Gothic" w:cstheme="majorHAnsi"/>
        </w:rPr>
        <w:lastRenderedPageBreak/>
        <w:t>mercado se tornar superior ou inferior ao preço registrado, nos termos dos artigos 26, § 3o e 27, § 4o, ambos do Decreto no 11.462, de 2023.</w:t>
      </w:r>
    </w:p>
    <w:p w14:paraId="40FF9497" w14:textId="77777777" w:rsidR="00EE61B7" w:rsidRPr="00D06CC0" w:rsidRDefault="00EE61B7" w:rsidP="00EE61B7">
      <w:pPr>
        <w:pBdr>
          <w:top w:val="single" w:sz="4" w:space="1" w:color="auto"/>
          <w:bottom w:val="single" w:sz="4" w:space="1" w:color="auto"/>
        </w:pBdr>
        <w:shd w:val="clear" w:color="auto" w:fill="DBDBDB" w:themeFill="accent3" w:themeFillTint="66"/>
        <w:spacing w:line="360" w:lineRule="auto"/>
        <w:rPr>
          <w:rFonts w:ascii="Century Gothic" w:hAnsi="Century Gothic" w:cstheme="majorHAnsi"/>
          <w:b/>
          <w:bCs/>
        </w:rPr>
      </w:pPr>
      <w:r w:rsidRPr="00D06CC0">
        <w:rPr>
          <w:rFonts w:ascii="Century Gothic" w:hAnsi="Century Gothic" w:cstheme="majorHAnsi"/>
          <w:b/>
          <w:bCs/>
        </w:rPr>
        <w:t>8.</w:t>
      </w:r>
      <w:r w:rsidRPr="00D06CC0">
        <w:rPr>
          <w:rFonts w:ascii="Century Gothic" w:hAnsi="Century Gothic" w:cstheme="majorHAnsi"/>
          <w:b/>
          <w:bCs/>
        </w:rPr>
        <w:tab/>
        <w:t>DAS PENALIDADES</w:t>
      </w:r>
    </w:p>
    <w:p w14:paraId="27F433AF"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8.1.</w:t>
      </w:r>
      <w:r w:rsidRPr="00D06CC0">
        <w:rPr>
          <w:rFonts w:ascii="Century Gothic" w:hAnsi="Century Gothic" w:cstheme="majorHAnsi"/>
        </w:rPr>
        <w:tab/>
        <w:t>O descumprimento da Ata de Registro de Preços ensejará aplicação das penalidades estabelecidas no edital.</w:t>
      </w:r>
    </w:p>
    <w:p w14:paraId="5E6F7758"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8.1.1.</w:t>
      </w:r>
      <w:r w:rsidRPr="00D06CC0">
        <w:rPr>
          <w:rFonts w:ascii="Century Gothic" w:hAnsi="Century Gothic" w:cstheme="majorHAnsi"/>
        </w:rPr>
        <w:tab/>
        <w:t>As sanções também se aplicam aos integrantes do cadastro de reserva no registro de preços que, convocados, não honrarem o compromisso assumido injustificadamente após terem assinado a ata.</w:t>
      </w:r>
    </w:p>
    <w:p w14:paraId="754262B4"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8.2.</w:t>
      </w:r>
      <w:r w:rsidRPr="00D06CC0">
        <w:rPr>
          <w:rFonts w:ascii="Century Gothic" w:hAnsi="Century Gothic" w:cstheme="majorHAnsi"/>
        </w:rPr>
        <w:tab/>
        <w:t xml:space="preserve">É da competência do gerenciador a aplicação das penalidades decorrentes do descumprimento do pactuado nesta ata de registro de preço (art. 7o, inc. XIV, do Decreto no 11.462, de 2023), exceto nas hipótese em que o descumprimento disser respeito às contratações dos órgãos ou entidade participante, caso no qual caberá́ ao respectivo </w:t>
      </w:r>
      <w:r w:rsidRPr="00D06CC0">
        <w:rPr>
          <w:rFonts w:ascii="Century Gothic" w:hAnsi="Century Gothic" w:cs="Century Gothic"/>
        </w:rPr>
        <w:t>ó</w:t>
      </w:r>
      <w:r w:rsidRPr="00D06CC0">
        <w:rPr>
          <w:rFonts w:ascii="Century Gothic" w:hAnsi="Century Gothic" w:cstheme="majorHAnsi"/>
        </w:rPr>
        <w:t>rg</w:t>
      </w:r>
      <w:r w:rsidRPr="00D06CC0">
        <w:rPr>
          <w:rFonts w:ascii="Century Gothic" w:hAnsi="Century Gothic" w:cs="Century Gothic"/>
        </w:rPr>
        <w:t>ã</w:t>
      </w:r>
      <w:r w:rsidRPr="00D06CC0">
        <w:rPr>
          <w:rFonts w:ascii="Century Gothic" w:hAnsi="Century Gothic" w:cstheme="majorHAnsi"/>
        </w:rPr>
        <w:t>o participante a aplica</w:t>
      </w:r>
      <w:r w:rsidRPr="00D06CC0">
        <w:rPr>
          <w:rFonts w:ascii="Century Gothic" w:hAnsi="Century Gothic" w:cs="Century Gothic"/>
        </w:rPr>
        <w:t>çã</w:t>
      </w:r>
      <w:r w:rsidRPr="00D06CC0">
        <w:rPr>
          <w:rFonts w:ascii="Century Gothic" w:hAnsi="Century Gothic" w:cstheme="majorHAnsi"/>
        </w:rPr>
        <w:t>o da penalidade (art. 8o, inc. IX, do Decreto no 11.462, de 2023).</w:t>
      </w:r>
    </w:p>
    <w:p w14:paraId="0ED17746"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8.3.</w:t>
      </w:r>
      <w:r w:rsidRPr="00D06CC0">
        <w:rPr>
          <w:rFonts w:ascii="Century Gothic" w:hAnsi="Century Gothic" w:cstheme="majorHAnsi"/>
        </w:rPr>
        <w:tab/>
        <w:t>O órgão ou entidade participante deverá comunicar ao órgão gerenciador qualquer das ocorrências previstas no item 9.1, dada a necessidade de instauração de procedimento para cancelamento do registro do fornecedor.</w:t>
      </w:r>
    </w:p>
    <w:p w14:paraId="14D970DB" w14:textId="77777777" w:rsidR="00EE61B7" w:rsidRPr="00D06CC0" w:rsidRDefault="00EE61B7" w:rsidP="00EE61B7">
      <w:pPr>
        <w:pBdr>
          <w:bottom w:val="single" w:sz="4" w:space="1" w:color="auto"/>
        </w:pBdr>
        <w:shd w:val="clear" w:color="auto" w:fill="DBDBDB" w:themeFill="accent3" w:themeFillTint="66"/>
        <w:spacing w:line="360" w:lineRule="auto"/>
        <w:rPr>
          <w:rFonts w:ascii="Century Gothic" w:hAnsi="Century Gothic" w:cstheme="majorHAnsi"/>
          <w:b/>
          <w:bCs/>
        </w:rPr>
      </w:pPr>
      <w:r w:rsidRPr="00D06CC0">
        <w:rPr>
          <w:rFonts w:ascii="Century Gothic" w:hAnsi="Century Gothic" w:cstheme="majorHAnsi"/>
          <w:b/>
          <w:bCs/>
        </w:rPr>
        <w:t>9.</w:t>
      </w:r>
      <w:r w:rsidRPr="00D06CC0">
        <w:rPr>
          <w:rFonts w:ascii="Century Gothic" w:hAnsi="Century Gothic" w:cstheme="majorHAnsi"/>
          <w:b/>
          <w:bCs/>
        </w:rPr>
        <w:tab/>
        <w:t>CONDIÇÕES GERAIS</w:t>
      </w:r>
    </w:p>
    <w:p w14:paraId="74CB2C6A"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9.1.</w:t>
      </w:r>
      <w:r w:rsidRPr="00D06CC0">
        <w:rPr>
          <w:rFonts w:ascii="Century Gothic" w:hAnsi="Century Gothic" w:cstheme="majorHAnsi"/>
        </w:rPr>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3173DAD1"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9.2.</w:t>
      </w:r>
      <w:r w:rsidRPr="00D06CC0">
        <w:rPr>
          <w:rFonts w:ascii="Century Gothic" w:hAnsi="Century Gothic" w:cstheme="majorHAnsi"/>
        </w:rPr>
        <w:tab/>
        <w:t>As aquisições ou contratações adicionais por órgãos não participantes não poderão exceder, por órgão ou entidade, a 50% (cinquenta por cento) dos quantitativos dos itens registrados na Ata de Registro de Preços para o órgão gerenciador e órgãos participantes.</w:t>
      </w:r>
    </w:p>
    <w:p w14:paraId="449E4497"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lastRenderedPageBreak/>
        <w:t>9.3.</w:t>
      </w:r>
      <w:r w:rsidRPr="00D06CC0">
        <w:rPr>
          <w:rFonts w:ascii="Century Gothic" w:hAnsi="Century Gothic" w:cstheme="majorHAnsi"/>
        </w:rPr>
        <w:tab/>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06BA2555"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9.4.</w:t>
      </w:r>
      <w:r w:rsidRPr="00D06CC0">
        <w:rPr>
          <w:rFonts w:ascii="Century Gothic" w:hAnsi="Century Gothic" w:cstheme="majorHAnsi"/>
        </w:rPr>
        <w:tab/>
        <w:t>A adesão à Ata de Registro de Preços pelo órgão não participante fica condicionada à anuência do fornecedor beneficiário da Ata.</w:t>
      </w:r>
    </w:p>
    <w:p w14:paraId="2E36E481"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9.5.</w:t>
      </w:r>
      <w:r w:rsidRPr="00D06CC0">
        <w:rPr>
          <w:rFonts w:ascii="Century Gothic" w:hAnsi="Century Gothic" w:cstheme="majorHAnsi"/>
        </w:rPr>
        <w:tab/>
        <w:t>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w:t>
      </w:r>
    </w:p>
    <w:p w14:paraId="0AE8EC4D"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9.6.</w:t>
      </w:r>
      <w:r w:rsidRPr="00D06CC0">
        <w:rPr>
          <w:rFonts w:ascii="Century Gothic" w:hAnsi="Century Gothic" w:cstheme="majorHAnsi"/>
        </w:rPr>
        <w:tab/>
        <w:t>No caso de adjudicação por preço global de grupo de itens, só́ ser</w:t>
      </w:r>
      <w:r w:rsidRPr="00D06CC0">
        <w:rPr>
          <w:rFonts w:ascii="Century Gothic" w:hAnsi="Century Gothic" w:cs="Century Gothic"/>
        </w:rPr>
        <w:t>á</w:t>
      </w:r>
      <w:r w:rsidRPr="00D06CC0">
        <w:rPr>
          <w:rFonts w:ascii="Century Gothic" w:hAnsi="Century Gothic" w:cstheme="majorHAnsi"/>
        </w:rPr>
        <w:t>́ admitida a contratação de parte de itens do grupo se houver prévia pesquisa de mercado e demonstração de sua vantagem para o órgão ou a entidade.</w:t>
      </w:r>
    </w:p>
    <w:p w14:paraId="24BE0BBC"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9.7.</w:t>
      </w:r>
      <w:r w:rsidRPr="00D06CC0">
        <w:rPr>
          <w:rFonts w:ascii="Century Gothic" w:hAnsi="Century Gothic" w:cstheme="majorHAnsi"/>
        </w:rPr>
        <w:tab/>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w:t>
      </w:r>
    </w:p>
    <w:p w14:paraId="29D4E2E5"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9.8.</w:t>
      </w:r>
      <w:r w:rsidRPr="00D06CC0">
        <w:rPr>
          <w:rFonts w:ascii="Century Gothic" w:hAnsi="Century Gothic" w:cstheme="majorHAnsi"/>
        </w:rPr>
        <w:tab/>
        <w:t>O órgão não participante deverá informar ao órgão gerenciador os atos relativos à execução da contratação decorrente da adesão, para fins de registro e consolidação das informações.</w:t>
      </w:r>
    </w:p>
    <w:p w14:paraId="67113C7D"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t>9.9.</w:t>
      </w:r>
      <w:r w:rsidRPr="00D06CC0">
        <w:rPr>
          <w:rFonts w:ascii="Century Gothic" w:hAnsi="Century Gothic" w:cstheme="majorHAnsi"/>
        </w:rPr>
        <w:tab/>
        <w:t>A vigência da contratação decorrente da adesão à Ata de Registro de Preços não será superior a 1 (um) ano, podendo ser prorrogada por igual período, desde que as respectivas contratações tenham sido celebradas dentro do prazo de vigência da Ata de Registro de Preços.</w:t>
      </w:r>
    </w:p>
    <w:p w14:paraId="1B4A6453" w14:textId="77777777" w:rsidR="00EE61B7" w:rsidRPr="00D06CC0" w:rsidRDefault="00EE61B7" w:rsidP="00EE61B7">
      <w:pPr>
        <w:spacing w:line="360" w:lineRule="auto"/>
        <w:jc w:val="both"/>
        <w:rPr>
          <w:rFonts w:ascii="Century Gothic" w:hAnsi="Century Gothic" w:cstheme="majorHAnsi"/>
        </w:rPr>
      </w:pPr>
      <w:r w:rsidRPr="00D06CC0">
        <w:rPr>
          <w:rFonts w:ascii="Century Gothic" w:hAnsi="Century Gothic" w:cstheme="majorHAnsi"/>
        </w:rPr>
        <w:lastRenderedPageBreak/>
        <w:t>Para firmeza e validade do pactuado, a presente Ata foi lavrada em 2 (duas) vias de igual teor, que, depois de lida e achada em ordem, vai assinada pelas partes.</w:t>
      </w:r>
    </w:p>
    <w:p w14:paraId="0FF7809F" w14:textId="77777777" w:rsidR="00EE61B7" w:rsidRPr="00D06CC0" w:rsidRDefault="00EE61B7" w:rsidP="00EE61B7">
      <w:pPr>
        <w:spacing w:line="360" w:lineRule="auto"/>
        <w:jc w:val="center"/>
        <w:rPr>
          <w:rFonts w:ascii="Century Gothic" w:hAnsi="Century Gothic" w:cstheme="majorHAnsi"/>
        </w:rPr>
      </w:pPr>
      <w:r w:rsidRPr="00D06CC0">
        <w:rPr>
          <w:rFonts w:ascii="Century Gothic" w:hAnsi="Century Gothic" w:cstheme="majorHAnsi"/>
        </w:rPr>
        <w:t>xxxx/MA, em xx de xxxxx de 2025.</w:t>
      </w:r>
    </w:p>
    <w:p w14:paraId="250E1DA5" w14:textId="77777777" w:rsidR="00EE61B7" w:rsidRPr="00D06CC0" w:rsidRDefault="00EE61B7" w:rsidP="00EE61B7">
      <w:pPr>
        <w:spacing w:line="360" w:lineRule="auto"/>
        <w:jc w:val="center"/>
        <w:rPr>
          <w:rFonts w:ascii="Century Gothic" w:hAnsi="Century Gothic" w:cstheme="majorHAnsi"/>
        </w:rPr>
      </w:pPr>
    </w:p>
    <w:p w14:paraId="2993FA2A" w14:textId="77777777" w:rsidR="00EE61B7" w:rsidRPr="00D06CC0" w:rsidRDefault="00EE61B7" w:rsidP="00EE61B7">
      <w:pPr>
        <w:spacing w:line="360" w:lineRule="auto"/>
        <w:jc w:val="center"/>
        <w:rPr>
          <w:rFonts w:ascii="Century Gothic" w:hAnsi="Century Gothic" w:cstheme="majorHAnsi"/>
        </w:rPr>
      </w:pPr>
      <w:r w:rsidRPr="00D06CC0">
        <w:rPr>
          <w:rFonts w:ascii="Century Gothic" w:hAnsi="Century Gothic" w:cstheme="majorHAnsi"/>
        </w:rPr>
        <w:t>CONTRATANTE</w:t>
      </w:r>
    </w:p>
    <w:p w14:paraId="2CF0F214" w14:textId="77777777" w:rsidR="00EE61B7" w:rsidRPr="00D06CC0" w:rsidRDefault="00EE61B7" w:rsidP="00EE61B7">
      <w:pPr>
        <w:spacing w:line="360" w:lineRule="auto"/>
        <w:jc w:val="center"/>
        <w:rPr>
          <w:rFonts w:ascii="Century Gothic" w:hAnsi="Century Gothic" w:cstheme="majorHAnsi"/>
        </w:rPr>
      </w:pPr>
    </w:p>
    <w:p w14:paraId="3283B46B" w14:textId="77777777" w:rsidR="00EE61B7" w:rsidRPr="00D06CC0" w:rsidRDefault="00EE61B7" w:rsidP="00EE61B7">
      <w:pPr>
        <w:spacing w:line="360" w:lineRule="auto"/>
        <w:jc w:val="center"/>
        <w:rPr>
          <w:rFonts w:ascii="Century Gothic" w:hAnsi="Century Gothic" w:cstheme="majorHAnsi"/>
        </w:rPr>
      </w:pPr>
      <w:r w:rsidRPr="00D06CC0">
        <w:rPr>
          <w:rFonts w:ascii="Century Gothic" w:hAnsi="Century Gothic" w:cstheme="majorHAnsi"/>
        </w:rPr>
        <w:t>CONTRATADA</w:t>
      </w:r>
    </w:p>
    <w:p w14:paraId="670CC106" w14:textId="77777777" w:rsidR="009378F0" w:rsidRPr="00D06CC0" w:rsidRDefault="009378F0" w:rsidP="000B1425">
      <w:pPr>
        <w:spacing w:before="120" w:afterLines="120" w:after="288"/>
        <w:ind w:firstLine="567"/>
        <w:jc w:val="both"/>
        <w:rPr>
          <w:rFonts w:ascii="Century Gothic" w:hAnsi="Century Gothic" w:cstheme="majorHAnsi"/>
          <w:i/>
          <w:iCs/>
          <w:sz w:val="20"/>
          <w:szCs w:val="20"/>
        </w:rPr>
      </w:pPr>
    </w:p>
    <w:sectPr w:rsidR="009378F0" w:rsidRPr="00D06CC0" w:rsidSect="00531DF9">
      <w:headerReference w:type="default" r:id="rId99"/>
      <w:footerReference w:type="even" r:id="rId100"/>
      <w:footerReference w:type="default" r:id="rId101"/>
      <w:pgSz w:w="12240" w:h="15840"/>
      <w:pgMar w:top="1418" w:right="1418" w:bottom="1418" w:left="1418" w:header="720" w:footer="18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E99F7A" w14:textId="77777777" w:rsidR="00BD5A81" w:rsidRDefault="00BD5A81" w:rsidP="006D51CF">
      <w:r>
        <w:separator/>
      </w:r>
    </w:p>
  </w:endnote>
  <w:endnote w:type="continuationSeparator" w:id="0">
    <w:p w14:paraId="29176BE9" w14:textId="77777777" w:rsidR="00BD5A81" w:rsidRDefault="00BD5A81"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Bell MT">
    <w:charset w:val="00"/>
    <w:family w:val="roman"/>
    <w:pitch w:val="variable"/>
    <w:sig w:usb0="00000003" w:usb1="00000000" w:usb2="00000000" w:usb3="00000000" w:csb0="00000001"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Palatino">
    <w:altName w:val="Palatino Linotype"/>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75054402"/>
      <w:docPartObj>
        <w:docPartGallery w:val="Page Numbers (Bottom of Page)"/>
        <w:docPartUnique/>
      </w:docPartObj>
    </w:sdtPr>
    <w:sdtContent>
      <w:p w14:paraId="75F60453" w14:textId="77777777" w:rsidR="00A10880" w:rsidRDefault="00A10880"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A10880" w:rsidRDefault="00A10880" w:rsidP="00E731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57CF2" w14:textId="77777777" w:rsidR="00A10880" w:rsidRPr="00BC4B23" w:rsidRDefault="00A10880" w:rsidP="001F3BE8">
    <w:pPr>
      <w:pStyle w:val="Rodap"/>
      <w:framePr w:wrap="none" w:vAnchor="text" w:hAnchor="page" w:x="10375" w:y="21"/>
      <w:rPr>
        <w:rStyle w:val="Nmerodepgina"/>
        <w:rFonts w:ascii="Palatino" w:hAnsi="Palatino"/>
        <w:sz w:val="20"/>
        <w:szCs w:val="20"/>
      </w:rPr>
    </w:pPr>
    <w:r w:rsidRPr="00BC4B23">
      <w:rPr>
        <w:rStyle w:val="Nmerodepgina"/>
        <w:rFonts w:ascii="Palatino" w:hAnsi="Palatino"/>
      </w:rPr>
      <w:t xml:space="preserve">  </w:t>
    </w:r>
    <w:sdt>
      <w:sdtPr>
        <w:rPr>
          <w:rStyle w:val="Nmerodepgina"/>
          <w:rFonts w:ascii="Palatino" w:hAnsi="Palatino"/>
        </w:rPr>
        <w:id w:val="1233131627"/>
        <w:docPartObj>
          <w:docPartGallery w:val="Page Numbers (Bottom of Page)"/>
          <w:docPartUnique/>
        </w:docPartObj>
      </w:sdtPr>
      <w:sdtEndPr>
        <w:rPr>
          <w:rStyle w:val="Nmerodepgina"/>
          <w:sz w:val="20"/>
          <w:szCs w:val="20"/>
        </w:rPr>
      </w:sdtEndPr>
      <w:sdtContent>
        <w:r w:rsidRPr="00BC4B23">
          <w:rPr>
            <w:rStyle w:val="Nmerodepgina"/>
            <w:rFonts w:ascii="Palatino" w:hAnsi="Palatino"/>
            <w:sz w:val="20"/>
            <w:szCs w:val="20"/>
          </w:rPr>
          <w:fldChar w:fldCharType="begin"/>
        </w:r>
        <w:r w:rsidRPr="00BC4B23">
          <w:rPr>
            <w:rStyle w:val="Nmerodepgina"/>
            <w:rFonts w:ascii="Palatino" w:hAnsi="Palatino"/>
            <w:sz w:val="20"/>
            <w:szCs w:val="20"/>
          </w:rPr>
          <w:instrText xml:space="preserve"> PAGE </w:instrText>
        </w:r>
        <w:r w:rsidRPr="00BC4B23">
          <w:rPr>
            <w:rStyle w:val="Nmerodepgina"/>
            <w:rFonts w:ascii="Palatino" w:hAnsi="Palatino"/>
            <w:sz w:val="20"/>
            <w:szCs w:val="20"/>
          </w:rPr>
          <w:fldChar w:fldCharType="separate"/>
        </w:r>
        <w:r>
          <w:rPr>
            <w:rStyle w:val="Nmerodepgina"/>
            <w:rFonts w:ascii="Palatino" w:hAnsi="Palatino"/>
            <w:noProof/>
            <w:sz w:val="20"/>
            <w:szCs w:val="20"/>
          </w:rPr>
          <w:t>69</w:t>
        </w:r>
        <w:r w:rsidRPr="00BC4B23">
          <w:rPr>
            <w:rStyle w:val="Nmerodepgina"/>
            <w:rFonts w:ascii="Palatino" w:hAnsi="Palatino"/>
            <w:sz w:val="20"/>
            <w:szCs w:val="20"/>
          </w:rPr>
          <w:fldChar w:fldCharType="end"/>
        </w:r>
      </w:sdtContent>
    </w:sdt>
  </w:p>
  <w:p w14:paraId="48571D77" w14:textId="77777777" w:rsidR="00A10880" w:rsidRPr="00BC4B23" w:rsidRDefault="00A10880" w:rsidP="00BC23B7">
    <w:pPr>
      <w:pStyle w:val="Rodap"/>
      <w:ind w:right="360"/>
      <w:jc w:val="right"/>
      <w:rPr>
        <w:rFonts w:ascii="Palatino" w:hAnsi="Palatino"/>
      </w:rPr>
    </w:pPr>
    <w:r w:rsidRPr="00BC4B23">
      <w:rPr>
        <w:rFonts w:ascii="Palatino" w:hAnsi="Palatino"/>
        <w:sz w:val="18"/>
        <w:szCs w:val="18"/>
      </w:rPr>
      <w:t>Pág</w:t>
    </w:r>
    <w:r w:rsidRPr="00BC4B23">
      <w:rPr>
        <w:rFonts w:ascii="Palatino" w:hAnsi="Palatino"/>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47CDDD" w14:textId="77777777" w:rsidR="00BD5A81" w:rsidRDefault="00BD5A81" w:rsidP="006D51CF">
      <w:r>
        <w:separator/>
      </w:r>
    </w:p>
  </w:footnote>
  <w:footnote w:type="continuationSeparator" w:id="0">
    <w:p w14:paraId="17C02299" w14:textId="77777777" w:rsidR="00BD5A81" w:rsidRDefault="00BD5A81" w:rsidP="006D51CF">
      <w:r>
        <w:continuationSeparator/>
      </w:r>
    </w:p>
  </w:footnote>
  <w:footnote w:id="1">
    <w:p w14:paraId="1BA17C7C" w14:textId="77777777" w:rsidR="00A10880" w:rsidRDefault="00A10880" w:rsidP="00F730F9">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A3057" w14:textId="03A0E658" w:rsidR="00A10880" w:rsidRDefault="00A10880">
    <w:pPr>
      <w:pStyle w:val="Cabealho"/>
    </w:pPr>
    <w:r>
      <w:rPr>
        <w:rFonts w:ascii="Tahoma" w:hAnsi="Tahoma" w:cs="Tahoma"/>
        <w:noProof/>
        <w:sz w:val="20"/>
        <w:lang w:eastAsia="pt-BR"/>
      </w:rPr>
      <w:drawing>
        <wp:inline distT="0" distB="0" distL="0" distR="0" wp14:anchorId="4EB16382" wp14:editId="7A211704">
          <wp:extent cx="5612130" cy="947389"/>
          <wp:effectExtent l="0" t="0" r="0" b="571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m título3.png"/>
                  <pic:cNvPicPr/>
                </pic:nvPicPr>
                <pic:blipFill>
                  <a:blip r:embed="rId1">
                    <a:extLst>
                      <a:ext uri="{28A0092B-C50C-407E-A947-70E740481C1C}">
                        <a14:useLocalDpi xmlns:a14="http://schemas.microsoft.com/office/drawing/2010/main" val="0"/>
                      </a:ext>
                    </a:extLst>
                  </a:blip>
                  <a:stretch>
                    <a:fillRect/>
                  </a:stretch>
                </pic:blipFill>
                <pic:spPr>
                  <a:xfrm>
                    <a:off x="0" y="0"/>
                    <a:ext cx="5612130" cy="947389"/>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365811C5"/>
    <w:multiLevelType w:val="hybridMultilevel"/>
    <w:tmpl w:val="D882780E"/>
    <w:lvl w:ilvl="0" w:tplc="04160015">
      <w:start w:val="1"/>
      <w:numFmt w:val="upperLetter"/>
      <w:lvlText w:val="%1."/>
      <w:lvlJc w:val="left"/>
      <w:pPr>
        <w:ind w:left="1378" w:hanging="360"/>
      </w:pPr>
    </w:lvl>
    <w:lvl w:ilvl="1" w:tplc="04160019" w:tentative="1">
      <w:start w:val="1"/>
      <w:numFmt w:val="lowerLetter"/>
      <w:lvlText w:val="%2."/>
      <w:lvlJc w:val="left"/>
      <w:pPr>
        <w:ind w:left="2098" w:hanging="360"/>
      </w:pPr>
    </w:lvl>
    <w:lvl w:ilvl="2" w:tplc="0416001B" w:tentative="1">
      <w:start w:val="1"/>
      <w:numFmt w:val="lowerRoman"/>
      <w:lvlText w:val="%3."/>
      <w:lvlJc w:val="right"/>
      <w:pPr>
        <w:ind w:left="2818" w:hanging="180"/>
      </w:pPr>
    </w:lvl>
    <w:lvl w:ilvl="3" w:tplc="0416000F" w:tentative="1">
      <w:start w:val="1"/>
      <w:numFmt w:val="decimal"/>
      <w:lvlText w:val="%4."/>
      <w:lvlJc w:val="left"/>
      <w:pPr>
        <w:ind w:left="3538" w:hanging="360"/>
      </w:pPr>
    </w:lvl>
    <w:lvl w:ilvl="4" w:tplc="04160019" w:tentative="1">
      <w:start w:val="1"/>
      <w:numFmt w:val="lowerLetter"/>
      <w:lvlText w:val="%5."/>
      <w:lvlJc w:val="left"/>
      <w:pPr>
        <w:ind w:left="4258" w:hanging="360"/>
      </w:pPr>
    </w:lvl>
    <w:lvl w:ilvl="5" w:tplc="0416001B" w:tentative="1">
      <w:start w:val="1"/>
      <w:numFmt w:val="lowerRoman"/>
      <w:lvlText w:val="%6."/>
      <w:lvlJc w:val="right"/>
      <w:pPr>
        <w:ind w:left="4978" w:hanging="180"/>
      </w:pPr>
    </w:lvl>
    <w:lvl w:ilvl="6" w:tplc="0416000F" w:tentative="1">
      <w:start w:val="1"/>
      <w:numFmt w:val="decimal"/>
      <w:lvlText w:val="%7."/>
      <w:lvlJc w:val="left"/>
      <w:pPr>
        <w:ind w:left="5698" w:hanging="360"/>
      </w:pPr>
    </w:lvl>
    <w:lvl w:ilvl="7" w:tplc="04160019" w:tentative="1">
      <w:start w:val="1"/>
      <w:numFmt w:val="lowerLetter"/>
      <w:lvlText w:val="%8."/>
      <w:lvlJc w:val="left"/>
      <w:pPr>
        <w:ind w:left="6418" w:hanging="360"/>
      </w:pPr>
    </w:lvl>
    <w:lvl w:ilvl="8" w:tplc="0416001B" w:tentative="1">
      <w:start w:val="1"/>
      <w:numFmt w:val="lowerRoman"/>
      <w:lvlText w:val="%9."/>
      <w:lvlJc w:val="right"/>
      <w:pPr>
        <w:ind w:left="7138" w:hanging="180"/>
      </w:pPr>
    </w:lvl>
  </w:abstractNum>
  <w:abstractNum w:abstractNumId="9"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3"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4C162595"/>
    <w:multiLevelType w:val="multilevel"/>
    <w:tmpl w:val="415CC470"/>
    <w:lvl w:ilvl="0">
      <w:start w:val="1"/>
      <w:numFmt w:val="decimal"/>
      <w:lvlText w:val="%1."/>
      <w:lvlJc w:val="left"/>
      <w:pPr>
        <w:ind w:left="456" w:hanging="456"/>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73FE216B"/>
    <w:multiLevelType w:val="multilevel"/>
    <w:tmpl w:val="66A41F78"/>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4"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0"/>
  </w:num>
  <w:num w:numId="3">
    <w:abstractNumId w:val="25"/>
  </w:num>
  <w:num w:numId="4">
    <w:abstractNumId w:val="26"/>
  </w:num>
  <w:num w:numId="5">
    <w:abstractNumId w:val="10"/>
  </w:num>
  <w:num w:numId="6">
    <w:abstractNumId w:val="6"/>
  </w:num>
  <w:num w:numId="7">
    <w:abstractNumId w:val="15"/>
  </w:num>
  <w:num w:numId="8">
    <w:abstractNumId w:val="21"/>
  </w:num>
  <w:num w:numId="9">
    <w:abstractNumId w:val="20"/>
  </w:num>
  <w:num w:numId="10">
    <w:abstractNumId w:val="7"/>
  </w:num>
  <w:num w:numId="11">
    <w:abstractNumId w:val="16"/>
  </w:num>
  <w:num w:numId="12">
    <w:abstractNumId w:val="9"/>
  </w:num>
  <w:num w:numId="13">
    <w:abstractNumId w:val="17"/>
  </w:num>
  <w:num w:numId="14">
    <w:abstractNumId w:val="4"/>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3"/>
  </w:num>
  <w:num w:numId="18">
    <w:abstractNumId w:val="24"/>
  </w:num>
  <w:num w:numId="19">
    <w:abstractNumId w:val="1"/>
  </w:num>
  <w:num w:numId="20">
    <w:abstractNumId w:val="27"/>
  </w:num>
  <w:num w:numId="21">
    <w:abstractNumId w:val="2"/>
  </w:num>
  <w:num w:numId="22">
    <w:abstractNumId w:val="22"/>
  </w:num>
  <w:num w:numId="23">
    <w:abstractNumId w:val="11"/>
  </w:num>
  <w:num w:numId="24">
    <w:abstractNumId w:val="14"/>
  </w:num>
  <w:num w:numId="25">
    <w:abstractNumId w:val="19"/>
  </w:num>
  <w:num w:numId="26">
    <w:abstractNumId w:val="8"/>
  </w:num>
  <w:num w:numId="27">
    <w:abstractNumId w:val="18"/>
  </w:num>
  <w:num w:numId="28">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668"/>
    <w:rsid w:val="00005BE4"/>
    <w:rsid w:val="000060FC"/>
    <w:rsid w:val="00006FBC"/>
    <w:rsid w:val="000079E0"/>
    <w:rsid w:val="000129F0"/>
    <w:rsid w:val="000154E4"/>
    <w:rsid w:val="00015D67"/>
    <w:rsid w:val="0002083D"/>
    <w:rsid w:val="000213D4"/>
    <w:rsid w:val="000274D1"/>
    <w:rsid w:val="00030EAB"/>
    <w:rsid w:val="00031812"/>
    <w:rsid w:val="00031DBC"/>
    <w:rsid w:val="00034466"/>
    <w:rsid w:val="00035094"/>
    <w:rsid w:val="00035986"/>
    <w:rsid w:val="000366BA"/>
    <w:rsid w:val="000369F2"/>
    <w:rsid w:val="000430FC"/>
    <w:rsid w:val="00044675"/>
    <w:rsid w:val="000450E5"/>
    <w:rsid w:val="00053566"/>
    <w:rsid w:val="00053F64"/>
    <w:rsid w:val="00054B0E"/>
    <w:rsid w:val="00062025"/>
    <w:rsid w:val="00063D38"/>
    <w:rsid w:val="00065C0A"/>
    <w:rsid w:val="000764D5"/>
    <w:rsid w:val="000775E1"/>
    <w:rsid w:val="00077D52"/>
    <w:rsid w:val="000817C7"/>
    <w:rsid w:val="00081879"/>
    <w:rsid w:val="000821CA"/>
    <w:rsid w:val="00082EB1"/>
    <w:rsid w:val="00087051"/>
    <w:rsid w:val="0008745D"/>
    <w:rsid w:val="00090319"/>
    <w:rsid w:val="0009464D"/>
    <w:rsid w:val="000951C1"/>
    <w:rsid w:val="000A0263"/>
    <w:rsid w:val="000A12A0"/>
    <w:rsid w:val="000A1BBD"/>
    <w:rsid w:val="000A23D9"/>
    <w:rsid w:val="000A7829"/>
    <w:rsid w:val="000B1425"/>
    <w:rsid w:val="000B5579"/>
    <w:rsid w:val="000B5939"/>
    <w:rsid w:val="000B743A"/>
    <w:rsid w:val="000B7EB4"/>
    <w:rsid w:val="000C1186"/>
    <w:rsid w:val="000C36D5"/>
    <w:rsid w:val="000C4CE3"/>
    <w:rsid w:val="000C50B9"/>
    <w:rsid w:val="000C563E"/>
    <w:rsid w:val="000C6DA6"/>
    <w:rsid w:val="000D3090"/>
    <w:rsid w:val="000D5C65"/>
    <w:rsid w:val="000D630D"/>
    <w:rsid w:val="000E0430"/>
    <w:rsid w:val="000E3CFD"/>
    <w:rsid w:val="000E4D70"/>
    <w:rsid w:val="000E5926"/>
    <w:rsid w:val="000E5988"/>
    <w:rsid w:val="000F4174"/>
    <w:rsid w:val="000F4B5C"/>
    <w:rsid w:val="000F51C1"/>
    <w:rsid w:val="000F5905"/>
    <w:rsid w:val="000F6BE5"/>
    <w:rsid w:val="001030C4"/>
    <w:rsid w:val="00103A48"/>
    <w:rsid w:val="00104212"/>
    <w:rsid w:val="001058CE"/>
    <w:rsid w:val="00106E19"/>
    <w:rsid w:val="00107D2C"/>
    <w:rsid w:val="001100D6"/>
    <w:rsid w:val="00111E3E"/>
    <w:rsid w:val="001133C2"/>
    <w:rsid w:val="0011375F"/>
    <w:rsid w:val="00117C0C"/>
    <w:rsid w:val="00120340"/>
    <w:rsid w:val="00122AA0"/>
    <w:rsid w:val="00126F80"/>
    <w:rsid w:val="00127FF5"/>
    <w:rsid w:val="00131D54"/>
    <w:rsid w:val="00132435"/>
    <w:rsid w:val="0013264B"/>
    <w:rsid w:val="00134916"/>
    <w:rsid w:val="00136068"/>
    <w:rsid w:val="00144A68"/>
    <w:rsid w:val="00153E27"/>
    <w:rsid w:val="00156D3D"/>
    <w:rsid w:val="00156EAF"/>
    <w:rsid w:val="00166172"/>
    <w:rsid w:val="00175692"/>
    <w:rsid w:val="00175EB5"/>
    <w:rsid w:val="00180248"/>
    <w:rsid w:val="001815F6"/>
    <w:rsid w:val="0018220D"/>
    <w:rsid w:val="0018257C"/>
    <w:rsid w:val="001827D4"/>
    <w:rsid w:val="00182820"/>
    <w:rsid w:val="00182CD7"/>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A7685"/>
    <w:rsid w:val="001B01ED"/>
    <w:rsid w:val="001B217E"/>
    <w:rsid w:val="001B3474"/>
    <w:rsid w:val="001B5CF8"/>
    <w:rsid w:val="001B5FEE"/>
    <w:rsid w:val="001B6FEB"/>
    <w:rsid w:val="001C022B"/>
    <w:rsid w:val="001C02CF"/>
    <w:rsid w:val="001C24E6"/>
    <w:rsid w:val="001C3656"/>
    <w:rsid w:val="001C3966"/>
    <w:rsid w:val="001C3F32"/>
    <w:rsid w:val="001C423B"/>
    <w:rsid w:val="001C603A"/>
    <w:rsid w:val="001D0E75"/>
    <w:rsid w:val="001D6A93"/>
    <w:rsid w:val="001E1BC1"/>
    <w:rsid w:val="001E1C5B"/>
    <w:rsid w:val="001E3130"/>
    <w:rsid w:val="001E46D0"/>
    <w:rsid w:val="001E590C"/>
    <w:rsid w:val="001E7B37"/>
    <w:rsid w:val="001F0C22"/>
    <w:rsid w:val="001F3660"/>
    <w:rsid w:val="001F3BE8"/>
    <w:rsid w:val="002016CE"/>
    <w:rsid w:val="00202280"/>
    <w:rsid w:val="002039DF"/>
    <w:rsid w:val="0021225C"/>
    <w:rsid w:val="00215749"/>
    <w:rsid w:val="00215E74"/>
    <w:rsid w:val="00220035"/>
    <w:rsid w:val="00223F1B"/>
    <w:rsid w:val="002273E9"/>
    <w:rsid w:val="00227AC3"/>
    <w:rsid w:val="00227B22"/>
    <w:rsid w:val="00235296"/>
    <w:rsid w:val="0024452B"/>
    <w:rsid w:val="00247654"/>
    <w:rsid w:val="00251F8D"/>
    <w:rsid w:val="00252514"/>
    <w:rsid w:val="0025595C"/>
    <w:rsid w:val="00256CBA"/>
    <w:rsid w:val="00262785"/>
    <w:rsid w:val="00267D34"/>
    <w:rsid w:val="00267E92"/>
    <w:rsid w:val="0027591D"/>
    <w:rsid w:val="00276019"/>
    <w:rsid w:val="002801E1"/>
    <w:rsid w:val="0028260F"/>
    <w:rsid w:val="00282F91"/>
    <w:rsid w:val="0028332E"/>
    <w:rsid w:val="00283D28"/>
    <w:rsid w:val="00284A9C"/>
    <w:rsid w:val="00285571"/>
    <w:rsid w:val="002859AE"/>
    <w:rsid w:val="002940C0"/>
    <w:rsid w:val="002943C7"/>
    <w:rsid w:val="00295E62"/>
    <w:rsid w:val="00297DEA"/>
    <w:rsid w:val="002A03E1"/>
    <w:rsid w:val="002A3170"/>
    <w:rsid w:val="002A4B2E"/>
    <w:rsid w:val="002A5235"/>
    <w:rsid w:val="002A536E"/>
    <w:rsid w:val="002A6C4F"/>
    <w:rsid w:val="002B3782"/>
    <w:rsid w:val="002B436A"/>
    <w:rsid w:val="002B52F4"/>
    <w:rsid w:val="002C0269"/>
    <w:rsid w:val="002C42AE"/>
    <w:rsid w:val="002C5913"/>
    <w:rsid w:val="002D2254"/>
    <w:rsid w:val="002D2D98"/>
    <w:rsid w:val="002D4A31"/>
    <w:rsid w:val="002D5ACA"/>
    <w:rsid w:val="002E0ABD"/>
    <w:rsid w:val="002E3D67"/>
    <w:rsid w:val="002E444F"/>
    <w:rsid w:val="002E5147"/>
    <w:rsid w:val="002F0B5B"/>
    <w:rsid w:val="002F4A25"/>
    <w:rsid w:val="002F5843"/>
    <w:rsid w:val="00302DF7"/>
    <w:rsid w:val="00307086"/>
    <w:rsid w:val="003123EC"/>
    <w:rsid w:val="003139B5"/>
    <w:rsid w:val="0031529C"/>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926"/>
    <w:rsid w:val="00370767"/>
    <w:rsid w:val="0037133E"/>
    <w:rsid w:val="00374B8E"/>
    <w:rsid w:val="00375FB0"/>
    <w:rsid w:val="003775B8"/>
    <w:rsid w:val="00380147"/>
    <w:rsid w:val="00381BCE"/>
    <w:rsid w:val="003824FF"/>
    <w:rsid w:val="0039369B"/>
    <w:rsid w:val="003941F0"/>
    <w:rsid w:val="00394667"/>
    <w:rsid w:val="00395988"/>
    <w:rsid w:val="003B2619"/>
    <w:rsid w:val="003B4B18"/>
    <w:rsid w:val="003B5713"/>
    <w:rsid w:val="003B7B6D"/>
    <w:rsid w:val="003B7BD0"/>
    <w:rsid w:val="003C2125"/>
    <w:rsid w:val="003C37CC"/>
    <w:rsid w:val="003C5CE2"/>
    <w:rsid w:val="003C779F"/>
    <w:rsid w:val="003D0BDB"/>
    <w:rsid w:val="003D546D"/>
    <w:rsid w:val="003D5EEF"/>
    <w:rsid w:val="003D7D82"/>
    <w:rsid w:val="003E4094"/>
    <w:rsid w:val="003E42AA"/>
    <w:rsid w:val="003E6786"/>
    <w:rsid w:val="003F020C"/>
    <w:rsid w:val="003F09AD"/>
    <w:rsid w:val="003F4CFE"/>
    <w:rsid w:val="003F5246"/>
    <w:rsid w:val="003F7BBC"/>
    <w:rsid w:val="004020F6"/>
    <w:rsid w:val="00402EDA"/>
    <w:rsid w:val="00405883"/>
    <w:rsid w:val="00406B9A"/>
    <w:rsid w:val="00410774"/>
    <w:rsid w:val="00413B20"/>
    <w:rsid w:val="0041453A"/>
    <w:rsid w:val="00414CFF"/>
    <w:rsid w:val="004151D7"/>
    <w:rsid w:val="004227C3"/>
    <w:rsid w:val="00424F64"/>
    <w:rsid w:val="00425935"/>
    <w:rsid w:val="00426987"/>
    <w:rsid w:val="00426D19"/>
    <w:rsid w:val="004276F4"/>
    <w:rsid w:val="00427B4C"/>
    <w:rsid w:val="0043065A"/>
    <w:rsid w:val="00431D0E"/>
    <w:rsid w:val="00433D01"/>
    <w:rsid w:val="0043602E"/>
    <w:rsid w:val="004377A4"/>
    <w:rsid w:val="00437FCB"/>
    <w:rsid w:val="00444B4F"/>
    <w:rsid w:val="004467E9"/>
    <w:rsid w:val="0044777D"/>
    <w:rsid w:val="00447876"/>
    <w:rsid w:val="004512AF"/>
    <w:rsid w:val="00451824"/>
    <w:rsid w:val="00454138"/>
    <w:rsid w:val="004542B7"/>
    <w:rsid w:val="0045502B"/>
    <w:rsid w:val="00460D4B"/>
    <w:rsid w:val="00462027"/>
    <w:rsid w:val="0046212F"/>
    <w:rsid w:val="004626D1"/>
    <w:rsid w:val="004654E5"/>
    <w:rsid w:val="00466DC7"/>
    <w:rsid w:val="0047638E"/>
    <w:rsid w:val="00477595"/>
    <w:rsid w:val="00482DE0"/>
    <w:rsid w:val="0048658F"/>
    <w:rsid w:val="00490286"/>
    <w:rsid w:val="00492691"/>
    <w:rsid w:val="00493280"/>
    <w:rsid w:val="00493B70"/>
    <w:rsid w:val="00493F49"/>
    <w:rsid w:val="004940B1"/>
    <w:rsid w:val="00496965"/>
    <w:rsid w:val="004B17EC"/>
    <w:rsid w:val="004B7742"/>
    <w:rsid w:val="004C100D"/>
    <w:rsid w:val="004C6961"/>
    <w:rsid w:val="004C6EDA"/>
    <w:rsid w:val="004C7C80"/>
    <w:rsid w:val="004D3053"/>
    <w:rsid w:val="004D60BA"/>
    <w:rsid w:val="004D6A2A"/>
    <w:rsid w:val="004E08B9"/>
    <w:rsid w:val="004E11F4"/>
    <w:rsid w:val="004E434C"/>
    <w:rsid w:val="004E43A0"/>
    <w:rsid w:val="004E4CB9"/>
    <w:rsid w:val="004F32C0"/>
    <w:rsid w:val="004F4076"/>
    <w:rsid w:val="004F6A73"/>
    <w:rsid w:val="004F79D2"/>
    <w:rsid w:val="00501D3F"/>
    <w:rsid w:val="00502BB9"/>
    <w:rsid w:val="00505437"/>
    <w:rsid w:val="005100BD"/>
    <w:rsid w:val="00512B1E"/>
    <w:rsid w:val="00513280"/>
    <w:rsid w:val="005143A6"/>
    <w:rsid w:val="005161B0"/>
    <w:rsid w:val="00516574"/>
    <w:rsid w:val="00520124"/>
    <w:rsid w:val="0052414D"/>
    <w:rsid w:val="00526258"/>
    <w:rsid w:val="0052677B"/>
    <w:rsid w:val="00527824"/>
    <w:rsid w:val="00527F4D"/>
    <w:rsid w:val="0053165A"/>
    <w:rsid w:val="00531DF9"/>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3D12"/>
    <w:rsid w:val="00565751"/>
    <w:rsid w:val="00570059"/>
    <w:rsid w:val="00571679"/>
    <w:rsid w:val="0057489D"/>
    <w:rsid w:val="00574E84"/>
    <w:rsid w:val="00577C10"/>
    <w:rsid w:val="0058116A"/>
    <w:rsid w:val="00583CC9"/>
    <w:rsid w:val="0058742F"/>
    <w:rsid w:val="00590F67"/>
    <w:rsid w:val="00591576"/>
    <w:rsid w:val="00594406"/>
    <w:rsid w:val="00594825"/>
    <w:rsid w:val="00594AFF"/>
    <w:rsid w:val="00595297"/>
    <w:rsid w:val="00595FD3"/>
    <w:rsid w:val="005966B1"/>
    <w:rsid w:val="00596A95"/>
    <w:rsid w:val="005A31AE"/>
    <w:rsid w:val="005A51C7"/>
    <w:rsid w:val="005A7008"/>
    <w:rsid w:val="005B4392"/>
    <w:rsid w:val="005B74BA"/>
    <w:rsid w:val="005B7C97"/>
    <w:rsid w:val="005C0D77"/>
    <w:rsid w:val="005C1976"/>
    <w:rsid w:val="005C1A59"/>
    <w:rsid w:val="005C606B"/>
    <w:rsid w:val="005D092D"/>
    <w:rsid w:val="005D1840"/>
    <w:rsid w:val="005D2E78"/>
    <w:rsid w:val="005D63B4"/>
    <w:rsid w:val="005E0DBC"/>
    <w:rsid w:val="005E2D09"/>
    <w:rsid w:val="005E4E32"/>
    <w:rsid w:val="005E67C5"/>
    <w:rsid w:val="005E7F40"/>
    <w:rsid w:val="005F4206"/>
    <w:rsid w:val="005F5DFE"/>
    <w:rsid w:val="006027E0"/>
    <w:rsid w:val="00621215"/>
    <w:rsid w:val="006234DA"/>
    <w:rsid w:val="00623B86"/>
    <w:rsid w:val="0062458B"/>
    <w:rsid w:val="0062602A"/>
    <w:rsid w:val="006300A5"/>
    <w:rsid w:val="0063785F"/>
    <w:rsid w:val="00637CB7"/>
    <w:rsid w:val="00641325"/>
    <w:rsid w:val="006425D8"/>
    <w:rsid w:val="00644AD1"/>
    <w:rsid w:val="0064595E"/>
    <w:rsid w:val="00647611"/>
    <w:rsid w:val="0065030B"/>
    <w:rsid w:val="006516E8"/>
    <w:rsid w:val="00651BD3"/>
    <w:rsid w:val="00652123"/>
    <w:rsid w:val="00653206"/>
    <w:rsid w:val="00655B0D"/>
    <w:rsid w:val="006572FB"/>
    <w:rsid w:val="00657ADC"/>
    <w:rsid w:val="00663635"/>
    <w:rsid w:val="00666726"/>
    <w:rsid w:val="006701C9"/>
    <w:rsid w:val="00672DDD"/>
    <w:rsid w:val="0067305D"/>
    <w:rsid w:val="00674A99"/>
    <w:rsid w:val="00675ECA"/>
    <w:rsid w:val="00676199"/>
    <w:rsid w:val="00680EC2"/>
    <w:rsid w:val="006842E9"/>
    <w:rsid w:val="0068483A"/>
    <w:rsid w:val="006860E1"/>
    <w:rsid w:val="006864A5"/>
    <w:rsid w:val="00692965"/>
    <w:rsid w:val="00697345"/>
    <w:rsid w:val="006A04EF"/>
    <w:rsid w:val="006A1519"/>
    <w:rsid w:val="006A3325"/>
    <w:rsid w:val="006B0F99"/>
    <w:rsid w:val="006B530B"/>
    <w:rsid w:val="006C0208"/>
    <w:rsid w:val="006C03D5"/>
    <w:rsid w:val="006C2183"/>
    <w:rsid w:val="006D51CF"/>
    <w:rsid w:val="006E045B"/>
    <w:rsid w:val="006E0708"/>
    <w:rsid w:val="006E28D5"/>
    <w:rsid w:val="006E65A2"/>
    <w:rsid w:val="006F7864"/>
    <w:rsid w:val="006F790E"/>
    <w:rsid w:val="006F7F9D"/>
    <w:rsid w:val="0070058E"/>
    <w:rsid w:val="00703CB7"/>
    <w:rsid w:val="0070695B"/>
    <w:rsid w:val="00706FD8"/>
    <w:rsid w:val="00711E1B"/>
    <w:rsid w:val="00713D31"/>
    <w:rsid w:val="00715DE0"/>
    <w:rsid w:val="007175A7"/>
    <w:rsid w:val="00724ED6"/>
    <w:rsid w:val="00735797"/>
    <w:rsid w:val="00737CFF"/>
    <w:rsid w:val="0074047A"/>
    <w:rsid w:val="00741C3C"/>
    <w:rsid w:val="00743940"/>
    <w:rsid w:val="00744F38"/>
    <w:rsid w:val="007463C4"/>
    <w:rsid w:val="00746F69"/>
    <w:rsid w:val="0074756E"/>
    <w:rsid w:val="00747722"/>
    <w:rsid w:val="00750746"/>
    <w:rsid w:val="00751633"/>
    <w:rsid w:val="007518D3"/>
    <w:rsid w:val="0075657C"/>
    <w:rsid w:val="00766FA5"/>
    <w:rsid w:val="00767279"/>
    <w:rsid w:val="0077146F"/>
    <w:rsid w:val="00771886"/>
    <w:rsid w:val="007718FC"/>
    <w:rsid w:val="00772B75"/>
    <w:rsid w:val="0077364E"/>
    <w:rsid w:val="0077523C"/>
    <w:rsid w:val="00783ED8"/>
    <w:rsid w:val="00783FFE"/>
    <w:rsid w:val="007903F0"/>
    <w:rsid w:val="00790CEC"/>
    <w:rsid w:val="007940B9"/>
    <w:rsid w:val="0079475E"/>
    <w:rsid w:val="00795212"/>
    <w:rsid w:val="007A1E5B"/>
    <w:rsid w:val="007A51A7"/>
    <w:rsid w:val="007A551D"/>
    <w:rsid w:val="007A7621"/>
    <w:rsid w:val="007B6299"/>
    <w:rsid w:val="007C100A"/>
    <w:rsid w:val="007C1E7F"/>
    <w:rsid w:val="007C2545"/>
    <w:rsid w:val="007C5A7C"/>
    <w:rsid w:val="007D05D4"/>
    <w:rsid w:val="007D10C0"/>
    <w:rsid w:val="007D159C"/>
    <w:rsid w:val="007D4151"/>
    <w:rsid w:val="007D5230"/>
    <w:rsid w:val="007D5302"/>
    <w:rsid w:val="007D6743"/>
    <w:rsid w:val="007E177D"/>
    <w:rsid w:val="007E3D8F"/>
    <w:rsid w:val="007E61E2"/>
    <w:rsid w:val="007F0323"/>
    <w:rsid w:val="007F06D7"/>
    <w:rsid w:val="007F0D78"/>
    <w:rsid w:val="007F1E59"/>
    <w:rsid w:val="007F44EB"/>
    <w:rsid w:val="007F56A6"/>
    <w:rsid w:val="007F667B"/>
    <w:rsid w:val="00800BA8"/>
    <w:rsid w:val="008037E5"/>
    <w:rsid w:val="00810ED7"/>
    <w:rsid w:val="008127F9"/>
    <w:rsid w:val="00813220"/>
    <w:rsid w:val="0081340D"/>
    <w:rsid w:val="00813749"/>
    <w:rsid w:val="00815256"/>
    <w:rsid w:val="0081574D"/>
    <w:rsid w:val="00826E97"/>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6DF4"/>
    <w:rsid w:val="00860145"/>
    <w:rsid w:val="00870AC5"/>
    <w:rsid w:val="008719BE"/>
    <w:rsid w:val="008753E9"/>
    <w:rsid w:val="00875F63"/>
    <w:rsid w:val="00876B60"/>
    <w:rsid w:val="00886CDE"/>
    <w:rsid w:val="00886F6E"/>
    <w:rsid w:val="00892FE1"/>
    <w:rsid w:val="0089386A"/>
    <w:rsid w:val="00893C75"/>
    <w:rsid w:val="008B061B"/>
    <w:rsid w:val="008B63F9"/>
    <w:rsid w:val="008B6786"/>
    <w:rsid w:val="008B69E4"/>
    <w:rsid w:val="008C5629"/>
    <w:rsid w:val="008C5A5B"/>
    <w:rsid w:val="008C6350"/>
    <w:rsid w:val="008C666B"/>
    <w:rsid w:val="008C6E7F"/>
    <w:rsid w:val="008C70AD"/>
    <w:rsid w:val="008C77AF"/>
    <w:rsid w:val="008D0A2B"/>
    <w:rsid w:val="008D5E26"/>
    <w:rsid w:val="008D6035"/>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78F0"/>
    <w:rsid w:val="009431D8"/>
    <w:rsid w:val="009434A9"/>
    <w:rsid w:val="00943DC9"/>
    <w:rsid w:val="00945769"/>
    <w:rsid w:val="0094751D"/>
    <w:rsid w:val="009500CE"/>
    <w:rsid w:val="009501B9"/>
    <w:rsid w:val="00952B8E"/>
    <w:rsid w:val="00954CC3"/>
    <w:rsid w:val="00954CD0"/>
    <w:rsid w:val="00957681"/>
    <w:rsid w:val="009617B6"/>
    <w:rsid w:val="0096259D"/>
    <w:rsid w:val="00963199"/>
    <w:rsid w:val="00964F9B"/>
    <w:rsid w:val="00970A8E"/>
    <w:rsid w:val="00973E25"/>
    <w:rsid w:val="00976911"/>
    <w:rsid w:val="00976EB2"/>
    <w:rsid w:val="00982674"/>
    <w:rsid w:val="009859BA"/>
    <w:rsid w:val="00987ADF"/>
    <w:rsid w:val="00990D26"/>
    <w:rsid w:val="009921E6"/>
    <w:rsid w:val="00993DD9"/>
    <w:rsid w:val="0099467B"/>
    <w:rsid w:val="00994D55"/>
    <w:rsid w:val="00996629"/>
    <w:rsid w:val="00997844"/>
    <w:rsid w:val="009A13B3"/>
    <w:rsid w:val="009A4038"/>
    <w:rsid w:val="009A5D65"/>
    <w:rsid w:val="009A61A1"/>
    <w:rsid w:val="009A68E0"/>
    <w:rsid w:val="009A7B5B"/>
    <w:rsid w:val="009B6D3D"/>
    <w:rsid w:val="009C0A9F"/>
    <w:rsid w:val="009C2EBC"/>
    <w:rsid w:val="009D00E8"/>
    <w:rsid w:val="009D4550"/>
    <w:rsid w:val="009D6662"/>
    <w:rsid w:val="009D7903"/>
    <w:rsid w:val="009E0ABC"/>
    <w:rsid w:val="009E1B89"/>
    <w:rsid w:val="009E25D6"/>
    <w:rsid w:val="009E58EF"/>
    <w:rsid w:val="009E6B4B"/>
    <w:rsid w:val="009F10DB"/>
    <w:rsid w:val="009F2BD7"/>
    <w:rsid w:val="009F50EF"/>
    <w:rsid w:val="00A01FD7"/>
    <w:rsid w:val="00A0406C"/>
    <w:rsid w:val="00A04574"/>
    <w:rsid w:val="00A04B6A"/>
    <w:rsid w:val="00A04E8E"/>
    <w:rsid w:val="00A06442"/>
    <w:rsid w:val="00A06C05"/>
    <w:rsid w:val="00A06E46"/>
    <w:rsid w:val="00A10880"/>
    <w:rsid w:val="00A11189"/>
    <w:rsid w:val="00A13C04"/>
    <w:rsid w:val="00A22489"/>
    <w:rsid w:val="00A27A1F"/>
    <w:rsid w:val="00A31F31"/>
    <w:rsid w:val="00A3351E"/>
    <w:rsid w:val="00A33683"/>
    <w:rsid w:val="00A36222"/>
    <w:rsid w:val="00A3656E"/>
    <w:rsid w:val="00A400BF"/>
    <w:rsid w:val="00A41CEC"/>
    <w:rsid w:val="00A44AB1"/>
    <w:rsid w:val="00A4570A"/>
    <w:rsid w:val="00A461E8"/>
    <w:rsid w:val="00A50F81"/>
    <w:rsid w:val="00A5162A"/>
    <w:rsid w:val="00A53264"/>
    <w:rsid w:val="00A5333F"/>
    <w:rsid w:val="00A55122"/>
    <w:rsid w:val="00A605B8"/>
    <w:rsid w:val="00A62C21"/>
    <w:rsid w:val="00A65433"/>
    <w:rsid w:val="00A659C2"/>
    <w:rsid w:val="00A660CE"/>
    <w:rsid w:val="00A6676D"/>
    <w:rsid w:val="00A70779"/>
    <w:rsid w:val="00A778D7"/>
    <w:rsid w:val="00A82EC0"/>
    <w:rsid w:val="00A83B3D"/>
    <w:rsid w:val="00A8439C"/>
    <w:rsid w:val="00A85DEA"/>
    <w:rsid w:val="00A86013"/>
    <w:rsid w:val="00A87A51"/>
    <w:rsid w:val="00A90AC0"/>
    <w:rsid w:val="00A90AEE"/>
    <w:rsid w:val="00A91AB6"/>
    <w:rsid w:val="00A94798"/>
    <w:rsid w:val="00A94CAE"/>
    <w:rsid w:val="00A94E3E"/>
    <w:rsid w:val="00A967D2"/>
    <w:rsid w:val="00AA258E"/>
    <w:rsid w:val="00AA3994"/>
    <w:rsid w:val="00AA3FE4"/>
    <w:rsid w:val="00AA480C"/>
    <w:rsid w:val="00AA4C7E"/>
    <w:rsid w:val="00AA5772"/>
    <w:rsid w:val="00AA7614"/>
    <w:rsid w:val="00AA77E5"/>
    <w:rsid w:val="00AB0C8D"/>
    <w:rsid w:val="00AB2AF5"/>
    <w:rsid w:val="00AB591A"/>
    <w:rsid w:val="00AD2486"/>
    <w:rsid w:val="00AD5564"/>
    <w:rsid w:val="00AD5D9D"/>
    <w:rsid w:val="00AE02E7"/>
    <w:rsid w:val="00AE1AFC"/>
    <w:rsid w:val="00AE23C6"/>
    <w:rsid w:val="00AE2613"/>
    <w:rsid w:val="00AE569D"/>
    <w:rsid w:val="00AE5D0B"/>
    <w:rsid w:val="00AE6AB3"/>
    <w:rsid w:val="00AE6ABF"/>
    <w:rsid w:val="00AE71A8"/>
    <w:rsid w:val="00AF105D"/>
    <w:rsid w:val="00AF18AE"/>
    <w:rsid w:val="00AF6882"/>
    <w:rsid w:val="00AF7D6D"/>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31465"/>
    <w:rsid w:val="00B3395B"/>
    <w:rsid w:val="00B346F9"/>
    <w:rsid w:val="00B3475A"/>
    <w:rsid w:val="00B3705C"/>
    <w:rsid w:val="00B3736F"/>
    <w:rsid w:val="00B44FD7"/>
    <w:rsid w:val="00B4700A"/>
    <w:rsid w:val="00B5033A"/>
    <w:rsid w:val="00B50A51"/>
    <w:rsid w:val="00B52539"/>
    <w:rsid w:val="00B535E7"/>
    <w:rsid w:val="00B56FF6"/>
    <w:rsid w:val="00B6257B"/>
    <w:rsid w:val="00B63206"/>
    <w:rsid w:val="00B657BB"/>
    <w:rsid w:val="00B7239F"/>
    <w:rsid w:val="00B73174"/>
    <w:rsid w:val="00B7687A"/>
    <w:rsid w:val="00B77884"/>
    <w:rsid w:val="00B83338"/>
    <w:rsid w:val="00B83399"/>
    <w:rsid w:val="00B857FD"/>
    <w:rsid w:val="00B85872"/>
    <w:rsid w:val="00B91392"/>
    <w:rsid w:val="00B94FFA"/>
    <w:rsid w:val="00B96DD5"/>
    <w:rsid w:val="00BB12A0"/>
    <w:rsid w:val="00BB3AD1"/>
    <w:rsid w:val="00BB3FA1"/>
    <w:rsid w:val="00BB442E"/>
    <w:rsid w:val="00BC0322"/>
    <w:rsid w:val="00BC0501"/>
    <w:rsid w:val="00BC1744"/>
    <w:rsid w:val="00BC1D71"/>
    <w:rsid w:val="00BC23B7"/>
    <w:rsid w:val="00BC42F4"/>
    <w:rsid w:val="00BC4B23"/>
    <w:rsid w:val="00BC7D27"/>
    <w:rsid w:val="00BD02BC"/>
    <w:rsid w:val="00BD15BD"/>
    <w:rsid w:val="00BD1CD5"/>
    <w:rsid w:val="00BD250A"/>
    <w:rsid w:val="00BD38E6"/>
    <w:rsid w:val="00BD5A81"/>
    <w:rsid w:val="00BE20F5"/>
    <w:rsid w:val="00BE244A"/>
    <w:rsid w:val="00BE3BCD"/>
    <w:rsid w:val="00BE4252"/>
    <w:rsid w:val="00BE6CD3"/>
    <w:rsid w:val="00BF4D0B"/>
    <w:rsid w:val="00BF4ED1"/>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8BB"/>
    <w:rsid w:val="00C7564D"/>
    <w:rsid w:val="00C763AE"/>
    <w:rsid w:val="00C7697F"/>
    <w:rsid w:val="00C817A1"/>
    <w:rsid w:val="00C8228A"/>
    <w:rsid w:val="00C84F60"/>
    <w:rsid w:val="00C85794"/>
    <w:rsid w:val="00C86311"/>
    <w:rsid w:val="00C87D00"/>
    <w:rsid w:val="00C92794"/>
    <w:rsid w:val="00C92A46"/>
    <w:rsid w:val="00C948F6"/>
    <w:rsid w:val="00C97B63"/>
    <w:rsid w:val="00CA013A"/>
    <w:rsid w:val="00CA16F6"/>
    <w:rsid w:val="00CA353D"/>
    <w:rsid w:val="00CA43ED"/>
    <w:rsid w:val="00CA5A22"/>
    <w:rsid w:val="00CA703E"/>
    <w:rsid w:val="00CB4032"/>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5333"/>
    <w:rsid w:val="00D00620"/>
    <w:rsid w:val="00D0365E"/>
    <w:rsid w:val="00D0382E"/>
    <w:rsid w:val="00D06CC0"/>
    <w:rsid w:val="00D11444"/>
    <w:rsid w:val="00D119EB"/>
    <w:rsid w:val="00D144F2"/>
    <w:rsid w:val="00D15C55"/>
    <w:rsid w:val="00D17DC4"/>
    <w:rsid w:val="00D221FE"/>
    <w:rsid w:val="00D22428"/>
    <w:rsid w:val="00D26C0D"/>
    <w:rsid w:val="00D30694"/>
    <w:rsid w:val="00D34E18"/>
    <w:rsid w:val="00D3531D"/>
    <w:rsid w:val="00D37D59"/>
    <w:rsid w:val="00D40013"/>
    <w:rsid w:val="00D400E1"/>
    <w:rsid w:val="00D411BC"/>
    <w:rsid w:val="00D412C2"/>
    <w:rsid w:val="00D42C5D"/>
    <w:rsid w:val="00D42D24"/>
    <w:rsid w:val="00D452FC"/>
    <w:rsid w:val="00D4599C"/>
    <w:rsid w:val="00D46947"/>
    <w:rsid w:val="00D508AC"/>
    <w:rsid w:val="00D57191"/>
    <w:rsid w:val="00D6216D"/>
    <w:rsid w:val="00D67AD6"/>
    <w:rsid w:val="00D75372"/>
    <w:rsid w:val="00D80C8C"/>
    <w:rsid w:val="00D859E1"/>
    <w:rsid w:val="00D873A3"/>
    <w:rsid w:val="00D9257B"/>
    <w:rsid w:val="00D92B6E"/>
    <w:rsid w:val="00D947B9"/>
    <w:rsid w:val="00D9640A"/>
    <w:rsid w:val="00D96F40"/>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2B84"/>
    <w:rsid w:val="00DE3F70"/>
    <w:rsid w:val="00DF10B1"/>
    <w:rsid w:val="00DF1668"/>
    <w:rsid w:val="00DF2447"/>
    <w:rsid w:val="00DF3446"/>
    <w:rsid w:val="00DF3D29"/>
    <w:rsid w:val="00DF5021"/>
    <w:rsid w:val="00DF55BD"/>
    <w:rsid w:val="00DF6B0A"/>
    <w:rsid w:val="00E003FE"/>
    <w:rsid w:val="00E01133"/>
    <w:rsid w:val="00E03C3E"/>
    <w:rsid w:val="00E04530"/>
    <w:rsid w:val="00E06BB3"/>
    <w:rsid w:val="00E10AB2"/>
    <w:rsid w:val="00E16A93"/>
    <w:rsid w:val="00E241C6"/>
    <w:rsid w:val="00E24AA7"/>
    <w:rsid w:val="00E25C6B"/>
    <w:rsid w:val="00E31207"/>
    <w:rsid w:val="00E313FB"/>
    <w:rsid w:val="00E331B3"/>
    <w:rsid w:val="00E47373"/>
    <w:rsid w:val="00E475F7"/>
    <w:rsid w:val="00E50F56"/>
    <w:rsid w:val="00E5461F"/>
    <w:rsid w:val="00E578E2"/>
    <w:rsid w:val="00E70361"/>
    <w:rsid w:val="00E723AC"/>
    <w:rsid w:val="00E73153"/>
    <w:rsid w:val="00E756E9"/>
    <w:rsid w:val="00E75947"/>
    <w:rsid w:val="00E84450"/>
    <w:rsid w:val="00E85CDE"/>
    <w:rsid w:val="00E85DB2"/>
    <w:rsid w:val="00E90712"/>
    <w:rsid w:val="00E920A0"/>
    <w:rsid w:val="00E9323B"/>
    <w:rsid w:val="00E93CAE"/>
    <w:rsid w:val="00EA0919"/>
    <w:rsid w:val="00EA479B"/>
    <w:rsid w:val="00EA5D3D"/>
    <w:rsid w:val="00EA62C1"/>
    <w:rsid w:val="00EA7E7D"/>
    <w:rsid w:val="00EB2A23"/>
    <w:rsid w:val="00EB30EC"/>
    <w:rsid w:val="00EB4024"/>
    <w:rsid w:val="00EB4288"/>
    <w:rsid w:val="00EB48C4"/>
    <w:rsid w:val="00EB56F2"/>
    <w:rsid w:val="00EB67B1"/>
    <w:rsid w:val="00EC29B1"/>
    <w:rsid w:val="00ED09C3"/>
    <w:rsid w:val="00EE0407"/>
    <w:rsid w:val="00EE1E2C"/>
    <w:rsid w:val="00EE28DA"/>
    <w:rsid w:val="00EE2EEA"/>
    <w:rsid w:val="00EE4EED"/>
    <w:rsid w:val="00EE61B7"/>
    <w:rsid w:val="00EE6415"/>
    <w:rsid w:val="00EE64F3"/>
    <w:rsid w:val="00EF0427"/>
    <w:rsid w:val="00EF0D56"/>
    <w:rsid w:val="00EF0FD1"/>
    <w:rsid w:val="00EF2F45"/>
    <w:rsid w:val="00EF5AFF"/>
    <w:rsid w:val="00EF67CA"/>
    <w:rsid w:val="00F01DE1"/>
    <w:rsid w:val="00F02E44"/>
    <w:rsid w:val="00F03719"/>
    <w:rsid w:val="00F062C6"/>
    <w:rsid w:val="00F13EF4"/>
    <w:rsid w:val="00F14781"/>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0C2"/>
    <w:rsid w:val="00F61A30"/>
    <w:rsid w:val="00F6474D"/>
    <w:rsid w:val="00F65DDD"/>
    <w:rsid w:val="00F70176"/>
    <w:rsid w:val="00F71FE6"/>
    <w:rsid w:val="00F72A63"/>
    <w:rsid w:val="00F72E12"/>
    <w:rsid w:val="00F730F9"/>
    <w:rsid w:val="00F734A3"/>
    <w:rsid w:val="00F75065"/>
    <w:rsid w:val="00F754AA"/>
    <w:rsid w:val="00F75BA6"/>
    <w:rsid w:val="00F76B80"/>
    <w:rsid w:val="00F81C50"/>
    <w:rsid w:val="00F81E2C"/>
    <w:rsid w:val="00F825C8"/>
    <w:rsid w:val="00F83A83"/>
    <w:rsid w:val="00F843B9"/>
    <w:rsid w:val="00F85FBD"/>
    <w:rsid w:val="00F912C1"/>
    <w:rsid w:val="00F928CA"/>
    <w:rsid w:val="00F93C1F"/>
    <w:rsid w:val="00F941A5"/>
    <w:rsid w:val="00F94665"/>
    <w:rsid w:val="00F962FA"/>
    <w:rsid w:val="00F96CAE"/>
    <w:rsid w:val="00F9758A"/>
    <w:rsid w:val="00FA0740"/>
    <w:rsid w:val="00FA39D0"/>
    <w:rsid w:val="00FA5F33"/>
    <w:rsid w:val="00FA758D"/>
    <w:rsid w:val="00FB0B88"/>
    <w:rsid w:val="00FB180F"/>
    <w:rsid w:val="00FB1E3F"/>
    <w:rsid w:val="00FB1F9F"/>
    <w:rsid w:val="00FB56D3"/>
    <w:rsid w:val="00FB580A"/>
    <w:rsid w:val="00FB58FA"/>
    <w:rsid w:val="00FB7D71"/>
    <w:rsid w:val="00FC0D96"/>
    <w:rsid w:val="00FC418C"/>
    <w:rsid w:val="00FC41D1"/>
    <w:rsid w:val="00FD3DBC"/>
    <w:rsid w:val="00FE1AF4"/>
    <w:rsid w:val="00FE2FD7"/>
    <w:rsid w:val="00FE4AE4"/>
    <w:rsid w:val="00FE735F"/>
    <w:rsid w:val="00FE75FC"/>
    <w:rsid w:val="00FE7B8D"/>
    <w:rsid w:val="00FF2470"/>
    <w:rsid w:val="00FF2F5B"/>
    <w:rsid w:val="00FF5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qFormat/>
    <w:rsid w:val="001D0E75"/>
    <w:pPr>
      <w:spacing w:before="100" w:beforeAutospacing="1" w:after="100" w:afterAutospacing="1"/>
      <w:outlineLvl w:val="3"/>
    </w:pPr>
    <w:rPr>
      <w:b/>
      <w:bCs/>
    </w:rPr>
  </w:style>
  <w:style w:type="paragraph" w:styleId="Ttulo5">
    <w:name w:val="heading 5"/>
    <w:basedOn w:val="Normal"/>
    <w:next w:val="Normal"/>
    <w:link w:val="Ttulo5Char"/>
    <w:qFormat/>
    <w:rsid w:val="00493F49"/>
    <w:pPr>
      <w:keepNext/>
      <w:outlineLvl w:val="4"/>
    </w:pPr>
    <w:rPr>
      <w:rFonts w:ascii="Arial Unicode MS" w:eastAsia="Arial Unicode MS" w:hAnsi="Arial Unicode MS"/>
      <w:b/>
      <w:cap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493F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D51CF"/>
  </w:style>
  <w:style w:type="paragraph" w:styleId="Rodap">
    <w:name w:val="footer"/>
    <w:basedOn w:val="Normal"/>
    <w:link w:val="RodapChar"/>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qFormat/>
    <w:rsid w:val="006D51CF"/>
  </w:style>
  <w:style w:type="character" w:styleId="Nmerodepgina">
    <w:name w:val="page number"/>
    <w:basedOn w:val="Fontepargpadro"/>
    <w:unhideWhenUsed/>
    <w:rsid w:val="00E73153"/>
  </w:style>
  <w:style w:type="paragraph" w:styleId="PargrafodaLista">
    <w:name w:val="List Paragraph"/>
    <w:basedOn w:val="Normal"/>
    <w:link w:val="PargrafodaListaChar"/>
    <w:uiPriority w:val="1"/>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MenoPendente1">
    <w:name w:val="Menção Pendente1"/>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rsid w:val="00F730F9"/>
    <w:rPr>
      <w:rFonts w:ascii="Tahoma" w:eastAsiaTheme="minorEastAsia" w:hAnsi="Tahoma" w:cs="Tahoma"/>
      <w:sz w:val="16"/>
      <w:szCs w:val="16"/>
    </w:rPr>
  </w:style>
  <w:style w:type="character" w:customStyle="1" w:styleId="TextodebaloChar">
    <w:name w:val="Texto de balão Char"/>
    <w:basedOn w:val="Fontepargpadro"/>
    <w:link w:val="Textodebalo"/>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730F9"/>
    <w:rPr>
      <w:b/>
      <w:bCs/>
    </w:rPr>
  </w:style>
  <w:style w:type="character" w:customStyle="1" w:styleId="AssuntodocomentrioChar">
    <w:name w:val="Assunto do comentário Char"/>
    <w:basedOn w:val="TextodecomentrioChar"/>
    <w:link w:val="Assuntodocomentrio"/>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0">
    <w:name w:val="Nivel 01"/>
    <w:basedOn w:val="Ttulo1"/>
    <w:next w:val="Normal"/>
    <w:link w:val="Nivel01Char"/>
    <w:autoRedefine/>
    <w:qFormat/>
    <w:rsid w:val="00262785"/>
    <w:pPr>
      <w:shd w:val="clear" w:color="auto" w:fill="8EAADB" w:themeFill="accent1" w:themeFillTint="99"/>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0"/>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qFormat/>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0"/>
    <w:rsid w:val="00262785"/>
    <w:rPr>
      <w:rFonts w:ascii="Arial" w:eastAsiaTheme="majorEastAsia" w:hAnsi="Arial" w:cs="Arial"/>
      <w:b/>
      <w:bCs/>
      <w:color w:val="323E4F" w:themeColor="text2" w:themeShade="BF"/>
      <w:spacing w:val="5"/>
      <w:kern w:val="0"/>
      <w:sz w:val="52"/>
      <w:szCs w:val="52"/>
      <w:shd w:val="clear" w:color="auto" w:fill="8EAADB" w:themeFill="accent1" w:themeFillTint="99"/>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nhideWhenUsed/>
    <w:rsid w:val="00F730F9"/>
    <w:pPr>
      <w:spacing w:before="100" w:beforeAutospacing="1" w:after="100" w:afterAutospacing="1"/>
    </w:pPr>
  </w:style>
  <w:style w:type="character" w:customStyle="1" w:styleId="CorpodetextoChar">
    <w:name w:val="Corpo de texto Char"/>
    <w:basedOn w:val="Fontepargpadro"/>
    <w:link w:val="Corpodetexto"/>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0">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34"/>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0"/>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5"/>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tulo5Char">
    <w:name w:val="Título 5 Char"/>
    <w:basedOn w:val="Fontepargpadro"/>
    <w:link w:val="Ttulo5"/>
    <w:rsid w:val="00493F49"/>
    <w:rPr>
      <w:rFonts w:ascii="Arial Unicode MS" w:eastAsia="Arial Unicode MS" w:hAnsi="Arial Unicode MS" w:cs="Times New Roman"/>
      <w:b/>
      <w:caps/>
      <w:kern w:val="0"/>
      <w:lang w:eastAsia="pt-BR"/>
      <w14:ligatures w14:val="none"/>
    </w:rPr>
  </w:style>
  <w:style w:type="character" w:customStyle="1" w:styleId="Ttulo9Char">
    <w:name w:val="Título 9 Char"/>
    <w:basedOn w:val="Fontepargpadro"/>
    <w:link w:val="Ttulo9"/>
    <w:uiPriority w:val="9"/>
    <w:semiHidden/>
    <w:rsid w:val="00493F49"/>
    <w:rPr>
      <w:rFonts w:asciiTheme="majorHAnsi" w:eastAsiaTheme="majorEastAsia" w:hAnsiTheme="majorHAnsi" w:cstheme="majorBidi"/>
      <w:i/>
      <w:iCs/>
      <w:color w:val="404040" w:themeColor="text1" w:themeTint="BF"/>
      <w:kern w:val="0"/>
      <w:sz w:val="20"/>
      <w:szCs w:val="20"/>
      <w:lang w:eastAsia="pt-BR"/>
      <w14:ligatures w14:val="none"/>
    </w:rPr>
  </w:style>
  <w:style w:type="paragraph" w:customStyle="1" w:styleId="EditalNormal">
    <w:name w:val="Edital Normal"/>
    <w:basedOn w:val="Normal"/>
    <w:autoRedefine/>
    <w:rsid w:val="00493F49"/>
    <w:pPr>
      <w:autoSpaceDE w:val="0"/>
      <w:autoSpaceDN w:val="0"/>
      <w:adjustRightInd w:val="0"/>
      <w:jc w:val="center"/>
    </w:pPr>
    <w:rPr>
      <w:rFonts w:ascii="Arial" w:hAnsi="Arial" w:cs="Arial"/>
      <w:sz w:val="20"/>
      <w:szCs w:val="20"/>
    </w:rPr>
  </w:style>
  <w:style w:type="paragraph" w:customStyle="1" w:styleId="Cabealhoencabezado">
    <w:name w:val="Cabeçalho.encabezado"/>
    <w:basedOn w:val="Normal"/>
    <w:rsid w:val="00493F49"/>
    <w:pPr>
      <w:tabs>
        <w:tab w:val="center" w:pos="4419"/>
        <w:tab w:val="right" w:pos="8838"/>
      </w:tabs>
    </w:pPr>
    <w:rPr>
      <w:rFonts w:ascii="Arial" w:hAnsi="Arial"/>
      <w:szCs w:val="20"/>
    </w:rPr>
  </w:style>
  <w:style w:type="paragraph" w:customStyle="1" w:styleId="Corpodetexto21">
    <w:name w:val="Corpo de texto 21"/>
    <w:basedOn w:val="Normal"/>
    <w:rsid w:val="00493F49"/>
    <w:pPr>
      <w:jc w:val="both"/>
    </w:pPr>
    <w:rPr>
      <w:szCs w:val="20"/>
    </w:rPr>
  </w:style>
  <w:style w:type="paragraph" w:styleId="Corpodetexto3">
    <w:name w:val="Body Text 3"/>
    <w:basedOn w:val="Normal"/>
    <w:link w:val="Corpodetexto3Char"/>
    <w:rsid w:val="00493F49"/>
    <w:pPr>
      <w:jc w:val="both"/>
    </w:pPr>
    <w:rPr>
      <w:rFonts w:ascii="Arial" w:hAnsi="Arial"/>
      <w:b/>
      <w:szCs w:val="20"/>
    </w:rPr>
  </w:style>
  <w:style w:type="character" w:customStyle="1" w:styleId="Corpodetexto3Char">
    <w:name w:val="Corpo de texto 3 Char"/>
    <w:basedOn w:val="Fontepargpadro"/>
    <w:link w:val="Corpodetexto3"/>
    <w:rsid w:val="00493F49"/>
    <w:rPr>
      <w:rFonts w:ascii="Arial" w:eastAsia="Times New Roman" w:hAnsi="Arial" w:cs="Times New Roman"/>
      <w:b/>
      <w:kern w:val="0"/>
      <w:szCs w:val="20"/>
      <w:lang w:eastAsia="pt-BR"/>
      <w14:ligatures w14:val="none"/>
    </w:rPr>
  </w:style>
  <w:style w:type="paragraph" w:customStyle="1" w:styleId="bodytext2">
    <w:name w:val="bodytext2"/>
    <w:basedOn w:val="Normal"/>
    <w:rsid w:val="00493F49"/>
    <w:pPr>
      <w:jc w:val="both"/>
    </w:pPr>
  </w:style>
  <w:style w:type="paragraph" w:customStyle="1" w:styleId="cabealhoencabezado0">
    <w:name w:val="cabealhoencabezado"/>
    <w:basedOn w:val="Normal"/>
    <w:rsid w:val="00493F49"/>
    <w:pPr>
      <w:tabs>
        <w:tab w:val="center" w:pos="4419"/>
        <w:tab w:val="right" w:pos="8838"/>
      </w:tabs>
    </w:pPr>
    <w:rPr>
      <w:rFonts w:ascii="Arial" w:hAnsi="Arial" w:cs="Arial"/>
    </w:rPr>
  </w:style>
  <w:style w:type="paragraph" w:customStyle="1" w:styleId="cabealhoencabezado00">
    <w:name w:val="cabealhoencabezado0"/>
    <w:basedOn w:val="Normal"/>
    <w:rsid w:val="00493F49"/>
    <w:pPr>
      <w:spacing w:before="100" w:after="100"/>
    </w:pPr>
    <w:rPr>
      <w:color w:val="000000"/>
    </w:rPr>
  </w:style>
  <w:style w:type="paragraph" w:styleId="Subttulo">
    <w:name w:val="Subtitle"/>
    <w:basedOn w:val="Normal"/>
    <w:next w:val="Corpodetexto"/>
    <w:link w:val="SubttuloChar"/>
    <w:qFormat/>
    <w:rsid w:val="00493F49"/>
    <w:pPr>
      <w:suppressAutoHyphens/>
    </w:pPr>
    <w:rPr>
      <w:rFonts w:ascii="Futura Lt BT" w:hAnsi="Futura Lt BT"/>
      <w:b/>
      <w:bCs/>
      <w:smallCaps/>
      <w:sz w:val="20"/>
      <w:szCs w:val="20"/>
      <w:lang w:eastAsia="ar-SA"/>
    </w:rPr>
  </w:style>
  <w:style w:type="character" w:customStyle="1" w:styleId="SubttuloChar">
    <w:name w:val="Subtítulo Char"/>
    <w:basedOn w:val="Fontepargpadro"/>
    <w:link w:val="Subttulo"/>
    <w:rsid w:val="00493F49"/>
    <w:rPr>
      <w:rFonts w:ascii="Futura Lt BT" w:eastAsia="Times New Roman" w:hAnsi="Futura Lt BT" w:cs="Times New Roman"/>
      <w:b/>
      <w:bCs/>
      <w:smallCaps/>
      <w:kern w:val="0"/>
      <w:sz w:val="20"/>
      <w:szCs w:val="20"/>
      <w:lang w:eastAsia="ar-SA"/>
      <w14:ligatures w14:val="none"/>
    </w:rPr>
  </w:style>
  <w:style w:type="paragraph" w:customStyle="1" w:styleId="Recuodecorpodetexto31">
    <w:name w:val="Recuo de corpo de texto 31"/>
    <w:basedOn w:val="Normal"/>
    <w:rsid w:val="00493F49"/>
    <w:pPr>
      <w:suppressAutoHyphens/>
      <w:spacing w:line="360" w:lineRule="auto"/>
      <w:ind w:left="705"/>
      <w:jc w:val="both"/>
    </w:pPr>
    <w:rPr>
      <w:rFonts w:ascii="Futura Lt BT" w:hAnsi="Futura Lt BT"/>
      <w:sz w:val="20"/>
      <w:szCs w:val="20"/>
      <w:lang w:eastAsia="ar-SA"/>
    </w:rPr>
  </w:style>
  <w:style w:type="paragraph" w:customStyle="1" w:styleId="Corpodetexto32">
    <w:name w:val="Corpo de texto 32"/>
    <w:basedOn w:val="Normal"/>
    <w:rsid w:val="00493F49"/>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493F49"/>
    <w:pPr>
      <w:suppressAutoHyphens/>
    </w:pPr>
    <w:rPr>
      <w:sz w:val="20"/>
      <w:szCs w:val="20"/>
      <w:lang w:val="pt-PT" w:eastAsia="ar-SA"/>
    </w:rPr>
  </w:style>
  <w:style w:type="character" w:customStyle="1" w:styleId="TextodenotaderodapChar">
    <w:name w:val="Texto de nota de rodapé Char"/>
    <w:basedOn w:val="Fontepargpadro"/>
    <w:link w:val="Textodenotaderodap"/>
    <w:semiHidden/>
    <w:rsid w:val="00493F49"/>
    <w:rPr>
      <w:rFonts w:ascii="Times New Roman" w:eastAsia="Times New Roman" w:hAnsi="Times New Roman" w:cs="Times New Roman"/>
      <w:kern w:val="0"/>
      <w:sz w:val="20"/>
      <w:szCs w:val="20"/>
      <w:lang w:val="pt-PT" w:eastAsia="ar-SA"/>
      <w14:ligatures w14:val="none"/>
    </w:rPr>
  </w:style>
  <w:style w:type="paragraph" w:customStyle="1" w:styleId="Textorecuadonumerado">
    <w:name w:val="Texto recuado numerado"/>
    <w:basedOn w:val="Normal"/>
    <w:rsid w:val="00493F49"/>
    <w:pPr>
      <w:tabs>
        <w:tab w:val="left" w:pos="850"/>
      </w:tabs>
      <w:suppressAutoHyphens/>
      <w:spacing w:before="85" w:after="113" w:line="100" w:lineRule="atLeast"/>
      <w:ind w:left="737"/>
      <w:jc w:val="both"/>
    </w:pPr>
    <w:rPr>
      <w:rFonts w:ascii="Arial" w:hAnsi="Arial" w:cs="Arial"/>
      <w:sz w:val="22"/>
      <w:szCs w:val="22"/>
      <w:lang w:eastAsia="zh-CN"/>
    </w:rPr>
  </w:style>
  <w:style w:type="paragraph" w:styleId="Recuodecorpodetexto3">
    <w:name w:val="Body Text Indent 3"/>
    <w:basedOn w:val="Normal"/>
    <w:link w:val="Recuodecorpodetexto3Char"/>
    <w:uiPriority w:val="99"/>
    <w:unhideWhenUsed/>
    <w:rsid w:val="00493F4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93F49"/>
    <w:rPr>
      <w:rFonts w:ascii="Times New Roman" w:eastAsia="Times New Roman" w:hAnsi="Times New Roman" w:cs="Times New Roman"/>
      <w:kern w:val="0"/>
      <w:sz w:val="16"/>
      <w:szCs w:val="16"/>
      <w:lang w:eastAsia="pt-BR"/>
      <w14:ligatures w14:val="none"/>
    </w:rPr>
  </w:style>
  <w:style w:type="character" w:styleId="nfaseIntensa">
    <w:name w:val="Intense Emphasis"/>
    <w:uiPriority w:val="21"/>
    <w:qFormat/>
    <w:rsid w:val="00493F49"/>
    <w:rPr>
      <w:b/>
      <w:bCs/>
      <w:i/>
      <w:iCs/>
      <w:color w:val="4F81BD"/>
    </w:rPr>
  </w:style>
  <w:style w:type="paragraph" w:customStyle="1" w:styleId="Recuo2">
    <w:name w:val="Recuo2"/>
    <w:basedOn w:val="Normal"/>
    <w:rsid w:val="00493F49"/>
    <w:pPr>
      <w:ind w:left="2269" w:hanging="851"/>
      <w:jc w:val="both"/>
    </w:pPr>
    <w:rPr>
      <w:rFonts w:ascii="Arial" w:hAnsi="Arial"/>
      <w:sz w:val="26"/>
      <w:szCs w:val="20"/>
    </w:rPr>
  </w:style>
  <w:style w:type="paragraph" w:styleId="Recuodecorpodetexto2">
    <w:name w:val="Body Text Indent 2"/>
    <w:basedOn w:val="Normal"/>
    <w:link w:val="Recuodecorpodetexto2Char"/>
    <w:rsid w:val="00493F49"/>
    <w:pPr>
      <w:spacing w:after="120" w:line="480" w:lineRule="auto"/>
      <w:ind w:left="283"/>
    </w:pPr>
  </w:style>
  <w:style w:type="character" w:customStyle="1" w:styleId="Recuodecorpodetexto2Char">
    <w:name w:val="Recuo de corpo de texto 2 Char"/>
    <w:basedOn w:val="Fontepargpadro"/>
    <w:link w:val="Recuodecorpodetexto2"/>
    <w:rsid w:val="00493F49"/>
    <w:rPr>
      <w:rFonts w:ascii="Times New Roman" w:eastAsia="Times New Roman" w:hAnsi="Times New Roman" w:cs="Times New Roman"/>
      <w:kern w:val="0"/>
      <w:lang w:eastAsia="pt-BR"/>
      <w14:ligatures w14:val="none"/>
    </w:rPr>
  </w:style>
  <w:style w:type="paragraph" w:customStyle="1" w:styleId="Nivel01">
    <w:name w:val="Nivel_01"/>
    <w:basedOn w:val="Ttulo1"/>
    <w:link w:val="Nivel01Char0"/>
    <w:qFormat/>
    <w:rsid w:val="00493F49"/>
    <w:pPr>
      <w:numPr>
        <w:numId w:val="25"/>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493F49"/>
    <w:rPr>
      <w:rFonts w:ascii="Ecofont_Spranq_eco_Sans" w:eastAsiaTheme="majorEastAsia" w:hAnsi="Ecofont_Spranq_eco_Sans" w:cstheme="majorBidi"/>
      <w:b/>
      <w:bCs/>
      <w:color w:val="2F5496" w:themeColor="accent1" w:themeShade="BF"/>
      <w:kern w:val="0"/>
      <w:sz w:val="28"/>
      <w:szCs w:val="28"/>
      <w:lang w:eastAsia="pt-BR"/>
      <w14:ligatures w14:val="none"/>
    </w:rPr>
  </w:style>
  <w:style w:type="paragraph" w:styleId="Recuodecorpodetexto">
    <w:name w:val="Body Text Indent"/>
    <w:basedOn w:val="Normal"/>
    <w:link w:val="RecuodecorpodetextoChar"/>
    <w:rsid w:val="00493F49"/>
    <w:pPr>
      <w:ind w:firstLine="1134"/>
      <w:jc w:val="both"/>
    </w:pPr>
    <w:rPr>
      <w:sz w:val="28"/>
      <w:szCs w:val="20"/>
    </w:rPr>
  </w:style>
  <w:style w:type="character" w:customStyle="1" w:styleId="RecuodecorpodetextoChar">
    <w:name w:val="Recuo de corpo de texto Char"/>
    <w:basedOn w:val="Fontepargpadro"/>
    <w:link w:val="Recuodecorpodetexto"/>
    <w:rsid w:val="00493F49"/>
    <w:rPr>
      <w:rFonts w:ascii="Times New Roman" w:eastAsia="Times New Roman" w:hAnsi="Times New Roman" w:cs="Times New Roman"/>
      <w:kern w:val="0"/>
      <w:sz w:val="28"/>
      <w:szCs w:val="20"/>
      <w:lang w:eastAsia="pt-BR"/>
      <w14:ligatures w14:val="none"/>
    </w:rPr>
  </w:style>
  <w:style w:type="paragraph" w:customStyle="1" w:styleId="Nvel4">
    <w:name w:val="Nível 4"/>
    <w:basedOn w:val="Normal"/>
    <w:qFormat/>
    <w:rsid w:val="00493F49"/>
    <w:pPr>
      <w:spacing w:before="120" w:after="120" w:line="276" w:lineRule="auto"/>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18513363">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4860218">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69732624">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26942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658142869">
      <w:bodyDiv w:val="1"/>
      <w:marLeft w:val="0"/>
      <w:marRight w:val="0"/>
      <w:marTop w:val="0"/>
      <w:marBottom w:val="0"/>
      <w:divBdr>
        <w:top w:val="none" w:sz="0" w:space="0" w:color="auto"/>
        <w:left w:val="none" w:sz="0" w:space="0" w:color="auto"/>
        <w:bottom w:val="none" w:sz="0" w:space="0" w:color="auto"/>
        <w:right w:val="none" w:sz="0" w:space="0" w:color="auto"/>
      </w:divBdr>
    </w:div>
    <w:div w:id="170243565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774476055">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896892932">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59723521">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mailto:cplcgma@hotmail.com" TargetMode="External"/><Relationship Id="rId47" Type="http://schemas.openxmlformats.org/officeDocument/2006/relationships/hyperlink" Target="https://www.gov.br/economia/pt-br/assuntos/drei/legislacao/arquivos/legislacoes-federais/indrei772020.pdf"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25art159" TargetMode="Externa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1/lei/l12527.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5764.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mpresas-e-negocios/pt-br/empreendedor"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s://www.planalto.gov.br/ccivil_03/_ato2011-2014/2013/lei/l12846.htm" TargetMode="External"/><Relationship Id="rId103"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ortaldecompraspublicas.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seges-me-no-26-de-13-de-abril-de-2022"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_ato2019-2022/2021/decreto/d10880.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eader" Target="header1.xml"/><Relationship Id="rId10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trabalho-e-previdencia/pt-br/servicos/empregador/programa-de-alimentacao-do-trabalhador-pat/arquivos-legislacao/instrucoes-normativas/pat_in_971_2009.pdf"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contas.tcu.gov.br/ords/f?p=1660:3:0"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ortaldoempreendedor.gov.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footer" Target="footer1.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E1A45-E800-4182-8667-1F9D0A0FB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78</Pages>
  <Words>25661</Words>
  <Characters>138575</Characters>
  <Application>Microsoft Office Word</Application>
  <DocSecurity>0</DocSecurity>
  <Lines>1154</Lines>
  <Paragraphs>327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SERVIÇOS SC</cp:lastModifiedBy>
  <cp:revision>4</cp:revision>
  <cp:lastPrinted>2025-04-30T16:53:00Z</cp:lastPrinted>
  <dcterms:created xsi:type="dcterms:W3CDTF">2025-05-08T16:07:00Z</dcterms:created>
  <dcterms:modified xsi:type="dcterms:W3CDTF">2025-05-08T16:13:00Z</dcterms:modified>
</cp:coreProperties>
</file>