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TERMO DE REFERÊNCIA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DESCRIÇÃO DO OBJETO E DA VIGÊNCIA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DESCRIÇÃO DO OBJETO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8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Constitui objeto do presente Termo de Referência, estabelecer as condições e diretrizes que disciplinarão a </w:t>
      </w:r>
      <w:r>
        <w:rPr>
          <w:rFonts w:cs="Arial" w:ascii="Times New Roman" w:hAnsi="Times New Roman"/>
          <w:b/>
          <w:sz w:val="24"/>
          <w:szCs w:val="24"/>
        </w:rPr>
        <w:t>contratação da empresa AGRIFAMA LTDA</w:t>
      </w:r>
      <w:r>
        <w:rPr>
          <w:rFonts w:cs="Arial" w:ascii="Times New Roman" w:hAnsi="Times New Roman"/>
          <w:b/>
          <w:bCs/>
          <w:sz w:val="24"/>
          <w:szCs w:val="24"/>
        </w:rPr>
        <w:t>, CNPJ nº 13.720.213/0001-30, localizada na  AVENIDA SEBASTIÃO A. FONSECA (ROD BR116 KM770), 1060 – JARDIM CAICARA, LEOPOLDINA/MG, CEP 36.706-213</w:t>
      </w:r>
      <w:r>
        <w:rPr>
          <w:rFonts w:cs="Arial" w:ascii="Times New Roman" w:hAnsi="Times New Roman"/>
          <w:sz w:val="24"/>
          <w:szCs w:val="24"/>
        </w:rPr>
        <w:t xml:space="preserve">, </w:t>
      </w:r>
      <w:r>
        <w:rPr>
          <w:rFonts w:cs="Arial" w:ascii="Times New Roman" w:hAnsi="Times New Roman"/>
          <w:b/>
          <w:sz w:val="24"/>
          <w:szCs w:val="24"/>
        </w:rPr>
        <w:t>objetivando a revisão de 250 horas do veículo trator</w:t>
      </w:r>
      <w:r>
        <w:rPr>
          <w:rFonts w:cs="Arial" w:ascii="Times New Roman" w:hAnsi="Times New Roman"/>
          <w:b/>
          <w:color w:val="000000" w:themeColor="text1"/>
          <w:sz w:val="24"/>
          <w:szCs w:val="24"/>
        </w:rPr>
        <w:t xml:space="preserve"> LANDINI</w:t>
      </w:r>
      <w:r>
        <w:rPr>
          <w:rFonts w:cs="Arial" w:ascii="Times New Roman" w:hAnsi="Times New Roman"/>
          <w:b/>
          <w:sz w:val="24"/>
          <w:szCs w:val="24"/>
        </w:rPr>
        <w:t>, modelo LANDFORCE 130 CAB</w:t>
      </w:r>
      <w:r>
        <w:rPr>
          <w:rFonts w:cs="Arial" w:ascii="Times New Roman" w:hAnsi="Times New Roman"/>
          <w:b/>
          <w:color w:val="000000"/>
          <w:sz w:val="24"/>
          <w:szCs w:val="24"/>
        </w:rPr>
        <w:t>,</w:t>
      </w:r>
      <w:r>
        <w:rPr>
          <w:rFonts w:cs="Arial" w:ascii="Times New Roman" w:hAnsi="Times New Roman"/>
          <w:b/>
          <w:sz w:val="24"/>
          <w:szCs w:val="24"/>
        </w:rPr>
        <w:t xml:space="preserve"> Chassi THVLN46236, pertencente á frota de veículos do Município de São Roque do Canaã/ES</w:t>
      </w:r>
      <w:r>
        <w:rPr>
          <w:rFonts w:cs="Arial" w:ascii="Times New Roman" w:hAnsi="Times New Roman"/>
          <w:sz w:val="24"/>
          <w:szCs w:val="24"/>
        </w:rPr>
        <w:t>, em atendimento à demanda da Secretaria Municipal de Agricultura e Desenvolvimento Econômico – SMADE/SRC.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8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Especificações: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1372"/>
        <w:gridCol w:w="1370"/>
        <w:gridCol w:w="6329"/>
      </w:tblGrid>
      <w:tr>
        <w:trPr>
          <w:trHeight w:val="300" w:hRule="atLeast"/>
        </w:trPr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Qnt.</w:t>
            </w:r>
          </w:p>
        </w:tc>
        <w:tc>
          <w:tcPr>
            <w:tcW w:w="13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63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Descrição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63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ESTOPA BRANCA SUPER EXTRA 200 GR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Unid</w:t>
            </w:r>
          </w:p>
        </w:tc>
        <w:tc>
          <w:tcPr>
            <w:tcW w:w="63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FILTRO SEPARADOR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63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FILTRO DE COMBUSTÍVEL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Unid</w:t>
            </w:r>
          </w:p>
        </w:tc>
        <w:tc>
          <w:tcPr>
            <w:tcW w:w="63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FILTRO DE ÓLEO  MOTOR 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Unid</w:t>
            </w:r>
          </w:p>
        </w:tc>
        <w:tc>
          <w:tcPr>
            <w:tcW w:w="63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FILTRO DE ÓLEO HIDRÁULICO TRANSMISSÃO</w:t>
            </w:r>
            <w:r>
              <w:rPr>
                <w:rFonts w:ascii="Times New Roman" w:hAnsi="Times New Roman"/>
                <w:sz w:val="24"/>
                <w:szCs w:val="24"/>
              </w:rPr>
              <w:t>ÓLEO MOTOR DEITON ORICON CI-4 15W40 5L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Unid</w:t>
            </w:r>
          </w:p>
        </w:tc>
        <w:tc>
          <w:tcPr>
            <w:tcW w:w="63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SERVIÇO MECÂNICO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Os bens objeto desta contratação são </w:t>
      </w:r>
      <w:r>
        <w:rPr>
          <w:rFonts w:cs="Arial" w:ascii="Times New Roman" w:hAnsi="Times New Roman"/>
          <w:b/>
          <w:sz w:val="24"/>
          <w:szCs w:val="24"/>
        </w:rPr>
        <w:t>caracterizados como de natureza comum</w:t>
      </w:r>
      <w:r>
        <w:rPr>
          <w:rFonts w:cs="Arial" w:ascii="Times New Roman" w:hAnsi="Times New Roman"/>
          <w:sz w:val="24"/>
          <w:szCs w:val="24"/>
        </w:rPr>
        <w:t>, uma vez ser possível estabelecer, para efeito de julgamento das propostas, especificações utilizadas no mercado, padrões de qualidade e desempenho peculiares ao objeto, conforme justificativa constante no Documento de Formalização de Demanda e neste Termo de Referência, atendendo ao disposto do art. 6º, XIII, da Lei Federal nº 14.133/2021.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O objeto da presente contratação </w:t>
      </w:r>
      <w:r>
        <w:rPr>
          <w:rFonts w:cs="Arial" w:ascii="Times New Roman" w:hAnsi="Times New Roman"/>
          <w:b/>
          <w:sz w:val="24"/>
          <w:szCs w:val="24"/>
        </w:rPr>
        <w:t>não se enquadra, ainda, como sendo bem de luxo</w:t>
      </w:r>
      <w:r>
        <w:rPr>
          <w:rFonts w:cs="Arial" w:ascii="Times New Roman" w:hAnsi="Times New Roman"/>
          <w:sz w:val="24"/>
          <w:szCs w:val="24"/>
        </w:rPr>
        <w:t>, atendendo ao disposto no art. 20, da Lei Federal nº 14.133/2021.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VIGÊNCIA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Tratando-se de contratação imediata, a do presente objeto, esta ficará adstrita à vigência do exercício financeiro correspondente</w:t>
      </w:r>
      <w:r>
        <w:rPr>
          <w:rFonts w:cs="Arial" w:ascii="Times New Roman" w:hAnsi="Times New Roman"/>
          <w:sz w:val="24"/>
          <w:szCs w:val="24"/>
        </w:rPr>
        <w:t>, nos termos do art. 105, da Lei nº 14.133/2021.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DO OBJETIVO E DA JUSTIFICATIVA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Licitação é o procedimento administrativo formal em que a Administração convoca, mediante condições estabelecidas em ato próprio (edital), empresas interessadas na apresentação de propostas para o oferecimento de bens e serviços. O ordenamento brasileiro, em sua Carta Magna (art. 37, inciso XXI), determinou a obrigatoriedade da licitação para todas as aquisições de bens e contratações de serviços e obras realizadas pela Administração no exercício de suas funções. Nessa perspectiva, a Lei Federal nº 14.133/2021 estabelece as normas gerais sobre licitações e contratos.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A fundamentação pormenorizada quanto à necessidade de contratação do presente objeto pode ser encontrada no Documento de Formalização de Demanda e neste instrumento referencial, de modo que, em virtude na natureza do objeto a ser contratado, nos termos do art. 75, IV, a, da Lei nº 14.133/2021, dispensa-se a elaboração de Estudo Técnico Preliminar (ETP), bem como a realização de procedimento licitatório.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Portanto, </w:t>
      </w:r>
      <w:r>
        <w:rPr>
          <w:rFonts w:cs="Arial" w:ascii="Times New Roman" w:hAnsi="Times New Roman"/>
          <w:b/>
          <w:sz w:val="24"/>
          <w:szCs w:val="24"/>
        </w:rPr>
        <w:t>sob a égide do art. 75, IV, a, da Lei nº 14.133/2021, destacamos que a respectiva contratação se dará por meio de dispensa de licitação</w:t>
      </w:r>
      <w:r>
        <w:rPr>
          <w:rFonts w:cs="Arial" w:ascii="Times New Roman" w:hAnsi="Times New Roman"/>
          <w:sz w:val="24"/>
          <w:szCs w:val="24"/>
        </w:rPr>
        <w:t xml:space="preserve">, asseverando, ainda, a conformidade ao regulamento normativo municipal. De igual modo, </w:t>
      </w:r>
      <w:r>
        <w:rPr>
          <w:rFonts w:cs="Arial" w:ascii="Times New Roman" w:hAnsi="Times New Roman"/>
          <w:b/>
          <w:sz w:val="24"/>
          <w:szCs w:val="24"/>
        </w:rPr>
        <w:t>o objeto da presente contratação se encontra previsto no Plano Anual de Contratações (PAC) para o exercício de 2024</w:t>
      </w:r>
      <w:r>
        <w:rPr>
          <w:rFonts w:cs="Arial" w:ascii="Times New Roman" w:hAnsi="Times New Roman"/>
          <w:sz w:val="24"/>
          <w:szCs w:val="24"/>
        </w:rPr>
        <w:t>, aprovado pelo Decreto Municipal nº</w:t>
      </w:r>
      <w:r>
        <w:rPr>
          <w:rFonts w:cs="Arial" w:ascii="Times New Roman" w:hAnsi="Times New Roman"/>
          <w:sz w:val="24"/>
          <w:szCs w:val="24"/>
          <w:shd w:fill="auto" w:val="clear"/>
        </w:rPr>
        <w:t xml:space="preserve"> 6.605/2023 e publicado em 31/10/2023,</w:t>
      </w:r>
      <w:r>
        <w:rPr>
          <w:rFonts w:cs="Arial" w:ascii="Times New Roman" w:hAnsi="Times New Roman"/>
          <w:b/>
          <w:sz w:val="24"/>
          <w:szCs w:val="24"/>
        </w:rPr>
        <w:t xml:space="preserve"> não sendo necessária a atualização do respectivo plano.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Os quantitativos previstos nesse Termo de Referência levaram em </w:t>
      </w:r>
      <w:r>
        <w:rPr>
          <w:rFonts w:cs="Arial" w:ascii="Times New Roman" w:hAnsi="Times New Roman"/>
          <w:b/>
          <w:sz w:val="24"/>
          <w:szCs w:val="24"/>
        </w:rPr>
        <w:t>consideração a demanda da Secretaria Municipal Requisitante, por meio do Setor de Transporte Agrícola,</w:t>
      </w:r>
      <w:r>
        <w:rPr>
          <w:rFonts w:cs="Arial" w:ascii="Times New Roman" w:hAnsi="Times New Roman"/>
          <w:sz w:val="24"/>
          <w:szCs w:val="24"/>
        </w:rPr>
        <w:t xml:space="preserve"> mediante o controle realizado, pelo respectivo setor, nos cuidados com os veículos da frota municipal. Assim, a presente contratação tem como finalidade o suprimento das demandas apresentadas pela Secretaria, ante a viabilidade demonstrada pelo Documento de Formalização de Demanda e por meio deste instrumento.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A descrição técnica dos objetos/produtos a serem contratados, e posteriormente adquiridos conforme necessidades da Secretaria Requerente constam, inclusive quantitativamente, na tabela presente no </w:t>
      </w:r>
      <w:r>
        <w:rPr>
          <w:rFonts w:cs="Arial" w:ascii="Times New Roman" w:hAnsi="Times New Roman"/>
          <w:b/>
          <w:sz w:val="24"/>
          <w:szCs w:val="24"/>
        </w:rPr>
        <w:t>subitem 1.1.2.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Justificando, o presente Termo de Referência visa </w:t>
      </w:r>
      <w:r>
        <w:rPr>
          <w:rFonts w:cs="Arial" w:ascii="Times New Roman" w:hAnsi="Times New Roman"/>
          <w:b/>
          <w:sz w:val="24"/>
          <w:szCs w:val="24"/>
        </w:rPr>
        <w:t>esclarecer e direcionar os procedimentos essenciais para elaboração da Dispensa de Licitação, nos termos do art. 75, IV, a, da Lei nº 14.133/2021.</w:t>
      </w:r>
      <w:r>
        <w:rPr>
          <w:rFonts w:cs="Arial" w:ascii="Times New Roman" w:hAnsi="Times New Roman"/>
          <w:sz w:val="24"/>
          <w:szCs w:val="24"/>
        </w:rPr>
        <w:t xml:space="preserve"> No Termo de Referência, apresentam-se sugestões básicas sobre os procedimentos administrativos mais comuns nas licitações públicas municipais e o atendimento aos requisitos estabelecidos evitará equívocos nas compras e contrações a serem realizadas.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FORMALIZAÇÃO DA ATA DE REGISTRO DE PREÇOS, DOS USUÁRIOS DO REGISTRO DE PREÇOS E DO FORNECIMENTO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i/>
          <w:sz w:val="24"/>
          <w:szCs w:val="24"/>
        </w:rPr>
        <w:t>Não se aplica a presente contratação</w:t>
      </w:r>
      <w:r>
        <w:rPr>
          <w:rFonts w:cs="Arial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DO OBJETO LICITADO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SOLUÇÃO E DO CICLO DE VIDA DO OBJETO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A descrição da solução como um todo se encontra pormenorizada na própria Lei nº 14.133/2021</w:t>
      </w:r>
      <w:r>
        <w:rPr>
          <w:rFonts w:cs="Arial" w:ascii="Times New Roman" w:hAnsi="Times New Roman"/>
          <w:sz w:val="24"/>
          <w:szCs w:val="24"/>
        </w:rPr>
        <w:t>, ao passo que se estabelece ser dispensável a licitação nos casos em que a contratação tenha por objeto bens, componentes ou peças de origem nacional ou estrangeira necessários à manutenção de equipamentos, a serem adquiridos do fornecedor original desses equipamentos durante o período de garantia técnica, quando essa condição de exclusividade for indispensável para a vigência da garantia (art. 75, IV, a, Lei nº 14.133/2021).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Na presente contratação será admitida, apenas, a oferta do objeto em consonância com as características e justificativas contidas neste instrumento referencial.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DOS REQUISITOS DA CONTRATAÇÃO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A contratação será realizada em razão da necessidade e periodicidade de revisões veiculares de garantia, nos veículos da Secretaria Municipal de Desenvolvimento Econômico.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A contratação em comento leva em conta a necessidade da Secretaria para o exercício financeiro, sendo que tal contratação faz parte do planejamento estabelecido pela equipe técnica do setor, estando contemplado, ainda, no Plano Anual de Contratações. Assim, demonstra-se que a pretensão se encontra plenamente alinhada com o planejamento realizado pela requerente.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Para a contratação será aferida a verificação da habilitação social, fiscal, trabalhista e técnica da empresa, de acordo com as premissas da Lei Federal nº 14.133/2021, em seu Capítulo VI.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DO FORNECIMENTO E RECEBIMENTO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sz w:val="24"/>
          <w:szCs w:val="24"/>
        </w:rPr>
        <w:t xml:space="preserve">O objeto da presente contratação será fornecido </w:t>
      </w:r>
      <w:r>
        <w:rPr>
          <w:rFonts w:cs="Arial" w:ascii="Times New Roman" w:hAnsi="Times New Roman"/>
          <w:b/>
          <w:bCs/>
          <w:sz w:val="24"/>
          <w:szCs w:val="24"/>
        </w:rPr>
        <w:t>integralmente de acordo com a solicitação</w:t>
      </w:r>
      <w:r>
        <w:rPr>
          <w:rFonts w:cs="Arial" w:ascii="Times New Roman" w:hAnsi="Times New Roman"/>
          <w:sz w:val="24"/>
          <w:szCs w:val="24"/>
        </w:rPr>
        <w:t xml:space="preserve">, sendo que será emitido um atestado – </w:t>
      </w:r>
      <w:r>
        <w:rPr>
          <w:rFonts w:cs="Arial" w:ascii="Times New Roman" w:hAnsi="Times New Roman"/>
          <w:b/>
          <w:sz w:val="24"/>
          <w:szCs w:val="24"/>
        </w:rPr>
        <w:t>“Termo de Recebimento”</w:t>
      </w:r>
      <w:r>
        <w:rPr>
          <w:rFonts w:cs="Arial" w:ascii="Times New Roman" w:hAnsi="Times New Roman"/>
          <w:sz w:val="24"/>
          <w:szCs w:val="24"/>
        </w:rPr>
        <w:t>, apurando a qualidade do fornecimento, informando a quantidade recebida e os descritivos dos mesmos constantes no contrato, obrigando-se a proponente a substituir, as suas expensas, aqueles que vierem a ser recusados.</w:t>
      </w:r>
    </w:p>
    <w:p>
      <w:pPr>
        <w:pStyle w:val="Normal"/>
        <w:tabs>
          <w:tab w:val="clear" w:pos="708"/>
          <w:tab w:val="left" w:pos="-414" w:leader="none"/>
          <w:tab w:val="left" w:pos="0" w:leader="none"/>
          <w:tab w:val="left" w:pos="306" w:leader="none"/>
          <w:tab w:val="left" w:pos="1020" w:leader="none"/>
          <w:tab w:val="left" w:pos="2466" w:leader="none"/>
          <w:tab w:val="left" w:pos="2832" w:leader="none"/>
          <w:tab w:val="left" w:pos="3906" w:leader="none"/>
          <w:tab w:val="left" w:pos="4626" w:leader="none"/>
          <w:tab w:val="left" w:pos="5346" w:leader="none"/>
          <w:tab w:val="left" w:pos="6066" w:leader="none"/>
          <w:tab w:val="left" w:pos="6786" w:leader="none"/>
          <w:tab w:val="left" w:pos="7506" w:leader="none"/>
          <w:tab w:val="left" w:pos="8226" w:leader="none"/>
          <w:tab w:val="left" w:pos="8946" w:leader="none"/>
          <w:tab w:val="left" w:pos="9666" w:leader="none"/>
        </w:tabs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O recebimento dar-se-á mediante a apresentação das Notas Fiscais, em conformidade ao objeto.</w:t>
      </w:r>
    </w:p>
    <w:p>
      <w:pPr>
        <w:pStyle w:val="Normal"/>
        <w:tabs>
          <w:tab w:val="clear" w:pos="708"/>
          <w:tab w:val="left" w:pos="-414" w:leader="none"/>
          <w:tab w:val="left" w:pos="0" w:leader="none"/>
          <w:tab w:val="left" w:pos="306" w:leader="none"/>
          <w:tab w:val="left" w:pos="1020" w:leader="none"/>
          <w:tab w:val="left" w:pos="2466" w:leader="none"/>
          <w:tab w:val="left" w:pos="2832" w:leader="none"/>
          <w:tab w:val="left" w:pos="3906" w:leader="none"/>
          <w:tab w:val="left" w:pos="4626" w:leader="none"/>
          <w:tab w:val="left" w:pos="5346" w:leader="none"/>
          <w:tab w:val="left" w:pos="6066" w:leader="none"/>
          <w:tab w:val="left" w:pos="6786" w:leader="none"/>
          <w:tab w:val="left" w:pos="7506" w:leader="none"/>
          <w:tab w:val="left" w:pos="8226" w:leader="none"/>
          <w:tab w:val="left" w:pos="8946" w:leader="none"/>
          <w:tab w:val="left" w:pos="9666" w:leader="none"/>
        </w:tabs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 terá o </w:t>
      </w:r>
      <w:r>
        <w:rPr>
          <w:rFonts w:cs="Arial" w:ascii="Times New Roman" w:hAnsi="Times New Roman"/>
          <w:b/>
          <w:bCs/>
          <w:sz w:val="24"/>
          <w:szCs w:val="24"/>
        </w:rPr>
        <w:t>prazo imediato para o fornecimento do objeto solicitado</w:t>
      </w:r>
      <w:r>
        <w:rPr>
          <w:rFonts w:cs="Arial" w:ascii="Times New Roman" w:hAnsi="Times New Roman"/>
          <w:bCs/>
          <w:sz w:val="24"/>
          <w:szCs w:val="24"/>
        </w:rPr>
        <w:t xml:space="preserve">, contados a partir da respectiva Autorização de Fornecimento (AF), expedida pelo Setor de Compras do </w:t>
      </w:r>
      <w:r>
        <w:rPr>
          <w:rFonts w:cs="Arial" w:ascii="Times New Roman" w:hAnsi="Times New Roman"/>
          <w:b/>
          <w:bCs/>
          <w:sz w:val="24"/>
          <w:szCs w:val="24"/>
        </w:rPr>
        <w:t>CONTRATANTE</w:t>
      </w:r>
      <w:r>
        <w:rPr>
          <w:rFonts w:cs="Arial" w:ascii="Times New Roman" w:hAnsi="Times New Roman"/>
          <w:bCs/>
          <w:sz w:val="24"/>
          <w:szCs w:val="24"/>
        </w:rPr>
        <w:t>.</w:t>
      </w:r>
    </w:p>
    <w:p>
      <w:pPr>
        <w:pStyle w:val="Normal"/>
        <w:tabs>
          <w:tab w:val="clear" w:pos="708"/>
          <w:tab w:val="left" w:pos="-414" w:leader="none"/>
          <w:tab w:val="left" w:pos="0" w:leader="none"/>
          <w:tab w:val="left" w:pos="306" w:leader="none"/>
          <w:tab w:val="left" w:pos="1020" w:leader="none"/>
          <w:tab w:val="left" w:pos="2466" w:leader="none"/>
          <w:tab w:val="left" w:pos="2832" w:leader="none"/>
          <w:tab w:val="left" w:pos="3906" w:leader="none"/>
          <w:tab w:val="left" w:pos="4626" w:leader="none"/>
          <w:tab w:val="left" w:pos="5346" w:leader="none"/>
          <w:tab w:val="left" w:pos="6066" w:leader="none"/>
          <w:tab w:val="left" w:pos="6786" w:leader="none"/>
          <w:tab w:val="left" w:pos="7506" w:leader="none"/>
          <w:tab w:val="left" w:pos="8226" w:leader="none"/>
          <w:tab w:val="left" w:pos="8946" w:leader="none"/>
          <w:tab w:val="left" w:pos="9666" w:leader="none"/>
        </w:tabs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DAS CONDIÇÕES DE RECEBIMENTO DO OBJETO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No recebimento e aceitação do objeto deste Termo de Referência serão observados, no que couberem, as disposições contidas no artigo 140 da Lei Federal nº 14.133/2021.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O fornecimento será recebido: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/>
          <w:sz w:val="24"/>
          <w:szCs w:val="24"/>
        </w:rPr>
        <w:t>P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rovisoriamente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, pelo responsável por seu acompanhamento e fiscalização, mediante termo detalhado, quando verificado o cumprimento das exigências de caráter técnico</w:t>
      </w:r>
      <w:r>
        <w:rPr>
          <w:rFonts w:cs="Arial" w:ascii="Times New Roman" w:hAnsi="Times New Roman"/>
          <w:color w:val="000000"/>
          <w:sz w:val="24"/>
          <w:szCs w:val="24"/>
        </w:rPr>
        <w:t>, em até 05 (cinco) dias; e,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Definitivamente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</w:t>
      </w:r>
      <w:r>
        <w:rPr>
          <w:rFonts w:eastAsia="SimSun" w:cs="Arial" w:ascii="Times New Roman" w:hAnsi="Times New Roman"/>
          <w:color w:val="000000"/>
          <w:sz w:val="24"/>
          <w:szCs w:val="24"/>
        </w:rPr>
        <w:t>por servidor ou comissão designada pela autoridade competente, mediante termo detalhado que comprove o atendimento das exigências contratuais</w:t>
      </w:r>
      <w:r>
        <w:rPr>
          <w:rFonts w:cs="Arial" w:ascii="Times New Roman" w:hAnsi="Times New Roman"/>
          <w:color w:val="000000"/>
          <w:sz w:val="24"/>
          <w:szCs w:val="24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Será rejeitado no recebimento, o objeto fornecido com especificações e marcas (quando for o caso) diferentes das constantes da proposta comercial apresentada pela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devendo a sua substituição ocorrer na forma e prazo definidos a seguir.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Constatadas irregularidades no fornecimento, 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CONTRATANTE,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através do representante da Secretaria Requerente, poderá: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5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Se disser respeito à especificação do fornecimento, ou qualquer dos demais motivos elencados neste item, rejeitá-lo em parte ou no todo, determinando sua substituição ou rescindindo a aquisição, sem prejuízo das penalidades cabíveis;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Corpodetexto23"/>
        <w:numPr>
          <w:ilvl w:val="0"/>
          <w:numId w:val="2"/>
        </w:numPr>
        <w:ind w:left="0" w:hanging="0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 xml:space="preserve">Na hipótese de substituição, a </w:t>
      </w:r>
      <w:r>
        <w:rPr>
          <w:rFonts w:cs="Arial"/>
          <w:b/>
          <w:color w:val="000000"/>
          <w:sz w:val="24"/>
          <w:szCs w:val="24"/>
        </w:rPr>
        <w:t>CONTRATADA</w:t>
      </w:r>
      <w:r>
        <w:rPr>
          <w:rFonts w:cs="Arial"/>
          <w:color w:val="000000"/>
          <w:sz w:val="24"/>
          <w:szCs w:val="24"/>
        </w:rPr>
        <w:t xml:space="preserve"> deverá fazê-la em conformidade com a indicação da Administração, no prazo máximo de </w:t>
      </w:r>
      <w:r>
        <w:rPr>
          <w:rFonts w:cs="Arial"/>
          <w:sz w:val="24"/>
          <w:szCs w:val="24"/>
        </w:rPr>
        <w:t>05 (cinco) dias úteis</w:t>
      </w:r>
      <w:r>
        <w:rPr>
          <w:rFonts w:cs="Arial"/>
          <w:color w:val="000000"/>
          <w:sz w:val="24"/>
          <w:szCs w:val="24"/>
        </w:rPr>
        <w:t>, contados da notificação por escrito, mantido o preço inicialmente adquirido.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5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Se diz respeito à diferença de quantidade ou de partes, determinar a sua complementação ou rescindir a aquisição, sem prejuízo das penalidades cabíveis;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Corpodetexto23"/>
        <w:numPr>
          <w:ilvl w:val="0"/>
          <w:numId w:val="3"/>
        </w:numPr>
        <w:ind w:left="0" w:hanging="0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 xml:space="preserve">Na hipótese de complementação, a </w:t>
      </w:r>
      <w:r>
        <w:rPr>
          <w:rFonts w:cs="Arial"/>
          <w:b/>
          <w:color w:val="000000"/>
          <w:sz w:val="24"/>
          <w:szCs w:val="24"/>
        </w:rPr>
        <w:t>CONTRATADA</w:t>
      </w:r>
      <w:r>
        <w:rPr>
          <w:rFonts w:cs="Arial"/>
          <w:color w:val="000000"/>
          <w:sz w:val="24"/>
          <w:szCs w:val="24"/>
        </w:rPr>
        <w:t xml:space="preserve"> deverá fazê-la em conformidade com a indicação do </w:t>
      </w:r>
      <w:r>
        <w:rPr>
          <w:rFonts w:cs="Arial"/>
          <w:b/>
          <w:color w:val="000000"/>
          <w:sz w:val="24"/>
          <w:szCs w:val="24"/>
        </w:rPr>
        <w:t>CONTRATANTE</w:t>
      </w:r>
      <w:r>
        <w:rPr>
          <w:rFonts w:cs="Arial"/>
          <w:color w:val="000000"/>
          <w:sz w:val="24"/>
          <w:szCs w:val="24"/>
        </w:rPr>
        <w:t>, no prazo máximo de 05 (cinco) dias úteis, contados da Notificação por escrito, mantido o preço inicialmente adquirido.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 </w:t>
      </w:r>
      <w:r>
        <w:rPr>
          <w:rFonts w:cs="Arial" w:ascii="Times New Roman" w:hAnsi="Times New Roman"/>
          <w:color w:val="000000"/>
          <w:sz w:val="24"/>
          <w:szCs w:val="24"/>
        </w:rPr>
        <w:t>O recebimento do objeto compreenderá, dentre outras, as seguintes verificações: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9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Compatibilidade do fornecimento com as especificações exigidas no termo de referência e constantes da proposta da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, incluindo-se marcas (se houver) e quantidades, devendo o fornecimento acontecer nas mesmas condições indicadas nas propostas de preços;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9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Apresentação do documento fiscal, com identificação do fornecedor e do comprador, descrição do material entregue, quantidade, preços unitários e total.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Reserva-se 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o direito de não aceitar o fornecimento cuja qualidade seja comprovadamente baixa.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Somente será aceito pelo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o fornecimento integral de acordo com o quantitativo total e especificações constantes das Autorizações de Fornecimento e, caso seja rejeitado, o objeto do fornecimento ficará disponível para solução pela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, sob pena de sofrer as sanções previstas na Lei Federal nº 14.133/2021.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Todas as despesas de recolhimento e transporte, quando houver, ficarão a cargo da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DAS OBRIGAÇÕES E RESPONSABILIDADES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DAS OBRIGAÇÕES E RESPONSABILIDADES DA CONTRATADA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Além das obrigações resultantes da observância da Lei Federal nº 14.133/2021, em atendimento ao seu art. 89, §2º, são obrigações da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: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Cumprir fielmente, os compromissos avençados de forma que o fornecimento seja efetuado com pontualidade, dentro do prazo estipulado, bem como seja feita com esmero e perfeição e devendo ainda solucionar os problemas que porventura venham a surgir;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Comunicar imediatamente e por escrito a Administração Municipal, através da Fiscalização, qualquer anormalidade verificada, para que sejam adotadas as providências de regularização necessárias;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Atender com prontidão as reclamações por parte do recebedor do fornecimento, objeto da presente aquisição;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Suportar todas as despesas com deslocamento, encargos fiscais, previdenciários e trabalhistas, além de quaisquer outras que se fizerem necessários ao cumprimento da presente contratação;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Trocar às suas expensas, todo o objeto comprovadamente fornecido de forma inadequada, a critério da fiscalização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>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Assumir a responsabilidade, presente e futura, de qualquer compromisso ou ônus decorrentes do inadimplemento relativos às obrigações aqui assumidas, ficando essas ao seu encargo, exclusivamente, em qualquer momento que vierem a ocorrer;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Dispor de equipamento, material, peças e pessoal especializado no quantitativo necessário ao cumprimento do objeto adquirido, respeitando as normas de higiene e segurança no trabalho;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Entregar o objeto de primeira qualidade, dentro do prazo de validade exigido pela legislação vigente;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eastAsia="SimSun" w:cs="Arial" w:ascii="Times New Roman" w:hAnsi="Times New Roman"/>
          <w:color w:val="000000"/>
          <w:sz w:val="24"/>
          <w:szCs w:val="24"/>
          <w:lang w:eastAsia="zh-CN"/>
        </w:rPr>
        <w:t>O</w:t>
      </w:r>
      <w:r>
        <w:rPr>
          <w:rFonts w:cs="Arial" w:ascii="Times New Roman" w:hAnsi="Times New Roman"/>
          <w:sz w:val="24"/>
          <w:szCs w:val="24"/>
        </w:rPr>
        <w:t xml:space="preserve">bedecer ao prazo de execução dos serviços, nas datas, condições e locais definidos, nas quantidades </w:t>
      </w:r>
      <w:r>
        <w:rPr>
          <w:rFonts w:cs="Arial" w:ascii="Times New Roman" w:hAnsi="Times New Roman"/>
          <w:b/>
          <w:sz w:val="24"/>
          <w:szCs w:val="24"/>
        </w:rPr>
        <w:t>CONTRATADAS</w:t>
      </w:r>
      <w:r>
        <w:rPr>
          <w:rFonts w:cs="Arial" w:ascii="Times New Roman" w:hAnsi="Times New Roman"/>
          <w:sz w:val="24"/>
          <w:szCs w:val="24"/>
        </w:rPr>
        <w:t>, acrescidas se necessário;</w:t>
      </w:r>
    </w:p>
    <w:p>
      <w:pPr>
        <w:pStyle w:val="Corpodetexto23"/>
        <w:tabs>
          <w:tab w:val="clear" w:pos="708"/>
          <w:tab w:val="left" w:pos="1302" w:leader="none"/>
        </w:tabs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Responsabilizar-se pelos danos que causar ao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ou a terceiros, decorrentes de culpa ou dolo, durante a execução;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A inadimplência da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, com referência aos encargos trabalhistas, fiscais e comerciais, não transfere ao </w:t>
      </w:r>
      <w:r>
        <w:rPr>
          <w:rFonts w:cs="Arial" w:ascii="Times New Roman" w:hAnsi="Times New Roman"/>
          <w:b/>
          <w:sz w:val="24"/>
          <w:szCs w:val="24"/>
        </w:rPr>
        <w:t>CONTRATANTE</w:t>
      </w:r>
      <w:r>
        <w:rPr>
          <w:rFonts w:cs="Arial" w:ascii="Times New Roman" w:hAnsi="Times New Roman"/>
          <w:sz w:val="24"/>
          <w:szCs w:val="24"/>
        </w:rPr>
        <w:t xml:space="preserve"> ou a terceiros a responsabilidade por seu pagamento;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Responder, integralmente, por perdas e danos que vier a causar ao </w:t>
      </w:r>
      <w:r>
        <w:rPr>
          <w:rFonts w:cs="Arial" w:ascii="Times New Roman" w:hAnsi="Times New Roman"/>
          <w:b/>
          <w:sz w:val="24"/>
          <w:szCs w:val="24"/>
        </w:rPr>
        <w:t>CONTRATANTE</w:t>
      </w:r>
      <w:r>
        <w:rPr>
          <w:rFonts w:cs="Arial" w:ascii="Times New Roman" w:hAnsi="Times New Roman"/>
          <w:sz w:val="24"/>
          <w:szCs w:val="24"/>
        </w:rPr>
        <w:t xml:space="preserve"> ou a terceiros em razão de ação ou omissão, dolosa ou culposa, sua ou dos seus prepostos, independentemente de outras cominações contratuais ou legais a que estiver sujeita;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O </w:t>
      </w:r>
      <w:r>
        <w:rPr>
          <w:rFonts w:cs="Arial" w:ascii="Times New Roman" w:hAnsi="Times New Roman"/>
          <w:b/>
          <w:sz w:val="24"/>
          <w:szCs w:val="24"/>
        </w:rPr>
        <w:t xml:space="preserve">CONTRATANTE </w:t>
      </w:r>
      <w:r>
        <w:rPr>
          <w:rFonts w:cs="Arial" w:ascii="Times New Roman" w:hAnsi="Times New Roman"/>
          <w:sz w:val="24"/>
          <w:szCs w:val="24"/>
        </w:rPr>
        <w:t xml:space="preserve">não aceitará, sob nenhum pretexto, a transferência de responsabilidade da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 para outras entidades, sejam fabricantes, técnicos ou quaisquer outros;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Manter, em compatibilidade com as obrigações aqui assumidas, todas as condições de habilitação e qualificação exigidas na contratação, que possa comprometer a continuidade do fornecimento, bem como substituir os documentos com prazo de validade expirado;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Permitir que o fornecimento seja fiscalizado no ato de sua entrega.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DAS OBRIGAÇÕES E RESPONSABILIDADES DO CONTRATANTE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Além das obrigações resultantes da observância da Lei Federal nº 14.133/2021, em atendimento ao seu art. 89, §2º, são obrigações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>: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Cumprir todos os compromissos financeiros assumidos com 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, em conformidade com Autorização de Fornecimento, sendo que o pagamento da Nota Fiscal fica condicionado ao cumprimento dos critérios de recebimento do fornecimento e os procedimentos burocráticos;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Fornecer a qualquer tempo e com presteza, mediante solicitação das empresas proponentes vencedoras do certame, informações adicionais, dirimir dúvidas e orientá-la em todos os casos omissos;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Fiscalizar rigorosamente, através do fiscal designado, se o objeto fornecido obedece às condições exigidas, inclusive, se necessário e a qualquer tempo, quanto às propriedades sanitárias, físicas ou químicas a depender do seu gênero e condições da empresa ou filial em que forem armazenados, produzidos ou fabricado o objeto;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Notificar por escrito, formal e tempestivamente, 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 sobre as irregularidades observadas na execução do contrato ou instrumento substitutivo, inclusive sobre multas, penalidades e quaisquer débitos de sua responsabilidade;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Aplicar as sanções administrativas contratuais pertinentes, em caso de inadimplemento.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Comunicar 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 qualquer irregularidade manifestada na prestação dos serviços e interromper imediatamente, caso necessário. 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não assumirá em nenhuma hipótese, a responsabilidade, presente ou futura, de qualquer compromisso ou ônus decorrentes do inadimplemento das empresas vencedoras da presente aquisição relativa às obrigações aqui assumidas, ficando essas a seu encargo, exclusivamente, em qualquer momento que vierem a ocorrer.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GESTÃO / FISCALIZAÇÃO DO OBJETO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 fiscalização de todas as fases, será feita pelo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por intermédio da(o) Gestor(a) Fiscal do Contrato, de acordo com o estabelecido no art. 117 da Lei Federal nº 14.133/2021, com autoridade para exercer em nome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a fiscalização do objeto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e toda e qualquer ação de orientação geral, controle e fiscalização, obrigando-se 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a facilitar, de modo amplo e completo, a ação do fiscal.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O gestor/fiscal deverá fiscalizar e acompanhar a execução da referida contratação, com poderes amplos e irrestritos para receber provisoriamente o fornecimento, conforme local indicado pela unidade requisitante, procedendo com a verificação das especificações, prazos e demais condições, e após realizar o recebimento definitivo dos mesmos, e bem como propor penalidades e analisar documentos.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 contratação terá como gestor/fiscal, o servidor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ADENILSON GIRELLI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,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o qual será designado, oficialmente, por meio de ato próprio da Secretária Municipal de Desenvolvimento Econômico, numerado, datado e publicado no Diário Oficial dos Municípios do Estado do Espírito Santo – DOM/ES.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 fiscalização será exercida no interesse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e não exclui e nem reduz a responsabilidade da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, inclusive perante terceiros, por quaisquer irregularidades, e, na sua ocorrência, não implica corresponsabilidade do Poder Público ou de seus agentes e prepostos.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 Fiscalização poderá determinar, a ônus da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a substituição do fornecimento julgado deficiente ou não-conforme com as especificações definidas, cabendo 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, providenciar a troca dos mesmos no prazo máximo definido pela fiscalização, sem direito à extensão do prazo final de fornecimento.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Caso o Secretário Municipal Requerente não designe nenhum servidor para acompanhar o fornecimento e fiscalização, o mesmo assumirá tal responsabilidade.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através do fiscal do contrato comunicará 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, por escrito, as deficiências porventura verificadas no fornecimento, para imediata correção.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 presença da fiscalização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não elide nem diminui a responsabilidade da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O Gestor/Fiscal do Contrato indicado anotará em registro próprio todas as ocorrências relacionadas com o fornecimento, determinando o que for necessário à regularização das faltas ou defeitos observados.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é obrigada a reparar, corrigir ou substituir, às suas expensas, no total ou em parte, o objeto em que se verificarem vícios, defeitos ou incorreções resultantes da execução.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As decisões e providências que ultrapassarem a competência do Gestor/Fiscal do Contrato deverão ser solicitadas ao Secretário Municipal Requisitante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>, em tempo hábil, para a adoção das medidas convenientes.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GARANTIA PELO FORNECIMENTO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 deverá garantir, pelo prazo legal, sem prejuízo das garantias fornecidas por ela, fabricantes ou qualquer outro, a execução dos serviços em comento, bem como pelo fornecimento de peças que dela decorrer.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Durante o prazo de garantia, 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 fica obrigada a substituir os bens e serviços que houver vícios, no prazo máximo de 05 (cinco) dias úteis, a contar da data de recebimento da notificação do problema, sem ônus para o </w:t>
      </w:r>
      <w:r>
        <w:rPr>
          <w:rFonts w:cs="Arial" w:ascii="Times New Roman" w:hAnsi="Times New Roman"/>
          <w:b/>
          <w:sz w:val="24"/>
          <w:szCs w:val="24"/>
        </w:rPr>
        <w:t>CONTRATANTE</w:t>
      </w:r>
      <w:r>
        <w:rPr>
          <w:rFonts w:cs="Arial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>, ainda, deverá assumir, durante a vigência da garantia, os custos de devolução, frete e outros que por ventura decorrerem dessas situações.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Se, decorrente do fornecimento de peças, estes se deteriorarem e/ou perderem suas características, no prazo de validade ou tempo de vida útil e/ou em condições normais de estocagem e usabilidade, deverão ser trocados, pela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, no prazo máximo de 02 (dois) dias úteis, contados da comunicação, por conta e ônus da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A garantia aqui requerida não trará prejuízos a eventuais garantias adicionais fornecidas pela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DAS AMOSTRAS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i/>
          <w:sz w:val="24"/>
          <w:szCs w:val="24"/>
        </w:rPr>
        <w:t>Não se aplica a presente contratação.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GESTÃO DO CONTRATO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i/>
          <w:sz w:val="24"/>
          <w:szCs w:val="24"/>
        </w:rPr>
        <w:t>Não se aplica a presente contratação. Informações referentes à fiscalização e acompanhamento da contratação podem ser vislumbradas no item 5.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DO FATURAMENTO E DO PAGAMENTO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O faturamento do objeto ocorrerá mensalmente, conforme a Autorização de fornecimento e nota de empenho, mediante apresentação do(s) documento(s) fiscal(is) hábil(eis) de fornecimento, sem emendas ou rasuras, e dos documentos de regularidade fiscal exigidos pelo art. 68 da Lei Federal nº 14.133/2021.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Recebida a Nota Fiscal ou documento de cobrança equivalente, correrá o prazo de dez dias úteis para fins de liquidação, prorrogáveis por igual período.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Para fins de liquidação, o setor competente deverá verificar se a nota fiscal ou instrumento de cobrança equivalente apresentado expressa os elementos necessários e essenciais do documento, tais como: 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Corpodetexto23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a)</w:t>
        <w:tab/>
        <w:t>o prazo de validade;</w:t>
      </w:r>
    </w:p>
    <w:p>
      <w:pPr>
        <w:pStyle w:val="Corpodetexto23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b)</w:t>
        <w:tab/>
        <w:t xml:space="preserve">a data da emissão; </w:t>
      </w:r>
    </w:p>
    <w:p>
      <w:pPr>
        <w:pStyle w:val="Corpodetexto23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c)</w:t>
        <w:tab/>
        <w:t xml:space="preserve">os dados do contrato e do órgão </w:t>
      </w:r>
      <w:r>
        <w:rPr>
          <w:rFonts w:cs="Arial"/>
          <w:b/>
          <w:color w:val="000000"/>
          <w:sz w:val="24"/>
          <w:szCs w:val="24"/>
        </w:rPr>
        <w:t>CONTRATANTE</w:t>
      </w:r>
      <w:r>
        <w:rPr>
          <w:rFonts w:cs="Arial"/>
          <w:color w:val="000000"/>
          <w:sz w:val="24"/>
          <w:szCs w:val="24"/>
        </w:rPr>
        <w:t xml:space="preserve">; </w:t>
      </w:r>
    </w:p>
    <w:p>
      <w:pPr>
        <w:pStyle w:val="Corpodetexto23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d)</w:t>
        <w:tab/>
        <w:t xml:space="preserve">o período respectivo de execução do contrato; </w:t>
      </w:r>
    </w:p>
    <w:p>
      <w:pPr>
        <w:pStyle w:val="Corpodetexto23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e)</w:t>
        <w:tab/>
        <w:t xml:space="preserve">o valor a pagar; e </w:t>
      </w:r>
    </w:p>
    <w:p>
      <w:pPr>
        <w:pStyle w:val="Corpodetexto23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f)</w:t>
        <w:tab/>
        <w:t>eventual destaque do valor de retenções tributárias cabíveis.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Havendo erro na apresentação da nota fiscal ou instrumento de cobrança equivalente, ou circunstância que impeça a liquidação da despesa, esta ficará sobrestada até que 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providencie as medidas saneadoras, reiniciando-se o prazo após a comprovação da regularização da situação, sem ônus ao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>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Os documentos fiscais, após conferidos e visados, serão encaminhados para processamento e pagamento após o recebimento dos mesmos.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Constatando-se, junto ao SICAF ou cadastro próprio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a situação de irregularidade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será providenciada sua notificação, por escrito, para que, no prazo de 5 (cinco) dias úteis, regularize sua situação ou, no mesmo prazo, apresente sua defesa. O prazo poderá ser prorrogado uma vez, por igual período, a critério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>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Persistindo a irregularidade, 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deverá adotar as medidas necessárias à rescisão contratual nos autos do processo administrativo correspondente, assegurada ao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a ampla defesa. 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Havendo a efetiva execução do objeto, os pagamentos serão realizados normalmente, até que se decida pela rescisão do contrato, caso 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não regularize sua situação junto ao SICAF ou cadastro próprio do Município. 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O pagamento dar-se-á à vista até o 5º (quinto) dia útil contados da finalização da liquidação da despesa, em favor da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mediante ordem bancária em conta corrente em nome do mesmo, desde que não haja fator impeditivo provocado pela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Após o prazo acima referenciado será paga multa financeira nos seguintes termos: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</w:r>
    </w:p>
    <w:p>
      <w:pPr>
        <w:pStyle w:val="Corpodetexto23"/>
        <w:jc w:val="center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 xml:space="preserve">VM = </w:t>
      </w:r>
      <w:r>
        <w:rPr>
          <w:rFonts w:cs="Arial"/>
          <w:color w:val="000000"/>
          <w:sz w:val="24"/>
          <w:szCs w:val="24"/>
          <w:u w:val="single"/>
        </w:rPr>
        <w:t>VF x 0,067 x ND</w:t>
      </w:r>
    </w:p>
    <w:p>
      <w:pPr>
        <w:pStyle w:val="Corpodetexto23"/>
        <w:jc w:val="center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100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Corpodetexto23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 xml:space="preserve">VM = Valor da Multa Financeira. </w:t>
      </w:r>
    </w:p>
    <w:p>
      <w:pPr>
        <w:pStyle w:val="Corpodetexto23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 xml:space="preserve">VF = Valor da Nota Fiscal referente ao mês em atraso. </w:t>
      </w:r>
    </w:p>
    <w:p>
      <w:pPr>
        <w:pStyle w:val="Corpodetexto23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ND = Número de dias em atraso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Incumbirá 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a iniciativa e o encargo do cálculo minucioso de cada fatura devida, a ser revisto e aprovado pelo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>, juntando-se à respectiva discriminação do fornecimento efetuado, e o memorial de cálculo da fatura.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Nenhum pagamento será efetuado enquanto pendente de liquidação qualquer obrigação financeira que lhe foi imposta, em virtude de penalidade ou inadimplência, sem que gere direito de acréscimos de qualquer natureza.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Serão retidos na fonte, os tributos e contribuições sobre os pagamentos mensalmente efetuados, utilizando-se as alíquotas previstas para cada tipo de serviço, exceto se 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for optante do SIMPLES NACIONAL, que obedecer a legislação específica.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regularmente optante pelo Simples Nacional, nos termos da Lei Complementar nº 123/2006,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Fica 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obrigada a informar qualquer alteração de sua condição de optante pelo SIMPLES NACIONAL, sob pena de aplicação das sanções contratuais e legais cabíveis.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/>
          <w:sz w:val="24"/>
          <w:szCs w:val="24"/>
        </w:rPr>
        <w:t>DA</w:t>
      </w:r>
      <w:r>
        <w:rPr>
          <w:rFonts w:cs="Arial" w:ascii="Times New Roman" w:hAnsi="Times New Roman"/>
          <w:b/>
          <w:sz w:val="24"/>
          <w:szCs w:val="24"/>
        </w:rPr>
        <w:t xml:space="preserve"> ANTECIPAÇÃO DO PAGAMENTO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i/>
          <w:sz w:val="24"/>
          <w:szCs w:val="24"/>
        </w:rPr>
        <w:t>Não se aplica a presente contratação.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FORMA E CRITÉRIOS DE SELEÇÃO DO FORNECEDOR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i/>
          <w:sz w:val="24"/>
          <w:szCs w:val="24"/>
        </w:rPr>
        <w:t>Não se aplica a presente contratação.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DO VALOR MÁXIMO E DOS RECURSOS ORÇAMENTÁRIOS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O valor máximo estimado para a presente contratação será de</w:t>
      </w:r>
      <w:r>
        <w:rPr>
          <w:rFonts w:cs="Arial" w:ascii="Times New Roman" w:hAnsi="Times New Roman"/>
          <w:b/>
          <w:sz w:val="24"/>
          <w:szCs w:val="24"/>
        </w:rPr>
        <w:t xml:space="preserve"> R$</w:t>
      </w:r>
      <w:r>
        <w:rPr>
          <w:rFonts w:cs="Arial" w:ascii="Times New Roman" w:hAnsi="Times New Roman"/>
          <w:b/>
          <w:sz w:val="24"/>
          <w:szCs w:val="24"/>
        </w:rPr>
        <w:t>1.905,05</w:t>
      </w:r>
      <w:r>
        <w:rPr>
          <w:rFonts w:cs="Arial" w:ascii="Times New Roman" w:hAnsi="Times New Roman"/>
          <w:b/>
          <w:sz w:val="24"/>
          <w:szCs w:val="24"/>
        </w:rPr>
        <w:t xml:space="preserve"> (</w:t>
      </w:r>
      <w:r>
        <w:rPr>
          <w:rFonts w:cs="Arial" w:ascii="Times New Roman" w:hAnsi="Times New Roman"/>
          <w:b/>
          <w:sz w:val="24"/>
          <w:szCs w:val="24"/>
        </w:rPr>
        <w:t>Um</w:t>
      </w:r>
      <w:r>
        <w:rPr>
          <w:rFonts w:cs="Arial" w:ascii="Times New Roman" w:hAnsi="Times New Roman"/>
          <w:b/>
          <w:sz w:val="24"/>
          <w:szCs w:val="24"/>
        </w:rPr>
        <w:t xml:space="preserve"> mil, </w:t>
      </w:r>
      <w:r>
        <w:rPr>
          <w:rFonts w:cs="Arial" w:ascii="Times New Roman" w:hAnsi="Times New Roman"/>
          <w:b/>
          <w:sz w:val="24"/>
          <w:szCs w:val="24"/>
        </w:rPr>
        <w:t>novecentos e cinco reais e cinco centavos</w:t>
      </w:r>
      <w:r>
        <w:rPr>
          <w:rFonts w:cs="Arial" w:ascii="Times New Roman" w:hAnsi="Times New Roman"/>
          <w:b/>
          <w:sz w:val="24"/>
          <w:szCs w:val="24"/>
        </w:rPr>
        <w:t>)</w:t>
      </w:r>
      <w:r>
        <w:rPr>
          <w:rFonts w:cs="Arial" w:ascii="Times New Roman" w:hAnsi="Times New Roman"/>
          <w:sz w:val="24"/>
          <w:szCs w:val="24"/>
        </w:rPr>
        <w:t>, compostos da seguinte forma: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PEÇAS PARA MANUTENÇÃO DE VEÍCULOS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GESTÃO AS ATIVIDADES DA SEC. DE AGRICULTURA E DESENVOLVIMENTO ECONÔMICO:</w:t>
      </w:r>
    </w:p>
    <w:p>
      <w:pPr>
        <w:pStyle w:val="ListParagraph"/>
        <w:spacing w:lineRule="auto" w:line="240" w:before="0" w:after="0"/>
        <w:ind w:left="0" w:hanging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0808.206060011211.020 – 33903000000 – FR 1720000000 – F 0000224</w:t>
      </w:r>
    </w:p>
    <w:tbl>
      <w:tblPr>
        <w:tblW w:w="9700" w:type="dxa"/>
        <w:jc w:val="left"/>
        <w:tblInd w:w="-298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679"/>
        <w:gridCol w:w="804"/>
        <w:gridCol w:w="4766"/>
        <w:gridCol w:w="1067"/>
        <w:gridCol w:w="1133"/>
        <w:gridCol w:w="1250"/>
      </w:tblGrid>
      <w:tr>
        <w:trPr>
          <w:trHeight w:val="420" w:hRule="atLeast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Qnt.</w:t>
            </w:r>
          </w:p>
        </w:tc>
        <w:tc>
          <w:tcPr>
            <w:tcW w:w="8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Unid.</w:t>
            </w:r>
          </w:p>
        </w:tc>
        <w:tc>
          <w:tcPr>
            <w:tcW w:w="4766" w:type="dxa"/>
            <w:tcBorders>
              <w:top w:val="single" w:sz="4" w:space="0" w:color="000000"/>
              <w:bottom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10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CATMAT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Valor Unitário</w:t>
            </w:r>
          </w:p>
        </w:tc>
        <w:tc>
          <w:tcPr>
            <w:tcW w:w="12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Valor Final</w:t>
            </w:r>
          </w:p>
        </w:tc>
      </w:tr>
      <w:tr>
        <w:trPr>
          <w:trHeight w:val="285" w:hRule="atLeast"/>
        </w:trPr>
        <w:tc>
          <w:tcPr>
            <w:tcW w:w="6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Unid.</w:t>
            </w:r>
          </w:p>
        </w:tc>
        <w:tc>
          <w:tcPr>
            <w:tcW w:w="4766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ESTOPA BRANCA SUPER EXTRA 200 GR</w:t>
            </w:r>
          </w:p>
        </w:tc>
        <w:tc>
          <w:tcPr>
            <w:tcW w:w="106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277505 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    4,27</w:t>
            </w:r>
          </w:p>
        </w:tc>
        <w:tc>
          <w:tcPr>
            <w:tcW w:w="12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R$     4,27</w:t>
            </w:r>
          </w:p>
        </w:tc>
      </w:tr>
      <w:tr>
        <w:trPr>
          <w:trHeight w:val="285" w:hRule="atLeast"/>
        </w:trPr>
        <w:tc>
          <w:tcPr>
            <w:tcW w:w="6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Unid</w:t>
            </w:r>
          </w:p>
        </w:tc>
        <w:tc>
          <w:tcPr>
            <w:tcW w:w="4766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FILTRO SEPARADOR</w:t>
            </w:r>
          </w:p>
        </w:tc>
        <w:tc>
          <w:tcPr>
            <w:tcW w:w="106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608068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/>
                <w:sz w:val="20"/>
                <w:szCs w:val="20"/>
              </w:rPr>
              <w:t>440,00</w:t>
            </w:r>
          </w:p>
        </w:tc>
        <w:tc>
          <w:tcPr>
            <w:tcW w:w="12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440,00</w:t>
            </w:r>
          </w:p>
        </w:tc>
      </w:tr>
      <w:tr>
        <w:trPr>
          <w:trHeight w:val="285" w:hRule="atLeast"/>
        </w:trPr>
        <w:tc>
          <w:tcPr>
            <w:tcW w:w="6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8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Unid.</w:t>
            </w:r>
          </w:p>
        </w:tc>
        <w:tc>
          <w:tcPr>
            <w:tcW w:w="4766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FILTRO DE COMBUSTÍVEL</w:t>
            </w:r>
          </w:p>
        </w:tc>
        <w:tc>
          <w:tcPr>
            <w:tcW w:w="106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478730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/>
                <w:sz w:val="20"/>
                <w:szCs w:val="20"/>
              </w:rPr>
              <w:t>118,86</w:t>
            </w:r>
          </w:p>
        </w:tc>
        <w:tc>
          <w:tcPr>
            <w:tcW w:w="12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118,86</w:t>
            </w:r>
          </w:p>
        </w:tc>
      </w:tr>
      <w:tr>
        <w:trPr>
          <w:trHeight w:val="285" w:hRule="atLeast"/>
        </w:trPr>
        <w:tc>
          <w:tcPr>
            <w:tcW w:w="6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Unid</w:t>
            </w:r>
          </w:p>
        </w:tc>
        <w:tc>
          <w:tcPr>
            <w:tcW w:w="4766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FILTRO DE ÓLEO DO MOTOR </w:t>
            </w:r>
          </w:p>
        </w:tc>
        <w:tc>
          <w:tcPr>
            <w:tcW w:w="106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486745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/>
                <w:sz w:val="20"/>
                <w:szCs w:val="20"/>
              </w:rPr>
              <w:t>374,18</w:t>
            </w:r>
          </w:p>
        </w:tc>
        <w:tc>
          <w:tcPr>
            <w:tcW w:w="12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374,18</w:t>
            </w:r>
          </w:p>
        </w:tc>
      </w:tr>
      <w:tr>
        <w:trPr>
          <w:trHeight w:val="285" w:hRule="atLeast"/>
        </w:trPr>
        <w:tc>
          <w:tcPr>
            <w:tcW w:w="6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8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Unid.</w:t>
            </w:r>
          </w:p>
        </w:tc>
        <w:tc>
          <w:tcPr>
            <w:tcW w:w="4766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ÓLEO MOTOR DEITON ORICON CI-4 15W40 5 L</w:t>
            </w:r>
          </w:p>
        </w:tc>
        <w:tc>
          <w:tcPr>
            <w:tcW w:w="106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446936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R$ 173,87</w:t>
            </w:r>
          </w:p>
        </w:tc>
        <w:tc>
          <w:tcPr>
            <w:tcW w:w="12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R$ 347,74</w:t>
            </w:r>
          </w:p>
        </w:tc>
      </w:tr>
      <w:tr>
        <w:trPr>
          <w:trHeight w:val="360" w:hRule="atLeast"/>
        </w:trPr>
        <w:tc>
          <w:tcPr>
            <w:tcW w:w="84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VALOR TOTAL</w:t>
            </w:r>
          </w:p>
        </w:tc>
        <w:tc>
          <w:tcPr>
            <w:tcW w:w="1250" w:type="dxa"/>
            <w:tcBorders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1.285,05</w:t>
            </w:r>
          </w:p>
        </w:tc>
      </w:tr>
    </w:tbl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 xml:space="preserve">  </w:t>
      </w:r>
      <w:r>
        <w:rPr>
          <w:rFonts w:cs="Arial" w:ascii="Times New Roman" w:hAnsi="Times New Roman"/>
          <w:b/>
          <w:sz w:val="24"/>
          <w:szCs w:val="24"/>
        </w:rPr>
        <w:t>SERVIÇOS DE VEÍCULOS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GESTÃO AS ATIVIDADES DA SEC. DE AGRICULTURA E DESENVOLVIMENTO ECONÔMICO:</w:t>
      </w:r>
    </w:p>
    <w:p>
      <w:pPr>
        <w:pStyle w:val="ListParagraph"/>
        <w:spacing w:lineRule="auto" w:line="240" w:before="0" w:after="0"/>
        <w:ind w:left="0" w:hanging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0808.206060011211.020 – 33903900000 – FR 1500000000000 – F 0000226</w:t>
      </w:r>
    </w:p>
    <w:tbl>
      <w:tblPr>
        <w:tblW w:w="9700" w:type="dxa"/>
        <w:jc w:val="left"/>
        <w:tblInd w:w="-298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679"/>
        <w:gridCol w:w="804"/>
        <w:gridCol w:w="4766"/>
        <w:gridCol w:w="1067"/>
        <w:gridCol w:w="1123"/>
        <w:gridCol w:w="1260"/>
      </w:tblGrid>
      <w:tr>
        <w:trPr>
          <w:trHeight w:val="285" w:hRule="atLeast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Qnt.</w:t>
            </w:r>
          </w:p>
        </w:tc>
        <w:tc>
          <w:tcPr>
            <w:tcW w:w="8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Unid.</w:t>
            </w:r>
          </w:p>
        </w:tc>
        <w:tc>
          <w:tcPr>
            <w:tcW w:w="4766" w:type="dxa"/>
            <w:tcBorders>
              <w:top w:val="single" w:sz="4" w:space="0" w:color="000000"/>
              <w:bottom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10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CATSER</w:t>
            </w:r>
          </w:p>
        </w:tc>
        <w:tc>
          <w:tcPr>
            <w:tcW w:w="11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Valor Unitário</w:t>
            </w:r>
          </w:p>
        </w:tc>
        <w:tc>
          <w:tcPr>
            <w:tcW w:w="1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Valor Final</w:t>
            </w:r>
          </w:p>
        </w:tc>
      </w:tr>
      <w:tr>
        <w:trPr>
          <w:trHeight w:val="285" w:hRule="atLeast"/>
        </w:trPr>
        <w:tc>
          <w:tcPr>
            <w:tcW w:w="6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8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Unid.</w:t>
            </w:r>
          </w:p>
        </w:tc>
        <w:tc>
          <w:tcPr>
            <w:tcW w:w="4766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SERVIÇO DE MECÃNICA</w:t>
            </w:r>
          </w:p>
        </w:tc>
        <w:tc>
          <w:tcPr>
            <w:tcW w:w="106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3620</w:t>
            </w:r>
          </w:p>
        </w:tc>
        <w:tc>
          <w:tcPr>
            <w:tcW w:w="112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R$</w:t>
            </w: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620,00</w:t>
            </w:r>
          </w:p>
        </w:tc>
        <w:tc>
          <w:tcPr>
            <w:tcW w:w="12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R$</w:t>
            </w: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620,00</w:t>
            </w:r>
          </w:p>
        </w:tc>
      </w:tr>
      <w:tr>
        <w:trPr>
          <w:trHeight w:val="285" w:hRule="atLeast"/>
        </w:trPr>
        <w:tc>
          <w:tcPr>
            <w:tcW w:w="84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b/>
                <w:color w:val="000000"/>
                <w:sz w:val="20"/>
                <w:szCs w:val="20"/>
                <w:lang w:eastAsia="pt-BR"/>
              </w:rPr>
              <w:t>VALOR TOTAL</w:t>
            </w:r>
          </w:p>
        </w:tc>
        <w:tc>
          <w:tcPr>
            <w:tcW w:w="1260" w:type="dxa"/>
            <w:tcBorders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620,00</w:t>
            </w:r>
          </w:p>
        </w:tc>
      </w:tr>
    </w:tbl>
    <w:p>
      <w:pPr>
        <w:pStyle w:val="ListParagraph"/>
        <w:numPr>
          <w:ilvl w:val="0"/>
          <w:numId w:val="0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b/>
          <w:b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</w:r>
    </w:p>
    <w:p>
      <w:pPr>
        <w:pStyle w:val="ListParagraph"/>
        <w:ind w:left="720" w:hanging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ind w:left="720" w:hanging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DAS SANÇÕES E PENALIDADES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Comete infração administrativa, nos termos do art. 155, da Lei Federal nº 14.133/2021, a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que: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Der causa à inexecução parcial do contrato;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Der causa à inexecução parcial do contrato que cause grave dano à Administração ou ao funcionamento dos serviços públicos ou ao interesse coletivo;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Der causa à inexecução total do contrato;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Deixar de entregar a documentação exigida para o certame;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Não manter a proposta, salvo em decorrência de fato superveniente devidamente justificado;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Não celebrar o contrato ou não entregar a documentação exigida para a contratação, quando convocado dentro do prazo de validade de sua proposta;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Ensejar o retardamento da execução ou da entrega do objeto da contratação sem motivo justificado;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Apresentar declaração ou documentação falsa exigida para o certame ou prestar declaração falsa durante a dispensa eletrônica ou execução do contrato;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Fraudar a contratação ou praticar ato fraudulento na execução do contrato;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Comportar-se de modo inidôneo ou cometer fraude de qualquer natureza;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Praticar atos ilícitos com vistas a frustrar os objetivos da contratação;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Praticar ato lesivo previsto no art. 5º da Lei nº 12.846, de 1º de agosto de 2013;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Praticar demais atos não previstos no presente tópico, mas apurados na execução do contrato.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Serão aplicadas ao responsável pelas infrações administrativas previstas no item 12.1, as seguintes sanções e penalidades: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/>
          <w:sz w:val="24"/>
          <w:szCs w:val="24"/>
        </w:rPr>
        <w:t>Advertência: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quanto a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der causa à inexecução parcial do contrato, sempre que não se justificar a imposição de penalidade mais grave, nos termos do art. 156, §2º, da NLLC;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/>
          <w:sz w:val="24"/>
          <w:szCs w:val="24"/>
        </w:rPr>
        <w:t>Impedimento de licitar e contratar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: quando praticadas as condutas descritas nas alíneas b, c, d, e, f e g do subitem 12.1, sempre que não se justificar a imposição de penalidade mais grave, nos termos do art. 156, §4º, da NLLC;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/>
          <w:sz w:val="24"/>
          <w:szCs w:val="24"/>
        </w:rPr>
        <w:t>Declaração de inidoneidade para licitar e contratar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: quando praticadas as condutas descritas nas alíneas h, i, j, k e l do subitem 12.1, bem como nas alíneas b, c, d, e, f e g, que justifiquem a imposição de penalidade mais grave, nos termos do art. 156, §5º, da NLLC;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/>
          <w:sz w:val="24"/>
          <w:szCs w:val="24"/>
        </w:rPr>
        <w:t>Multa: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/>
          <w:b/>
          <w:color w:val="000000"/>
          <w:sz w:val="24"/>
          <w:szCs w:val="24"/>
          <w:u w:val="single"/>
        </w:rPr>
      </w:pPr>
      <w:r>
        <w:rPr>
          <w:rFonts w:cs="Arial" w:ascii="Times New Roman" w:hAnsi="Times New Roman"/>
          <w:b/>
          <w:color w:val="000000"/>
          <w:sz w:val="24"/>
          <w:szCs w:val="24"/>
          <w:u w:val="single"/>
        </w:rPr>
      </w:r>
    </w:p>
    <w:p>
      <w:pPr>
        <w:pStyle w:val="ListParagraph"/>
        <w:numPr>
          <w:ilvl w:val="0"/>
          <w:numId w:val="6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Moratória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de 1 % (um por cento) por dia de atraso injustificado sobre o valor da parcela inadimplida, até o limite de 30 (trinta) dias;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6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Compensatória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de 10% (dez por cento) sobre o valor total do contrato, no caso de inexecução total do objeto ou sobre o valor da parcela inadimplida, no caso de inexecução parcial;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A aplicação das sanções previstas neste Termo não exclui, em hipótese alguma, a obrigação de reparação integral do dano causado ao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, consoante o disposto no art. 156, §9º, da NLLC;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Todas as sanções previstas neste tópico poderão ser aplicadas cumulativamente com a multa, consoante o disposto no art. 156, §7º, da NLLC;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Antes da aplicação da multa será facultada a defesa do interessado no prazo de 15 (quinze) dias úteis, contado da data de sua intimação, nos termos do art. 157, da NLLC;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Se a multa aplicada e as indenizações cabíveis forem superiores ao valor do pagamento eventualmente devido pelo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a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, além da perda desse valor, a diferença será descontada da garantia prestada ou será cobrada judicialmente, conforme o disposto no art. 156, §8º, da NLLC;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Previamente ao encaminhamento à cobrança judicial, a multa poderá ser recolhida administrativamente no prazo máximo de 30 (trinta) dias, a contar da data do recebimento da comunicação enviada pela autoridade competente.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A aplicação das sanções realizar-se-á em processo administrativo que assegure o contraditório e a ampla defesa a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, observando-se o procedimento previsto no caput e parágrafos do art. 158 da Lei nº 14.133/2021, para as penalidades de impedimento de licitar e contratar e de declaração de inidoneidade para licitar ou contratar;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Na aplicação das sanções serão considerados: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a natureza e a gravidade da infração cometida;</w:t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as peculiaridades do caso concreto;</w:t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as circunstâncias agravantes ou atenuantes;</w:t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os danos que dela provierem para o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;</w:t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a implantação ou o aperfeiçoamento de programa de integridade, conforme normas e orientações dos órgãos de controle.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Os atos previstos como infrações administrativas na Lei nº 14.133/2021, ou em outras leis de licitações e contratos da Administração Pública que também sejam tipificados como atos lesivos na Lei nº 12.846/2013, serão apurados e julgados conjuntamente, nos mesmos autos, observados o rito procedimental e autoridade competente definidos na referida Lei Federal nº 14.133/2021, em seu art. 159;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A personalidade jurídica da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poderá ser desconsiderada sempre que utilizada com abuso do direito para facilitar, encobrir ou dissimular a prática dos atos ilícitos previstos em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a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, observados, em todos os casos, o contraditório, a ampla defesa e a obrigatoriedade de análise jurídica prévia, consoante o disposto no art. 160, da NLLC;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A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deverá, no prazo máximo 15 (quinze) dias úteis, contado da data de aplicação da sanção, informar e manter atualizados os dados relativos às sanções por ela aplicadas, para fins de publicidade no Cadastro Nacional de Empresas Inidôneas e Suspensas (Ceis) e no Cadastro Nacional de Empresas Punidas (Cnep), instituídos no âmbito do Poder Executivo Federal, conforme disposição do art. 161, da NLLC;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As sanções de impedimento de licitar e contratar e declaração de inidoneidade para licitar ou contratar são passíveis de reabilitação na forma do art. 163 da Lei Federal nº 14.133/21.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UNIDADE REQUISITANTE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Secretaria Municipal de Desenvolvimento Econômico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DO RESPONSÁVEL PELA ELABORAÇÃO DO TERMO DE REFERÊNCIA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 w:themeColor="text1"/>
          <w:sz w:val="24"/>
          <w:szCs w:val="24"/>
        </w:rPr>
        <w:t>Responsável pela Elaboração:</w:t>
      </w:r>
      <w:r>
        <w:rPr>
          <w:rFonts w:cs="Arial" w:ascii="Times New Roman" w:hAnsi="Times New Roman"/>
          <w:color w:val="000000" w:themeColor="text1"/>
          <w:sz w:val="24"/>
          <w:szCs w:val="24"/>
        </w:rPr>
        <w:t xml:space="preserve"> LIVIA CALSSE LORENZON.</w:t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 w:themeColor="text1"/>
          <w:sz w:val="24"/>
          <w:szCs w:val="24"/>
        </w:rPr>
        <w:t>Responsável pela Demanda:</w:t>
      </w:r>
      <w:r>
        <w:rPr>
          <w:rFonts w:cs="Arial"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cs="Arial" w:ascii="Times New Roman" w:hAnsi="Times New Roman"/>
          <w:color w:val="000000" w:themeColor="text1"/>
          <w:sz w:val="24"/>
          <w:szCs w:val="24"/>
        </w:rPr>
        <w:t>ADENILSON GIRELLI</w:t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 w:themeColor="text1"/>
          <w:sz w:val="24"/>
          <w:szCs w:val="24"/>
        </w:rPr>
        <w:t xml:space="preserve">Gestor da Unidade Requisitante: </w:t>
      </w:r>
      <w:r>
        <w:rPr>
          <w:rFonts w:cs="Arial" w:ascii="Times New Roman" w:hAnsi="Times New Roman"/>
          <w:b w:val="false"/>
          <w:bCs w:val="false"/>
          <w:color w:val="000000" w:themeColor="text1"/>
          <w:sz w:val="24"/>
          <w:szCs w:val="24"/>
        </w:rPr>
        <w:t>ADENILSON GIRELLI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São Roque do Canaã/ES</w:t>
      </w:r>
      <w:r>
        <w:rPr>
          <w:rFonts w:cs="Arial" w:ascii="Times New Roman" w:hAnsi="Times New Roman"/>
          <w:sz w:val="24"/>
          <w:szCs w:val="24"/>
        </w:rPr>
        <w:t xml:space="preserve">, </w:t>
      </w:r>
      <w:r>
        <w:rPr>
          <w:rFonts w:cs="Arial" w:ascii="Times New Roman" w:hAnsi="Times New Roman"/>
          <w:sz w:val="24"/>
          <w:szCs w:val="24"/>
        </w:rPr>
        <w:t>15 de julho de 2024.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  <w:highlight w:val="lightGray"/>
        </w:rPr>
      </w:pPr>
      <w:r>
        <w:rPr>
          <w:rFonts w:cs="Arial"/>
          <w:color w:val="000000" w:themeColor="text1"/>
          <w:sz w:val="24"/>
          <w:szCs w:val="24"/>
          <w:highlight w:val="lightGray"/>
        </w:rPr>
      </w:r>
    </w:p>
    <w:tbl>
      <w:tblPr>
        <w:tblStyle w:val="Tabelacomgrade"/>
        <w:tblW w:w="921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05"/>
        <w:gridCol w:w="4605"/>
      </w:tblGrid>
      <w:tr>
        <w:trPr/>
        <w:tc>
          <w:tcPr>
            <w:tcW w:w="460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color w:val="000000" w:themeColor="text1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color w:val="000000" w:themeColor="text1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color w:val="000000" w:themeColor="text1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color w:val="000000" w:themeColor="text1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4"/>
                <w:szCs w:val="24"/>
                <w:lang w:val="pt-BR" w:bidi="ar-SA"/>
              </w:rPr>
              <w:t>LIVIA CALSSE LORENZON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kern w:val="0"/>
                <w:sz w:val="24"/>
                <w:szCs w:val="24"/>
                <w:lang w:val="pt-BR" w:bidi="ar-SA"/>
              </w:rPr>
              <w:t>Assessor do Executivo IV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460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b/>
                <w:b/>
                <w:color w:val="000000" w:themeColor="text1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4"/>
                <w:szCs w:val="24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4"/>
                <w:szCs w:val="24"/>
                <w:lang w:val="pt-BR" w:bidi="ar-SA"/>
              </w:rPr>
              <w:t>ADENILSON GIRELLI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kern w:val="0"/>
                <w:sz w:val="24"/>
                <w:szCs w:val="24"/>
                <w:lang w:val="pt-BR" w:bidi="ar-SA"/>
              </w:rPr>
              <w:t xml:space="preserve">Secretário Municipal de </w:t>
            </w:r>
            <w:r>
              <w:rPr>
                <w:rFonts w:cs="Arial"/>
                <w:color w:val="000000" w:themeColor="text1"/>
                <w:kern w:val="0"/>
                <w:sz w:val="24"/>
                <w:szCs w:val="24"/>
                <w:lang w:val="pt-BR" w:bidi="ar-SA"/>
              </w:rPr>
              <w:t>Agricultura e</w:t>
            </w:r>
            <w:r>
              <w:rPr>
                <w:rFonts w:cs="Arial"/>
                <w:color w:val="000000" w:themeColor="text1"/>
                <w:kern w:val="0"/>
                <w:sz w:val="24"/>
                <w:szCs w:val="24"/>
                <w:lang w:val="pt-BR" w:bidi="ar-SA"/>
              </w:rPr>
              <w:t xml:space="preserve"> Desenvolvimento Econômico</w:t>
            </w:r>
          </w:p>
        </w:tc>
      </w:tr>
    </w:tbl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4"/>
          <w:szCs w:val="24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134" w:gutter="0" w:header="709" w:top="1701" w:footer="709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Segoe U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</w:r>
  </w:p>
  <w:p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cs="Arial" w:ascii="Times New Roman" w:hAnsi="Times New Roman"/>
        <w:b w:val="false"/>
        <w:bCs/>
        <w:i w:val="false"/>
        <w:caps w:val="false"/>
        <w:smallCaps w:val="false"/>
        <w:color w:val="000000"/>
        <w:spacing w:val="0"/>
        <w:sz w:val="20"/>
        <w:szCs w:val="20"/>
      </w:rPr>
      <w:t>Rua Lourenço Roldi, nº 88 – Bairro São Roquinho</w:t>
    </w:r>
    <w:r>
      <w:rPr>
        <w:rFonts w:cs="Arial" w:ascii="Times New Roman" w:hAnsi="Times New Roman"/>
        <w:sz w:val="20"/>
        <w:szCs w:val="20"/>
      </w:rPr>
      <w:t>, São Roque do Canaã/ES, CEP: 29665-000</w:t>
    </w:r>
  </w:p>
  <w:p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cs="Arial" w:ascii="Times New Roman" w:hAnsi="Times New Roman"/>
        <w:sz w:val="20"/>
        <w:szCs w:val="20"/>
      </w:rPr>
      <w:t xml:space="preserve">Telefone: </w:t>
    </w:r>
    <w:r>
      <w:rPr>
        <w:rFonts w:cs="Arial" w:ascii="Times New Roman" w:hAnsi="Times New Roman"/>
        <w:b w:val="false"/>
        <w:bCs/>
        <w:i w:val="false"/>
        <w:caps w:val="false"/>
        <w:smallCaps w:val="false"/>
        <w:color w:val="000000"/>
        <w:spacing w:val="0"/>
        <w:sz w:val="20"/>
        <w:szCs w:val="20"/>
        <w:shd w:fill="auto" w:val="clear"/>
      </w:rPr>
      <w:t>(27) 3729-1300</w:t>
    </w:r>
    <w:r>
      <w:rPr>
        <w:rFonts w:cs="Arial" w:ascii="Times New Roman" w:hAnsi="Times New Roman"/>
        <w:sz w:val="20"/>
        <w:szCs w:val="20"/>
      </w:rPr>
      <w:t xml:space="preserve">| E-mail: </w:t>
    </w:r>
    <w:r>
      <w:rPr>
        <w:rFonts w:cs="Arial" w:ascii="Times New Roman" w:hAnsi="Times New Roman"/>
        <w:bCs/>
        <w:color w:val="000000"/>
        <w:sz w:val="20"/>
        <w:szCs w:val="20"/>
      </w:rPr>
      <w:t>desenvolvimentoeconomico@saoroquedocanaa.es.gov.br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tabs>
        <w:tab w:val="left" w:pos="2166" w:leader="none"/>
        <w:tab w:val="center" w:pos="4252" w:leader="none"/>
        <w:tab w:val="right" w:pos="8504" w:leader="none"/>
      </w:tabs>
      <w:spacing w:lineRule="auto" w:line="276"/>
      <w:jc w:val="center"/>
      <w:rPr>
        <w:rFonts w:ascii="Arial" w:hAnsi="Arial" w:cs="Arial"/>
        <w:b/>
        <w:b/>
        <w:szCs w:val="16"/>
      </w:rPr>
    </w:pPr>
    <w:r>
      <w:rPr/>
      <w:drawing>
        <wp:inline distT="0" distB="0" distL="0" distR="0">
          <wp:extent cx="647700" cy="650240"/>
          <wp:effectExtent l="0" t="0" r="0" b="0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alho"/>
      <w:tabs>
        <w:tab w:val="left" w:pos="2166" w:leader="none"/>
        <w:tab w:val="center" w:pos="4252" w:leader="none"/>
        <w:tab w:val="right" w:pos="8504" w:leader="none"/>
      </w:tabs>
      <w:jc w:val="center"/>
      <w:rPr>
        <w:rFonts w:ascii="Arial" w:hAnsi="Arial" w:cs="Arial"/>
        <w:b/>
        <w:b/>
        <w:szCs w:val="16"/>
      </w:rPr>
    </w:pPr>
    <w:r>
      <w:rPr>
        <w:rFonts w:cs="Arial" w:ascii="Arial" w:hAnsi="Arial"/>
        <w:b/>
        <w:szCs w:val="16"/>
      </w:rPr>
      <w:t>PREFEITURA MUNICIPAL DE SÃO ROQUE DO CANAÃ</w:t>
    </w:r>
  </w:p>
  <w:p>
    <w:pPr>
      <w:pStyle w:val="Subttulo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ESTADO DO ESPÍRITO SANTO</w:t>
    </w:r>
  </w:p>
  <w:p>
    <w:pPr>
      <w:pStyle w:val="Subttulo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 xml:space="preserve">SECRETARIA MUNICIPAL DE DESENVOLVIMENTO ECONÔMICO – SMADE </w:t>
    </w:r>
  </w:p>
  <w:p>
    <w:pPr>
      <w:pStyle w:val="Subttulo"/>
      <w:jc w:val="left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31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upperRoman"/>
      <w:lvlText w:val="%6)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upperRoman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false"/>
        <w:rFonts w:ascii="Arial" w:hAnsi="Arial" w:cs="Aria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04" w:hanging="504"/>
      </w:pPr>
      <w:rPr>
        <w:b w:val="fals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b w:val="fals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9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semiHidden="0" w:qFormat="1"/>
    <w:lsdException w:name="footer" w:semiHidden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0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semiHidden="0"/>
    <w:lsdException w:name="Table Grid" w:uiPriority="59" w:semiHidden="0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uiPriority="34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0a2c0f"/>
    <w:pPr>
      <w:keepNext w:val="true"/>
      <w:keepLines/>
      <w:spacing w:before="480" w:after="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color w:val="2E74B5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qFormat/>
    <w:rPr/>
  </w:style>
  <w:style w:type="character" w:styleId="RodapChar" w:customStyle="1">
    <w:name w:val="Rodapé Char"/>
    <w:basedOn w:val="DefaultParagraphFont"/>
    <w:uiPriority w:val="99"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character" w:styleId="Ttulo1Char" w:customStyle="1">
    <w:name w:val="Título 1 Char"/>
    <w:basedOn w:val="DefaultParagraphFont"/>
    <w:uiPriority w:val="9"/>
    <w:qFormat/>
    <w:rsid w:val="000a2c0f"/>
    <w:rPr>
      <w:rFonts w:ascii="Calibri Light" w:hAnsi="Calibri Light" w:eastAsia="" w:cs="" w:asciiTheme="majorHAnsi" w:cstheme="majorBidi" w:eastAsiaTheme="majorEastAsia" w:hAnsiTheme="majorHAnsi"/>
      <w:b/>
      <w:bCs/>
      <w:color w:val="2E74B5" w:themeColor="accent1" w:themeShade="bf"/>
      <w:sz w:val="28"/>
      <w:szCs w:val="28"/>
      <w:lang w:eastAsia="en-US"/>
    </w:rPr>
  </w:style>
  <w:style w:type="character" w:styleId="LinkdaInternet">
    <w:name w:val="Hyperlink"/>
    <w:basedOn w:val="DefaultParagraphFont"/>
    <w:uiPriority w:val="99"/>
    <w:unhideWhenUsed/>
    <w:rsid w:val="000a2c0f"/>
    <w:rPr>
      <w:color w:val="0563C1" w:themeColor="hyperlink"/>
      <w:u w:val="single"/>
    </w:rPr>
  </w:style>
  <w:style w:type="character" w:styleId="Markedcontent" w:customStyle="1">
    <w:name w:val="markedcontent"/>
    <w:basedOn w:val="DefaultParagraphFont"/>
    <w:qFormat/>
    <w:rsid w:val="000a2c0f"/>
    <w:rPr/>
  </w:style>
  <w:style w:type="character" w:styleId="SubttuloChar" w:customStyle="1">
    <w:name w:val="Subtítulo Char"/>
    <w:basedOn w:val="DefaultParagraphFont"/>
    <w:qFormat/>
    <w:rsid w:val="000b235b"/>
    <w:rPr>
      <w:rFonts w:ascii="Cambria" w:hAnsi="Cambria" w:eastAsia="Times New Roman" w:cs="Times New Roman"/>
      <w:sz w:val="24"/>
    </w:rPr>
  </w:style>
  <w:style w:type="character" w:styleId="Smbolosdenumerao">
    <w:name w:val="Símbolos de numeração"/>
    <w:qFormat/>
    <w:rPr/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nhideWhenUsed/>
    <w:qFormat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WWCorpodetexto3" w:customStyle="1">
    <w:name w:val="WW-Corpo de texto 3"/>
    <w:basedOn w:val="Normal"/>
    <w:qFormat/>
    <w:pPr>
      <w:suppressAutoHyphens w:val="true"/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b235b"/>
    <w:pPr>
      <w:spacing w:lineRule="auto" w:line="240" w:before="0" w:after="0"/>
      <w:jc w:val="center"/>
    </w:pPr>
    <w:rPr>
      <w:rFonts w:ascii="Cambria" w:hAnsi="Cambria" w:eastAsia="Times New Roman" w:cs="Times New Roman"/>
      <w:sz w:val="24"/>
      <w:szCs w:val="20"/>
      <w:lang w:eastAsia="pt-BR"/>
    </w:rPr>
  </w:style>
  <w:style w:type="paragraph" w:styleId="ListParagraph">
    <w:name w:val="List Paragraph"/>
    <w:basedOn w:val="Normal"/>
    <w:uiPriority w:val="34"/>
    <w:qFormat/>
    <w:rsid w:val="000b28e5"/>
    <w:pPr>
      <w:spacing w:before="0" w:after="160"/>
      <w:ind w:left="720" w:hanging="0"/>
      <w:contextualSpacing/>
    </w:pPr>
    <w:rPr/>
  </w:style>
  <w:style w:type="paragraph" w:styleId="Corpodetexto23" w:customStyle="1">
    <w:name w:val="Corpo de texto 23"/>
    <w:basedOn w:val="Normal"/>
    <w:qFormat/>
    <w:rsid w:val="00de115b"/>
    <w:pPr>
      <w:spacing w:lineRule="auto" w:line="240" w:before="0" w:after="0"/>
      <w:jc w:val="both"/>
    </w:pPr>
    <w:rPr>
      <w:rFonts w:ascii="Times New Roman" w:hAnsi="Times New Roman" w:eastAsia="SimSun" w:cs="Times New Roman"/>
      <w:sz w:val="20"/>
      <w:szCs w:val="20"/>
      <w:lang w:eastAsia="zh-CN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e7196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98079-D9BC-4825-B48A-E63FF297B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1732</TotalTime>
  <Application>LibreOffice/7.4.6.2$Windows_X86_64 LibreOffice_project/5b1f5509c2decdade7fda905e3e1429a67acd63d</Application>
  <AppVersion>15.0000</AppVersion>
  <Pages>14</Pages>
  <Words>4522</Words>
  <Characters>26086</Characters>
  <CharactersWithSpaces>30223</CharactersWithSpaces>
  <Paragraphs>263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2023-01-12T18:50:00Z</dcterms:created>
  <dc:creator>COMPUTADOR</dc:creator>
  <dc:description/>
  <dc:language>pt-BR</dc:language>
  <cp:lastModifiedBy/>
  <cp:lastPrinted>2024-07-15T12:42:28Z</cp:lastPrinted>
  <dcterms:modified xsi:type="dcterms:W3CDTF">2024-07-15T12:53:30Z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A1EA58DFB2F64CA49379DECF14E588A6</vt:lpwstr>
  </property>
  <property fmtid="{D5CDD505-2E9C-101B-9397-08002B2CF9AE}" pid="3" name="KSOProductBuildVer">
    <vt:lpwstr>1046-11.2.0.11440</vt:lpwstr>
  </property>
</Properties>
</file>