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TERMO DE REFERÊNCIA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DA DESCRIÇÃO DO OBJETO E DA VIGÊNCIA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hd w:val="clear" w:color="auto" w:fill="F2F2F2" w:themeFill="background1" w:themeFillShade="f2"/>
        <w:spacing w:lineRule="auto" w:line="240" w:before="0" w:after="0"/>
        <w:ind w:left="0" w:hanging="0"/>
        <w:contextualSpacing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DA DESCRIÇÃO DO OBJETO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8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Constitui objeto do presente Termo de Referência, estabelecer as condições e diretrizes que disciplinarão a </w:t>
      </w:r>
      <w:r>
        <w:rPr>
          <w:rFonts w:cs="Arial" w:ascii="Times New Roman" w:hAnsi="Times New Roman"/>
          <w:b/>
          <w:sz w:val="24"/>
          <w:szCs w:val="24"/>
        </w:rPr>
        <w:t xml:space="preserve">contratação da empresa </w:t>
      </w:r>
      <w:r>
        <w:rPr>
          <w:rFonts w:cs="Arial" w:ascii="Times New Roman" w:hAnsi="Times New Roman"/>
          <w:b/>
          <w:bCs/>
          <w:sz w:val="24"/>
          <w:szCs w:val="24"/>
        </w:rPr>
        <w:t>CAMPO FORTE TRATORES E IMPLEMENTOS AGRÍCOLAS LTDA, CNPJ nº 19.917.678/0003-23, localizada na AVENIDA PREFEITO SAMUEL BATISTA CRUZ,10955 – CANIVETE, LINHARES/ES, CEP 29.909-010</w:t>
      </w:r>
      <w:r>
        <w:rPr>
          <w:rFonts w:cs="Arial" w:ascii="Times New Roman" w:hAnsi="Times New Roman"/>
          <w:sz w:val="24"/>
          <w:szCs w:val="24"/>
        </w:rPr>
        <w:t xml:space="preserve">, </w:t>
      </w:r>
      <w:r>
        <w:rPr>
          <w:rFonts w:cs="Arial" w:ascii="Times New Roman" w:hAnsi="Times New Roman"/>
          <w:b/>
          <w:sz w:val="24"/>
          <w:szCs w:val="24"/>
        </w:rPr>
        <w:t xml:space="preserve">objetivando a revisão de </w:t>
      </w:r>
      <w:r>
        <w:rPr>
          <w:rFonts w:cs="Arial" w:ascii="Times New Roman" w:hAnsi="Times New Roman"/>
          <w:b/>
          <w:sz w:val="24"/>
          <w:szCs w:val="24"/>
        </w:rPr>
        <w:t>1.000</w:t>
      </w:r>
      <w:r>
        <w:rPr>
          <w:rFonts w:cs="Arial" w:ascii="Times New Roman" w:hAnsi="Times New Roman"/>
          <w:b/>
          <w:sz w:val="24"/>
          <w:szCs w:val="24"/>
        </w:rPr>
        <w:t xml:space="preserve"> horas do veículo </w:t>
      </w:r>
      <w:r>
        <w:rPr>
          <w:rFonts w:cs="Arial" w:ascii="Times New Roman" w:hAnsi="Times New Roman"/>
          <w:b/>
          <w:color w:val="000000" w:themeColor="text1"/>
          <w:sz w:val="24"/>
          <w:szCs w:val="24"/>
        </w:rPr>
        <w:t>máquina RETROESCAVADEIRA XCMG</w:t>
      </w:r>
      <w:r>
        <w:rPr>
          <w:rFonts w:cs="Arial" w:ascii="Times New Roman" w:hAnsi="Times New Roman"/>
          <w:b/>
          <w:sz w:val="24"/>
          <w:szCs w:val="24"/>
        </w:rPr>
        <w:t xml:space="preserve">, ano de fabricação 2023, ano modelo 2023, Placa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SFX9E48/ES,</w:t>
      </w:r>
      <w:r>
        <w:rPr>
          <w:rFonts w:cs="Arial" w:ascii="Times New Roman" w:hAnsi="Times New Roman"/>
          <w:b/>
          <w:sz w:val="24"/>
          <w:szCs w:val="24"/>
        </w:rPr>
        <w:t xml:space="preserve"> Chassi XUG08703LPPA01558, pertencente á frota de veículos do Município de São Roque do Canaã/ES</w:t>
      </w:r>
      <w:r>
        <w:rPr>
          <w:rFonts w:cs="Arial" w:ascii="Times New Roman" w:hAnsi="Times New Roman"/>
          <w:sz w:val="24"/>
          <w:szCs w:val="24"/>
        </w:rPr>
        <w:t>, em atendimento à demanda da Secretaria Municipal de Agricultura e Desenvolvimento Econômico – SMADE/SRC.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8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Especificações: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1372"/>
        <w:gridCol w:w="1342"/>
        <w:gridCol w:w="6357"/>
      </w:tblGrid>
      <w:tr>
        <w:trPr>
          <w:trHeight w:val="300" w:hRule="atLeast"/>
        </w:trPr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Qnt.</w:t>
            </w:r>
          </w:p>
        </w:tc>
        <w:tc>
          <w:tcPr>
            <w:tcW w:w="134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635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Descrição</w:t>
            </w:r>
          </w:p>
        </w:tc>
      </w:tr>
      <w:tr>
        <w:trPr>
          <w:trHeight w:val="300" w:hRule="atLeast"/>
        </w:trPr>
        <w:tc>
          <w:tcPr>
            <w:tcW w:w="1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shd w:fill="auto" w:val="clear"/>
                <w:lang w:eastAsia="pt-BR"/>
              </w:rPr>
              <w:t>1</w:t>
            </w:r>
          </w:p>
        </w:tc>
        <w:tc>
          <w:tcPr>
            <w:tcW w:w="134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shd w:fill="auto" w:val="clear"/>
                <w:lang w:eastAsia="pt-BR"/>
              </w:rPr>
              <w:t>Unid.</w:t>
            </w:r>
          </w:p>
        </w:tc>
        <w:tc>
          <w:tcPr>
            <w:tcW w:w="6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highlight w:val="none"/>
                <w:shd w:fill="auto" w:val="clea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shd w:fill="auto" w:val="clear"/>
                <w:lang w:eastAsia="pt-BR"/>
              </w:rPr>
              <w:t>MECÂNICA GERAL</w:t>
            </w:r>
          </w:p>
        </w:tc>
      </w:tr>
      <w:tr>
        <w:trPr>
          <w:trHeight w:val="300" w:hRule="atLeast"/>
        </w:trPr>
        <w:tc>
          <w:tcPr>
            <w:tcW w:w="1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shd w:fill="auto" w:val="clear"/>
                <w:lang w:eastAsia="pt-BR"/>
              </w:rPr>
              <w:t>3</w:t>
            </w:r>
          </w:p>
        </w:tc>
        <w:tc>
          <w:tcPr>
            <w:tcW w:w="134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shd w:fill="auto" w:val="clear"/>
                <w:lang w:eastAsia="pt-BR"/>
              </w:rPr>
              <w:t>Unid.</w:t>
            </w:r>
          </w:p>
        </w:tc>
        <w:tc>
          <w:tcPr>
            <w:tcW w:w="6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highlight w:val="none"/>
                <w:shd w:fill="auto" w:val="clea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shd w:fill="auto" w:val="clear"/>
                <w:lang w:eastAsia="pt-BR"/>
              </w:rPr>
              <w:t>ÓLEO DE MOTOR LS TRACTOR 15W40</w:t>
            </w:r>
          </w:p>
        </w:tc>
      </w:tr>
      <w:tr>
        <w:trPr>
          <w:trHeight w:val="300" w:hRule="atLeast"/>
        </w:trPr>
        <w:tc>
          <w:tcPr>
            <w:tcW w:w="1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shd w:fill="auto" w:val="clear"/>
                <w:lang w:eastAsia="pt-BR"/>
              </w:rPr>
              <w:t>4</w:t>
            </w:r>
          </w:p>
        </w:tc>
        <w:tc>
          <w:tcPr>
            <w:tcW w:w="134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shd w:fill="auto" w:val="clear"/>
                <w:lang w:eastAsia="pt-BR"/>
              </w:rPr>
              <w:t>Unid.</w:t>
            </w:r>
          </w:p>
        </w:tc>
        <w:tc>
          <w:tcPr>
            <w:tcW w:w="6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auto" w:val="clea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shd w:fill="auto" w:val="clear"/>
                <w:lang w:eastAsia="pt-BR"/>
              </w:rPr>
              <w:t>PETRONAS TUTELA TRD MULT. 80W90 4LT</w:t>
            </w:r>
          </w:p>
        </w:tc>
      </w:tr>
      <w:tr>
        <w:trPr>
          <w:trHeight w:val="300" w:hRule="atLeast"/>
        </w:trPr>
        <w:tc>
          <w:tcPr>
            <w:tcW w:w="1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shd w:fill="auto" w:val="clear"/>
                <w:lang w:eastAsia="pt-BR"/>
              </w:rPr>
              <w:t>1</w:t>
            </w:r>
          </w:p>
        </w:tc>
        <w:tc>
          <w:tcPr>
            <w:tcW w:w="134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shd w:fill="auto" w:val="clear"/>
                <w:lang w:eastAsia="pt-BR"/>
              </w:rPr>
              <w:t>Unid.</w:t>
            </w:r>
          </w:p>
        </w:tc>
        <w:tc>
          <w:tcPr>
            <w:tcW w:w="6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auto" w:val="clea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shd w:fill="auto" w:val="clear"/>
                <w:lang w:eastAsia="pt-BR"/>
              </w:rPr>
              <w:t>FILTRO DE AR</w:t>
            </w:r>
          </w:p>
        </w:tc>
      </w:tr>
      <w:tr>
        <w:trPr>
          <w:trHeight w:val="300" w:hRule="atLeast"/>
        </w:trPr>
        <w:tc>
          <w:tcPr>
            <w:tcW w:w="1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</w:t>
            </w:r>
          </w:p>
        </w:tc>
        <w:tc>
          <w:tcPr>
            <w:tcW w:w="134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>Unid.</w:t>
            </w:r>
          </w:p>
        </w:tc>
        <w:tc>
          <w:tcPr>
            <w:tcW w:w="6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>FILTRO DE COMBUSTÍVEL</w:t>
            </w:r>
          </w:p>
        </w:tc>
      </w:tr>
      <w:tr>
        <w:trPr>
          <w:trHeight w:val="300" w:hRule="atLeast"/>
        </w:trPr>
        <w:tc>
          <w:tcPr>
            <w:tcW w:w="1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shd w:fill="auto" w:val="clear"/>
                <w:lang w:eastAsia="pt-BR"/>
              </w:rPr>
              <w:t>1</w:t>
            </w:r>
          </w:p>
        </w:tc>
        <w:tc>
          <w:tcPr>
            <w:tcW w:w="134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shd w:fill="auto" w:val="clear"/>
                <w:lang w:eastAsia="pt-BR"/>
              </w:rPr>
              <w:t>Unid.</w:t>
            </w:r>
          </w:p>
        </w:tc>
        <w:tc>
          <w:tcPr>
            <w:tcW w:w="6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highlight w:val="none"/>
                <w:shd w:fill="auto" w:val="clea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shd w:fill="auto" w:val="clear"/>
                <w:lang w:eastAsia="pt-BR"/>
              </w:rPr>
              <w:t>FILTRO DE ÓLEO DO MOTOR XC870K</w:t>
            </w:r>
          </w:p>
        </w:tc>
      </w:tr>
      <w:tr>
        <w:trPr>
          <w:trHeight w:val="300" w:hRule="atLeast"/>
        </w:trPr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shd w:fill="auto" w:val="clear"/>
                <w:lang w:eastAsia="pt-BR"/>
              </w:rPr>
              <w:t>1</w:t>
            </w:r>
          </w:p>
        </w:tc>
        <w:tc>
          <w:tcPr>
            <w:tcW w:w="134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shd w:fill="auto" w:val="clear"/>
                <w:lang w:eastAsia="pt-BR"/>
              </w:rPr>
              <w:t>Unid.</w:t>
            </w:r>
          </w:p>
        </w:tc>
        <w:tc>
          <w:tcPr>
            <w:tcW w:w="635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auto" w:val="clea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shd w:fill="auto" w:val="clear"/>
                <w:lang w:eastAsia="pt-BR"/>
              </w:rPr>
              <w:t>FILTRO SEPARADOR</w:t>
            </w:r>
          </w:p>
        </w:tc>
      </w:tr>
      <w:tr>
        <w:trPr>
          <w:trHeight w:val="300" w:hRule="atLeast"/>
        </w:trPr>
        <w:tc>
          <w:tcPr>
            <w:tcW w:w="1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</w:t>
            </w:r>
          </w:p>
        </w:tc>
        <w:tc>
          <w:tcPr>
            <w:tcW w:w="134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>Unid.</w:t>
            </w:r>
          </w:p>
        </w:tc>
        <w:tc>
          <w:tcPr>
            <w:tcW w:w="6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>FILTRO DE ÓLEO TRANSMISSÃO</w:t>
            </w:r>
          </w:p>
        </w:tc>
      </w:tr>
      <w:tr>
        <w:trPr>
          <w:trHeight w:val="300" w:hRule="atLeast"/>
        </w:trPr>
        <w:tc>
          <w:tcPr>
            <w:tcW w:w="1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>1</w:t>
            </w:r>
          </w:p>
        </w:tc>
        <w:tc>
          <w:tcPr>
            <w:tcW w:w="134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>Unid.</w:t>
            </w:r>
          </w:p>
        </w:tc>
        <w:tc>
          <w:tcPr>
            <w:tcW w:w="6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>MICROFLEX PREMIUM 957 LIMPADOR INTERIOR MOTOR</w:t>
            </w:r>
          </w:p>
        </w:tc>
      </w:tr>
      <w:tr>
        <w:trPr>
          <w:trHeight w:val="300" w:hRule="atLeast"/>
        </w:trPr>
        <w:tc>
          <w:tcPr>
            <w:tcW w:w="1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shd w:fill="auto" w:val="clear"/>
                <w:lang w:eastAsia="pt-BR"/>
              </w:rPr>
              <w:t>1</w:t>
            </w:r>
          </w:p>
        </w:tc>
        <w:tc>
          <w:tcPr>
            <w:tcW w:w="134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shd w:fill="auto" w:val="clear"/>
                <w:lang w:eastAsia="pt-BR"/>
              </w:rPr>
              <w:t>Unid.</w:t>
            </w:r>
          </w:p>
        </w:tc>
        <w:tc>
          <w:tcPr>
            <w:tcW w:w="6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auto" w:val="clea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shd w:fill="auto" w:val="clear"/>
                <w:lang w:eastAsia="pt-BR"/>
              </w:rPr>
              <w:t>MICROFLEX 984 ADITIVO DIESEL 500ML</w:t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Os bens objeto desta contratação são </w:t>
      </w:r>
      <w:r>
        <w:rPr>
          <w:rFonts w:cs="Arial" w:ascii="Times New Roman" w:hAnsi="Times New Roman"/>
          <w:b/>
          <w:sz w:val="24"/>
          <w:szCs w:val="24"/>
        </w:rPr>
        <w:t>caracterizados como de natureza comum</w:t>
      </w:r>
      <w:r>
        <w:rPr>
          <w:rFonts w:cs="Arial" w:ascii="Times New Roman" w:hAnsi="Times New Roman"/>
          <w:sz w:val="24"/>
          <w:szCs w:val="24"/>
        </w:rPr>
        <w:t>, uma vez ser possível estabelecer, para efeito de julgamento das propostas, especificações utilizadas no mercado, padrões de qualidade e desempenho peculiares ao objeto, conforme justificativa constante no Documento de Formalização de Demanda e neste Termo de Referência, atendendo ao disposto do art. 6º, XIII, da Lei Federal nº 14.133/2021.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O objeto da presente contratação </w:t>
      </w:r>
      <w:r>
        <w:rPr>
          <w:rFonts w:cs="Arial" w:ascii="Times New Roman" w:hAnsi="Times New Roman"/>
          <w:b/>
          <w:sz w:val="24"/>
          <w:szCs w:val="24"/>
        </w:rPr>
        <w:t>não se enquadra, ainda, como sendo bem de luxo</w:t>
      </w:r>
      <w:r>
        <w:rPr>
          <w:rFonts w:cs="Arial" w:ascii="Times New Roman" w:hAnsi="Times New Roman"/>
          <w:sz w:val="24"/>
          <w:szCs w:val="24"/>
        </w:rPr>
        <w:t>, atendendo ao disposto no art. 20, da Lei Federal nº 14.133/2021.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hd w:val="clear" w:color="auto" w:fill="F2F2F2" w:themeFill="background1" w:themeFillShade="f2"/>
        <w:spacing w:lineRule="auto" w:line="240" w:before="0" w:after="0"/>
        <w:ind w:left="0" w:hanging="0"/>
        <w:contextualSpacing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DA VIGÊNCIA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Tratando-se de contratação imediata, a do presente objeto, esta ficará adstrita à vigência do exercício financeiro correspondente</w:t>
      </w:r>
      <w:r>
        <w:rPr>
          <w:rFonts w:cs="Arial" w:ascii="Times New Roman" w:hAnsi="Times New Roman"/>
          <w:sz w:val="24"/>
          <w:szCs w:val="24"/>
        </w:rPr>
        <w:t>, nos termos do art. 105, da Lei nº 14.133/2021.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DO OBJETIVO E DA JUSTIFICATIVA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Licitação é o procedimento administrativo formal em que a Administração convoca, mediante condições estabelecidas em ato próprio (edital), empresas interessadas na apresentação de propostas para o oferecimento de bens e serviços. O ordenamento brasileiro, em sua Carta Magna (art. 37, inciso XXI), determinou a obrigatoriedade da licitação para todas as aquisições de bens e contratações de serviços e obras realizadas pela Administração no exercício de suas funções. Nessa perspectiva, a Lei Federal nº 14.133/2021 estabelece as normas gerais sobre licitações e contratos.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A fundamentação pormenorizada quanto à necessidade de contratação do presente objeto pode ser encontrada no Documento de Formalização de Demanda e neste instrumento referencial, de modo que, em virtude na natureza do objeto a ser contratado, nos termos do art. 75, IV, a, da Lei nº 14.133/2021, dispensa-se a elaboração de Estudo Técnico Preliminar (ETP), bem como a realização de procedimento licitatório.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Portanto, </w:t>
      </w:r>
      <w:r>
        <w:rPr>
          <w:rFonts w:cs="Arial" w:ascii="Times New Roman" w:hAnsi="Times New Roman"/>
          <w:b/>
          <w:sz w:val="24"/>
          <w:szCs w:val="24"/>
        </w:rPr>
        <w:t>sob a égide do art. 75, IV, a, da Lei nº 14.133/2021, destacamos que a respectiva contratação se dará por meio de dispensa de licitação</w:t>
      </w:r>
      <w:r>
        <w:rPr>
          <w:rFonts w:cs="Arial" w:ascii="Times New Roman" w:hAnsi="Times New Roman"/>
          <w:sz w:val="24"/>
          <w:szCs w:val="24"/>
        </w:rPr>
        <w:t xml:space="preserve">, asseverando, ainda, a conformidade ao regulamento normativo municipal. De igual modo, </w:t>
      </w:r>
      <w:r>
        <w:rPr>
          <w:rFonts w:cs="Arial" w:ascii="Times New Roman" w:hAnsi="Times New Roman"/>
          <w:b/>
          <w:sz w:val="24"/>
          <w:szCs w:val="24"/>
        </w:rPr>
        <w:t>o objeto da presente contratação se encontra previsto no Plano Anual de Contratações (PAC) para o exercício de 2024</w:t>
      </w:r>
      <w:r>
        <w:rPr>
          <w:rFonts w:cs="Arial" w:ascii="Times New Roman" w:hAnsi="Times New Roman"/>
          <w:sz w:val="24"/>
          <w:szCs w:val="24"/>
        </w:rPr>
        <w:t>, aprovado pelo Decreto Municipal nº</w:t>
      </w:r>
      <w:r>
        <w:rPr>
          <w:rFonts w:cs="Arial" w:ascii="Times New Roman" w:hAnsi="Times New Roman"/>
          <w:sz w:val="24"/>
          <w:szCs w:val="24"/>
          <w:shd w:fill="auto" w:val="clear"/>
        </w:rPr>
        <w:t xml:space="preserve"> 6.605/2023 e publicado em 31/10/2023,</w:t>
      </w:r>
      <w:r>
        <w:rPr>
          <w:rFonts w:cs="Arial" w:ascii="Times New Roman" w:hAnsi="Times New Roman"/>
          <w:b/>
          <w:sz w:val="24"/>
          <w:szCs w:val="24"/>
        </w:rPr>
        <w:t xml:space="preserve"> não sendo necessária a atualização do respectivo plano.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Os quantitativos previstos nesse Termo de Referência levaram em </w:t>
      </w:r>
      <w:r>
        <w:rPr>
          <w:rFonts w:cs="Arial" w:ascii="Times New Roman" w:hAnsi="Times New Roman"/>
          <w:b/>
          <w:sz w:val="24"/>
          <w:szCs w:val="24"/>
        </w:rPr>
        <w:t>consideração a demanda da Secretaria Municipal Requisitante, por meio do Setor de Transporte Agrícola,</w:t>
      </w:r>
      <w:r>
        <w:rPr>
          <w:rFonts w:cs="Arial" w:ascii="Times New Roman" w:hAnsi="Times New Roman"/>
          <w:sz w:val="24"/>
          <w:szCs w:val="24"/>
        </w:rPr>
        <w:t xml:space="preserve"> mediante o controle realizado, pelo respectivo setor, nos cuidados com os veículos da frota municipal. Assim, a presente contratação tem como finalidade o suprimento das demandas apresentadas pela Secretaria, ante a viabilidade demonstrada pelo Documento de Formalização de Demanda e por meio deste instrumento.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A descrição técnica dos objetos/produtos a serem contratados, e posteriormente adquiridos conforme necessidades da Secretaria Requerente constam, inclusive quantitativamente, na tabela presente no </w:t>
      </w:r>
      <w:r>
        <w:rPr>
          <w:rFonts w:cs="Arial" w:ascii="Times New Roman" w:hAnsi="Times New Roman"/>
          <w:b/>
          <w:sz w:val="24"/>
          <w:szCs w:val="24"/>
        </w:rPr>
        <w:t>subitem 1.1.2.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Justificando, o presente Termo de Referência visa </w:t>
      </w:r>
      <w:r>
        <w:rPr>
          <w:rFonts w:cs="Arial" w:ascii="Times New Roman" w:hAnsi="Times New Roman"/>
          <w:b/>
          <w:sz w:val="24"/>
          <w:szCs w:val="24"/>
        </w:rPr>
        <w:t>esclarecer e direcionar os procedimentos essenciais para elaboração da Dispensa de Licitação, nos termos do art. 75, IV, a, da Lei nº 14.133/2021.</w:t>
      </w:r>
      <w:r>
        <w:rPr>
          <w:rFonts w:cs="Arial" w:ascii="Times New Roman" w:hAnsi="Times New Roman"/>
          <w:sz w:val="24"/>
          <w:szCs w:val="24"/>
        </w:rPr>
        <w:t xml:space="preserve"> No Termo de Referência, apresentam-se sugestões básicas sobre os procedimentos administrativos mais comuns nas licitações públicas municipais e o atendimento aos requisitos estabelecidos evitará equívocos nas compras e contrações a serem realizadas.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DA FORMALIZAÇÃO DA ATA DE REGISTRO DE PREÇOS, DOS USUÁRIOS DO REGISTRO DE PREÇOS E DO FORNECIMENTO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i/>
          <w:sz w:val="24"/>
          <w:szCs w:val="24"/>
        </w:rPr>
        <w:t>Não se aplica a presente contratação</w:t>
      </w:r>
      <w:r>
        <w:rPr>
          <w:rFonts w:cs="Arial" w:ascii="Times New Roman" w:hAnsi="Times New Roman"/>
          <w:sz w:val="24"/>
          <w:szCs w:val="24"/>
        </w:rPr>
        <w:t>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DO OBJETO LICITADO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hd w:val="clear" w:color="auto" w:fill="F2F2F2" w:themeFill="background1" w:themeFillShade="f2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DA SOLUÇÃO E DO CICLO DE VIDA DO OBJETO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A descrição da solução como um todo se encontra pormenorizada na própria Lei nº 14.133/2021</w:t>
      </w:r>
      <w:r>
        <w:rPr>
          <w:rFonts w:cs="Arial" w:ascii="Times New Roman" w:hAnsi="Times New Roman"/>
          <w:sz w:val="24"/>
          <w:szCs w:val="24"/>
        </w:rPr>
        <w:t>, ao passo que se estabelece ser dispensável a licitação nos casos em que a contratação tenha por objeto bens, componentes ou peças de origem nacional ou estrangeira necessários à manutenção de equipamentos, a serem adquiridos do fornecedor original desses equipamentos durante o período de garantia técnica, quando essa condição de exclusividade for indispensável para a vigência da garantia (art. 75, IV, a, Lei nº 14.133/2021).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Na presente contratação será admitida, apenas, a oferta do objeto em consonância com as características e justificativas contidas neste instrumento referencial.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hd w:val="clear" w:color="auto" w:fill="F2F2F2" w:themeFill="background1" w:themeFillShade="f2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DOS REQUISITOS DA CONTRATAÇÃO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A contratação será realizada em razão da necessidade e periodicidade de revisões veiculares de garantia, nos veículos da Secretaria Municipal de </w:t>
      </w:r>
      <w:r>
        <w:rPr>
          <w:rFonts w:cs="Arial" w:ascii="Times New Roman" w:hAnsi="Times New Roman"/>
          <w:color w:val="000000"/>
          <w:sz w:val="24"/>
          <w:szCs w:val="24"/>
        </w:rPr>
        <w:t>Agricultura e</w:t>
      </w:r>
      <w:r>
        <w:rPr>
          <w:rFonts w:cs="Arial" w:ascii="Times New Roman" w:hAnsi="Times New Roman"/>
          <w:sz w:val="24"/>
          <w:szCs w:val="24"/>
        </w:rPr>
        <w:t xml:space="preserve"> Desenvolvimento Econômico.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A contratação em comento leva em conta a necessidade da Secretaria para o exercício financeiro, sendo que tal contratação faz parte do planejamento estabelecido pela equipe técnica do setor, estando contemplado, ainda, no Plano Anual de Contratações. Assim, demonstra-se que a pretensão se encontra plenamente alinhada com o planejamento realizado pela requerente.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Para a contratação será aferida a verificação da habilitação social, fiscal, trabalhista e técnica da empresa, de acordo com as premissas da Lei Federal nº 14.133/2021, em seu Capítulo VI.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hd w:val="clear" w:color="auto" w:fill="F2F2F2" w:themeFill="background1" w:themeFillShade="f2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DO FORNECIMENTO E RECEBIMENTO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sz w:val="24"/>
          <w:szCs w:val="24"/>
        </w:rPr>
        <w:t xml:space="preserve">O objeto da presente contratação será fornecido </w:t>
      </w:r>
      <w:r>
        <w:rPr>
          <w:rFonts w:cs="Arial" w:ascii="Times New Roman" w:hAnsi="Times New Roman"/>
          <w:b/>
          <w:bCs/>
          <w:sz w:val="24"/>
          <w:szCs w:val="24"/>
        </w:rPr>
        <w:t>integralmente de acordo com a solicitação</w:t>
      </w:r>
      <w:r>
        <w:rPr>
          <w:rFonts w:cs="Arial" w:ascii="Times New Roman" w:hAnsi="Times New Roman"/>
          <w:sz w:val="24"/>
          <w:szCs w:val="24"/>
        </w:rPr>
        <w:t xml:space="preserve">, sendo que será emitido um atestado – </w:t>
      </w:r>
      <w:r>
        <w:rPr>
          <w:rFonts w:cs="Arial" w:ascii="Times New Roman" w:hAnsi="Times New Roman"/>
          <w:b/>
          <w:sz w:val="24"/>
          <w:szCs w:val="24"/>
        </w:rPr>
        <w:t>“Termo de Recebimento”</w:t>
      </w:r>
      <w:r>
        <w:rPr>
          <w:rFonts w:cs="Arial" w:ascii="Times New Roman" w:hAnsi="Times New Roman"/>
          <w:sz w:val="24"/>
          <w:szCs w:val="24"/>
        </w:rPr>
        <w:t>, apurando a qualidade do fornecimento, informando a quantidade recebida e os descritivos dos mesmos constantes no contrato, obrigando-se a proponente a substituir, as suas expensas, aqueles que vierem a ser recusados.</w:t>
      </w:r>
    </w:p>
    <w:p>
      <w:pPr>
        <w:pStyle w:val="Normal"/>
        <w:tabs>
          <w:tab w:val="clear" w:pos="708"/>
          <w:tab w:val="left" w:pos="-414" w:leader="none"/>
          <w:tab w:val="left" w:pos="0" w:leader="none"/>
          <w:tab w:val="left" w:pos="306" w:leader="none"/>
          <w:tab w:val="left" w:pos="1020" w:leader="none"/>
          <w:tab w:val="left" w:pos="2466" w:leader="none"/>
          <w:tab w:val="left" w:pos="2832" w:leader="none"/>
          <w:tab w:val="left" w:pos="3906" w:leader="none"/>
          <w:tab w:val="left" w:pos="4626" w:leader="none"/>
          <w:tab w:val="left" w:pos="5346" w:leader="none"/>
          <w:tab w:val="left" w:pos="6066" w:leader="none"/>
          <w:tab w:val="left" w:pos="6786" w:leader="none"/>
          <w:tab w:val="left" w:pos="7506" w:leader="none"/>
          <w:tab w:val="left" w:pos="8226" w:leader="none"/>
          <w:tab w:val="left" w:pos="8946" w:leader="none"/>
          <w:tab w:val="left" w:pos="9666" w:leader="none"/>
        </w:tabs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3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O recebimento dar-se-á mediante a apresentação das Notas Fiscais, em conformidade ao objeto.</w:t>
      </w:r>
    </w:p>
    <w:p>
      <w:pPr>
        <w:pStyle w:val="Normal"/>
        <w:tabs>
          <w:tab w:val="clear" w:pos="708"/>
          <w:tab w:val="left" w:pos="-414" w:leader="none"/>
          <w:tab w:val="left" w:pos="0" w:leader="none"/>
          <w:tab w:val="left" w:pos="306" w:leader="none"/>
          <w:tab w:val="left" w:pos="1020" w:leader="none"/>
          <w:tab w:val="left" w:pos="2466" w:leader="none"/>
          <w:tab w:val="left" w:pos="2832" w:leader="none"/>
          <w:tab w:val="left" w:pos="3906" w:leader="none"/>
          <w:tab w:val="left" w:pos="4626" w:leader="none"/>
          <w:tab w:val="left" w:pos="5346" w:leader="none"/>
          <w:tab w:val="left" w:pos="6066" w:leader="none"/>
          <w:tab w:val="left" w:pos="6786" w:leader="none"/>
          <w:tab w:val="left" w:pos="7506" w:leader="none"/>
          <w:tab w:val="left" w:pos="8226" w:leader="none"/>
          <w:tab w:val="left" w:pos="8946" w:leader="none"/>
          <w:tab w:val="left" w:pos="9666" w:leader="none"/>
        </w:tabs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A </w:t>
      </w:r>
      <w:r>
        <w:rPr>
          <w:rFonts w:cs="Arial" w:ascii="Times New Roman" w:hAnsi="Times New Roman"/>
          <w:b/>
          <w:sz w:val="24"/>
          <w:szCs w:val="24"/>
        </w:rPr>
        <w:t>CONTRATADA</w:t>
      </w:r>
      <w:r>
        <w:rPr>
          <w:rFonts w:cs="Arial" w:ascii="Times New Roman" w:hAnsi="Times New Roman"/>
          <w:sz w:val="24"/>
          <w:szCs w:val="24"/>
        </w:rPr>
        <w:t xml:space="preserve"> terá o </w:t>
      </w:r>
      <w:r>
        <w:rPr>
          <w:rFonts w:cs="Arial" w:ascii="Times New Roman" w:hAnsi="Times New Roman"/>
          <w:b/>
          <w:bCs/>
          <w:sz w:val="24"/>
          <w:szCs w:val="24"/>
        </w:rPr>
        <w:t>prazo imediato para o fornecimento do objeto solicitado</w:t>
      </w:r>
      <w:r>
        <w:rPr>
          <w:rFonts w:cs="Arial" w:ascii="Times New Roman" w:hAnsi="Times New Roman"/>
          <w:bCs/>
          <w:sz w:val="24"/>
          <w:szCs w:val="24"/>
        </w:rPr>
        <w:t xml:space="preserve">, contados a partir da respectiva Autorização de Fornecimento (AF), expedida pelo Setor de Compras do </w:t>
      </w:r>
      <w:r>
        <w:rPr>
          <w:rFonts w:cs="Arial" w:ascii="Times New Roman" w:hAnsi="Times New Roman"/>
          <w:b/>
          <w:bCs/>
          <w:sz w:val="24"/>
          <w:szCs w:val="24"/>
        </w:rPr>
        <w:t>CONTRATANTE</w:t>
      </w:r>
      <w:r>
        <w:rPr>
          <w:rFonts w:cs="Arial" w:ascii="Times New Roman" w:hAnsi="Times New Roman"/>
          <w:bCs/>
          <w:sz w:val="24"/>
          <w:szCs w:val="24"/>
        </w:rPr>
        <w:t>.</w:t>
      </w:r>
    </w:p>
    <w:p>
      <w:pPr>
        <w:pStyle w:val="Normal"/>
        <w:tabs>
          <w:tab w:val="clear" w:pos="708"/>
          <w:tab w:val="left" w:pos="-414" w:leader="none"/>
          <w:tab w:val="left" w:pos="0" w:leader="none"/>
          <w:tab w:val="left" w:pos="306" w:leader="none"/>
          <w:tab w:val="left" w:pos="1020" w:leader="none"/>
          <w:tab w:val="left" w:pos="2466" w:leader="none"/>
          <w:tab w:val="left" w:pos="2832" w:leader="none"/>
          <w:tab w:val="left" w:pos="3906" w:leader="none"/>
          <w:tab w:val="left" w:pos="4626" w:leader="none"/>
          <w:tab w:val="left" w:pos="5346" w:leader="none"/>
          <w:tab w:val="left" w:pos="6066" w:leader="none"/>
          <w:tab w:val="left" w:pos="6786" w:leader="none"/>
          <w:tab w:val="left" w:pos="7506" w:leader="none"/>
          <w:tab w:val="left" w:pos="8226" w:leader="none"/>
          <w:tab w:val="left" w:pos="8946" w:leader="none"/>
          <w:tab w:val="left" w:pos="9666" w:leader="none"/>
        </w:tabs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hd w:val="clear" w:color="auto" w:fill="F2F2F2" w:themeFill="background1" w:themeFillShade="f2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DAS CONDIÇÕES DE RECEBIMENTO DO OBJETO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No recebimento e aceitação do objeto deste Termo de Referência serão observados, no que couberem, as disposições contidas no artigo 140 da Lei Federal nº 14.133/2021.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O fornecimento será recebido: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3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color w:val="000000"/>
          <w:sz w:val="24"/>
          <w:szCs w:val="24"/>
        </w:rPr>
        <w:t>P</w:t>
      </w: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rovisoriamente</w:t>
      </w:r>
      <w:r>
        <w:rPr>
          <w:rFonts w:cs="Arial" w:ascii="Times New Roman" w:hAnsi="Times New Roman"/>
          <w:bCs/>
          <w:color w:val="000000"/>
          <w:sz w:val="24"/>
          <w:szCs w:val="24"/>
        </w:rPr>
        <w:t>, pelo responsável por seu acompanhamento e fiscalização, mediante termo detalhado, quando verificado o cumprimento das exigências de caráter técnico</w:t>
      </w:r>
      <w:r>
        <w:rPr>
          <w:rFonts w:cs="Arial" w:ascii="Times New Roman" w:hAnsi="Times New Roman"/>
          <w:color w:val="000000"/>
          <w:sz w:val="24"/>
          <w:szCs w:val="24"/>
        </w:rPr>
        <w:t>, em até 05 (cinco) dias; e,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3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Definitivamente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, </w:t>
      </w:r>
      <w:r>
        <w:rPr>
          <w:rFonts w:eastAsia="SimSun" w:cs="Arial" w:ascii="Times New Roman" w:hAnsi="Times New Roman"/>
          <w:color w:val="000000"/>
          <w:sz w:val="24"/>
          <w:szCs w:val="24"/>
        </w:rPr>
        <w:t>por servidor ou comissão designada pela autoridade competente, mediante termo detalhado que comprove o atendimento das exigências contratuais</w:t>
      </w:r>
      <w:r>
        <w:rPr>
          <w:rFonts w:cs="Arial" w:ascii="Times New Roman" w:hAnsi="Times New Roman"/>
          <w:color w:val="000000"/>
          <w:sz w:val="24"/>
          <w:szCs w:val="24"/>
        </w:rPr>
        <w:t>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Será rejeitado no recebimento, o objeto fornecido com especificações e marcas (quando for o caso) diferentes das constantes da proposta comercial apresentada pela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devendo a sua substituição ocorrer na forma e prazo definidos a seguir.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Constatadas irregularidades no fornecimento, 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CONTRATANTE,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através do representante da Secretaria Requerente, poderá: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5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Se disser respeito à especificação do fornecimento, ou qualquer dos demais motivos elencados neste item, rejeitá-lo em parte ou no todo, determinando sua substituição ou rescindindo a aquisição, sem prejuízo das penalidades cabíveis;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Corpodetexto23"/>
        <w:numPr>
          <w:ilvl w:val="0"/>
          <w:numId w:val="2"/>
        </w:numPr>
        <w:ind w:left="0" w:hanging="0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 xml:space="preserve">Na hipótese de substituição, a </w:t>
      </w:r>
      <w:r>
        <w:rPr>
          <w:rFonts w:cs="Arial"/>
          <w:b/>
          <w:color w:val="000000"/>
          <w:sz w:val="24"/>
          <w:szCs w:val="24"/>
        </w:rPr>
        <w:t>CONTRATADA</w:t>
      </w:r>
      <w:r>
        <w:rPr>
          <w:rFonts w:cs="Arial"/>
          <w:color w:val="000000"/>
          <w:sz w:val="24"/>
          <w:szCs w:val="24"/>
        </w:rPr>
        <w:t xml:space="preserve"> deverá fazê-la em conformidade com a indicação da Administração, no prazo máximo de </w:t>
      </w:r>
      <w:r>
        <w:rPr>
          <w:rFonts w:cs="Arial"/>
          <w:sz w:val="24"/>
          <w:szCs w:val="24"/>
        </w:rPr>
        <w:t>05 (cinco) dias úteis</w:t>
      </w:r>
      <w:r>
        <w:rPr>
          <w:rFonts w:cs="Arial"/>
          <w:color w:val="000000"/>
          <w:sz w:val="24"/>
          <w:szCs w:val="24"/>
        </w:rPr>
        <w:t>, contados da notificação por escrito, mantido o preço inicialmente adquirido.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5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Se diz respeito à diferença de quantidade ou de partes, determinar a sua complementação ou rescindir a aquisição, sem prejuízo das penalidades cabíveis;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Corpodetexto23"/>
        <w:numPr>
          <w:ilvl w:val="0"/>
          <w:numId w:val="3"/>
        </w:numPr>
        <w:ind w:left="0" w:hanging="0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 xml:space="preserve">Na hipótese de complementação, a </w:t>
      </w:r>
      <w:r>
        <w:rPr>
          <w:rFonts w:cs="Arial"/>
          <w:b/>
          <w:color w:val="000000"/>
          <w:sz w:val="24"/>
          <w:szCs w:val="24"/>
        </w:rPr>
        <w:t>CONTRATADA</w:t>
      </w:r>
      <w:r>
        <w:rPr>
          <w:rFonts w:cs="Arial"/>
          <w:color w:val="000000"/>
          <w:sz w:val="24"/>
          <w:szCs w:val="24"/>
        </w:rPr>
        <w:t xml:space="preserve"> deverá fazê-la em conformidade com a indicação do </w:t>
      </w:r>
      <w:r>
        <w:rPr>
          <w:rFonts w:cs="Arial"/>
          <w:b/>
          <w:color w:val="000000"/>
          <w:sz w:val="24"/>
          <w:szCs w:val="24"/>
        </w:rPr>
        <w:t>CONTRATANTE</w:t>
      </w:r>
      <w:r>
        <w:rPr>
          <w:rFonts w:cs="Arial"/>
          <w:color w:val="000000"/>
          <w:sz w:val="24"/>
          <w:szCs w:val="24"/>
        </w:rPr>
        <w:t>, no prazo máximo de 05 (cinco) dias úteis, contados da Notificação por escrito, mantido o preço inicialmente adquirido.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 </w:t>
      </w:r>
      <w:r>
        <w:rPr>
          <w:rFonts w:cs="Arial" w:ascii="Times New Roman" w:hAnsi="Times New Roman"/>
          <w:color w:val="000000"/>
          <w:sz w:val="24"/>
          <w:szCs w:val="24"/>
        </w:rPr>
        <w:t>O recebimento do objeto compreenderá, dentre outras, as seguintes verificações: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0"/>
          <w:numId w:val="9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Compatibilidade do fornecimento com as especificações exigidas no termo de referência e constantes da proposta da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>, incluindo-se marcas (se houver) e quantidades, devendo o fornecimento acontecer nas mesmas condições indicadas nas propostas de preços;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</w:r>
    </w:p>
    <w:p>
      <w:pPr>
        <w:pStyle w:val="ListParagraph"/>
        <w:numPr>
          <w:ilvl w:val="0"/>
          <w:numId w:val="9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Apresentação do documento fiscal, com identificação do fornecedor e do comprador, descrição do material entregue, quantidade, preços unitários e total.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Reserva-se 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o direito de não aceitar o fornecimento cuja qualidade seja comprovadamente baixa.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Somente será aceito pelo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, o fornecimento integral de acordo com o quantitativo total e especificações constantes das Autorizações de Fornecimento e, caso seja rejeitado, o objeto do fornecimento ficará disponível para solução pela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>, sob pena de sofrer as sanções previstas na Lei Federal nº 14.133/2021.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Todas as despesas de recolhimento e transporte, quando houver, ficarão a cargo da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hd w:val="clear" w:color="auto" w:fill="F2F2F2" w:themeFill="background1" w:themeFillShade="f2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DAS OBRIGAÇÕES E RESPONSABILIDADES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DAS OBRIGAÇÕES E RESPONSABILIDADES DA CONTRATADA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3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Além das obrigações resultantes da observância da Lei Federal nº 14.133/2021, em atendimento ao seu art. 89, §2º, são obrigações da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>: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Cumprir fielmente, os compromissos avençados de forma que o fornecimento seja efetuado com pontualidade, dentro do prazo estipulado, bem como seja feita com esmero e perfeição e devendo ainda solucionar os problemas que porventura venham a surgir;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Comunicar imediatamente e por escrito a Administração Municipal, através da Fiscalização, qualquer anormalidade verificada, para que sejam adotadas as providências de regularização necessárias;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Atender com prontidão as reclamações por parte do recebedor do fornecimento, objeto da presente aquisição;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Suportar todas as despesas com deslocamento, encargos fiscais, previdenciários e trabalhistas, além de quaisquer outras que se fizerem necessários ao cumprimento da presente contratação;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Trocar às suas expensas, todo o objeto comprovadamente fornecido de forma inadequada, a critério da fiscalização do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>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Assumir a responsabilidade, presente e futura, de qualquer compromisso ou ônus decorrentes do inadimplemento relativos às obrigações aqui assumidas, ficando essas ao seu encargo, exclusivamente, em qualquer momento que vierem a ocorrer;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Dispor de equipamento, material, peças e pessoal especializado no quantitativo necessário ao cumprimento do objeto adquirido, respeitando as normas de higiene e segurança no trabalho;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Entregar o objeto de primeira qualidade, dentro do prazo de validade exigido pela legislação vigente;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eastAsia="SimSun" w:cs="Arial" w:ascii="Times New Roman" w:hAnsi="Times New Roman"/>
          <w:color w:val="000000"/>
          <w:sz w:val="24"/>
          <w:szCs w:val="24"/>
          <w:lang w:eastAsia="zh-CN"/>
        </w:rPr>
        <w:t>O</w:t>
      </w:r>
      <w:r>
        <w:rPr>
          <w:rFonts w:cs="Arial" w:ascii="Times New Roman" w:hAnsi="Times New Roman"/>
          <w:sz w:val="24"/>
          <w:szCs w:val="24"/>
        </w:rPr>
        <w:t xml:space="preserve">bedecer ao prazo de execução dos serviços, nas datas, condições e locais definidos, nas quantidades </w:t>
      </w:r>
      <w:r>
        <w:rPr>
          <w:rFonts w:cs="Arial" w:ascii="Times New Roman" w:hAnsi="Times New Roman"/>
          <w:b/>
          <w:sz w:val="24"/>
          <w:szCs w:val="24"/>
        </w:rPr>
        <w:t>CONTRATADAS</w:t>
      </w:r>
      <w:r>
        <w:rPr>
          <w:rFonts w:cs="Arial" w:ascii="Times New Roman" w:hAnsi="Times New Roman"/>
          <w:sz w:val="24"/>
          <w:szCs w:val="24"/>
        </w:rPr>
        <w:t>, acrescidas se necessário;</w:t>
      </w:r>
    </w:p>
    <w:p>
      <w:pPr>
        <w:pStyle w:val="Corpodetexto23"/>
        <w:tabs>
          <w:tab w:val="clear" w:pos="708"/>
          <w:tab w:val="left" w:pos="1302" w:leader="none"/>
        </w:tabs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Responsabilizar-se pelos danos que causar ao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ou a terceiros, decorrentes de culpa ou dolo, durante a execução;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A inadimplência da </w:t>
      </w:r>
      <w:r>
        <w:rPr>
          <w:rFonts w:cs="Arial" w:ascii="Times New Roman" w:hAnsi="Times New Roman"/>
          <w:b/>
          <w:sz w:val="24"/>
          <w:szCs w:val="24"/>
        </w:rPr>
        <w:t>CONTRATADA</w:t>
      </w:r>
      <w:r>
        <w:rPr>
          <w:rFonts w:cs="Arial" w:ascii="Times New Roman" w:hAnsi="Times New Roman"/>
          <w:sz w:val="24"/>
          <w:szCs w:val="24"/>
        </w:rPr>
        <w:t xml:space="preserve">, com referência aos encargos trabalhistas, fiscais e comerciais, não transfere ao </w:t>
      </w:r>
      <w:r>
        <w:rPr>
          <w:rFonts w:cs="Arial" w:ascii="Times New Roman" w:hAnsi="Times New Roman"/>
          <w:b/>
          <w:sz w:val="24"/>
          <w:szCs w:val="24"/>
        </w:rPr>
        <w:t>CONTRATANTE</w:t>
      </w:r>
      <w:r>
        <w:rPr>
          <w:rFonts w:cs="Arial" w:ascii="Times New Roman" w:hAnsi="Times New Roman"/>
          <w:sz w:val="24"/>
          <w:szCs w:val="24"/>
        </w:rPr>
        <w:t xml:space="preserve"> ou a terceiros a responsabilidade por seu pagamento;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Responder, integralmente, por perdas e danos que vier a causar ao </w:t>
      </w:r>
      <w:r>
        <w:rPr>
          <w:rFonts w:cs="Arial" w:ascii="Times New Roman" w:hAnsi="Times New Roman"/>
          <w:b/>
          <w:sz w:val="24"/>
          <w:szCs w:val="24"/>
        </w:rPr>
        <w:t>CONTRATANTE</w:t>
      </w:r>
      <w:r>
        <w:rPr>
          <w:rFonts w:cs="Arial" w:ascii="Times New Roman" w:hAnsi="Times New Roman"/>
          <w:sz w:val="24"/>
          <w:szCs w:val="24"/>
        </w:rPr>
        <w:t xml:space="preserve"> ou a terceiros em razão de ação ou omissão, dolosa ou culposa, sua ou dos seus prepostos, independentemente de outras cominações contratuais ou legais a que estiver sujeita;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O </w:t>
      </w:r>
      <w:r>
        <w:rPr>
          <w:rFonts w:cs="Arial" w:ascii="Times New Roman" w:hAnsi="Times New Roman"/>
          <w:b/>
          <w:sz w:val="24"/>
          <w:szCs w:val="24"/>
        </w:rPr>
        <w:t xml:space="preserve">CONTRATANTE </w:t>
      </w:r>
      <w:r>
        <w:rPr>
          <w:rFonts w:cs="Arial" w:ascii="Times New Roman" w:hAnsi="Times New Roman"/>
          <w:sz w:val="24"/>
          <w:szCs w:val="24"/>
        </w:rPr>
        <w:t xml:space="preserve">não aceitará, sob nenhum pretexto, a transferência de responsabilidade da </w:t>
      </w:r>
      <w:r>
        <w:rPr>
          <w:rFonts w:cs="Arial" w:ascii="Times New Roman" w:hAnsi="Times New Roman"/>
          <w:b/>
          <w:sz w:val="24"/>
          <w:szCs w:val="24"/>
        </w:rPr>
        <w:t>CONTRATADA</w:t>
      </w:r>
      <w:r>
        <w:rPr>
          <w:rFonts w:cs="Arial" w:ascii="Times New Roman" w:hAnsi="Times New Roman"/>
          <w:sz w:val="24"/>
          <w:szCs w:val="24"/>
        </w:rPr>
        <w:t xml:space="preserve"> para outras entidades, sejam fabricantes, técnicos ou quaisquer outros;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Manter, em compatibilidade com as obrigações aqui assumidas, todas as condições de habilitação e qualificação exigidas na contratação, que possa comprometer a continuidade do fornecimento, bem como substituir os documentos com prazo de validade expirado;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Permitir que o fornecimento seja fiscalizado no ato de sua entrega.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DAS OBRIGAÇÕES E RESPONSABILIDADES DO CONTRATANTE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3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Além das obrigações resultantes da observância da Lei Federal nº 14.133/2021, em atendimento ao seu art. 89, §2º, são obrigações do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>: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Cumprir todos os compromissos financeiros assumidos com 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>, em conformidade com Autorização de Fornecimento, sendo que o pagamento da Nota Fiscal fica condicionado ao cumprimento dos critérios de recebimento do fornecimento e os procedimentos burocráticos;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Fornecer a qualquer tempo e com presteza, mediante solicitação das empresas proponentes vencedoras do certame, informações adicionais, dirimir dúvidas e orientá-la em todos os casos omissos;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Fiscalizar rigorosamente, através do fiscal designado, se o objeto fornecido obedece às condições exigidas, inclusive, se necessário e a qualquer tempo, quanto às propriedades sanitárias, físicas ou químicas a depender do seu gênero e condições da empresa ou filial em que forem armazenados, produzidos ou fabricado o objeto;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Notificar por escrito, formal e tempestivamente, a </w:t>
      </w:r>
      <w:r>
        <w:rPr>
          <w:rFonts w:cs="Arial" w:ascii="Times New Roman" w:hAnsi="Times New Roman"/>
          <w:b/>
          <w:sz w:val="24"/>
          <w:szCs w:val="24"/>
        </w:rPr>
        <w:t>CONTRATADA</w:t>
      </w:r>
      <w:r>
        <w:rPr>
          <w:rFonts w:cs="Arial" w:ascii="Times New Roman" w:hAnsi="Times New Roman"/>
          <w:sz w:val="24"/>
          <w:szCs w:val="24"/>
        </w:rPr>
        <w:t xml:space="preserve"> sobre as irregularidades observadas na execução do contrato ou instrumento substitutivo, inclusive sobre multas, penalidades e quaisquer débitos de sua responsabilidade;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Aplicar as sanções administrativas contratuais pertinentes, em caso de inadimplemento.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Comunicar a </w:t>
      </w:r>
      <w:r>
        <w:rPr>
          <w:rFonts w:cs="Arial" w:ascii="Times New Roman" w:hAnsi="Times New Roman"/>
          <w:b/>
          <w:sz w:val="24"/>
          <w:szCs w:val="24"/>
        </w:rPr>
        <w:t>CONTRATADA</w:t>
      </w:r>
      <w:r>
        <w:rPr>
          <w:rFonts w:cs="Arial" w:ascii="Times New Roman" w:hAnsi="Times New Roman"/>
          <w:sz w:val="24"/>
          <w:szCs w:val="24"/>
        </w:rPr>
        <w:t xml:space="preserve"> qualquer irregularidade manifestada na prestação dos serviços e interromper imediatamente, caso necessário. 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3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não assumirá em nenhuma hipótese, a responsabilidade, presente ou futura, de qualquer compromisso ou ônus decorrentes do inadimplemento das empresas vencedoras da presente aquisição relativa às obrigações aqui assumidas, ficando essas a seu encargo, exclusivamente, em qualquer momento que vierem a ocorrer.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DA GESTÃO / FISCALIZAÇÃO DO OBJETO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A fiscalização de todas as fases, será feita pelo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, por intermédio da(o) Gestor(a) Fiscal do Contrato, de acordo com o estabelecido no art. 117 da Lei Federal nº 14.133/2021, com autoridade para exercer em nome do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, a fiscalização do objeto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e toda e qualquer ação de orientação geral, controle e fiscalização, obrigando-se 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a facilitar, de modo amplo e completo, a ação do fiscal.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O gestor/fiscal deverá fiscalizar e acompanhar a execução da referida contratação, com poderes amplos e irrestritos para receber provisoriamente o fornecimento, conforme local indicado pela unidade requisitante, procedendo com a verificação das especificações, prazos e demais condições, e após realizar o recebimento definitivo dos mesmos, e bem como propor penalidades e analisar documentos.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A contratação terá como gestor/fiscal, o servidor </w:t>
      </w: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FÁBIO LOSS LUCHI,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o qual será designado, oficialmente, por meio de ato próprio da Secretária Municipal de Desenvolvimento Econômico, numerado, datado e publicado no Diário Oficial dos Municípios do Estado do Espírito Santo – DOM/ES.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A fiscalização será exercida no interesse do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, e não exclui e nem reduz a responsabilidade da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>, inclusive perante terceiros, por quaisquer irregularidades, e, na sua ocorrência, não implica corresponsabilidade do Poder Público ou de seus agentes e prepostos.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A Fiscalização poderá determinar, a ônus da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a substituição do fornecimento julgado deficiente ou não-conforme com as especificações definidas, cabendo 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>, providenciar a troca dos mesmos no prazo máximo definido pela fiscalização, sem direito à extensão do prazo final de fornecimento.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Caso o Secretário Municipal Requerente não designe nenhum servidor para acompanhar o fornecimento e fiscalização, o mesmo assumirá tal responsabilidade.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, através do fiscal do contrato comunicará 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>, por escrito, as deficiências porventura verificadas no fornecimento, para imediata correção.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A presença da fiscalização do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, não elide nem diminui a responsabilidade da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O Gestor/Fiscal do Contrato indicado anotará em registro próprio todas as ocorrências relacionadas com o fornecimento, determinando o que for necessário à regularização das faltas ou defeitos observados.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é obrigada a reparar, corrigir ou substituir, às suas expensas, no total ou em parte, o objeto em que se verificarem vícios, defeitos ou incorreções resultantes da execução.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As decisões e providências que ultrapassarem a competência do Gestor/Fiscal do Contrato deverão ser solicitadas ao Secretário Municipal Requisitante do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>, em tempo hábil, para a adoção das medidas convenientes.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DA GARANTIA PELO FORNECIMENTO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A </w:t>
      </w:r>
      <w:r>
        <w:rPr>
          <w:rFonts w:cs="Arial" w:ascii="Times New Roman" w:hAnsi="Times New Roman"/>
          <w:b/>
          <w:sz w:val="24"/>
          <w:szCs w:val="24"/>
        </w:rPr>
        <w:t>CONTRATADA</w:t>
      </w:r>
      <w:r>
        <w:rPr>
          <w:rFonts w:cs="Arial" w:ascii="Times New Roman" w:hAnsi="Times New Roman"/>
          <w:sz w:val="24"/>
          <w:szCs w:val="24"/>
        </w:rPr>
        <w:t xml:space="preserve"> deverá garantir, pelo prazo legal, sem prejuízo das garantias fornecidas por ela, fabricantes ou qualquer outro, a execução dos serviços em comento, bem como pelo fornecimento de peças que dela decorrer.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Durante o prazo de garantia, a </w:t>
      </w:r>
      <w:r>
        <w:rPr>
          <w:rFonts w:cs="Arial" w:ascii="Times New Roman" w:hAnsi="Times New Roman"/>
          <w:b/>
          <w:sz w:val="24"/>
          <w:szCs w:val="24"/>
        </w:rPr>
        <w:t>CONTRATADA</w:t>
      </w:r>
      <w:r>
        <w:rPr>
          <w:rFonts w:cs="Arial" w:ascii="Times New Roman" w:hAnsi="Times New Roman"/>
          <w:sz w:val="24"/>
          <w:szCs w:val="24"/>
        </w:rPr>
        <w:t xml:space="preserve"> fica obrigada a substituir os bens e serviços que houver vícios, no prazo máximo de 05 (cinco) dias úteis, a contar da data de recebimento da notificação do problema, sem ônus para o </w:t>
      </w:r>
      <w:r>
        <w:rPr>
          <w:rFonts w:cs="Arial" w:ascii="Times New Roman" w:hAnsi="Times New Roman"/>
          <w:b/>
          <w:sz w:val="24"/>
          <w:szCs w:val="24"/>
        </w:rPr>
        <w:t>CONTRATANTE</w:t>
      </w:r>
      <w:r>
        <w:rPr>
          <w:rFonts w:cs="Arial" w:ascii="Times New Roman" w:hAnsi="Times New Roman"/>
          <w:sz w:val="24"/>
          <w:szCs w:val="24"/>
        </w:rPr>
        <w:t>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A </w:t>
      </w:r>
      <w:r>
        <w:rPr>
          <w:rFonts w:cs="Arial" w:ascii="Times New Roman" w:hAnsi="Times New Roman"/>
          <w:b/>
          <w:sz w:val="24"/>
          <w:szCs w:val="24"/>
        </w:rPr>
        <w:t>CONTRATADA</w:t>
      </w:r>
      <w:r>
        <w:rPr>
          <w:rFonts w:cs="Arial" w:ascii="Times New Roman" w:hAnsi="Times New Roman"/>
          <w:sz w:val="24"/>
          <w:szCs w:val="24"/>
        </w:rPr>
        <w:t>, ainda, deverá assumir, durante a vigência da garantia, os custos de devolução, frete e outros que por ventura decorrerem dessas situações.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Se, decorrente do fornecimento de peças, estes se deteriorarem e/ou perderem suas características, no prazo de validade ou tempo de vida útil e/ou em condições normais de estocagem e usabilidade, deverão ser trocados, pela </w:t>
      </w:r>
      <w:r>
        <w:rPr>
          <w:rFonts w:cs="Arial" w:ascii="Times New Roman" w:hAnsi="Times New Roman"/>
          <w:b/>
          <w:sz w:val="24"/>
          <w:szCs w:val="24"/>
        </w:rPr>
        <w:t>CONTRATADA</w:t>
      </w:r>
      <w:r>
        <w:rPr>
          <w:rFonts w:cs="Arial" w:ascii="Times New Roman" w:hAnsi="Times New Roman"/>
          <w:sz w:val="24"/>
          <w:szCs w:val="24"/>
        </w:rPr>
        <w:t xml:space="preserve">, no prazo máximo de 02 (dois) dias úteis, contados da comunicação, por conta e ônus da </w:t>
      </w:r>
      <w:r>
        <w:rPr>
          <w:rFonts w:cs="Arial" w:ascii="Times New Roman" w:hAnsi="Times New Roman"/>
          <w:b/>
          <w:sz w:val="24"/>
          <w:szCs w:val="24"/>
        </w:rPr>
        <w:t>CONTRATADA</w:t>
      </w:r>
      <w:r>
        <w:rPr>
          <w:rFonts w:cs="Arial" w:ascii="Times New Roman" w:hAnsi="Times New Roman"/>
          <w:sz w:val="24"/>
          <w:szCs w:val="24"/>
        </w:rPr>
        <w:t>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A garantia aqui requerida não trará prejuízos a eventuais garantias adicionais fornecidas pela </w:t>
      </w:r>
      <w:r>
        <w:rPr>
          <w:rFonts w:cs="Arial" w:ascii="Times New Roman" w:hAnsi="Times New Roman"/>
          <w:b/>
          <w:sz w:val="24"/>
          <w:szCs w:val="24"/>
        </w:rPr>
        <w:t>CONTRATADA</w:t>
      </w:r>
      <w:r>
        <w:rPr>
          <w:rFonts w:cs="Arial" w:ascii="Times New Roman" w:hAnsi="Times New Roman"/>
          <w:sz w:val="24"/>
          <w:szCs w:val="24"/>
        </w:rPr>
        <w:t>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DAS AMOSTRAS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i/>
          <w:sz w:val="24"/>
          <w:szCs w:val="24"/>
        </w:rPr>
        <w:t>Não se aplica a presente contratação.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DA GESTÃO DO CONTRATO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i/>
          <w:sz w:val="24"/>
          <w:szCs w:val="24"/>
        </w:rPr>
        <w:t>Não se aplica a presente contratação. Informações referentes à fiscalização e acompanhamento da contratação podem ser vislumbradas no item 5.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DO FATURAMENTO E DO PAGAMENTO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O faturamento do objeto ocorrerá mensalmente, conforme a Autorização de fornecimento e nota de empenho, mediante apresentação do(s) documento(s) fiscal(is) hábil(eis) de fornecimento, sem emendas ou rasuras, e dos documentos de regularidade fiscal exigidos pelo art. 68 da Lei Federal nº 14.133/2021.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Recebida a Nota Fiscal ou documento de cobrança equivalente, correrá o prazo de dez dias úteis para fins de liquidação, prorrogáveis por igual período.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Para fins de liquidação, o setor competente deverá verificar se a nota fiscal ou instrumento de cobrança equivalente apresentado expressa os elementos necessários e essenciais do documento, tais como: 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Corpodetexto23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>a)</w:t>
        <w:tab/>
        <w:t>o prazo de validade;</w:t>
      </w:r>
    </w:p>
    <w:p>
      <w:pPr>
        <w:pStyle w:val="Corpodetexto23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>b)</w:t>
        <w:tab/>
        <w:t xml:space="preserve">a data da emissão; </w:t>
      </w:r>
    </w:p>
    <w:p>
      <w:pPr>
        <w:pStyle w:val="Corpodetexto23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>c)</w:t>
        <w:tab/>
        <w:t xml:space="preserve">os dados do contrato e do órgão </w:t>
      </w:r>
      <w:r>
        <w:rPr>
          <w:rFonts w:cs="Arial"/>
          <w:b/>
          <w:color w:val="000000"/>
          <w:sz w:val="24"/>
          <w:szCs w:val="24"/>
        </w:rPr>
        <w:t>CONTRATANTE</w:t>
      </w:r>
      <w:r>
        <w:rPr>
          <w:rFonts w:cs="Arial"/>
          <w:color w:val="000000"/>
          <w:sz w:val="24"/>
          <w:szCs w:val="24"/>
        </w:rPr>
        <w:t xml:space="preserve">; </w:t>
      </w:r>
    </w:p>
    <w:p>
      <w:pPr>
        <w:pStyle w:val="Corpodetexto23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>d)</w:t>
        <w:tab/>
        <w:t xml:space="preserve">o período respectivo de execução do contrato; </w:t>
      </w:r>
    </w:p>
    <w:p>
      <w:pPr>
        <w:pStyle w:val="Corpodetexto23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>e)</w:t>
        <w:tab/>
        <w:t xml:space="preserve">o valor a pagar; e </w:t>
      </w:r>
    </w:p>
    <w:p>
      <w:pPr>
        <w:pStyle w:val="Corpodetexto23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>f)</w:t>
        <w:tab/>
        <w:t>eventual destaque do valor de retenções tributárias cabíveis.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Havendo erro na apresentação da nota fiscal ou instrumento de cobrança equivalente, ou circunstância que impeça a liquidação da despesa, esta ficará sobrestada até que 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providencie as medidas saneadoras, reiniciando-se o prazo após a comprovação da regularização da situação, sem ônus ao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>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Os documentos fiscais, após conferidos e visados, serão encaminhados para processamento e pagamento após o recebimento dos mesmos.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Constatando-se, junto ao SICAF ou cadastro próprio do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, a situação de irregularidade do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, será providenciada sua notificação, por escrito, para que, no prazo de 5 (cinco) dias úteis, regularize sua situação ou, no mesmo prazo, apresente sua defesa. O prazo poderá ser prorrogado uma vez, por igual período, a critério do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>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Persistindo a irregularidade, 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deverá adotar as medidas necessárias à rescisão contratual nos autos do processo administrativo correspondente, assegurada ao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a ampla defesa. 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Havendo a efetiva execução do objeto, os pagamentos serão realizados normalmente, até que se decida pela rescisão do contrato, caso 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não regularize sua situação junto ao SICAF ou cadastro próprio do Município. 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O pagamento dar-se-á à vista até o 5º (quinto) dia útil contados da finalização da liquidação da despesa, em favor da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, mediante ordem bancária em conta corrente em nome do mesmo, desde que não haja fator impeditivo provocado pela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>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Após o prazo acima referenciado será paga multa financeira nos seguintes termos: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</w:r>
    </w:p>
    <w:p>
      <w:pPr>
        <w:pStyle w:val="Corpodetexto23"/>
        <w:jc w:val="center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 xml:space="preserve">VM = </w:t>
      </w:r>
      <w:r>
        <w:rPr>
          <w:rFonts w:cs="Arial"/>
          <w:color w:val="000000"/>
          <w:sz w:val="24"/>
          <w:szCs w:val="24"/>
          <w:u w:val="single"/>
        </w:rPr>
        <w:t>VF x 0,067 x ND</w:t>
      </w:r>
    </w:p>
    <w:p>
      <w:pPr>
        <w:pStyle w:val="Corpodetexto23"/>
        <w:jc w:val="center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>100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Corpodetexto23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 xml:space="preserve">VM = Valor da Multa Financeira. </w:t>
      </w:r>
    </w:p>
    <w:p>
      <w:pPr>
        <w:pStyle w:val="Corpodetexto23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 xml:space="preserve">VF = Valor da Nota Fiscal referente ao mês em atraso. </w:t>
      </w:r>
    </w:p>
    <w:p>
      <w:pPr>
        <w:pStyle w:val="Corpodetexto23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>ND = Número de dias em atraso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Incumbirá 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a iniciativa e o encargo do cálculo minucioso de cada fatura devida, a ser revisto e aprovado pelo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>, juntando-se à respectiva discriminação do fornecimento efetuado, e o memorial de cálculo da fatura.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Nenhum pagamento será efetuado enquanto pendente de liquidação qualquer obrigação financeira que lhe foi imposta, em virtude de penalidade ou inadimplência, sem que gere direito de acréscimos de qualquer natureza.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Serão retidos na fonte, os tributos e contribuições sobre os pagamentos mensalmente efetuados, utilizando-se as alíquotas previstas para cada tipo de serviço, exceto se 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for optante do SIMPLES NACIONAL, que obedecer a legislação específica.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regularmente optante pelo Simples Nacional, nos termos da Lei Complementar nº 123/2006,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Fica 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obrigada a informar qualquer alteração de sua condição de optante pelo SIMPLES NACIONAL, sob pena de aplicação das sanções contratuais e legais cabíveis.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color w:val="000000"/>
          <w:sz w:val="24"/>
          <w:szCs w:val="24"/>
        </w:rPr>
        <w:t>DA</w:t>
      </w:r>
      <w:r>
        <w:rPr>
          <w:rFonts w:cs="Arial" w:ascii="Times New Roman" w:hAnsi="Times New Roman"/>
          <w:b/>
          <w:sz w:val="24"/>
          <w:szCs w:val="24"/>
        </w:rPr>
        <w:t xml:space="preserve"> ANTECIPAÇÃO DO PAGAMENTO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i/>
          <w:sz w:val="24"/>
          <w:szCs w:val="24"/>
        </w:rPr>
        <w:t>Não se aplica a presente contratação.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DA FORMA E CRITÉRIOS DE SELEÇÃO DO FORNECEDOR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i/>
          <w:sz w:val="24"/>
          <w:szCs w:val="24"/>
        </w:rPr>
        <w:t>Não se aplica a presente contratação.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DO VALOR MÁXIMO E DOS RECURSOS ORÇAMENTÁRIOS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O valor máximo estimado para a presente contratação será de</w:t>
      </w:r>
      <w:r>
        <w:rPr>
          <w:rFonts w:cs="Arial" w:ascii="Times New Roman" w:hAnsi="Times New Roman"/>
          <w:b/>
          <w:sz w:val="24"/>
          <w:szCs w:val="24"/>
        </w:rPr>
        <w:t xml:space="preserve"> R$</w:t>
      </w:r>
      <w:r>
        <w:rPr>
          <w:rFonts w:cs="Arial" w:ascii="Times New Roman" w:hAnsi="Times New Roman"/>
          <w:b/>
          <w:sz w:val="24"/>
          <w:szCs w:val="24"/>
        </w:rPr>
        <w:t>3.881,81</w:t>
      </w:r>
      <w:r>
        <w:rPr>
          <w:rFonts w:cs="Arial" w:ascii="Times New Roman" w:hAnsi="Times New Roman"/>
          <w:b/>
          <w:sz w:val="24"/>
          <w:szCs w:val="24"/>
        </w:rPr>
        <w:t xml:space="preserve"> (</w:t>
      </w:r>
      <w:r>
        <w:rPr>
          <w:rFonts w:cs="Arial" w:ascii="Times New Roman" w:hAnsi="Times New Roman"/>
          <w:b/>
          <w:sz w:val="24"/>
          <w:szCs w:val="24"/>
        </w:rPr>
        <w:t>três mil, oitocentos e oitenta e um reais e oitenta e um centavos</w:t>
      </w:r>
      <w:r>
        <w:rPr>
          <w:rFonts w:cs="Arial" w:ascii="Times New Roman" w:hAnsi="Times New Roman"/>
          <w:b/>
          <w:sz w:val="24"/>
          <w:szCs w:val="24"/>
        </w:rPr>
        <w:t>)</w:t>
      </w:r>
      <w:r>
        <w:rPr>
          <w:rFonts w:cs="Arial" w:ascii="Times New Roman" w:hAnsi="Times New Roman"/>
          <w:sz w:val="24"/>
          <w:szCs w:val="24"/>
        </w:rPr>
        <w:t>, compostos da seguinte forma: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hd w:val="clear" w:color="auto" w:fill="F2F2F2" w:themeFill="background1" w:themeFillShade="f2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PEÇAS PARA MANUTENÇÃO DE VEÍCULOS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spacing w:lineRule="auto" w:line="240" w:before="0" w:after="0"/>
        <w:ind w:left="0" w:hanging="0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GESTÃO AS ATIVIDADES DA SEC. DE AGRICULTURA E DESENVOLVIMENTO ECONÔMICO:</w:t>
      </w:r>
    </w:p>
    <w:p>
      <w:pPr>
        <w:pStyle w:val="ListParagraph"/>
        <w:spacing w:lineRule="auto" w:line="240" w:before="0" w:after="0"/>
        <w:ind w:left="0" w:hanging="0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0808.206060011211.020 – 33903000000 – FR 1720000000 – F 0000224</w:t>
      </w:r>
    </w:p>
    <w:tbl>
      <w:tblPr>
        <w:tblW w:w="9700" w:type="dxa"/>
        <w:jc w:val="left"/>
        <w:tblInd w:w="-213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746"/>
        <w:gridCol w:w="804"/>
        <w:gridCol w:w="4233"/>
        <w:gridCol w:w="1183"/>
        <w:gridCol w:w="1416"/>
        <w:gridCol w:w="1317"/>
      </w:tblGrid>
      <w:tr>
        <w:trPr>
          <w:trHeight w:val="420" w:hRule="atLeast"/>
        </w:trPr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0"/>
                <w:szCs w:val="20"/>
                <w:lang w:eastAsia="pt-BR"/>
              </w:rPr>
              <w:t>Qnt.</w:t>
            </w:r>
          </w:p>
        </w:tc>
        <w:tc>
          <w:tcPr>
            <w:tcW w:w="80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0"/>
                <w:szCs w:val="20"/>
                <w:lang w:eastAsia="pt-BR"/>
              </w:rPr>
              <w:t>Unid.</w:t>
            </w:r>
          </w:p>
        </w:tc>
        <w:tc>
          <w:tcPr>
            <w:tcW w:w="42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</w:t>
            </w:r>
          </w:p>
        </w:tc>
        <w:tc>
          <w:tcPr>
            <w:tcW w:w="1183" w:type="dxa"/>
            <w:tcBorders>
              <w:top w:val="single" w:sz="4" w:space="0" w:color="000000"/>
              <w:bottom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CATMAT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0"/>
                <w:szCs w:val="20"/>
                <w:lang w:eastAsia="pt-BR"/>
              </w:rPr>
              <w:t>Valor Unitário</w:t>
            </w:r>
          </w:p>
        </w:tc>
        <w:tc>
          <w:tcPr>
            <w:tcW w:w="13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0"/>
                <w:szCs w:val="20"/>
                <w:lang w:eastAsia="pt-BR"/>
              </w:rPr>
              <w:t>Valor Final</w:t>
            </w:r>
          </w:p>
        </w:tc>
      </w:tr>
      <w:tr>
        <w:trPr>
          <w:trHeight w:val="285" w:hRule="atLeast"/>
        </w:trPr>
        <w:tc>
          <w:tcPr>
            <w:tcW w:w="7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shd w:fill="auto" w:val="clear"/>
                <w:lang w:eastAsia="pt-BR"/>
              </w:rPr>
              <w:t>3</w:t>
            </w:r>
          </w:p>
        </w:tc>
        <w:tc>
          <w:tcPr>
            <w:tcW w:w="8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shd w:fill="auto" w:val="clear"/>
                <w:lang w:eastAsia="pt-BR"/>
              </w:rPr>
              <w:t>Unid.</w:t>
            </w:r>
          </w:p>
        </w:tc>
        <w:tc>
          <w:tcPr>
            <w:tcW w:w="42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highlight w:val="none"/>
                <w:shd w:fill="auto" w:val="clea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shd w:fill="auto" w:val="clear"/>
                <w:lang w:eastAsia="pt-BR"/>
              </w:rPr>
              <w:t>ÓLEO DE MOTOR LS TRACTOR 15W40</w:t>
            </w:r>
          </w:p>
        </w:tc>
        <w:tc>
          <w:tcPr>
            <w:tcW w:w="1183" w:type="dxa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shd w:fill="auto" w:val="clear"/>
              </w:rPr>
              <w:t>446936</w:t>
            </w:r>
          </w:p>
        </w:tc>
        <w:tc>
          <w:tcPr>
            <w:tcW w:w="141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highlight w:val="none"/>
                <w:shd w:fill="auto" w:val="clea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shd w:fill="auto" w:val="clear"/>
                <w:lang w:eastAsia="pt-BR"/>
              </w:rPr>
              <w:t>R$ 1</w:t>
            </w: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shd w:fill="auto" w:val="clear"/>
                <w:lang w:eastAsia="pt-BR"/>
              </w:rPr>
              <w:t>50,00</w:t>
            </w:r>
          </w:p>
        </w:tc>
        <w:tc>
          <w:tcPr>
            <w:tcW w:w="131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highlight w:val="none"/>
                <w:shd w:fill="auto" w:val="clea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shd w:fill="auto" w:val="clear"/>
                <w:lang w:eastAsia="pt-BR"/>
              </w:rPr>
              <w:t xml:space="preserve">R$ </w:t>
            </w: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shd w:fill="auto" w:val="clear"/>
                <w:lang w:eastAsia="pt-BR"/>
              </w:rPr>
              <w:t>150,00</w:t>
            </w:r>
          </w:p>
        </w:tc>
      </w:tr>
      <w:tr>
        <w:trPr>
          <w:trHeight w:val="285" w:hRule="atLeast"/>
        </w:trPr>
        <w:tc>
          <w:tcPr>
            <w:tcW w:w="7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shd w:fill="auto" w:val="clear"/>
                <w:lang w:eastAsia="pt-BR"/>
              </w:rPr>
              <w:t>4</w:t>
            </w:r>
          </w:p>
        </w:tc>
        <w:tc>
          <w:tcPr>
            <w:tcW w:w="8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shd w:fill="auto" w:val="clear"/>
                <w:lang w:eastAsia="pt-BR"/>
              </w:rPr>
              <w:t>Unid.</w:t>
            </w:r>
          </w:p>
        </w:tc>
        <w:tc>
          <w:tcPr>
            <w:tcW w:w="42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auto" w:val="clea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shd w:fill="auto" w:val="clear"/>
                <w:lang w:eastAsia="pt-BR"/>
              </w:rPr>
              <w:t>PETRONAS TUTELA TRD MULT. 80W90 4LT</w:t>
            </w:r>
          </w:p>
        </w:tc>
        <w:tc>
          <w:tcPr>
            <w:tcW w:w="1183" w:type="dxa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shd w:fill="auto" w:val="clear"/>
              </w:rPr>
              <w:t>473132</w:t>
            </w:r>
          </w:p>
        </w:tc>
        <w:tc>
          <w:tcPr>
            <w:tcW w:w="141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highlight w:val="none"/>
                <w:shd w:fill="auto" w:val="clea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shd w:fill="auto" w:val="clear"/>
                <w:lang w:eastAsia="pt-BR"/>
              </w:rPr>
              <w:t xml:space="preserve">R$ </w:t>
            </w: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shd w:fill="auto" w:val="clear"/>
                <w:lang w:eastAsia="pt-BR"/>
              </w:rPr>
              <w:t>170,00</w:t>
            </w:r>
          </w:p>
        </w:tc>
        <w:tc>
          <w:tcPr>
            <w:tcW w:w="131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highlight w:val="none"/>
                <w:shd w:fill="auto" w:val="clea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shd w:fill="auto" w:val="clear"/>
                <w:lang w:eastAsia="pt-BR"/>
              </w:rPr>
              <w:t xml:space="preserve">R$ </w:t>
            </w: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shd w:fill="auto" w:val="clear"/>
                <w:lang w:eastAsia="pt-BR"/>
              </w:rPr>
              <w:t>170,00</w:t>
            </w:r>
          </w:p>
        </w:tc>
      </w:tr>
      <w:tr>
        <w:trPr>
          <w:trHeight w:val="234" w:hRule="atLeast"/>
        </w:trPr>
        <w:tc>
          <w:tcPr>
            <w:tcW w:w="7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shd w:fill="auto" w:val="clear"/>
                <w:lang w:eastAsia="pt-BR"/>
              </w:rPr>
              <w:t>1</w:t>
            </w:r>
          </w:p>
        </w:tc>
        <w:tc>
          <w:tcPr>
            <w:tcW w:w="8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shd w:fill="auto" w:val="clear"/>
                <w:lang w:eastAsia="pt-BR"/>
              </w:rPr>
              <w:t>Unid.</w:t>
            </w:r>
          </w:p>
        </w:tc>
        <w:tc>
          <w:tcPr>
            <w:tcW w:w="42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auto" w:val="clea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shd w:fill="auto" w:val="clear"/>
                <w:lang w:eastAsia="pt-BR"/>
              </w:rPr>
              <w:t>FILTRO DE AR</w:t>
            </w:r>
          </w:p>
        </w:tc>
        <w:tc>
          <w:tcPr>
            <w:tcW w:w="1183" w:type="dxa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shd w:fill="auto" w:val="clear"/>
              </w:rPr>
              <w:t>605427</w:t>
            </w:r>
          </w:p>
        </w:tc>
        <w:tc>
          <w:tcPr>
            <w:tcW w:w="141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highlight w:val="none"/>
                <w:shd w:fill="auto" w:val="clea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shd w:fill="auto" w:val="clear"/>
                <w:lang w:eastAsia="pt-BR"/>
              </w:rPr>
              <w:t xml:space="preserve">R$ </w:t>
            </w: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shd w:fill="auto" w:val="clear"/>
                <w:lang w:eastAsia="pt-BR"/>
              </w:rPr>
              <w:t>300,00</w:t>
            </w:r>
          </w:p>
        </w:tc>
        <w:tc>
          <w:tcPr>
            <w:tcW w:w="131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highlight w:val="none"/>
                <w:shd w:fill="auto" w:val="clea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shd w:fill="auto" w:val="clear"/>
                <w:lang w:eastAsia="pt-BR"/>
              </w:rPr>
              <w:t>R$ 3</w:t>
            </w: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shd w:fill="auto" w:val="clear"/>
                <w:lang w:eastAsia="pt-BR"/>
              </w:rPr>
              <w:t>00,00</w:t>
            </w:r>
          </w:p>
        </w:tc>
      </w:tr>
      <w:tr>
        <w:trPr>
          <w:trHeight w:val="285" w:hRule="atLeast"/>
        </w:trPr>
        <w:tc>
          <w:tcPr>
            <w:tcW w:w="7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shd w:fill="auto" w:val="clear"/>
              </w:rPr>
              <w:t>1</w:t>
            </w:r>
          </w:p>
        </w:tc>
        <w:tc>
          <w:tcPr>
            <w:tcW w:w="8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z w:val="20"/>
                <w:szCs w:val="20"/>
                <w:shd w:fill="auto" w:val="clear"/>
              </w:rPr>
              <w:t>Unid.</w:t>
            </w:r>
          </w:p>
        </w:tc>
        <w:tc>
          <w:tcPr>
            <w:tcW w:w="42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z w:val="20"/>
                <w:szCs w:val="20"/>
                <w:shd w:fill="auto" w:val="clear"/>
              </w:rPr>
              <w:t>FILTRO DE COMBUSTÍVEL</w:t>
            </w:r>
          </w:p>
        </w:tc>
        <w:tc>
          <w:tcPr>
            <w:tcW w:w="1183" w:type="dxa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shd w:fill="auto" w:val="clear"/>
              </w:rPr>
              <w:t>478730</w:t>
            </w:r>
          </w:p>
        </w:tc>
        <w:tc>
          <w:tcPr>
            <w:tcW w:w="141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highlight w:val="none"/>
                <w:shd w:fill="auto" w:val="clea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shd w:fill="auto" w:val="clear"/>
                <w:lang w:eastAsia="pt-BR"/>
              </w:rPr>
              <w:t xml:space="preserve">R$ </w:t>
            </w: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shd w:fill="auto" w:val="clear"/>
                <w:lang w:eastAsia="pt-BR"/>
              </w:rPr>
              <w:t>255,00</w:t>
            </w:r>
          </w:p>
        </w:tc>
        <w:tc>
          <w:tcPr>
            <w:tcW w:w="131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highlight w:val="none"/>
                <w:shd w:fill="auto" w:val="clea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shd w:fill="auto" w:val="clear"/>
                <w:lang w:eastAsia="pt-BR"/>
              </w:rPr>
              <w:t xml:space="preserve">R$ </w:t>
            </w: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shd w:fill="auto" w:val="clear"/>
                <w:lang w:eastAsia="pt-BR"/>
              </w:rPr>
              <w:t>255,00</w:t>
            </w:r>
          </w:p>
        </w:tc>
      </w:tr>
      <w:tr>
        <w:trPr>
          <w:trHeight w:val="285" w:hRule="atLeast"/>
        </w:trPr>
        <w:tc>
          <w:tcPr>
            <w:tcW w:w="7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shd w:fill="auto" w:val="clear"/>
                <w:lang w:eastAsia="pt-BR"/>
              </w:rPr>
              <w:t>1</w:t>
            </w:r>
          </w:p>
        </w:tc>
        <w:tc>
          <w:tcPr>
            <w:tcW w:w="8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shd w:fill="auto" w:val="clear"/>
                <w:lang w:eastAsia="pt-BR"/>
              </w:rPr>
              <w:t>Unid.</w:t>
            </w:r>
          </w:p>
        </w:tc>
        <w:tc>
          <w:tcPr>
            <w:tcW w:w="42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highlight w:val="none"/>
                <w:shd w:fill="auto" w:val="clea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shd w:fill="auto" w:val="clear"/>
                <w:lang w:eastAsia="pt-BR"/>
              </w:rPr>
              <w:t>FILTRO DE ÓLEO DO MOTOR XC870K</w:t>
            </w:r>
          </w:p>
        </w:tc>
        <w:tc>
          <w:tcPr>
            <w:tcW w:w="1183" w:type="dxa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shd w:fill="auto" w:val="clear"/>
              </w:rPr>
              <w:t>486745</w:t>
            </w:r>
          </w:p>
        </w:tc>
        <w:tc>
          <w:tcPr>
            <w:tcW w:w="141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z w:val="20"/>
                <w:szCs w:val="20"/>
                <w:shd w:fill="auto" w:val="clear"/>
              </w:rPr>
              <w:t xml:space="preserve">R$ </w:t>
            </w:r>
            <w:r>
              <w:rPr>
                <w:rFonts w:ascii="Times New Roman" w:hAnsi="Times New Roman"/>
                <w:sz w:val="20"/>
                <w:szCs w:val="20"/>
                <w:shd w:fill="auto" w:val="clear"/>
              </w:rPr>
              <w:t>270,00</w:t>
            </w:r>
          </w:p>
        </w:tc>
        <w:tc>
          <w:tcPr>
            <w:tcW w:w="131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z w:val="20"/>
                <w:szCs w:val="20"/>
                <w:shd w:fill="auto" w:val="clear"/>
              </w:rPr>
              <w:t xml:space="preserve">R$ </w:t>
            </w:r>
            <w:r>
              <w:rPr>
                <w:rFonts w:ascii="Times New Roman" w:hAnsi="Times New Roman"/>
                <w:sz w:val="20"/>
                <w:szCs w:val="20"/>
                <w:shd w:fill="auto" w:val="clear"/>
              </w:rPr>
              <w:t>270,00</w:t>
            </w:r>
          </w:p>
        </w:tc>
      </w:tr>
      <w:tr>
        <w:trPr>
          <w:trHeight w:val="285" w:hRule="atLeast"/>
        </w:trPr>
        <w:tc>
          <w:tcPr>
            <w:tcW w:w="7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hd w:fill="auto" w:val="clear"/>
              </w:rPr>
              <w:t>1</w:t>
            </w:r>
          </w:p>
        </w:tc>
        <w:tc>
          <w:tcPr>
            <w:tcW w:w="8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hd w:fill="auto" w:val="clear"/>
              </w:rPr>
              <w:t>UNID.</w:t>
            </w:r>
          </w:p>
        </w:tc>
        <w:tc>
          <w:tcPr>
            <w:tcW w:w="42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hd w:fill="auto" w:val="clear"/>
              </w:rPr>
              <w:t xml:space="preserve">FILTRO DE ÓLEO HIDRÁULICO TRANSMISSÃO </w:t>
            </w:r>
          </w:p>
        </w:tc>
        <w:tc>
          <w:tcPr>
            <w:tcW w:w="1183" w:type="dxa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612372</w:t>
            </w:r>
          </w:p>
        </w:tc>
        <w:tc>
          <w:tcPr>
            <w:tcW w:w="141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hd w:fill="auto" w:val="clear"/>
              </w:rPr>
              <w:t>R$537,00</w:t>
            </w:r>
          </w:p>
        </w:tc>
        <w:tc>
          <w:tcPr>
            <w:tcW w:w="131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hd w:fill="auto" w:val="clear"/>
              </w:rPr>
              <w:t>R$537,00</w:t>
            </w:r>
          </w:p>
        </w:tc>
      </w:tr>
      <w:tr>
        <w:trPr>
          <w:trHeight w:val="285" w:hRule="atLeast"/>
        </w:trPr>
        <w:tc>
          <w:tcPr>
            <w:tcW w:w="7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shd w:fill="auto" w:val="clear"/>
                <w:lang w:eastAsia="pt-BR"/>
              </w:rPr>
              <w:t>1</w:t>
            </w:r>
          </w:p>
        </w:tc>
        <w:tc>
          <w:tcPr>
            <w:tcW w:w="8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shd w:fill="auto" w:val="clear"/>
                <w:lang w:eastAsia="pt-BR"/>
              </w:rPr>
              <w:t>Unid.</w:t>
            </w:r>
          </w:p>
        </w:tc>
        <w:tc>
          <w:tcPr>
            <w:tcW w:w="42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auto" w:val="clea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shd w:fill="auto" w:val="clear"/>
                <w:lang w:eastAsia="pt-BR"/>
              </w:rPr>
              <w:t>FILTRO SEPARADOR</w:t>
            </w:r>
          </w:p>
        </w:tc>
        <w:tc>
          <w:tcPr>
            <w:tcW w:w="1183" w:type="dxa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shd w:fill="auto" w:val="clear"/>
              </w:rPr>
              <w:t>608068</w:t>
            </w:r>
          </w:p>
        </w:tc>
        <w:tc>
          <w:tcPr>
            <w:tcW w:w="141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z w:val="20"/>
                <w:szCs w:val="20"/>
                <w:shd w:fill="auto" w:val="clear"/>
              </w:rPr>
              <w:t>R$</w:t>
            </w:r>
            <w:r>
              <w:rPr>
                <w:rFonts w:ascii="Times New Roman" w:hAnsi="Times New Roman"/>
                <w:sz w:val="20"/>
                <w:szCs w:val="20"/>
                <w:shd w:fill="auto" w:val="clear"/>
              </w:rPr>
              <w:t>260,00</w:t>
            </w:r>
          </w:p>
        </w:tc>
        <w:tc>
          <w:tcPr>
            <w:tcW w:w="131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z w:val="20"/>
                <w:szCs w:val="20"/>
                <w:shd w:fill="auto" w:val="clear"/>
              </w:rPr>
              <w:t xml:space="preserve">R$ </w:t>
            </w:r>
            <w:r>
              <w:rPr>
                <w:rFonts w:ascii="Times New Roman" w:hAnsi="Times New Roman"/>
                <w:sz w:val="20"/>
                <w:szCs w:val="20"/>
                <w:shd w:fill="auto" w:val="clear"/>
              </w:rPr>
              <w:t>260,00</w:t>
            </w:r>
          </w:p>
        </w:tc>
      </w:tr>
      <w:tr>
        <w:trPr>
          <w:trHeight w:val="285" w:hRule="atLeast"/>
        </w:trPr>
        <w:tc>
          <w:tcPr>
            <w:tcW w:w="7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shd w:fill="auto" w:val="clear"/>
                <w:lang w:eastAsia="pt-BR"/>
              </w:rPr>
              <w:t>1</w:t>
            </w:r>
          </w:p>
        </w:tc>
        <w:tc>
          <w:tcPr>
            <w:tcW w:w="8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shd w:fill="auto" w:val="clear"/>
                <w:lang w:eastAsia="pt-BR"/>
              </w:rPr>
              <w:t>Unid.</w:t>
            </w:r>
          </w:p>
        </w:tc>
        <w:tc>
          <w:tcPr>
            <w:tcW w:w="42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auto" w:val="clea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shd w:fill="auto" w:val="clear"/>
                <w:lang w:eastAsia="pt-BR"/>
              </w:rPr>
              <w:t>MICROFLEX 984 ADITIVO DIESEL 500ML</w:t>
            </w:r>
          </w:p>
        </w:tc>
        <w:tc>
          <w:tcPr>
            <w:tcW w:w="1183" w:type="dxa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shd w:fill="auto" w:val="clear"/>
              </w:rPr>
              <w:t>274961</w:t>
            </w:r>
          </w:p>
        </w:tc>
        <w:tc>
          <w:tcPr>
            <w:tcW w:w="141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highlight w:val="none"/>
                <w:shd w:fill="auto" w:val="clea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shd w:fill="auto" w:val="clear"/>
                <w:lang w:eastAsia="pt-BR"/>
              </w:rPr>
              <w:t>R$</w:t>
            </w: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shd w:fill="auto" w:val="clear"/>
                <w:lang w:eastAsia="pt-BR"/>
              </w:rPr>
              <w:t>229,81</w:t>
            </w:r>
          </w:p>
        </w:tc>
        <w:tc>
          <w:tcPr>
            <w:tcW w:w="131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highlight w:val="none"/>
                <w:shd w:fill="auto" w:val="clea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shd w:fill="auto" w:val="clear"/>
                <w:lang w:eastAsia="pt-BR"/>
              </w:rPr>
              <w:t xml:space="preserve">R$ </w:t>
            </w: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shd w:fill="auto" w:val="clear"/>
                <w:lang w:eastAsia="pt-BR"/>
              </w:rPr>
              <w:t>229,81</w:t>
            </w:r>
          </w:p>
        </w:tc>
      </w:tr>
      <w:tr>
        <w:trPr>
          <w:trHeight w:val="285" w:hRule="atLeast"/>
        </w:trPr>
        <w:tc>
          <w:tcPr>
            <w:tcW w:w="7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z w:val="20"/>
                <w:szCs w:val="20"/>
                <w:shd w:fill="auto" w:val="clear"/>
              </w:rPr>
              <w:t>1</w:t>
            </w:r>
          </w:p>
        </w:tc>
        <w:tc>
          <w:tcPr>
            <w:tcW w:w="8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z w:val="20"/>
                <w:szCs w:val="20"/>
                <w:shd w:fill="auto" w:val="clear"/>
              </w:rPr>
              <w:t>Unid.</w:t>
            </w:r>
          </w:p>
        </w:tc>
        <w:tc>
          <w:tcPr>
            <w:tcW w:w="42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z w:val="20"/>
                <w:szCs w:val="20"/>
                <w:shd w:fill="auto" w:val="clear"/>
              </w:rPr>
              <w:t xml:space="preserve">MICROFLEX PREMIUM 957 LIMPADOR INBTERIOR MOTOR </w:t>
            </w:r>
          </w:p>
        </w:tc>
        <w:tc>
          <w:tcPr>
            <w:tcW w:w="1183" w:type="dxa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/>
                <w:bCs/>
              </w:rPr>
              <w:t>464630</w:t>
            </w:r>
          </w:p>
        </w:tc>
        <w:tc>
          <w:tcPr>
            <w:tcW w:w="141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z w:val="20"/>
                <w:szCs w:val="20"/>
                <w:shd w:fill="auto" w:val="clear"/>
              </w:rPr>
              <w:t>R$210,00</w:t>
            </w:r>
          </w:p>
        </w:tc>
        <w:tc>
          <w:tcPr>
            <w:tcW w:w="131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z w:val="20"/>
                <w:szCs w:val="20"/>
                <w:shd w:fill="auto" w:val="clear"/>
              </w:rPr>
              <w:t>R$210,00</w:t>
            </w:r>
          </w:p>
        </w:tc>
      </w:tr>
      <w:tr>
        <w:trPr>
          <w:trHeight w:val="360" w:hRule="atLeast"/>
        </w:trPr>
        <w:tc>
          <w:tcPr>
            <w:tcW w:w="83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VALOR TOTAL</w:t>
            </w:r>
          </w:p>
        </w:tc>
        <w:tc>
          <w:tcPr>
            <w:tcW w:w="1317" w:type="dxa"/>
            <w:tcBorders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R$ </w:t>
            </w: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0"/>
                <w:szCs w:val="20"/>
                <w:lang w:eastAsia="pt-BR"/>
              </w:rPr>
              <w:t>2.381,81</w:t>
            </w:r>
          </w:p>
        </w:tc>
      </w:tr>
    </w:tbl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hd w:val="clear" w:color="auto" w:fill="F2F2F2" w:themeFill="background1" w:themeFillShade="f2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 xml:space="preserve"> </w:t>
      </w:r>
      <w:r>
        <w:rPr>
          <w:rFonts w:cs="Arial" w:ascii="Times New Roman" w:hAnsi="Times New Roman"/>
          <w:b/>
          <w:sz w:val="24"/>
          <w:szCs w:val="24"/>
        </w:rPr>
        <w:t>SERVIÇOS DE MANUTENÇÃO DE VEÍCULOS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spacing w:lineRule="auto" w:line="240" w:before="0" w:after="0"/>
        <w:ind w:left="0" w:hanging="0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GESTÃO AS ATIVIDADES DA SEC. DE AGRICULTURA E DESENVOLVIMENTO ECONÔMICO:</w:t>
      </w:r>
    </w:p>
    <w:p>
      <w:pPr>
        <w:pStyle w:val="ListParagraph"/>
        <w:spacing w:lineRule="auto" w:line="240" w:before="0" w:after="0"/>
        <w:ind w:left="0" w:hanging="0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0808.206060011211.020 – 33903000000 – FR 1500000000000 – F 0000226</w:t>
      </w:r>
    </w:p>
    <w:tbl>
      <w:tblPr>
        <w:tblW w:w="9767" w:type="dxa"/>
        <w:jc w:val="left"/>
        <w:tblInd w:w="-23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750"/>
        <w:gridCol w:w="850"/>
        <w:gridCol w:w="4202"/>
        <w:gridCol w:w="1180"/>
        <w:gridCol w:w="1421"/>
        <w:gridCol w:w="1364"/>
      </w:tblGrid>
      <w:tr>
        <w:trPr>
          <w:trHeight w:val="467" w:hRule="atLeast"/>
        </w:trPr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0"/>
                <w:szCs w:val="20"/>
                <w:lang w:eastAsia="pt-BR"/>
              </w:rPr>
              <w:t>Qnt.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0"/>
                <w:szCs w:val="20"/>
                <w:lang w:eastAsia="pt-BR"/>
              </w:rPr>
              <w:t>Unid.</w:t>
            </w:r>
          </w:p>
        </w:tc>
        <w:tc>
          <w:tcPr>
            <w:tcW w:w="42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</w:t>
            </w:r>
          </w:p>
        </w:tc>
        <w:tc>
          <w:tcPr>
            <w:tcW w:w="1180" w:type="dxa"/>
            <w:tcBorders>
              <w:top w:val="single" w:sz="4" w:space="0" w:color="000000"/>
              <w:bottom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CATSER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0"/>
                <w:szCs w:val="20"/>
                <w:lang w:eastAsia="pt-BR"/>
              </w:rPr>
              <w:t>Valor Unitário</w:t>
            </w:r>
          </w:p>
        </w:tc>
        <w:tc>
          <w:tcPr>
            <w:tcW w:w="136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0"/>
                <w:szCs w:val="20"/>
                <w:lang w:eastAsia="pt-BR"/>
              </w:rPr>
              <w:t>Valor Final</w:t>
            </w:r>
          </w:p>
        </w:tc>
      </w:tr>
      <w:tr>
        <w:trPr>
          <w:trHeight w:val="285" w:hRule="atLeast"/>
        </w:trPr>
        <w:tc>
          <w:tcPr>
            <w:tcW w:w="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lang w:eastAsia="pt-BR"/>
              </w:rPr>
              <w:t>Unid.</w:t>
            </w:r>
          </w:p>
        </w:tc>
        <w:tc>
          <w:tcPr>
            <w:tcW w:w="420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lang w:eastAsia="pt-BR"/>
              </w:rPr>
              <w:t>MECÂNICA GERAL</w:t>
            </w:r>
          </w:p>
        </w:tc>
        <w:tc>
          <w:tcPr>
            <w:tcW w:w="1180" w:type="dxa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3620</w:t>
            </w:r>
          </w:p>
        </w:tc>
        <w:tc>
          <w:tcPr>
            <w:tcW w:w="14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lang w:eastAsia="pt-BR"/>
              </w:rPr>
              <w:t>R$ 1.</w:t>
            </w: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lang w:eastAsia="pt-BR"/>
              </w:rPr>
              <w:t>5</w:t>
            </w: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lang w:eastAsia="pt-BR"/>
              </w:rPr>
              <w:t>00,00</w:t>
            </w:r>
          </w:p>
        </w:tc>
        <w:tc>
          <w:tcPr>
            <w:tcW w:w="13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lang w:eastAsia="pt-BR"/>
              </w:rPr>
              <w:t>R$1.</w:t>
            </w: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lang w:eastAsia="pt-BR"/>
              </w:rPr>
              <w:t>5</w:t>
            </w: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lang w:eastAsia="pt-BR"/>
              </w:rPr>
              <w:t>00,</w:t>
            </w: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lang w:eastAsia="pt-BR"/>
              </w:rPr>
              <w:t>00</w:t>
            </w:r>
          </w:p>
        </w:tc>
      </w:tr>
      <w:tr>
        <w:trPr>
          <w:trHeight w:val="285" w:hRule="atLeast"/>
        </w:trPr>
        <w:tc>
          <w:tcPr>
            <w:tcW w:w="84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Arial" w:ascii="Times New Roman" w:hAnsi="Times New Roman"/>
                <w:b/>
                <w:color w:val="000000"/>
                <w:sz w:val="20"/>
                <w:szCs w:val="20"/>
                <w:lang w:eastAsia="pt-BR"/>
              </w:rPr>
              <w:t>VALOR TOTAL</w:t>
            </w:r>
          </w:p>
        </w:tc>
        <w:tc>
          <w:tcPr>
            <w:tcW w:w="1364" w:type="dxa"/>
            <w:tcBorders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0"/>
                <w:szCs w:val="20"/>
                <w:lang w:eastAsia="pt-BR"/>
              </w:rPr>
              <w:t>R$1.</w:t>
            </w: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0"/>
                <w:szCs w:val="20"/>
                <w:lang w:eastAsia="pt-BR"/>
              </w:rPr>
              <w:t>500,00</w:t>
            </w:r>
          </w:p>
        </w:tc>
      </w:tr>
    </w:tbl>
    <w:p>
      <w:pPr>
        <w:pStyle w:val="ListParagraph"/>
        <w:numPr>
          <w:ilvl w:val="0"/>
          <w:numId w:val="0"/>
        </w:numPr>
        <w:shd w:val="clear" w:color="auto" w:fill="F2F2F2" w:themeFill="background1" w:themeFillShade="f2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b/>
          <w:b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</w:r>
    </w:p>
    <w:p>
      <w:pPr>
        <w:pStyle w:val="ListParagraph"/>
        <w:ind w:left="720" w:hanging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DAS SANÇÕES E PENALIDADES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Comete infração administrativa, nos termos do art. 155, da Lei Federal nº 14.133/2021, a </w:t>
      </w: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 que: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Der causa à inexecução parcial do contrato;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Der causa à inexecução parcial do contrato que cause grave dano à Administração ou ao funcionamento dos serviços públicos ou ao interesse coletivo;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Der causa à inexecução total do contrato;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Deixar de entregar a documentação exigida para o certame;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Não manter a proposta, salvo em decorrência de fato superveniente devidamente justificado;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Não celebrar o contrato ou não entregar a documentação exigida para a contratação, quando convocado dentro do prazo de validade de sua proposta;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Ensejar o retardamento da execução ou da entrega do objeto da contratação sem motivo justificado;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Apresentar declaração ou documentação falsa exigida para o certame ou prestar declaração falsa durante a dispensa eletrônica ou execução do contrato;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Fraudar a contratação ou praticar ato fraudulento na execução do contrato;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Comportar-se de modo inidôneo ou cometer fraude de qualquer natureza;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Praticar atos ilícitos com vistas a frustrar os objetivos da contratação;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Praticar ato lesivo previsto no art. 5º da Lei nº 12.846, de 1º de agosto de 2013;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Praticar demais atos não previstos no presente tópico, mas apurados na execução do contrato.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Serão aplicadas ao responsável pelas infrações administrativas previstas no item 12.1, as seguintes sanções e penalidades: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0"/>
          <w:numId w:val="5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color w:val="000000"/>
          <w:sz w:val="24"/>
          <w:szCs w:val="24"/>
        </w:rPr>
        <w:t>Advertência:</w:t>
      </w: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 quanto a </w:t>
      </w: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 der causa à inexecução parcial do contrato, sempre que não se justificar a imposição de penalidade mais grave, nos termos do art. 156, §2º, da NLLC;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0"/>
          <w:numId w:val="5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color w:val="000000"/>
          <w:sz w:val="24"/>
          <w:szCs w:val="24"/>
        </w:rPr>
        <w:t>Impedimento de licitar e contratar</w:t>
      </w:r>
      <w:r>
        <w:rPr>
          <w:rFonts w:cs="Arial" w:ascii="Times New Roman" w:hAnsi="Times New Roman"/>
          <w:bCs/>
          <w:color w:val="000000"/>
          <w:sz w:val="24"/>
          <w:szCs w:val="24"/>
        </w:rPr>
        <w:t>: quando praticadas as condutas descritas nas alíneas b, c, d, e, f e g do subitem 12.1, sempre que não se justificar a imposição de penalidade mais grave, nos termos do art. 156, §4º, da NLLC;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0"/>
          <w:numId w:val="5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color w:val="000000"/>
          <w:sz w:val="24"/>
          <w:szCs w:val="24"/>
        </w:rPr>
        <w:t>Declaração de inidoneidade para licitar e contratar</w:t>
      </w:r>
      <w:r>
        <w:rPr>
          <w:rFonts w:cs="Arial" w:ascii="Times New Roman" w:hAnsi="Times New Roman"/>
          <w:bCs/>
          <w:color w:val="000000"/>
          <w:sz w:val="24"/>
          <w:szCs w:val="24"/>
        </w:rPr>
        <w:t>: quando praticadas as condutas descritas nas alíneas h, i, j, k e l do subitem 12.1, bem como nas alíneas b, c, d, e, f e g, que justifiquem a imposição de penalidade mais grave, nos termos do art. 156, §5º, da NLLC;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0"/>
          <w:numId w:val="5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color w:val="000000"/>
          <w:sz w:val="24"/>
          <w:szCs w:val="24"/>
        </w:rPr>
        <w:t>Multa: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/>
          <w:b/>
          <w:color w:val="000000"/>
          <w:sz w:val="24"/>
          <w:szCs w:val="24"/>
          <w:u w:val="single"/>
        </w:rPr>
      </w:pPr>
      <w:r>
        <w:rPr>
          <w:rFonts w:cs="Arial" w:ascii="Times New Roman" w:hAnsi="Times New Roman"/>
          <w:b/>
          <w:color w:val="000000"/>
          <w:sz w:val="24"/>
          <w:szCs w:val="24"/>
          <w:u w:val="single"/>
        </w:rPr>
      </w:r>
    </w:p>
    <w:p>
      <w:pPr>
        <w:pStyle w:val="ListParagraph"/>
        <w:numPr>
          <w:ilvl w:val="0"/>
          <w:numId w:val="6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Moratória</w:t>
      </w: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 de 1 % (um por cento) por dia de atraso injustificado sobre o valor da parcela inadimplida, até o limite de 30 (trinta) dias;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0"/>
          <w:numId w:val="6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Compensatória</w:t>
      </w: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 de 10% (dez por cento) sobre o valor total do contrato, no caso de inexecução total do objeto ou sobre o valor da parcela inadimplida, no caso de inexecução parcial;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A aplicação das sanções previstas neste Termo não exclui, em hipótese alguma, a obrigação de reparação integral do dano causado ao </w:t>
      </w: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bCs/>
          <w:color w:val="000000"/>
          <w:sz w:val="24"/>
          <w:szCs w:val="24"/>
        </w:rPr>
        <w:t>, consoante o disposto no art. 156, §9º, da NLLC;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Todas as sanções previstas neste tópico poderão ser aplicadas cumulativamente com a multa, consoante o disposto no art. 156, §7º, da NLLC;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Antes da aplicação da multa será facultada a defesa do interessado no prazo de 15 (quinze) dias úteis, contado da data de sua intimação, nos termos do art. 157, da NLLC;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 </w:t>
      </w: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Se a multa aplicada e as indenizações cabíveis forem superiores ao valor do pagamento eventualmente devido pelo </w:t>
      </w: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 a </w:t>
      </w: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bCs/>
          <w:color w:val="000000"/>
          <w:sz w:val="24"/>
          <w:szCs w:val="24"/>
        </w:rPr>
        <w:t>, além da perda desse valor, a diferença será descontada da garantia prestada ou será cobrada judicialmente, conforme o disposto no art. 156, §8º, da NLLC;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Previamente ao encaminhamento à cobrança judicial, a multa poderá ser recolhida administrativamente no prazo máximo de 30 (trinta) dias, a contar da data do recebimento da comunicação enviada pela autoridade competente.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A aplicação das sanções realizar-se-á em processo administrativo que assegure o contraditório e a ampla defesa a </w:t>
      </w: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bCs/>
          <w:color w:val="000000"/>
          <w:sz w:val="24"/>
          <w:szCs w:val="24"/>
        </w:rPr>
        <w:t>, observando-se o procedimento previsto no caput e parágrafos do art. 158 da Lei nº 14.133/2021, para as penalidades de impedimento de licitar e contratar e de declaração de inidoneidade para licitar ou contratar;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Na aplicação das sanções serão considerados: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0"/>
          <w:numId w:val="7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a natureza e a gravidade da infração cometida;</w:t>
      </w:r>
    </w:p>
    <w:p>
      <w:pPr>
        <w:pStyle w:val="ListParagraph"/>
        <w:numPr>
          <w:ilvl w:val="0"/>
          <w:numId w:val="7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as peculiaridades do caso concreto;</w:t>
      </w:r>
    </w:p>
    <w:p>
      <w:pPr>
        <w:pStyle w:val="ListParagraph"/>
        <w:numPr>
          <w:ilvl w:val="0"/>
          <w:numId w:val="7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as circunstâncias agravantes ou atenuantes;</w:t>
      </w:r>
    </w:p>
    <w:p>
      <w:pPr>
        <w:pStyle w:val="ListParagraph"/>
        <w:numPr>
          <w:ilvl w:val="0"/>
          <w:numId w:val="7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os danos que dela provierem para o </w:t>
      </w: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bCs/>
          <w:color w:val="000000"/>
          <w:sz w:val="24"/>
          <w:szCs w:val="24"/>
        </w:rPr>
        <w:t>;</w:t>
      </w:r>
    </w:p>
    <w:p>
      <w:pPr>
        <w:pStyle w:val="ListParagraph"/>
        <w:numPr>
          <w:ilvl w:val="0"/>
          <w:numId w:val="7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a implantação ou o aperfeiçoamento de programa de integridade, conforme normas e orientações dos órgãos de controle.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Os atos previstos como infrações administrativas na Lei nº 14.133/2021, ou em outras leis de licitações e contratos da Administração Pública que também sejam tipificados como atos lesivos na Lei nº 12.846/2013, serão apurados e julgados conjuntamente, nos mesmos autos, observados o rito procedimental e autoridade competente definidos na referida Lei Federal nº 14.133/2021, em seu art. 159;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A personalidade jurídica da </w:t>
      </w: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 poderá ser desconsiderada sempre que utilizada com abuso do direito para facilitar, encobrir ou dissimular a prática dos atos ilícitos previstos em Contrato ou para provocar confusão patrimonial, e, nesse caso, todos os efeitos das sanções aplicadas à pessoa jurídica serão estendidos aos seus administradores e sócios com poderes de administração, à pessoa jurídica sucessora ou à empresa do mesmo ramo com relação de coligação ou controle, de fato ou de direito, com a </w:t>
      </w: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bCs/>
          <w:color w:val="000000"/>
          <w:sz w:val="24"/>
          <w:szCs w:val="24"/>
        </w:rPr>
        <w:t>, observados, em todos os casos, o contraditório, a ampla defesa e a obrigatoriedade de análise jurídica prévia, consoante o disposto no art. 160, da NLLC;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A </w:t>
      </w: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 deverá, no prazo máximo 15 (quinze) dias úteis, contado da data de aplicação da sanção, informar e manter atualizados os dados relativos às sanções por ela aplicadas, para fins de publicidade no Cadastro Nacional de Empresas Inidôneas e Suspensas (Ceis) e no Cadastro Nacional de Empresas Punidas (Cnep), instituídos no âmbito do Poder Executivo Federal, conforme disposição do art. 161, da NLLC;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As sanções de impedimento de licitar e contratar e declaração de inidoneidade para licitar ou contratar são passíveis de reabilitação na forma do art. 163 da Lei Federal nº 14.133/21.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DA UNIDADE REQUISITANTE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Secretaria Municipal de Desenvolvimento Econômico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DO RESPONSÁVEL PELA ELABORAÇÃO DO TERMO DE REFERÊNCIA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color w:val="000000" w:themeColor="text1"/>
          <w:sz w:val="24"/>
          <w:szCs w:val="24"/>
        </w:rPr>
        <w:t>Responsável pela Elaboração:</w:t>
      </w:r>
      <w:r>
        <w:rPr>
          <w:rFonts w:cs="Arial" w:ascii="Times New Roman" w:hAnsi="Times New Roman"/>
          <w:color w:val="000000" w:themeColor="text1"/>
          <w:sz w:val="24"/>
          <w:szCs w:val="24"/>
        </w:rPr>
        <w:t xml:space="preserve"> LIVIA CALSSE LORENZON.</w:t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color w:val="000000" w:themeColor="text1"/>
          <w:sz w:val="24"/>
          <w:szCs w:val="24"/>
        </w:rPr>
        <w:t>Responsável pela Demanda:</w:t>
      </w:r>
      <w:r>
        <w:rPr>
          <w:rFonts w:cs="Arial"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cs="Arial" w:ascii="Times New Roman" w:hAnsi="Times New Roman"/>
          <w:color w:val="000000" w:themeColor="text1"/>
          <w:sz w:val="24"/>
          <w:szCs w:val="24"/>
        </w:rPr>
        <w:t>ADENILSON GIRELLI</w:t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color w:val="000000" w:themeColor="text1"/>
          <w:sz w:val="24"/>
          <w:szCs w:val="24"/>
        </w:rPr>
        <w:t>Gestor da Unidade Requisitante:</w:t>
      </w:r>
      <w:r>
        <w:rPr>
          <w:rFonts w:cs="Arial" w:ascii="Times New Roman" w:hAnsi="Times New Roman"/>
          <w:b w:val="false"/>
          <w:bCs w:val="false"/>
          <w:color w:val="000000" w:themeColor="text1"/>
          <w:sz w:val="24"/>
          <w:szCs w:val="24"/>
        </w:rPr>
        <w:t xml:space="preserve"> ADENILSON GIRELLI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São Roque do Canaã/ES</w:t>
      </w:r>
      <w:r>
        <w:rPr>
          <w:rFonts w:cs="Arial" w:ascii="Times New Roman" w:hAnsi="Times New Roman"/>
          <w:sz w:val="24"/>
          <w:szCs w:val="24"/>
        </w:rPr>
        <w:t xml:space="preserve">, </w:t>
      </w:r>
      <w:r>
        <w:rPr>
          <w:rFonts w:cs="Arial" w:ascii="Times New Roman" w:hAnsi="Times New Roman"/>
          <w:sz w:val="24"/>
          <w:szCs w:val="24"/>
        </w:rPr>
        <w:t>22 de abril de 2024.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 w:themeColor="text1"/>
          <w:sz w:val="24"/>
          <w:szCs w:val="24"/>
          <w:highlight w:val="lightGray"/>
        </w:rPr>
      </w:pPr>
      <w:r>
        <w:rPr>
          <w:rFonts w:cs="Arial"/>
          <w:color w:val="000000" w:themeColor="text1"/>
          <w:sz w:val="24"/>
          <w:szCs w:val="24"/>
          <w:highlight w:val="lightGray"/>
        </w:rPr>
      </w:r>
    </w:p>
    <w:tbl>
      <w:tblPr>
        <w:tblStyle w:val="Tabelacomgrade"/>
        <w:tblW w:w="921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605"/>
        <w:gridCol w:w="4605"/>
      </w:tblGrid>
      <w:tr>
        <w:trPr/>
        <w:tc>
          <w:tcPr>
            <w:tcW w:w="460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cs="Arial"/>
                <w:color w:val="000000" w:themeColor="text1"/>
                <w:sz w:val="24"/>
                <w:szCs w:val="24"/>
              </w:rPr>
            </w:pPr>
            <w:r>
              <w:rPr>
                <w:rFonts w:cs="Arial"/>
                <w:color w:val="000000" w:themeColor="text1"/>
                <w:sz w:val="24"/>
                <w:szCs w:val="24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cs="Arial"/>
                <w:color w:val="000000" w:themeColor="text1"/>
                <w:sz w:val="24"/>
                <w:szCs w:val="24"/>
              </w:rPr>
            </w:pPr>
            <w:r>
              <w:rPr>
                <w:rFonts w:cs="Arial"/>
                <w:color w:val="000000" w:themeColor="text1"/>
                <w:sz w:val="24"/>
                <w:szCs w:val="24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cs="Arial"/>
                <w:color w:val="000000" w:themeColor="text1"/>
                <w:sz w:val="24"/>
                <w:szCs w:val="24"/>
              </w:rPr>
            </w:pPr>
            <w:r>
              <w:rPr>
                <w:rFonts w:cs="Arial"/>
                <w:color w:val="000000" w:themeColor="text1"/>
                <w:sz w:val="24"/>
                <w:szCs w:val="24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cs="Arial"/>
                <w:b/>
                <w:b/>
                <w:color w:val="000000" w:themeColor="text1"/>
                <w:kern w:val="0"/>
                <w:sz w:val="24"/>
                <w:szCs w:val="24"/>
                <w:lang w:val="pt-BR" w:bidi="ar-SA"/>
              </w:rPr>
            </w:pPr>
            <w:r>
              <w:rPr>
                <w:rFonts w:cs="Arial"/>
                <w:b/>
                <w:color w:val="000000" w:themeColor="text1"/>
                <w:kern w:val="0"/>
                <w:sz w:val="24"/>
                <w:szCs w:val="24"/>
                <w:lang w:val="pt-BR" w:bidi="ar-SA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/>
                <w:b/>
                <w:color w:val="000000" w:themeColor="text1"/>
                <w:kern w:val="0"/>
                <w:sz w:val="24"/>
                <w:szCs w:val="24"/>
                <w:lang w:val="pt-BR" w:bidi="ar-SA"/>
              </w:rPr>
              <w:t>LIVIA CALSSE LORENZON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/>
                <w:color w:val="000000" w:themeColor="text1"/>
                <w:kern w:val="0"/>
                <w:sz w:val="24"/>
                <w:szCs w:val="24"/>
                <w:lang w:val="pt-BR" w:bidi="ar-SA"/>
              </w:rPr>
              <w:t>Assistente de controle Administrativo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/>
                <w:color w:val="000000" w:themeColor="text1"/>
                <w:kern w:val="0"/>
                <w:sz w:val="24"/>
                <w:szCs w:val="24"/>
                <w:lang w:val="pt-BR" w:bidi="ar-SA"/>
              </w:rPr>
              <w:t xml:space="preserve">Decreto Municipal n° </w:t>
            </w:r>
            <w:r>
              <w:rPr>
                <w:rFonts w:cs="Arial"/>
                <w:color w:val="000000"/>
                <w:kern w:val="0"/>
                <w:sz w:val="24"/>
                <w:szCs w:val="24"/>
                <w:shd w:fill="auto" w:val="clear"/>
                <w:lang w:val="pt-BR" w:eastAsia="pt-BR" w:bidi="ar-SA"/>
              </w:rPr>
              <w:t>6.511/2023.</w:t>
            </w:r>
          </w:p>
        </w:tc>
        <w:tc>
          <w:tcPr>
            <w:tcW w:w="460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cs="Arial"/>
                <w:b/>
                <w:b/>
                <w:color w:val="000000" w:themeColor="text1"/>
                <w:kern w:val="0"/>
                <w:sz w:val="24"/>
                <w:szCs w:val="24"/>
                <w:lang w:val="pt-BR" w:bidi="ar-SA"/>
              </w:rPr>
            </w:pPr>
            <w:r>
              <w:rPr>
                <w:rFonts w:cs="Arial"/>
                <w:b/>
                <w:color w:val="000000" w:themeColor="text1"/>
                <w:kern w:val="0"/>
                <w:sz w:val="24"/>
                <w:szCs w:val="24"/>
                <w:lang w:val="pt-BR" w:bidi="ar-SA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/>
                <w:b/>
                <w:color w:val="000000" w:themeColor="text1"/>
                <w:kern w:val="0"/>
                <w:sz w:val="24"/>
                <w:szCs w:val="24"/>
                <w:lang w:val="pt-BR" w:bidi="ar-SA"/>
              </w:rPr>
              <w:t>ADENILSON  GIRELLI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/>
                <w:color w:val="000000" w:themeColor="text1"/>
                <w:kern w:val="0"/>
                <w:sz w:val="24"/>
                <w:szCs w:val="24"/>
                <w:lang w:val="pt-BR" w:bidi="ar-SA"/>
              </w:rPr>
              <w:t>Secretário Municipal de Desenvolvimento Econômico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/>
            </w:pPr>
            <w:r>
              <w:rPr>
                <w:rFonts w:cs="Arial"/>
                <w:color w:val="000000" w:themeColor="text1"/>
                <w:kern w:val="0"/>
                <w:sz w:val="24"/>
                <w:szCs w:val="24"/>
                <w:lang w:val="pt-BR" w:bidi="ar-SA"/>
              </w:rPr>
              <w:t>Decreto Municipal nº 6.992/2024</w:t>
            </w:r>
          </w:p>
        </w:tc>
      </w:tr>
    </w:tbl>
    <w:p>
      <w:pPr>
        <w:pStyle w:val="NormalWeb"/>
        <w:spacing w:beforeAutospacing="0" w:before="0" w:afterAutospacing="0" w:after="0"/>
        <w:jc w:val="both"/>
        <w:rPr>
          <w:rFonts w:ascii="Times New Roman" w:hAnsi="Times New Roman"/>
          <w:sz w:val="24"/>
          <w:szCs w:val="24"/>
        </w:rPr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701" w:right="1134" w:gutter="0" w:header="709" w:top="1701" w:footer="709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 Light">
    <w:charset w:val="00"/>
    <w:family w:val="roman"/>
    <w:pitch w:val="variable"/>
  </w:font>
  <w:font w:name="Segoe UI">
    <w:charset w:val="00"/>
    <w:family w:val="roman"/>
    <w:pitch w:val="variable"/>
  </w:font>
  <w:font w:name="Cambri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 New Roman">
    <w:charset w:val="01"/>
    <w:family w:val="roman"/>
    <w:pitch w:val="variable"/>
  </w:font>
  <w:font w:name="Arial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jc w:val="center"/>
      <w:rPr>
        <w:rFonts w:ascii="Arial" w:hAnsi="Arial" w:cs="Arial"/>
        <w:sz w:val="20"/>
        <w:szCs w:val="16"/>
      </w:rPr>
    </w:pPr>
    <w:r>
      <w:rPr>
        <w:rFonts w:cs="Arial" w:ascii="Arial" w:hAnsi="Arial"/>
        <w:sz w:val="20"/>
        <w:szCs w:val="16"/>
      </w:rPr>
    </w:r>
  </w:p>
  <w:p>
    <w:pPr>
      <w:pStyle w:val="Rodap"/>
      <w:jc w:val="center"/>
      <w:rPr>
        <w:rFonts w:ascii="Times New Roman" w:hAnsi="Times New Roman"/>
        <w:sz w:val="20"/>
        <w:szCs w:val="20"/>
      </w:rPr>
    </w:pPr>
    <w:r>
      <w:rPr>
        <w:rFonts w:cs="Arial" w:ascii="Times New Roman" w:hAnsi="Times New Roman"/>
        <w:b w:val="false"/>
        <w:bCs/>
        <w:i w:val="false"/>
        <w:caps w:val="false"/>
        <w:smallCaps w:val="false"/>
        <w:color w:val="000000"/>
        <w:spacing w:val="0"/>
        <w:sz w:val="20"/>
        <w:szCs w:val="20"/>
      </w:rPr>
      <w:t>Rua Lourenço Roldi, nº 88 – Bairro São Roquinho</w:t>
    </w:r>
    <w:r>
      <w:rPr>
        <w:rFonts w:cs="Arial" w:ascii="Times New Roman" w:hAnsi="Times New Roman"/>
        <w:sz w:val="20"/>
        <w:szCs w:val="20"/>
      </w:rPr>
      <w:t>, São Roque do Canaã/ES, CEP: 29665-000</w:t>
    </w:r>
  </w:p>
  <w:p>
    <w:pPr>
      <w:pStyle w:val="Rodap"/>
      <w:jc w:val="center"/>
      <w:rPr>
        <w:rFonts w:ascii="Times New Roman" w:hAnsi="Times New Roman"/>
        <w:sz w:val="20"/>
        <w:szCs w:val="20"/>
      </w:rPr>
    </w:pPr>
    <w:r>
      <w:rPr>
        <w:rFonts w:cs="Arial" w:ascii="Times New Roman" w:hAnsi="Times New Roman"/>
        <w:sz w:val="20"/>
        <w:szCs w:val="20"/>
      </w:rPr>
      <w:t xml:space="preserve">Telefone: </w:t>
    </w:r>
    <w:r>
      <w:rPr>
        <w:rFonts w:cs="Arial" w:ascii="Times New Roman" w:hAnsi="Times New Roman"/>
        <w:b w:val="false"/>
        <w:bCs/>
        <w:i w:val="false"/>
        <w:caps w:val="false"/>
        <w:smallCaps w:val="false"/>
        <w:color w:val="000000"/>
        <w:spacing w:val="0"/>
        <w:sz w:val="20"/>
        <w:szCs w:val="20"/>
        <w:shd w:fill="auto" w:val="clear"/>
      </w:rPr>
      <w:t>(27) 3729-1300</w:t>
    </w:r>
    <w:r>
      <w:rPr>
        <w:rFonts w:cs="Arial" w:ascii="Times New Roman" w:hAnsi="Times New Roman"/>
        <w:sz w:val="20"/>
        <w:szCs w:val="20"/>
      </w:rPr>
      <w:t xml:space="preserve">| E-mail: </w:t>
    </w:r>
    <w:r>
      <w:rPr>
        <w:rFonts w:cs="Arial" w:ascii="Times New Roman" w:hAnsi="Times New Roman"/>
        <w:bCs/>
        <w:color w:val="000000"/>
        <w:sz w:val="20"/>
        <w:szCs w:val="20"/>
      </w:rPr>
      <w:t>desenvolvimentoeconomico@saoroquedocanaa.es.gov.br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tabs>
        <w:tab w:val="left" w:pos="2166" w:leader="none"/>
        <w:tab w:val="center" w:pos="4252" w:leader="none"/>
        <w:tab w:val="right" w:pos="8504" w:leader="none"/>
      </w:tabs>
      <w:spacing w:lineRule="auto" w:line="276"/>
      <w:jc w:val="center"/>
      <w:rPr>
        <w:rFonts w:ascii="Arial" w:hAnsi="Arial" w:cs="Arial"/>
        <w:b/>
        <w:b/>
        <w:szCs w:val="16"/>
      </w:rPr>
    </w:pPr>
    <w:r>
      <w:rPr/>
      <w:drawing>
        <wp:inline distT="0" distB="0" distL="0" distR="0">
          <wp:extent cx="647700" cy="650240"/>
          <wp:effectExtent l="0" t="0" r="0" b="0"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502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Cabealho"/>
      <w:tabs>
        <w:tab w:val="left" w:pos="2166" w:leader="none"/>
        <w:tab w:val="center" w:pos="4252" w:leader="none"/>
        <w:tab w:val="right" w:pos="8504" w:leader="none"/>
      </w:tabs>
      <w:jc w:val="center"/>
      <w:rPr>
        <w:rFonts w:ascii="Arial" w:hAnsi="Arial" w:cs="Arial"/>
        <w:b/>
        <w:b/>
        <w:szCs w:val="16"/>
      </w:rPr>
    </w:pPr>
    <w:r>
      <w:rPr>
        <w:rFonts w:cs="Arial" w:ascii="Arial" w:hAnsi="Arial"/>
        <w:b/>
        <w:szCs w:val="16"/>
      </w:rPr>
      <w:t>PREFEITURA MUNICIPAL DE SÃO ROQUE DO CANAÃ</w:t>
    </w:r>
  </w:p>
  <w:p>
    <w:pPr>
      <w:pStyle w:val="Subttulo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  <w:t>ESTADO DO ESPÍRITO SANTO</w:t>
    </w:r>
  </w:p>
  <w:p>
    <w:pPr>
      <w:pStyle w:val="Subttulo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  <w:t xml:space="preserve">SECRETARIA MUNICIPAL DE DESENVOLVIMENTO ECONÔMICO – SMADE </w:t>
    </w:r>
  </w:p>
  <w:p>
    <w:pPr>
      <w:pStyle w:val="Subttulo"/>
      <w:jc w:val="left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Times New Roman" w:hAnsi="Times New Roman" w:cs="Aria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31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upperRoman"/>
      <w:lvlText w:val="%6)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2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">
    <w:lvl w:ilvl="0">
      <w:start w:val="1"/>
      <w:numFmt w:val="upperRoman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6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7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false"/>
        <w:rFonts w:ascii="Arial" w:hAnsi="Arial" w:cs="Aria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504" w:hanging="504"/>
      </w:pPr>
      <w:rPr>
        <w:b w:val="fals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b w:val="fals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9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0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w="http://schemas.openxmlformats.org/wordprocessingml/2006/main">
  <w:zoom w:percent="73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semiHidden="0" w:qFormat="1"/>
    <w:lsdException w:name="footer" w:semiHidden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0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(Web)" w:semiHidden="0"/>
    <w:lsdException w:name="Table Grid" w:uiPriority="59" w:semiHidden="0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uiPriority="34" w:semiHidden="0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Ttulo1">
    <w:name w:val="Heading 1"/>
    <w:basedOn w:val="Normal"/>
    <w:next w:val="Normal"/>
    <w:link w:val="Ttulo1Char"/>
    <w:uiPriority w:val="9"/>
    <w:qFormat/>
    <w:rsid w:val="000a2c0f"/>
    <w:pPr>
      <w:keepNext w:val="true"/>
      <w:keepLines/>
      <w:spacing w:before="480" w:after="0"/>
      <w:outlineLvl w:val="0"/>
    </w:pPr>
    <w:rPr>
      <w:rFonts w:ascii="Calibri Light" w:hAnsi="Calibri Light" w:eastAsia="" w:cs="" w:asciiTheme="majorHAnsi" w:cstheme="majorBidi" w:eastAsiaTheme="majorEastAsia" w:hAnsiTheme="majorHAnsi"/>
      <w:b/>
      <w:bCs/>
      <w:color w:val="2E74B5" w:themeColor="accent1" w:themeShade="bf"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qFormat/>
    <w:rPr/>
  </w:style>
  <w:style w:type="character" w:styleId="RodapChar" w:customStyle="1">
    <w:name w:val="Rodapé Char"/>
    <w:basedOn w:val="DefaultParagraphFont"/>
    <w:uiPriority w:val="99"/>
    <w:qFormat/>
    <w:rPr/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Pr>
      <w:rFonts w:ascii="Segoe UI" w:hAnsi="Segoe UI" w:cs="Segoe UI"/>
      <w:sz w:val="18"/>
      <w:szCs w:val="18"/>
    </w:rPr>
  </w:style>
  <w:style w:type="character" w:styleId="Ttulo1Char" w:customStyle="1">
    <w:name w:val="Título 1 Char"/>
    <w:basedOn w:val="DefaultParagraphFont"/>
    <w:uiPriority w:val="9"/>
    <w:qFormat/>
    <w:rsid w:val="000a2c0f"/>
    <w:rPr>
      <w:rFonts w:ascii="Calibri Light" w:hAnsi="Calibri Light" w:eastAsia="" w:cs="" w:asciiTheme="majorHAnsi" w:cstheme="majorBidi" w:eastAsiaTheme="majorEastAsia" w:hAnsiTheme="majorHAnsi"/>
      <w:b/>
      <w:bCs/>
      <w:color w:val="2E74B5" w:themeColor="accent1" w:themeShade="bf"/>
      <w:sz w:val="28"/>
      <w:szCs w:val="28"/>
      <w:lang w:eastAsia="en-US"/>
    </w:rPr>
  </w:style>
  <w:style w:type="character" w:styleId="LinkdaInternet">
    <w:name w:val="Hyperlink"/>
    <w:basedOn w:val="DefaultParagraphFont"/>
    <w:uiPriority w:val="99"/>
    <w:unhideWhenUsed/>
    <w:rsid w:val="000a2c0f"/>
    <w:rPr>
      <w:color w:val="0563C1" w:themeColor="hyperlink"/>
      <w:u w:val="single"/>
    </w:rPr>
  </w:style>
  <w:style w:type="character" w:styleId="Markedcontent" w:customStyle="1">
    <w:name w:val="markedcontent"/>
    <w:basedOn w:val="DefaultParagraphFont"/>
    <w:qFormat/>
    <w:rsid w:val="000a2c0f"/>
    <w:rPr/>
  </w:style>
  <w:style w:type="character" w:styleId="SubttuloChar" w:customStyle="1">
    <w:name w:val="Subtítulo Char"/>
    <w:basedOn w:val="DefaultParagraphFont"/>
    <w:qFormat/>
    <w:rsid w:val="000b235b"/>
    <w:rPr>
      <w:rFonts w:ascii="Cambria" w:hAnsi="Cambria" w:eastAsia="Times New Roman" w:cs="Times New Roman"/>
      <w:sz w:val="24"/>
    </w:rPr>
  </w:style>
  <w:style w:type="character" w:styleId="Smbolosdenumerao">
    <w:name w:val="Símbolos de numeração"/>
    <w:qFormat/>
    <w:rPr/>
  </w:style>
  <w:style w:type="character" w:styleId="Fontepargpadro">
    <w:name w:val="Fonte parág. padrão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unhideWhenUsed/>
    <w:qFormat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nhideWhenUsed/>
    <w:qFormat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link w:val="RodapChar"/>
    <w:uiPriority w:val="99"/>
    <w:unhideWhenUsed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WWCorpodetexto3" w:customStyle="1">
    <w:name w:val="WW-Corpo de texto 3"/>
    <w:basedOn w:val="Normal"/>
    <w:qFormat/>
    <w:pPr>
      <w:suppressAutoHyphens w:val="true"/>
      <w:spacing w:lineRule="auto" w:line="240" w:before="0" w:after="0"/>
      <w:jc w:val="both"/>
    </w:pPr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0b235b"/>
    <w:pPr>
      <w:spacing w:lineRule="auto" w:line="240" w:before="0" w:after="0"/>
      <w:jc w:val="center"/>
    </w:pPr>
    <w:rPr>
      <w:rFonts w:ascii="Cambria" w:hAnsi="Cambria" w:eastAsia="Times New Roman" w:cs="Times New Roman"/>
      <w:sz w:val="24"/>
      <w:szCs w:val="20"/>
      <w:lang w:eastAsia="pt-BR"/>
    </w:rPr>
  </w:style>
  <w:style w:type="paragraph" w:styleId="ListParagraph">
    <w:name w:val="List Paragraph"/>
    <w:basedOn w:val="Normal"/>
    <w:uiPriority w:val="34"/>
    <w:qFormat/>
    <w:rsid w:val="000b28e5"/>
    <w:pPr>
      <w:spacing w:before="0" w:after="160"/>
      <w:ind w:left="720" w:hanging="0"/>
      <w:contextualSpacing/>
    </w:pPr>
    <w:rPr/>
  </w:style>
  <w:style w:type="paragraph" w:styleId="Corpodetexto23" w:customStyle="1">
    <w:name w:val="Corpo de texto 23"/>
    <w:basedOn w:val="Normal"/>
    <w:qFormat/>
    <w:rsid w:val="00de115b"/>
    <w:pPr>
      <w:spacing w:lineRule="auto" w:line="240" w:before="0" w:after="0"/>
      <w:jc w:val="both"/>
    </w:pPr>
    <w:rPr>
      <w:rFonts w:ascii="Times New Roman" w:hAnsi="Times New Roman" w:eastAsia="SimSun" w:cs="Times New Roman"/>
      <w:sz w:val="20"/>
      <w:szCs w:val="20"/>
      <w:lang w:eastAsia="zh-CN"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e71961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298079-D9BC-4825-B48A-E63FF297B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1641</TotalTime>
  <Application>LibreOffice/7.4.6.2$Windows_X86_64 LibreOffice_project/5b1f5509c2decdade7fda905e3e1429a67acd63d</Application>
  <AppVersion>15.0000</AppVersion>
  <Pages>15</Pages>
  <Words>4606</Words>
  <Characters>26582</Characters>
  <CharactersWithSpaces>30754</CharactersWithSpaces>
  <Paragraphs>301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2023-01-12T18:50:00Z</dcterms:created>
  <dc:creator>COMPUTADOR</dc:creator>
  <dc:description/>
  <dc:language>pt-BR</dc:language>
  <cp:lastModifiedBy/>
  <cp:lastPrinted>2024-04-22T14:20:11Z</cp:lastPrinted>
  <dcterms:modified xsi:type="dcterms:W3CDTF">2024-04-22T14:21:16Z</dcterms:modified>
  <cp:revision>69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A1EA58DFB2F64CA49379DECF14E588A6</vt:lpwstr>
  </property>
  <property fmtid="{D5CDD505-2E9C-101B-9397-08002B2CF9AE}" pid="3" name="KSOProductBuildVer">
    <vt:lpwstr>1046-11.2.0.11440</vt:lpwstr>
  </property>
</Properties>
</file>