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sz w:val="24"/>
          <w:szCs w:val="24"/>
        </w:rPr>
      </w:pPr>
      <w:r>
        <w:rPr>
          <w:rFonts w:cs="Arial" w:ascii="Times New Roman" w:hAnsi="Times New Roman"/>
          <w:b/>
          <w:sz w:val="24"/>
          <w:szCs w:val="24"/>
        </w:rPr>
        <w:t>TERMO DE REFERÊNCIA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DESCRIÇÃO DO OBJETO E DA VIGÊNCIA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DESCRIÇÃO DO OBJETO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3"/>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Constitui objeto do presente Termo de Referência, estabelecer as condições e diretrizes que disciplinarão o empenho estimativo em favor da COMPANHIA ESPÍRITO SANTENSE DE SANEAMENTO - CESAN, inscrita no CNPJ sob o nº 28.151.363/0001-47 para </w:t>
      </w:r>
      <w:r>
        <w:rPr>
          <w:rFonts w:cs="Arial" w:ascii="Times New Roman" w:hAnsi="Times New Roman"/>
          <w:b/>
          <w:sz w:val="24"/>
          <w:szCs w:val="24"/>
        </w:rPr>
        <w:t>c</w:t>
      </w:r>
      <w:r>
        <w:rPr>
          <w:rFonts w:cs="Arial" w:ascii="Times New Roman" w:hAnsi="Times New Roman"/>
          <w:b/>
          <w:bCs/>
          <w:sz w:val="24"/>
          <w:szCs w:val="24"/>
        </w:rPr>
        <w:t>ustear as despesas decorrentes do consumo de água pelas unidades relacionadas à Secretaria Municipal de Obras e Serviços Urbanos, no exercício de 2025</w:t>
      </w:r>
      <w:r>
        <w:rPr>
          <w:rFonts w:cs="Arial" w:ascii="Times New Roman" w:hAnsi="Times New Roman"/>
          <w:bCs/>
          <w:sz w:val="24"/>
          <w:szCs w:val="24"/>
        </w:rPr>
        <w:t xml:space="preserve">, em virtude do desempenho de suas atividades, com fulcro no art. 60, da Lei Federal nº </w:t>
      </w:r>
      <w:r>
        <w:rPr>
          <w:rFonts w:cs="Arial" w:ascii="Times New Roman" w:hAnsi="Times New Roman"/>
          <w:sz w:val="24"/>
          <w:szCs w:val="24"/>
        </w:rPr>
        <w:t xml:space="preserve">4.320/1964, art. 74, </w:t>
      </w:r>
      <w:r>
        <w:rPr>
          <w:rFonts w:cs="Arial" w:ascii="Times New Roman" w:hAnsi="Times New Roman"/>
          <w:i/>
          <w:sz w:val="24"/>
          <w:szCs w:val="24"/>
        </w:rPr>
        <w:t>caput</w:t>
      </w:r>
      <w:r>
        <w:rPr>
          <w:rFonts w:cs="Arial" w:ascii="Times New Roman" w:hAnsi="Times New Roman"/>
          <w:sz w:val="24"/>
          <w:szCs w:val="24"/>
        </w:rPr>
        <w:t>, da Lei Federal nº 14.133/2021.</w:t>
      </w:r>
    </w:p>
    <w:p>
      <w:pPr>
        <w:pStyle w:val="ListParagraph"/>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DAS UNIDADES CONSUMIDORAS</w:t>
      </w:r>
    </w:p>
    <w:p>
      <w:pPr>
        <w:pStyle w:val="ListParagraph"/>
        <w:numPr>
          <w:ilvl w:val="2"/>
          <w:numId w:val="3"/>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A demanda em questão objetiva o pleno e efetivo funcionamento dos estabelecimentos integrantes da Secretaria de Obras e Serviços Urbanos, quais sejam:</w:t>
      </w:r>
    </w:p>
    <w:p>
      <w:pPr>
        <w:pStyle w:val="ListParagraph"/>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a) Fábrica de Manilhas: </w:t>
      </w:r>
      <w:r>
        <w:rPr>
          <w:rFonts w:cs="Arial" w:ascii="Times New Roman" w:hAnsi="Times New Roman"/>
          <w:b/>
          <w:sz w:val="24"/>
          <w:szCs w:val="24"/>
        </w:rPr>
        <w:t>identificação nº 0557508-7</w:t>
      </w:r>
      <w:r>
        <w:rPr>
          <w:rFonts w:cs="Arial" w:ascii="Times New Roman" w:hAnsi="Times New Roman"/>
          <w:sz w:val="24"/>
          <w:szCs w:val="24"/>
        </w:rPr>
        <w:t>;</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b) Almoxarifado: </w:t>
      </w:r>
      <w:r>
        <w:rPr>
          <w:rFonts w:cs="Arial" w:ascii="Times New Roman" w:hAnsi="Times New Roman"/>
          <w:b/>
          <w:sz w:val="24"/>
          <w:szCs w:val="24"/>
        </w:rPr>
        <w:t>identificação nº 694617-8</w:t>
      </w:r>
      <w:r>
        <w:rPr>
          <w:rFonts w:cs="Arial" w:ascii="Times New Roman" w:hAnsi="Times New Roman"/>
          <w:sz w:val="24"/>
          <w:szCs w:val="24"/>
        </w:rPr>
        <w:t>;</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c) ETE: </w:t>
      </w:r>
      <w:r>
        <w:rPr>
          <w:rFonts w:cs="Arial" w:ascii="Times New Roman" w:hAnsi="Times New Roman"/>
          <w:b/>
          <w:sz w:val="24"/>
          <w:szCs w:val="24"/>
        </w:rPr>
        <w:t>identificação 743238-0</w:t>
      </w:r>
      <w:r>
        <w:rPr>
          <w:rFonts w:cs="Arial" w:ascii="Times New Roman" w:hAnsi="Times New Roman"/>
          <w:sz w:val="24"/>
          <w:szCs w:val="24"/>
        </w:rPr>
        <w:t>;</w:t>
      </w:r>
    </w:p>
    <w:p>
      <w:pPr>
        <w:pStyle w:val="ListParagraph"/>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VIGÊNCIA</w:t>
      </w:r>
    </w:p>
    <w:p>
      <w:pPr>
        <w:pStyle w:val="ListParagraph"/>
        <w:numPr>
          <w:ilvl w:val="2"/>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O </w:t>
      </w:r>
      <w:r>
        <w:rPr>
          <w:rFonts w:cs="Arial" w:ascii="Times New Roman" w:hAnsi="Times New Roman"/>
          <w:b/>
          <w:sz w:val="24"/>
          <w:szCs w:val="24"/>
        </w:rPr>
        <w:t>empenho estimativo</w:t>
      </w:r>
      <w:r>
        <w:rPr>
          <w:rFonts w:cs="Arial" w:ascii="Times New Roman" w:hAnsi="Times New Roman"/>
          <w:sz w:val="24"/>
          <w:szCs w:val="24"/>
        </w:rPr>
        <w:t xml:space="preserve"> deverá ocorrer, preferencialmente, no mês de Setembro</w:t>
      </w:r>
      <w:r>
        <w:rPr>
          <w:rFonts w:cs="Arial" w:ascii="Times New Roman" w:hAnsi="Times New Roman"/>
          <w:sz w:val="24"/>
          <w:szCs w:val="24"/>
          <w:shd w:fill="auto" w:val="clear"/>
        </w:rPr>
        <w:t xml:space="preserve"> de</w:t>
      </w:r>
      <w:r>
        <w:rPr>
          <w:rFonts w:cs="Arial" w:ascii="Times New Roman" w:hAnsi="Times New Roman"/>
          <w:sz w:val="24"/>
          <w:szCs w:val="24"/>
          <w:shd w:fill="FFFF00" w:val="clear"/>
        </w:rPr>
        <w:t xml:space="preserve"> </w:t>
      </w:r>
      <w:r>
        <w:rPr>
          <w:rFonts w:cs="Arial" w:ascii="Times New Roman" w:hAnsi="Times New Roman"/>
          <w:sz w:val="24"/>
          <w:szCs w:val="24"/>
          <w:shd w:fill="auto" w:val="clear"/>
        </w:rPr>
        <w:t>2025</w:t>
      </w:r>
      <w:r>
        <w:rPr>
          <w:rFonts w:cs="Arial" w:ascii="Times New Roman" w:hAnsi="Times New Roman"/>
          <w:sz w:val="24"/>
          <w:szCs w:val="24"/>
        </w:rPr>
        <w:t xml:space="preserve">, com vigência programada para custeio das despesas relativas ao consumo de água no </w:t>
      </w:r>
      <w:r>
        <w:rPr>
          <w:rFonts w:cs="Arial" w:ascii="Times New Roman" w:hAnsi="Times New Roman"/>
          <w:b/>
          <w:sz w:val="24"/>
          <w:szCs w:val="24"/>
        </w:rPr>
        <w:t>período de</w:t>
      </w:r>
      <w:r>
        <w:rPr>
          <w:rFonts w:cs="Arial" w:ascii="Times New Roman" w:hAnsi="Times New Roman"/>
          <w:b/>
          <w:sz w:val="24"/>
          <w:szCs w:val="24"/>
          <w:shd w:fill="auto" w:val="clear"/>
        </w:rPr>
        <w:t xml:space="preserve"> 01/09/2025 à 31/12/2025.</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DO OBJETIVO E DA JUSTIFICATIVA</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Times New Roman" w:hAnsi="Times New Roman"/>
          <w:b/>
          <w:sz w:val="24"/>
          <w:szCs w:val="24"/>
        </w:rPr>
        <w:t>vedada a realização de despesas sem prévio empenho.</w:t>
      </w:r>
      <w:r>
        <w:rPr>
          <w:rFonts w:cs="Arial" w:ascii="Times New Roman" w:hAnsi="Times New Roman"/>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Nessa perspectiva, o art. 60, §2º, da Lei Federal nº 4.320/1964, disciplina que, nas hipóteses de o montante da despesa não for possível ser determinado, será feito o </w:t>
      </w:r>
      <w:r>
        <w:rPr>
          <w:rFonts w:cs="Arial" w:ascii="Times New Roman" w:hAnsi="Times New Roman"/>
          <w:b/>
          <w:sz w:val="24"/>
          <w:szCs w:val="24"/>
        </w:rPr>
        <w:t>empenho por estimativa.</w:t>
      </w:r>
      <w:r>
        <w:rPr>
          <w:rFonts w:cs="Arial" w:ascii="Times New Roman" w:hAnsi="Times New Roman"/>
          <w:sz w:val="24"/>
          <w:szCs w:val="24"/>
        </w:rPr>
        <w:t xml:space="preserve"> Tem-se, portanto, como aquele em que </w:t>
      </w:r>
      <w:r>
        <w:rPr>
          <w:rFonts w:cs="Arial" w:ascii="Times New Roman" w:hAnsi="Times New Roman"/>
          <w:b/>
          <w:sz w:val="24"/>
          <w:szCs w:val="24"/>
        </w:rPr>
        <w:t>não se pode determinar previamente o montante exato a ser pago</w:t>
      </w:r>
      <w:r>
        <w:rPr>
          <w:rFonts w:cs="Arial" w:ascii="Times New Roman" w:hAnsi="Times New Roman"/>
          <w:sz w:val="24"/>
          <w:szCs w:val="24"/>
        </w:rPr>
        <w:t>, como ocorre, em particular, com as contas de água, luz, gás e telefone.</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Ademais, a Lei Federal nº 14.133, por meio do art. 74, </w:t>
      </w:r>
      <w:r>
        <w:rPr>
          <w:rFonts w:cs="Arial" w:ascii="Times New Roman" w:hAnsi="Times New Roman"/>
          <w:i/>
          <w:sz w:val="24"/>
          <w:szCs w:val="24"/>
        </w:rPr>
        <w:t>caput</w:t>
      </w:r>
      <w:r>
        <w:rPr>
          <w:rFonts w:cs="Arial" w:ascii="Times New Roman" w:hAnsi="Times New Roman"/>
          <w:sz w:val="24"/>
          <w:szCs w:val="24"/>
        </w:rPr>
        <w:t xml:space="preserve">, determina a inexigibilidade de licitação nas hipóteses de ser inviável a competição. </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Assim, por consequência, dada à natureza do objeto em questão, </w:t>
      </w:r>
      <w:r>
        <w:rPr>
          <w:rFonts w:cs="Arial" w:ascii="Times New Roman" w:hAnsi="Times New Roman"/>
          <w:b/>
          <w:sz w:val="24"/>
          <w:szCs w:val="24"/>
        </w:rPr>
        <w:t>dispensa-se a elaboração do Estudo Técnico Preliminar (ETP)</w:t>
      </w:r>
      <w:r>
        <w:rPr>
          <w:rFonts w:cs="Arial" w:ascii="Times New Roman" w:hAnsi="Times New Roman"/>
          <w:sz w:val="24"/>
          <w:szCs w:val="24"/>
        </w:rPr>
        <w:t xml:space="preserve">, vez que a </w:t>
      </w:r>
      <w:r>
        <w:rPr>
          <w:rFonts w:cs="Arial" w:ascii="Times New Roman" w:hAnsi="Times New Roman"/>
          <w:b/>
          <w:sz w:val="24"/>
          <w:szCs w:val="24"/>
        </w:rPr>
        <w:t>solução adequada</w:t>
      </w:r>
      <w:r>
        <w:rPr>
          <w:rFonts w:cs="Arial" w:ascii="Times New Roman" w:hAnsi="Times New Roman"/>
          <w:sz w:val="24"/>
          <w:szCs w:val="24"/>
        </w:rPr>
        <w:t xml:space="preserve"> para o custeio das despesas decorrentes do consumo de água pelas unidades relativas à Secretaria Municipal de Saúde, </w:t>
      </w:r>
      <w:r>
        <w:rPr>
          <w:rFonts w:cs="Arial" w:ascii="Times New Roman" w:hAnsi="Times New Roman"/>
          <w:b/>
          <w:sz w:val="24"/>
          <w:szCs w:val="24"/>
        </w:rPr>
        <w:t>é a realização de</w:t>
      </w:r>
      <w:r>
        <w:rPr>
          <w:rFonts w:cs="Arial" w:ascii="Times New Roman" w:hAnsi="Times New Roman"/>
          <w:sz w:val="24"/>
          <w:szCs w:val="24"/>
        </w:rPr>
        <w:t xml:space="preserve"> </w:t>
      </w:r>
      <w:r>
        <w:rPr>
          <w:rFonts w:cs="Arial" w:ascii="Times New Roman" w:hAnsi="Times New Roman"/>
          <w:b/>
          <w:sz w:val="24"/>
          <w:szCs w:val="24"/>
        </w:rPr>
        <w:t>empenho estimativo</w:t>
      </w:r>
      <w:r>
        <w:rPr>
          <w:rFonts w:cs="Arial" w:ascii="Times New Roman" w:hAnsi="Times New Roman"/>
          <w:bCs/>
          <w:sz w:val="24"/>
          <w:szCs w:val="24"/>
        </w:rPr>
        <w:t xml:space="preserve">, com fulcro no art. 60, da Lei Federal nº </w:t>
      </w:r>
      <w:r>
        <w:rPr>
          <w:rFonts w:cs="Arial" w:ascii="Times New Roman" w:hAnsi="Times New Roman"/>
          <w:sz w:val="24"/>
          <w:szCs w:val="24"/>
        </w:rPr>
        <w:t xml:space="preserve">4.320/1964 e art. 74, </w:t>
      </w:r>
      <w:r>
        <w:rPr>
          <w:rFonts w:cs="Arial" w:ascii="Times New Roman" w:hAnsi="Times New Roman"/>
          <w:i/>
          <w:sz w:val="24"/>
          <w:szCs w:val="24"/>
        </w:rPr>
        <w:t>caput</w:t>
      </w:r>
      <w:r>
        <w:rPr>
          <w:rFonts w:cs="Arial" w:ascii="Times New Roman" w:hAnsi="Times New Roman"/>
          <w:sz w:val="24"/>
          <w:szCs w:val="24"/>
        </w:rPr>
        <w:t>, da Lei Federal nº 14.133/2021.</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A Contratação já estando contemplado no </w:t>
      </w:r>
      <w:r>
        <w:rPr>
          <w:rFonts w:cs="Arial" w:ascii="Times New Roman" w:hAnsi="Times New Roman"/>
          <w:b/>
          <w:sz w:val="24"/>
          <w:szCs w:val="24"/>
        </w:rPr>
        <w:t>Plano Anual de Contratações (PAC) 2025, conforme Decreto Municipal nº 7.324/2024, como despesas ordinárias.</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Justificando, o presente Termo de Referência visa </w:t>
      </w:r>
      <w:r>
        <w:rPr>
          <w:rFonts w:cs="Arial" w:ascii="Times New Roman" w:hAnsi="Times New Roman"/>
          <w:b/>
          <w:sz w:val="24"/>
          <w:szCs w:val="24"/>
        </w:rPr>
        <w:t xml:space="preserve">esclarecer e direcionar os procedimentos essenciais para a Inexigibilidade de Licitação e realização de Empenho por estimativa, </w:t>
      </w:r>
      <w:r>
        <w:rPr>
          <w:rFonts w:cs="Arial" w:ascii="Times New Roman" w:hAnsi="Times New Roman"/>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FORMALIZAÇÃO DA ATA DE REGISTRO DE PREÇOS, DOS USUÁRIOS DO REGISTRO DE PREÇOS E DO FORNECIMENTO</w:t>
      </w:r>
    </w:p>
    <w:p>
      <w:pPr>
        <w:pStyle w:val="ListParagraph"/>
        <w:numPr>
          <w:ilvl w:val="1"/>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r>
        <w:rPr>
          <w:rFonts w:cs="Arial" w:ascii="Times New Roman" w:hAnsi="Times New Roman"/>
          <w:sz w:val="24"/>
          <w:szCs w:val="24"/>
        </w:rPr>
        <w:t>.</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DO OBJETO LICITADO</w:t>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DA SOLUÇÃO E DO CICLO DE VIDA DO OBJETO</w:t>
      </w:r>
    </w:p>
    <w:p>
      <w:pPr>
        <w:pStyle w:val="ListParagraph"/>
        <w:numPr>
          <w:ilvl w:val="2"/>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ascii="Times New Roman" w:hAnsi="Times New Roman"/>
          <w:sz w:val="24"/>
          <w:szCs w:val="24"/>
        </w:rPr>
        <w:t>, qual seja a inexigibilidade de licitação e a realização de empenho por estimativa para custear as despesas decorrentes do consumo de água.</w:t>
      </w:r>
    </w:p>
    <w:p>
      <w:pPr>
        <w:pStyle w:val="ListParagraph"/>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DOS REQUISITOS DA CONTRATAÇÃO</w:t>
      </w:r>
    </w:p>
    <w:p>
      <w:pPr>
        <w:pStyle w:val="ListParagraph"/>
        <w:numPr>
          <w:ilvl w:val="2"/>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A contratação será realizada em razão da necessidade de custeio das despesas decorrentes do consumo de água pelas unidades relacionadas à Secretaria Municipal de Obras e Serviços Urbanos, no exercício </w:t>
      </w:r>
      <w:r>
        <w:rPr>
          <w:rFonts w:cs="Arial" w:ascii="Times New Roman" w:hAnsi="Times New Roman"/>
          <w:sz w:val="24"/>
          <w:szCs w:val="24"/>
          <w:shd w:fill="auto" w:val="clear"/>
        </w:rPr>
        <w:t>de 2025,</w:t>
      </w:r>
      <w:r>
        <w:rPr>
          <w:rFonts w:cs="Arial" w:ascii="Times New Roman" w:hAnsi="Times New Roman"/>
          <w:sz w:val="24"/>
          <w:szCs w:val="24"/>
        </w:rPr>
        <w:t xml:space="preserve"> em virtude do desempenho de suas atividades.</w:t>
      </w:r>
    </w:p>
    <w:p>
      <w:pPr>
        <w:pStyle w:val="NormalWeb"/>
        <w:numPr>
          <w:ilvl w:val="1"/>
          <w:numId w:val="1"/>
        </w:numPr>
        <w:spacing w:beforeAutospacing="0" w:before="0" w:afterAutospacing="0" w:after="0"/>
        <w:ind w:hanging="0" w:left="0"/>
        <w:jc w:val="both"/>
        <w:rPr>
          <w:rFonts w:ascii="Times New Roman" w:hAnsi="Times New Roman"/>
          <w:sz w:val="24"/>
          <w:szCs w:val="24"/>
        </w:rPr>
      </w:pPr>
      <w:r>
        <w:rPr>
          <w:rFonts w:cs="Arial"/>
          <w:sz w:val="24"/>
          <w:szCs w:val="24"/>
        </w:rPr>
        <w:t xml:space="preserve">A demanda em comento leva em conta a necessidade da Secretaria para o exercício financeiro de 2025, já estando contemplado no </w:t>
      </w:r>
      <w:r>
        <w:rPr>
          <w:rFonts w:cs="Arial"/>
          <w:b/>
          <w:sz w:val="24"/>
          <w:szCs w:val="24"/>
        </w:rPr>
        <w:t xml:space="preserve"> Plano Anual de Contratações (PAC) 2025, conforme Decreto Municipal nº 7.324/2024, como despesas ordinárias.</w:t>
      </w:r>
    </w:p>
    <w:p>
      <w:pPr>
        <w:pStyle w:val="ListParagraph"/>
        <w:numPr>
          <w:ilvl w:val="2"/>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DO FORNECIMENTO E RECEBIMENTO</w:t>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DAS CONDIÇÕES DE RECEBIMENTO DO OBJETO</w:t>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DAS OBRIGAÇÕES E RESPONSABILIDADES</w:t>
      </w:r>
    </w:p>
    <w:p>
      <w:pPr>
        <w:pStyle w:val="ListParagraph"/>
        <w:numPr>
          <w:ilvl w:val="2"/>
          <w:numId w:val="2"/>
        </w:numPr>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DAS OBRIGAÇÕES E RESPONSABILIDADES DA EMPRESA CONTRATADA</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Caberá ao CONTRATADO o cumprimento das seguintes obrigações: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1 - Prestar os serviços, objeto da Contratação;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4 - Executar fielmente o objeto da Contratação com fornecimento ininterrupto de água tratada e tratamento de esgoto durante 365 (trezentos e sessenta e cinco) dias do ano de 2024;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5 - Dar plena garantia e qualidade do serviço prestado;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9 - Acatar as determinações feitas pela Contratante no que tange ao cumprimento do objeto do Contrato.</w:t>
      </w:r>
    </w:p>
    <w:p>
      <w:pPr>
        <w:pStyle w:val="Western"/>
        <w:spacing w:beforeAutospacing="0" w:before="0" w:after="0"/>
        <w:jc w:val="both"/>
        <w:rPr>
          <w:rFonts w:ascii="Times New Roman" w:hAnsi="Times New Roman" w:cs="Arial"/>
          <w:sz w:val="24"/>
          <w:szCs w:val="24"/>
        </w:rPr>
      </w:pPr>
      <w:r>
        <w:rPr>
          <w:rFonts w:cs="Arial"/>
          <w:sz w:val="24"/>
          <w:szCs w:val="24"/>
        </w:rPr>
      </w:r>
    </w:p>
    <w:p>
      <w:pPr>
        <w:pStyle w:val="ListParagraph"/>
        <w:numPr>
          <w:ilvl w:val="2"/>
          <w:numId w:val="4"/>
        </w:numPr>
        <w:suppressAutoHyphens w:val="true"/>
        <w:spacing w:lineRule="auto" w:line="240" w:before="0" w:after="0"/>
        <w:contextualSpacing/>
        <w:jc w:val="both"/>
        <w:rPr>
          <w:rFonts w:ascii="Times New Roman" w:hAnsi="Times New Roman"/>
          <w:sz w:val="24"/>
          <w:szCs w:val="24"/>
        </w:rPr>
      </w:pPr>
      <w:r>
        <w:rPr>
          <w:rFonts w:cs="Arial" w:ascii="Times New Roman" w:hAnsi="Times New Roman"/>
          <w:b/>
          <w:sz w:val="24"/>
          <w:szCs w:val="24"/>
        </w:rPr>
        <w:t>DAS OBRIGAÇÕES E RESPONSABILIDADES DO MUNICÍPIO</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Caberá a Prefeitura Municipal de São Roque do Canaã/ES, como CONTRATANTE: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4 - Efetuar o pagamento nas condições e preços pactuados; </w:t>
      </w:r>
    </w:p>
    <w:p>
      <w:pPr>
        <w:pStyle w:val="ListParagraph"/>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FISCALIZAÇÃO E ACOMPANHAMENTO</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Corpodetexto23"/>
        <w:rPr>
          <w:rFonts w:ascii="Times New Roman" w:hAnsi="Times New Roman"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GARANTIA PELO FORNECIMENTO</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DAS AMOSTRAS</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GESTÃO DO CONTRATO</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DO FATURAMENTO E DO PAGAMENTO</w:t>
      </w:r>
    </w:p>
    <w:p>
      <w:pPr>
        <w:pStyle w:val="ListParagraph"/>
        <w:numPr>
          <w:ilvl w:val="1"/>
          <w:numId w:val="4"/>
        </w:numPr>
        <w:spacing w:lineRule="auto" w:line="240" w:before="0" w:after="0"/>
        <w:ind w:hanging="0" w:left="0"/>
        <w:contextualSpacing/>
        <w:rPr>
          <w:rFonts w:ascii="Times New Roman" w:hAnsi="Times New Roman"/>
          <w:sz w:val="24"/>
          <w:szCs w:val="24"/>
        </w:rPr>
      </w:pPr>
      <w:bookmarkStart w:id="0" w:name="_Hlk151990632"/>
      <w:r>
        <w:rPr>
          <w:rFonts w:cs="Arial" w:ascii="Times New Roman" w:hAnsi="Times New Roman"/>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ListParagraph"/>
        <w:numPr>
          <w:ilvl w:val="1"/>
          <w:numId w:val="4"/>
        </w:numPr>
        <w:spacing w:lineRule="auto" w:line="240" w:before="0" w:after="0"/>
        <w:ind w:hanging="0" w:left="0"/>
        <w:contextualSpacing/>
        <w:rPr>
          <w:rFonts w:ascii="Times New Roman" w:hAnsi="Times New Roman"/>
          <w:sz w:val="24"/>
          <w:szCs w:val="24"/>
        </w:rPr>
      </w:pPr>
      <w:r>
        <w:rPr>
          <w:rFonts w:cs="Arial" w:ascii="Times New Roman" w:hAnsi="Times New Roman"/>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Para efeito de pagamento, junto com o Recibo, deverá ser anexado: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III - Certidão de Regularidade com a Fazenda do Estado;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fill="D9D9D9"/>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DA ANTECIPAÇÃO DO PAGAMENTO</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FORMA E CRITÉRIOS DE SELEÇÃO DO FORNECEDOR</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DO VALOR MÁXIMO E DOS RECURSOS ORÇAMENTÁRIOS</w:t>
      </w:r>
    </w:p>
    <w:p>
      <w:pPr>
        <w:pStyle w:val="ListParagraph"/>
        <w:numPr>
          <w:ilvl w:val="1"/>
          <w:numId w:val="4"/>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DO VALOR ESTIMADO</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color w:val="111111"/>
          <w:sz w:val="24"/>
          <w:szCs w:val="24"/>
        </w:rPr>
        <w:t xml:space="preserve"> </w:t>
      </w:r>
      <w:r>
        <w:rPr>
          <w:rFonts w:cs="Arial" w:ascii="Times New Roman" w:hAnsi="Times New Roman"/>
          <w:color w:val="111111"/>
          <w:sz w:val="24"/>
          <w:szCs w:val="24"/>
        </w:rPr>
        <w:t xml:space="preserve">O </w:t>
      </w:r>
      <w:r>
        <w:rPr>
          <w:rFonts w:cs="Arial" w:ascii="Times New Roman" w:hAnsi="Times New Roman"/>
          <w:b/>
          <w:color w:val="111111"/>
          <w:sz w:val="24"/>
          <w:szCs w:val="24"/>
        </w:rPr>
        <w:t>valor estimado</w:t>
      </w:r>
      <w:r>
        <w:rPr>
          <w:rFonts w:cs="Arial" w:ascii="Times New Roman" w:hAnsi="Times New Roman"/>
          <w:color w:val="111111"/>
          <w:sz w:val="24"/>
          <w:szCs w:val="24"/>
        </w:rPr>
        <w:t xml:space="preserve"> para custeio das despesas com o consumo de água pelas unidades relativas à Secretaria de Obras e Serviços Urbanos, no exercício de 2025, </w:t>
      </w:r>
      <w:r>
        <w:rPr>
          <w:rFonts w:cs="Arial" w:ascii="Times New Roman" w:hAnsi="Times New Roman"/>
          <w:b/>
          <w:color w:val="111111"/>
          <w:sz w:val="24"/>
          <w:szCs w:val="24"/>
        </w:rPr>
        <w:t xml:space="preserve">é </w:t>
      </w:r>
      <w:r>
        <w:rPr>
          <w:rFonts w:cs="Arial" w:ascii="Times New Roman" w:hAnsi="Times New Roman"/>
          <w:b/>
          <w:color w:val="111111"/>
          <w:sz w:val="24"/>
          <w:szCs w:val="24"/>
          <w:shd w:fill="auto" w:val="clear"/>
        </w:rPr>
        <w:t xml:space="preserve">de R$ </w:t>
      </w:r>
      <w:r>
        <w:rPr>
          <w:rFonts w:cs="Arial" w:ascii="Times New Roman" w:hAnsi="Times New Roman"/>
          <w:b/>
          <w:color w:val="111111"/>
          <w:sz w:val="24"/>
          <w:szCs w:val="24"/>
          <w:shd w:fill="auto" w:val="clear"/>
        </w:rPr>
        <w:t>3</w:t>
      </w:r>
      <w:r>
        <w:rPr>
          <w:rFonts w:cs="Arial" w:ascii="Times New Roman" w:hAnsi="Times New Roman"/>
          <w:b/>
          <w:color w:val="111111"/>
          <w:sz w:val="24"/>
          <w:szCs w:val="24"/>
          <w:shd w:fill="auto" w:val="clear"/>
        </w:rPr>
        <w:t>.000,00(</w:t>
      </w:r>
      <w:r>
        <w:rPr>
          <w:rFonts w:cs="Arial" w:ascii="Times New Roman" w:hAnsi="Times New Roman"/>
          <w:b/>
          <w:color w:val="111111"/>
          <w:sz w:val="24"/>
          <w:szCs w:val="24"/>
          <w:shd w:fill="auto" w:val="clear"/>
        </w:rPr>
        <w:t>três</w:t>
      </w:r>
      <w:r>
        <w:rPr>
          <w:rFonts w:cs="Arial" w:ascii="Times New Roman" w:hAnsi="Times New Roman"/>
          <w:b/>
          <w:color w:val="111111"/>
          <w:sz w:val="24"/>
          <w:szCs w:val="24"/>
          <w:shd w:fill="auto" w:val="clear"/>
        </w:rPr>
        <w:t xml:space="preserve"> mil reais).</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4"/>
        </w:numPr>
        <w:shd w:val="clear" w:color="auto" w:fill="F2F2F2" w:themeFill="background1" w:themeFillShade="f2"/>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DOS RECURSOS ORÇAMENTÁRIOS</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color w:val="111111"/>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Times New Roman" w:hAnsi="Times New Roman"/>
          <w:b/>
          <w:color w:val="111111"/>
          <w:sz w:val="24"/>
          <w:szCs w:val="24"/>
        </w:rPr>
        <w:t xml:space="preserve"> Lei Orçamentária Anual (LOA) vinculada para o exercício financeiro de 2025</w:t>
      </w:r>
      <w:r>
        <w:rPr>
          <w:rFonts w:cs="Arial" w:ascii="Times New Roman" w:hAnsi="Times New Roman"/>
          <w:color w:val="111111"/>
          <w:sz w:val="24"/>
          <w:szCs w:val="24"/>
        </w:rPr>
        <w:t>, a qual será informada pelo requerente, após a aprovação da respectiva Lei.</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tbl>
      <w:tblPr>
        <w:tblStyle w:val="Tabelacomgrade"/>
        <w:tblW w:w="9239" w:type="dxa"/>
        <w:jc w:val="left"/>
        <w:tblInd w:w="-71" w:type="dxa"/>
        <w:tblLayout w:type="fixed"/>
        <w:tblCellMar>
          <w:top w:w="0" w:type="dxa"/>
          <w:left w:w="108" w:type="dxa"/>
          <w:bottom w:w="0" w:type="dxa"/>
          <w:right w:w="108" w:type="dxa"/>
        </w:tblCellMar>
        <w:tblLook w:firstRow="1" w:noVBand="1" w:lastRow="0" w:firstColumn="1" w:lastColumn="0" w:noHBand="0" w:val="04a0"/>
      </w:tblPr>
      <w:tblGrid>
        <w:gridCol w:w="7485"/>
        <w:gridCol w:w="1753"/>
      </w:tblGrid>
      <w:tr>
        <w:trPr>
          <w:trHeight w:val="567" w:hRule="atLeast"/>
        </w:trPr>
        <w:tc>
          <w:tcPr>
            <w:tcW w:w="9238" w:type="dxa"/>
            <w:gridSpan w:val="2"/>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b/>
                <w:color w:val="111111"/>
                <w:kern w:val="0"/>
                <w:sz w:val="24"/>
                <w:szCs w:val="24"/>
                <w:lang w:val="pt-BR" w:bidi="ar-SA"/>
              </w:rPr>
              <w:t>GESTÃO DAS ATIVIDADES DA SECRETARIA DE OBRAS E SERVIÇOS URBANOS</w:t>
            </w:r>
          </w:p>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color w:val="111111"/>
                <w:kern w:val="0"/>
                <w:sz w:val="24"/>
                <w:szCs w:val="24"/>
                <w:lang w:val="pt-BR" w:bidi="ar-SA"/>
              </w:rPr>
              <w:t>Outros Serviços de Terceiros – Pessoa Jurídica</w:t>
            </w:r>
          </w:p>
        </w:tc>
      </w:tr>
      <w:tr>
        <w:trPr>
          <w:trHeight w:val="340" w:hRule="atLeast"/>
        </w:trPr>
        <w:tc>
          <w:tcPr>
            <w:tcW w:w="7485" w:type="dxa"/>
            <w:tcBorders/>
            <w:shd w:color="auto" w:fill="FFFFFF" w:themeFill="background1"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color w:val="111111"/>
                <w:kern w:val="0"/>
                <w:sz w:val="24"/>
                <w:szCs w:val="24"/>
                <w:lang w:val="pt-BR" w:bidi="ar-SA"/>
              </w:rPr>
              <w:t>0707.1545100102.019 – 339039000000 – FR 1500 – F 211</w:t>
            </w:r>
          </w:p>
        </w:tc>
        <w:tc>
          <w:tcPr>
            <w:tcW w:w="1753" w:type="dxa"/>
            <w:tcBorders/>
            <w:vAlign w:val="center"/>
          </w:tcPr>
          <w:p>
            <w:pPr>
              <w:pStyle w:val="Normal"/>
              <w:widowControl w:val="false"/>
              <w:suppressAutoHyphens w:val="true"/>
              <w:spacing w:lineRule="auto" w:line="240" w:before="0" w:after="0"/>
              <w:jc w:val="center"/>
              <w:rPr>
                <w:highlight w:val="none"/>
                <w:shd w:fill="auto" w:val="clear"/>
              </w:rPr>
            </w:pPr>
            <w:r>
              <w:rPr>
                <w:rFonts w:eastAsia="Calibri" w:cs="Arial" w:ascii="Times New Roman" w:hAnsi="Times New Roman"/>
                <w:b/>
                <w:color w:val="111111"/>
                <w:kern w:val="0"/>
                <w:sz w:val="24"/>
                <w:szCs w:val="24"/>
                <w:shd w:fill="auto" w:val="clear"/>
                <w:lang w:val="pt-BR" w:bidi="ar-SA"/>
              </w:rPr>
              <w:t xml:space="preserve">R$ </w:t>
            </w:r>
            <w:r>
              <w:rPr>
                <w:rFonts w:eastAsia="Calibri" w:cs="Arial" w:ascii="Times New Roman" w:hAnsi="Times New Roman"/>
                <w:b/>
                <w:color w:val="111111"/>
                <w:kern w:val="0"/>
                <w:sz w:val="24"/>
                <w:szCs w:val="24"/>
                <w:shd w:fill="auto" w:val="clear"/>
                <w:lang w:val="pt-BR" w:bidi="ar-SA"/>
              </w:rPr>
              <w:t>3</w:t>
            </w:r>
            <w:r>
              <w:rPr>
                <w:rFonts w:eastAsia="Calibri" w:cs="Arial" w:ascii="Times New Roman" w:hAnsi="Times New Roman"/>
                <w:b/>
                <w:color w:val="111111"/>
                <w:kern w:val="0"/>
                <w:sz w:val="24"/>
                <w:szCs w:val="24"/>
                <w:shd w:fill="auto" w:val="clear"/>
                <w:lang w:val="pt-BR" w:bidi="ar-SA"/>
              </w:rPr>
              <w:t>.000,00</w:t>
            </w:r>
          </w:p>
        </w:tc>
      </w:tr>
    </w:tbl>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DAS SANÇÕES E PENALIDADES</w:t>
      </w:r>
    </w:p>
    <w:p>
      <w:pPr>
        <w:pStyle w:val="ListParagraph"/>
        <w:numPr>
          <w:ilvl w:val="1"/>
          <w:numId w:val="4"/>
        </w:numPr>
        <w:spacing w:lineRule="auto" w:line="240" w:before="0" w:after="0"/>
        <w:ind w:hanging="0" w:left="0"/>
        <w:contextualSpacing/>
        <w:rPr>
          <w:rFonts w:ascii="Times New Roman" w:hAnsi="Times New Roman"/>
          <w:sz w:val="24"/>
          <w:szCs w:val="24"/>
        </w:rPr>
      </w:pPr>
      <w:bookmarkStart w:id="1" w:name="_Hlk151990699"/>
      <w:r>
        <w:rPr>
          <w:rFonts w:cs="Arial" w:ascii="Times New Roman" w:hAnsi="Times New Roman"/>
          <w:bCs/>
          <w:color w:val="000000"/>
          <w:sz w:val="24"/>
          <w:szCs w:val="24"/>
        </w:rPr>
        <w:t>Serão aplicadas as infrações administrativas disciplinadas na Lei Federal nº 14.133/2021, na forma de regulamento municipal.</w:t>
      </w:r>
      <w:bookmarkEnd w:id="1"/>
    </w:p>
    <w:p>
      <w:pPr>
        <w:pStyle w:val="ListParagraph"/>
        <w:rPr>
          <w:rFonts w:ascii="Times New Roman" w:hAnsi="Times New Roman" w:cs="Arial"/>
          <w:bCs/>
          <w:color w:val="000000"/>
          <w:sz w:val="24"/>
          <w:szCs w:val="24"/>
        </w:rPr>
      </w:pPr>
      <w:r>
        <w:rPr>
          <w:rFonts w:cs="Arial" w:ascii="Times New Roman" w:hAnsi="Times New Roman"/>
          <w:bCs/>
          <w:color w:val="000000"/>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QUALIFICAÇÃO TÉCNICA</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DA UNIDADE REQUISITANTE</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sz w:val="24"/>
          <w:szCs w:val="24"/>
        </w:rPr>
        <w:t xml:space="preserve">Constitui unidade requisitante da presente demanda a </w:t>
      </w:r>
      <w:r>
        <w:rPr>
          <w:rFonts w:cs="Arial" w:ascii="Times New Roman" w:hAnsi="Times New Roman"/>
          <w:b/>
          <w:sz w:val="24"/>
          <w:szCs w:val="24"/>
        </w:rPr>
        <w:t>Secretaria Municipal de Obras e Serviços Urbanos.</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Times New Roman" w:hAnsi="Times New Roman"/>
          <w:sz w:val="24"/>
          <w:szCs w:val="24"/>
        </w:rPr>
      </w:pPr>
      <w:r>
        <w:rPr>
          <w:rFonts w:cs="Arial" w:ascii="Times New Roman" w:hAnsi="Times New Roman"/>
          <w:b/>
          <w:sz w:val="24"/>
          <w:szCs w:val="24"/>
        </w:rPr>
        <w:t>DO RESPONSÁVEL PELA ELABORAÇÃO DO TERMO DE REFERÊNCIA</w:t>
      </w:r>
    </w:p>
    <w:p>
      <w:pPr>
        <w:pStyle w:val="ListParagraph"/>
        <w:numPr>
          <w:ilvl w:val="1"/>
          <w:numId w:val="4"/>
        </w:numPr>
        <w:spacing w:lineRule="auto" w:line="240" w:before="0" w:after="0"/>
        <w:ind w:hanging="0" w:left="0"/>
        <w:contextualSpacing/>
        <w:jc w:val="both"/>
        <w:rPr>
          <w:rFonts w:ascii="Times New Roman" w:hAnsi="Times New Roman"/>
          <w:sz w:val="24"/>
          <w:szCs w:val="24"/>
        </w:rPr>
      </w:pPr>
      <w:r>
        <w:rPr>
          <w:rFonts w:cs="Arial" w:ascii="Times New Roman" w:hAnsi="Times New Roman"/>
          <w:b/>
          <w:sz w:val="24"/>
          <w:szCs w:val="24"/>
        </w:rPr>
        <w:t>Responsável pe</w:t>
      </w:r>
      <w:r>
        <w:rPr>
          <w:rFonts w:cs="Arial" w:ascii="Times New Roman" w:hAnsi="Times New Roman"/>
          <w:b/>
          <w:sz w:val="24"/>
          <w:szCs w:val="24"/>
          <w:shd w:fill="auto" w:val="clear"/>
        </w:rPr>
        <w:t>la Elaboração:</w:t>
      </w:r>
      <w:r>
        <w:rPr>
          <w:rFonts w:cs="Arial" w:ascii="Times New Roman" w:hAnsi="Times New Roman"/>
          <w:sz w:val="24"/>
          <w:szCs w:val="24"/>
          <w:shd w:fill="auto" w:val="clear"/>
        </w:rPr>
        <w:t xml:space="preserve"> </w:t>
      </w:r>
      <w:r>
        <w:rPr>
          <w:rFonts w:cs="Arial" w:ascii="Times New Roman" w:hAnsi="Times New Roman"/>
          <w:b/>
          <w:color w:themeColor="text1" w:val="000000"/>
          <w:kern w:val="0"/>
          <w:sz w:val="24"/>
          <w:szCs w:val="24"/>
          <w:shd w:fill="auto" w:val="clear"/>
          <w:lang w:val="pt-BR" w:bidi="ar-SA"/>
        </w:rPr>
        <w:t>Júnior Priori Perinni.</w:t>
      </w:r>
    </w:p>
    <w:p>
      <w:pPr>
        <w:pStyle w:val="ListParagraph"/>
        <w:numPr>
          <w:ilvl w:val="1"/>
          <w:numId w:val="4"/>
        </w:numPr>
        <w:spacing w:lineRule="auto" w:line="240" w:before="0" w:after="0"/>
        <w:ind w:hanging="0" w:left="0"/>
        <w:contextualSpacing/>
        <w:jc w:val="both"/>
        <w:rPr>
          <w:highlight w:val="none"/>
          <w:shd w:fill="auto" w:val="clear"/>
        </w:rPr>
      </w:pPr>
      <w:r>
        <w:rPr>
          <w:rFonts w:cs="Arial" w:ascii="Times New Roman" w:hAnsi="Times New Roman"/>
          <w:b/>
          <w:sz w:val="24"/>
          <w:szCs w:val="24"/>
          <w:shd w:fill="auto" w:val="clear"/>
        </w:rPr>
        <w:t>Gestor da Unidade Requisitante:</w:t>
      </w:r>
      <w:r>
        <w:rPr>
          <w:rFonts w:cs="Arial" w:ascii="Times New Roman" w:hAnsi="Times New Roman"/>
          <w:sz w:val="24"/>
          <w:szCs w:val="24"/>
          <w:shd w:fill="auto" w:val="clear"/>
        </w:rPr>
        <w:t xml:space="preserve"> </w:t>
      </w:r>
      <w:r>
        <w:rPr>
          <w:rFonts w:cs="Arial" w:ascii="Times New Roman" w:hAnsi="Times New Roman"/>
          <w:b/>
          <w:color w:themeColor="text1" w:val="000000"/>
          <w:kern w:val="0"/>
          <w:sz w:val="24"/>
          <w:szCs w:val="24"/>
          <w:shd w:fill="auto" w:val="clear"/>
          <w:lang w:val="pt-BR" w:bidi="ar-SA"/>
        </w:rPr>
        <w:t>Júnior Priori Perinni.</w:t>
      </w:r>
    </w:p>
    <w:p>
      <w:pPr>
        <w:pStyle w:val="NormalWeb"/>
        <w:numPr>
          <w:ilvl w:val="0"/>
          <w:numId w:val="0"/>
        </w:numPr>
        <w:spacing w:beforeAutospacing="0" w:before="0" w:afterAutospacing="0" w:after="0"/>
        <w:ind w:hanging="0" w:left="585"/>
        <w:jc w:val="both"/>
        <w:rPr>
          <w:rFonts w:ascii="Times New Roman" w:hAnsi="Times New Roman" w:cs="Arial"/>
          <w:sz w:val="24"/>
          <w:szCs w:val="24"/>
          <w:highlight w:val="none"/>
          <w:shd w:fill="FFFF00" w:val="clear"/>
        </w:rPr>
      </w:pPr>
      <w:r>
        <w:rPr>
          <w:rFonts w:cs="Arial"/>
          <w:sz w:val="24"/>
          <w:szCs w:val="24"/>
          <w:shd w:fill="FFFF00" w:val="clear"/>
        </w:rPr>
      </w:r>
    </w:p>
    <w:p>
      <w:pPr>
        <w:pStyle w:val="NormalWeb"/>
        <w:numPr>
          <w:ilvl w:val="0"/>
          <w:numId w:val="0"/>
        </w:numPr>
        <w:spacing w:beforeAutospacing="0" w:before="0" w:afterAutospacing="0" w:after="0"/>
        <w:ind w:hanging="0" w:left="585"/>
        <w:jc w:val="right"/>
        <w:rPr>
          <w:highlight w:val="none"/>
          <w:shd w:fill="auto" w:val="clear"/>
        </w:rPr>
      </w:pPr>
      <w:r>
        <w:rPr>
          <w:rFonts w:cs="Arial"/>
          <w:b/>
          <w:sz w:val="24"/>
          <w:szCs w:val="24"/>
          <w:shd w:fill="auto" w:val="clear"/>
        </w:rPr>
        <w:t>São Roque do Canaã/ES</w:t>
      </w:r>
      <w:r>
        <w:rPr>
          <w:rFonts w:cs="Arial"/>
          <w:sz w:val="24"/>
          <w:szCs w:val="24"/>
          <w:shd w:fill="auto" w:val="clear"/>
        </w:rPr>
        <w:t>, 26 de Agosto de 2025.</w:t>
      </w:r>
    </w:p>
    <w:p>
      <w:pPr>
        <w:pStyle w:val="NormalWeb"/>
        <w:numPr>
          <w:ilvl w:val="0"/>
          <w:numId w:val="0"/>
        </w:numPr>
        <w:spacing w:beforeAutospacing="0" w:before="0" w:afterAutospacing="0" w:after="0"/>
        <w:ind w:hanging="0" w:left="585"/>
        <w:rPr>
          <w:rFonts w:ascii="Times New Roman" w:hAnsi="Times New Roman" w:cs="Arial"/>
          <w:sz w:val="24"/>
          <w:szCs w:val="24"/>
          <w:highlight w:val="none"/>
          <w:shd w:fill="auto" w:val="clear"/>
        </w:rPr>
      </w:pPr>
      <w:r>
        <w:rPr>
          <w:rFonts w:cs="Arial"/>
          <w:sz w:val="24"/>
          <w:szCs w:val="24"/>
          <w:shd w:fill="auto" w:val="clear"/>
        </w:rPr>
      </w:r>
    </w:p>
    <w:tbl>
      <w:tblPr>
        <w:tblStyle w:val="Tabelacomgrade"/>
        <w:tblW w:w="9071"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numPr>
                <w:ilvl w:val="0"/>
                <w:numId w:val="0"/>
              </w:numPr>
              <w:suppressAutoHyphens w:val="true"/>
              <w:spacing w:beforeAutospacing="0" w:before="0" w:afterAutospacing="0" w:after="0"/>
              <w:ind w:hanging="0" w:left="585"/>
              <w:jc w:val="center"/>
              <w:rPr>
                <w:rFonts w:ascii="Times New Roman" w:hAnsi="Times New Roman" w:cs="Arial"/>
                <w:color w:themeColor="text1" w:val="000000"/>
                <w:sz w:val="24"/>
                <w:szCs w:val="24"/>
                <w:highlight w:val="none"/>
                <w:shd w:fill="FFFF00" w:val="clear"/>
              </w:rPr>
            </w:pPr>
            <w:r>
              <w:rPr>
                <w:rFonts w:cs="Arial"/>
                <w:color w:themeColor="text1" w:val="000000"/>
                <w:sz w:val="24"/>
                <w:szCs w:val="24"/>
                <w:shd w:fill="FFFF00" w:val="clear"/>
              </w:rPr>
            </w:r>
          </w:p>
          <w:p>
            <w:pPr>
              <w:pStyle w:val="NormalWeb"/>
              <w:widowControl w:val="false"/>
              <w:numPr>
                <w:ilvl w:val="0"/>
                <w:numId w:val="0"/>
              </w:numPr>
              <w:suppressAutoHyphens w:val="true"/>
              <w:spacing w:beforeAutospacing="0" w:before="0" w:afterAutospacing="0" w:after="0"/>
              <w:ind w:hanging="0" w:left="585"/>
              <w:jc w:val="center"/>
              <w:rPr>
                <w:rFonts w:ascii="Times New Roman" w:hAnsi="Times New Roman" w:cs="Arial"/>
                <w:color w:themeColor="text1" w:val="000000"/>
                <w:sz w:val="24"/>
                <w:szCs w:val="24"/>
                <w:highlight w:val="none"/>
                <w:shd w:fill="FFFF00" w:val="clear"/>
              </w:rPr>
            </w:pPr>
            <w:r>
              <w:rPr>
                <w:rFonts w:cs="Arial"/>
                <w:color w:themeColor="text1" w:val="000000"/>
                <w:sz w:val="24"/>
                <w:szCs w:val="24"/>
                <w:shd w:fill="FFFF00" w:val="clear"/>
              </w:rPr>
            </w:r>
          </w:p>
          <w:p>
            <w:pPr>
              <w:pStyle w:val="NormalWeb"/>
              <w:widowControl w:val="false"/>
              <w:numPr>
                <w:ilvl w:val="0"/>
                <w:numId w:val="0"/>
              </w:numPr>
              <w:suppressAutoHyphens w:val="true"/>
              <w:spacing w:beforeAutospacing="0" w:before="0" w:afterAutospacing="0" w:after="0"/>
              <w:ind w:hanging="0" w:left="585"/>
              <w:jc w:val="center"/>
              <w:rPr>
                <w:rFonts w:ascii="Times New Roman" w:hAnsi="Times New Roman" w:cs="Arial"/>
                <w:color w:themeColor="text1" w:val="000000"/>
                <w:sz w:val="24"/>
                <w:szCs w:val="24"/>
                <w:highlight w:val="none"/>
                <w:shd w:fill="FFFF00" w:val="clear"/>
              </w:rPr>
            </w:pPr>
            <w:r>
              <w:rPr>
                <w:rFonts w:cs="Arial"/>
                <w:color w:themeColor="text1" w:val="000000"/>
                <w:sz w:val="24"/>
                <w:szCs w:val="24"/>
                <w:shd w:fill="FFFF00" w:val="clear"/>
              </w:rPr>
            </w:r>
          </w:p>
          <w:p>
            <w:pPr>
              <w:pStyle w:val="NormalWeb"/>
              <w:widowControl w:val="false"/>
              <w:numPr>
                <w:ilvl w:val="0"/>
                <w:numId w:val="0"/>
              </w:numPr>
              <w:suppressAutoHyphens w:val="true"/>
              <w:spacing w:beforeAutospacing="0" w:before="0" w:afterAutospacing="0" w:after="0"/>
              <w:ind w:hanging="0" w:left="585"/>
              <w:jc w:val="center"/>
              <w:rPr>
                <w:highlight w:val="none"/>
                <w:shd w:fill="auto" w:val="clear"/>
              </w:rPr>
            </w:pPr>
            <w:r>
              <w:rPr>
                <w:rFonts w:cs="Arial"/>
                <w:b/>
                <w:color w:themeColor="text1" w:val="000000"/>
                <w:kern w:val="0"/>
                <w:sz w:val="24"/>
                <w:szCs w:val="24"/>
                <w:shd w:fill="auto" w:val="clear"/>
                <w:lang w:val="pt-BR" w:bidi="ar-SA"/>
              </w:rPr>
              <w:t>JÚNIOR PRIORI PERINNI</w:t>
            </w:r>
          </w:p>
          <w:p>
            <w:pPr>
              <w:pStyle w:val="NormalWeb"/>
              <w:widowControl w:val="false"/>
              <w:numPr>
                <w:ilvl w:val="0"/>
                <w:numId w:val="0"/>
              </w:numPr>
              <w:suppressAutoHyphens w:val="true"/>
              <w:spacing w:beforeAutospacing="0" w:before="0" w:afterAutospacing="0" w:after="0"/>
              <w:ind w:hanging="0" w:left="585"/>
              <w:jc w:val="center"/>
              <w:rPr>
                <w:highlight w:val="none"/>
                <w:shd w:fill="auto" w:val="clear"/>
              </w:rPr>
            </w:pPr>
            <w:r>
              <w:rPr>
                <w:rFonts w:cs="Arial"/>
                <w:color w:themeColor="text1" w:val="000000"/>
                <w:kern w:val="0"/>
                <w:sz w:val="24"/>
                <w:szCs w:val="24"/>
                <w:shd w:fill="auto" w:val="clear"/>
                <w:lang w:val="pt-BR" w:bidi="ar-SA"/>
              </w:rPr>
              <w:t>Secretário Municipal de Obras e Serviços Urbanos</w:t>
            </w:r>
          </w:p>
        </w:tc>
      </w:tr>
    </w:tbl>
    <w:p>
      <w:pPr>
        <w:pStyle w:val="NormalWeb"/>
        <w:numPr>
          <w:ilvl w:val="0"/>
          <w:numId w:val="0"/>
        </w:numPr>
        <w:spacing w:beforeAutospacing="0" w:before="0" w:afterAutospacing="0" w:after="0"/>
        <w:ind w:hanging="0" w:left="585"/>
        <w:jc w:val="both"/>
        <w:rPr>
          <w:highlight w:val="none"/>
          <w:shd w:fill="FFFF00" w:val="clear"/>
        </w:rPr>
      </w:pPr>
      <w:r>
        <w:rPr>
          <w:shd w:fill="FFFF00" w:val="clear"/>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88,São Roquinho, São Roque do Canaã/ES, CEP: 29665-000</w:t>
    </w:r>
  </w:p>
  <w:p>
    <w:pPr>
      <w:pStyle w:val="Footer"/>
      <w:jc w:val="center"/>
      <w:rPr/>
    </w:pPr>
    <w:r>
      <w:rPr>
        <w:rFonts w:cs="Arial" w:ascii="Arial" w:hAnsi="Arial"/>
        <w:bCs/>
        <w:i/>
        <w:color w:val="000000"/>
        <w:sz w:val="20"/>
        <w:szCs w:val="16"/>
      </w:rPr>
      <w:t>Telefone: (27) 3729-1120 | E-mail:</w:t>
    </w:r>
    <w:r>
      <w:rPr>
        <w:rFonts w:cs="Arial" w:ascii="Arial" w:hAnsi="Arial"/>
        <w:sz w:val="20"/>
        <w:szCs w:val="16"/>
      </w:rPr>
      <w:t xml:space="preserve"> obras@saoroquedocanaa.es.gov.br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OBRAS E SERVIÇOS URBANOS</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5"/>
      <w:numFmt w:val="decimal"/>
      <w:lvlText w:val="%1."/>
      <w:lvlJc w:val="left"/>
      <w:pPr>
        <w:tabs>
          <w:tab w:val="num" w:pos="0"/>
        </w:tabs>
        <w:ind w:left="585" w:hanging="585"/>
      </w:pPr>
      <w:rPr>
        <w:sz w:val="22"/>
        <w:szCs w:val="22"/>
        <w:rFonts w:ascii="Times New Roman" w:hAnsi="Times New Roman"/>
      </w:rPr>
    </w:lvl>
    <w:lvl w:ilvl="1">
      <w:start w:val="1"/>
      <w:numFmt w:val="decimal"/>
      <w:lvlText w:val="%1.%2."/>
      <w:lvlJc w:val="left"/>
      <w:pPr>
        <w:tabs>
          <w:tab w:val="num" w:pos="0"/>
        </w:tabs>
        <w:ind w:left="720" w:hanging="720"/>
      </w:pPr>
      <w:rPr>
        <w:sz w:val="22"/>
        <w:szCs w:val="22"/>
        <w:rFonts w:ascii="Times New Roman" w:hAnsi="Times New Roman"/>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Application>LibreOffice/7.6.4.1$Windows_X86_64 LibreOffice_project/e19e193f88cd6c0525a17fb7a176ed8e6a3e2aa1</Application>
  <AppVersion>15.0000</AppVersion>
  <Pages>5</Pages>
  <Words>1821</Words>
  <Characters>10119</Characters>
  <CharactersWithSpaces>11808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2025-09-01T10:16:14Z</cp:lastPrinted>
  <dcterms:modified xsi:type="dcterms:W3CDTF">2025-09-01T10:20:10Z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