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sz w:val="22"/>
          <w:szCs w:val="22"/>
        </w:rPr>
      </w:pPr>
      <w:r>
        <w:rPr>
          <w:rFonts w:cs="Arial" w:ascii="Arial" w:hAnsi="Arial"/>
          <w:b/>
          <w:sz w:val="22"/>
          <w:szCs w:val="22"/>
        </w:rPr>
        <w:t>TERMO DE REFERÊNCIA</w:t>
      </w:r>
    </w:p>
    <w:p>
      <w:pPr>
        <w:pStyle w:val="Normal"/>
        <w:spacing w:lineRule="auto" w:line="240" w:before="0" w:after="0"/>
        <w:rPr>
          <w:rFonts w:ascii="Arial" w:hAnsi="Arial" w:cs="Arial"/>
          <w:sz w:val="22"/>
          <w:szCs w:val="22"/>
        </w:rPr>
      </w:pPr>
      <w:r>
        <w:rPr>
          <w:rFonts w:cs="Arial" w:ascii="Arial" w:hAnsi="Arial"/>
          <w:sz w:val="22"/>
          <w:szCs w:val="22"/>
        </w:rPr>
      </w:r>
    </w:p>
    <w:p>
      <w:pPr>
        <w:pStyle w:val="ListParagraph"/>
        <w:numPr>
          <w:ilvl w:val="0"/>
          <w:numId w:val="1"/>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DA DESCRIÇÃO DO OBJETO E DA VIGÊNCIA</w:t>
      </w:r>
    </w:p>
    <w:p>
      <w:pPr>
        <w:pStyle w:val="ListParagraph"/>
        <w:numPr>
          <w:ilvl w:val="1"/>
          <w:numId w:val="1"/>
        </w:numPr>
        <w:shd w:val="clear" w:color="auto" w:fill="F2F2F2" w:themeFill="background1" w:themeFillShade="f2"/>
        <w:spacing w:lineRule="auto" w:line="240" w:before="0" w:after="113"/>
        <w:ind w:hanging="0" w:left="0"/>
        <w:contextualSpacing w:val="false"/>
        <w:rPr>
          <w:sz w:val="22"/>
          <w:szCs w:val="22"/>
        </w:rPr>
      </w:pPr>
      <w:r>
        <w:rPr>
          <w:rFonts w:cs="Arial" w:ascii="Arial" w:hAnsi="Arial"/>
          <w:b/>
          <w:sz w:val="22"/>
          <w:szCs w:val="22"/>
        </w:rPr>
        <w:t>DA DESCRIÇÃO DO OBJETO</w:t>
      </w:r>
    </w:p>
    <w:p>
      <w:pPr>
        <w:pStyle w:val="ListParagraph"/>
        <w:numPr>
          <w:ilvl w:val="2"/>
          <w:numId w:val="2"/>
        </w:numPr>
        <w:spacing w:lineRule="auto" w:line="240" w:before="0" w:after="0"/>
        <w:ind w:hanging="0" w:left="0"/>
        <w:contextualSpacing/>
        <w:jc w:val="both"/>
        <w:rPr>
          <w:sz w:val="22"/>
          <w:szCs w:val="22"/>
        </w:rPr>
      </w:pPr>
      <w:r>
        <w:rPr>
          <w:rFonts w:cs="Arial" w:ascii="Arial" w:hAnsi="Arial"/>
          <w:sz w:val="22"/>
          <w:szCs w:val="22"/>
        </w:rPr>
        <w:t xml:space="preserve">Constitui objeto do presente Termo de Referência, estabelecer as condições e diretrizes que disciplinarão o empenho estimativo para </w:t>
      </w:r>
      <w:r>
        <w:rPr>
          <w:rFonts w:cs="Arial" w:ascii="Arial" w:hAnsi="Arial"/>
          <w:b/>
          <w:sz w:val="22"/>
          <w:szCs w:val="22"/>
        </w:rPr>
        <w:t>c</w:t>
      </w:r>
      <w:r>
        <w:rPr>
          <w:rFonts w:cs="Arial" w:ascii="Arial" w:hAnsi="Arial"/>
          <w:b/>
          <w:bCs/>
          <w:sz w:val="22"/>
          <w:szCs w:val="22"/>
        </w:rPr>
        <w:t>ustear as despesas decorrentes do consumo de água pelas unidades relacionadas à Secretaria Municipal de Administração, no exercício de 2025</w:t>
      </w:r>
      <w:r>
        <w:rPr>
          <w:rFonts w:cs="Arial" w:ascii="Arial" w:hAnsi="Arial"/>
          <w:bCs/>
          <w:sz w:val="22"/>
          <w:szCs w:val="22"/>
        </w:rPr>
        <w:t xml:space="preserve">, em virtude do desempenho de suas atividades, em favor </w:t>
      </w:r>
      <w:r>
        <w:rPr>
          <w:rFonts w:cs="Arial" w:ascii="Arial" w:hAnsi="Arial"/>
          <w:sz w:val="22"/>
          <w:szCs w:val="22"/>
        </w:rPr>
        <w:t xml:space="preserve">da Companhia Espírito Santense de Saneamento – CESAN, </w:t>
      </w:r>
      <w:r>
        <w:rPr>
          <w:rFonts w:cs="Arial" w:ascii="Arial" w:hAnsi="Arial"/>
          <w:bCs/>
          <w:sz w:val="22"/>
          <w:szCs w:val="22"/>
        </w:rPr>
        <w:t xml:space="preserve">com fulcro no art. 60, da Lei Federal nº </w:t>
      </w:r>
      <w:r>
        <w:rPr>
          <w:rFonts w:cs="Arial" w:ascii="Arial" w:hAnsi="Arial"/>
          <w:sz w:val="22"/>
          <w:szCs w:val="22"/>
        </w:rPr>
        <w:t xml:space="preserve">4.320/1964, art. 74, </w:t>
      </w:r>
      <w:r>
        <w:rPr>
          <w:rFonts w:cs="Arial" w:ascii="Arial" w:hAnsi="Arial"/>
          <w:i/>
          <w:sz w:val="22"/>
          <w:szCs w:val="22"/>
        </w:rPr>
        <w:t>caput</w:t>
      </w:r>
      <w:r>
        <w:rPr>
          <w:rFonts w:cs="Arial" w:ascii="Arial" w:hAnsi="Arial"/>
          <w:sz w:val="22"/>
          <w:szCs w:val="22"/>
        </w:rPr>
        <w:t>, da Lei Federal nº 14.133/2021.</w:t>
      </w:r>
    </w:p>
    <w:p>
      <w:pPr>
        <w:pStyle w:val="ListParagraph"/>
        <w:spacing w:lineRule="auto" w:line="240" w:before="0" w:after="0"/>
        <w:ind w:hanging="0" w:left="0"/>
        <w:contextualSpacing/>
        <w:jc w:val="both"/>
        <w:rPr>
          <w:rFonts w:ascii="Arial" w:hAnsi="Arial" w:cs="Arial"/>
          <w:sz w:val="22"/>
          <w:szCs w:val="22"/>
        </w:rPr>
      </w:pPr>
      <w:r>
        <w:rPr>
          <w:rFonts w:cs="Arial" w:ascii="Arial" w:hAnsi="Arial"/>
          <w:sz w:val="22"/>
          <w:szCs w:val="22"/>
        </w:rPr>
      </w:r>
    </w:p>
    <w:p>
      <w:pPr>
        <w:pStyle w:val="ListParagraph"/>
        <w:numPr>
          <w:ilvl w:val="1"/>
          <w:numId w:val="1"/>
        </w:numPr>
        <w:shd w:val="clear" w:color="auto" w:fill="F2F2F2" w:themeFill="background1" w:themeFillShade="f2"/>
        <w:spacing w:lineRule="auto" w:line="240" w:before="0" w:after="113"/>
        <w:ind w:hanging="0" w:left="0"/>
        <w:contextualSpacing w:val="false"/>
        <w:rPr>
          <w:sz w:val="22"/>
          <w:szCs w:val="22"/>
        </w:rPr>
      </w:pPr>
      <w:r>
        <w:rPr>
          <w:rFonts w:cs="Arial" w:ascii="Arial" w:hAnsi="Arial"/>
          <w:b/>
          <w:sz w:val="22"/>
          <w:szCs w:val="22"/>
        </w:rPr>
        <w:t>DAS UNIDADES CONSUMIDORAS</w:t>
      </w:r>
    </w:p>
    <w:p>
      <w:pPr>
        <w:pStyle w:val="ListParagraph"/>
        <w:widowControl/>
        <w:numPr>
          <w:ilvl w:val="2"/>
          <w:numId w:val="2"/>
        </w:numPr>
        <w:suppressAutoHyphens w:val="true"/>
        <w:bidi w:val="0"/>
        <w:spacing w:lineRule="auto" w:line="240" w:before="0" w:after="113"/>
        <w:ind w:hanging="0" w:left="0" w:right="0"/>
        <w:contextualSpacing w:val="false"/>
        <w:jc w:val="both"/>
        <w:rPr>
          <w:sz w:val="22"/>
          <w:szCs w:val="22"/>
        </w:rPr>
      </w:pPr>
      <w:r>
        <w:rPr>
          <w:rFonts w:cs="Arial" w:ascii="Arial" w:hAnsi="Arial"/>
          <w:sz w:val="22"/>
          <w:szCs w:val="22"/>
        </w:rPr>
        <w:t>A demanda em questão objetiva o pleno e efetivo funcionamento dos estabelecimentos integrantes da Secretaria de Administração, quais sejam:</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a) </w:t>
      </w:r>
      <w:r>
        <w:rPr>
          <w:rFonts w:cs="Times New Roman" w:ascii="Arial" w:hAnsi="Arial"/>
          <w:sz w:val="22"/>
          <w:szCs w:val="22"/>
        </w:rPr>
        <w:t>Prefeitura – Sede</w:t>
      </w:r>
      <w:r>
        <w:rPr>
          <w:rFonts w:cs="Arial" w:ascii="Arial" w:hAnsi="Arial"/>
          <w:sz w:val="22"/>
          <w:szCs w:val="22"/>
        </w:rPr>
        <w:t xml:space="preserve">: </w:t>
      </w:r>
      <w:r>
        <w:rPr>
          <w:rFonts w:cs="Arial" w:ascii="Arial" w:hAnsi="Arial"/>
          <w:b/>
          <w:sz w:val="22"/>
          <w:szCs w:val="22"/>
        </w:rPr>
        <w:t xml:space="preserve">identificação nº </w:t>
      </w:r>
      <w:r>
        <w:rPr>
          <w:rFonts w:cs="Times New Roman" w:ascii="Arial" w:hAnsi="Arial"/>
          <w:b/>
          <w:sz w:val="22"/>
          <w:szCs w:val="22"/>
        </w:rPr>
        <w:t>45828</w:t>
      </w:r>
      <w:r>
        <w:rPr>
          <w:rFonts w:cs="Arial" w:ascii="Arial" w:hAnsi="Arial"/>
          <w:sz w:val="22"/>
          <w:szCs w:val="22"/>
        </w:rPr>
        <w:t>;</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b) </w:t>
      </w:r>
      <w:r>
        <w:rPr>
          <w:rFonts w:cs="Times New Roman" w:ascii="Arial" w:hAnsi="Arial"/>
          <w:sz w:val="22"/>
          <w:szCs w:val="22"/>
        </w:rPr>
        <w:t>Prefeitura – Sede</w:t>
      </w:r>
      <w:r>
        <w:rPr>
          <w:rFonts w:cs="Arial" w:ascii="Arial" w:hAnsi="Arial"/>
          <w:sz w:val="22"/>
          <w:szCs w:val="22"/>
        </w:rPr>
        <w:t xml:space="preserve">: </w:t>
      </w:r>
      <w:r>
        <w:rPr>
          <w:rFonts w:cs="Arial" w:ascii="Arial" w:hAnsi="Arial"/>
          <w:b/>
          <w:sz w:val="22"/>
          <w:szCs w:val="22"/>
        </w:rPr>
        <w:t xml:space="preserve">identificação nº </w:t>
      </w:r>
      <w:r>
        <w:rPr>
          <w:rFonts w:cs="Times New Roman" w:ascii="Arial" w:hAnsi="Arial"/>
          <w:b/>
          <w:sz w:val="22"/>
          <w:szCs w:val="22"/>
        </w:rPr>
        <w:t>45829</w:t>
      </w:r>
      <w:r>
        <w:rPr>
          <w:rFonts w:cs="Arial" w:ascii="Arial" w:hAnsi="Arial"/>
          <w:sz w:val="22"/>
          <w:szCs w:val="22"/>
        </w:rPr>
        <w:t>;</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c) </w:t>
      </w:r>
      <w:r>
        <w:rPr>
          <w:rFonts w:cs="Times New Roman" w:ascii="Arial" w:hAnsi="Arial"/>
          <w:sz w:val="22"/>
          <w:szCs w:val="22"/>
        </w:rPr>
        <w:t>Posto Policial</w:t>
      </w:r>
      <w:r>
        <w:rPr>
          <w:rFonts w:cs="Arial" w:ascii="Arial" w:hAnsi="Arial"/>
          <w:sz w:val="22"/>
          <w:szCs w:val="22"/>
        </w:rPr>
        <w:t xml:space="preserve">: </w:t>
      </w:r>
      <w:r>
        <w:rPr>
          <w:rFonts w:cs="Arial" w:ascii="Arial" w:hAnsi="Arial"/>
          <w:b/>
          <w:sz w:val="22"/>
          <w:szCs w:val="22"/>
        </w:rPr>
        <w:t xml:space="preserve">identificação nº </w:t>
      </w:r>
      <w:r>
        <w:rPr>
          <w:rFonts w:cs="Times New Roman" w:ascii="Arial" w:hAnsi="Arial"/>
          <w:b/>
          <w:sz w:val="22"/>
          <w:szCs w:val="22"/>
        </w:rPr>
        <w:t>46322</w:t>
      </w:r>
      <w:r>
        <w:rPr>
          <w:rFonts w:cs="Arial" w:ascii="Arial" w:hAnsi="Arial"/>
          <w:sz w:val="22"/>
          <w:szCs w:val="22"/>
        </w:rPr>
        <w:t>;</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d) </w:t>
      </w:r>
      <w:r>
        <w:rPr>
          <w:rFonts w:cs="Times New Roman" w:ascii="Arial" w:hAnsi="Arial"/>
          <w:sz w:val="22"/>
          <w:szCs w:val="22"/>
        </w:rPr>
        <w:t>ETA Sede</w:t>
      </w:r>
      <w:r>
        <w:rPr>
          <w:rFonts w:cs="Arial" w:ascii="Arial" w:hAnsi="Arial"/>
          <w:sz w:val="22"/>
          <w:szCs w:val="22"/>
        </w:rPr>
        <w:t xml:space="preserve">: </w:t>
      </w:r>
      <w:r>
        <w:rPr>
          <w:rFonts w:cs="Arial" w:ascii="Arial" w:hAnsi="Arial"/>
          <w:b/>
          <w:sz w:val="22"/>
          <w:szCs w:val="22"/>
        </w:rPr>
        <w:t xml:space="preserve">identificação nº </w:t>
      </w:r>
      <w:r>
        <w:rPr>
          <w:rFonts w:cs="Times New Roman" w:ascii="Arial" w:hAnsi="Arial"/>
          <w:b/>
          <w:sz w:val="22"/>
          <w:szCs w:val="22"/>
        </w:rPr>
        <w:t>63483</w:t>
      </w:r>
      <w:r>
        <w:rPr>
          <w:rFonts w:cs="Arial" w:ascii="Arial" w:hAnsi="Arial"/>
          <w:sz w:val="22"/>
          <w:szCs w:val="22"/>
        </w:rPr>
        <w:t>;</w:t>
      </w:r>
    </w:p>
    <w:p>
      <w:pPr>
        <w:pStyle w:val="ListParagraph"/>
        <w:spacing w:lineRule="auto" w:line="240" w:before="0" w:after="0"/>
        <w:ind w:hanging="0" w:left="0"/>
        <w:contextualSpacing/>
        <w:jc w:val="both"/>
        <w:rPr>
          <w:sz w:val="22"/>
          <w:szCs w:val="22"/>
        </w:rPr>
      </w:pPr>
      <w:r>
        <w:rPr>
          <w:rFonts w:cs="Arial" w:ascii="Arial" w:hAnsi="Arial"/>
          <w:sz w:val="22"/>
          <w:szCs w:val="22"/>
        </w:rPr>
        <w:t>e)</w:t>
      </w:r>
      <w:r>
        <w:rPr>
          <w:rFonts w:cs="Times New Roman" w:ascii="Arial" w:hAnsi="Arial"/>
          <w:sz w:val="22"/>
          <w:szCs w:val="22"/>
        </w:rPr>
        <w:t>Prédio Administrativo</w:t>
      </w:r>
      <w:r>
        <w:rPr>
          <w:rFonts w:cs="Arial" w:ascii="Arial" w:hAnsi="Arial"/>
          <w:sz w:val="22"/>
          <w:szCs w:val="22"/>
        </w:rPr>
        <w:t xml:space="preserve">: </w:t>
      </w:r>
      <w:r>
        <w:rPr>
          <w:rFonts w:cs="Arial" w:ascii="Arial" w:hAnsi="Arial"/>
          <w:b/>
          <w:sz w:val="22"/>
          <w:szCs w:val="22"/>
        </w:rPr>
        <w:t xml:space="preserve">identificação nº </w:t>
      </w:r>
      <w:r>
        <w:rPr>
          <w:rFonts w:cs="Times New Roman" w:ascii="Arial" w:hAnsi="Arial"/>
          <w:b/>
          <w:sz w:val="22"/>
          <w:szCs w:val="22"/>
        </w:rPr>
        <w:t>46202</w:t>
      </w:r>
      <w:r>
        <w:rPr>
          <w:rFonts w:cs="Arial" w:ascii="Arial" w:hAnsi="Arial"/>
          <w:b/>
          <w:sz w:val="22"/>
          <w:szCs w:val="22"/>
        </w:rPr>
        <w:t>.</w:t>
      </w:r>
    </w:p>
    <w:p>
      <w:pPr>
        <w:pStyle w:val="ListParagraph"/>
        <w:spacing w:lineRule="auto" w:line="240" w:before="0" w:after="0"/>
        <w:ind w:hanging="0" w:left="0"/>
        <w:contextualSpacing/>
        <w:jc w:val="both"/>
        <w:rPr>
          <w:rFonts w:ascii="Arial" w:hAnsi="Arial" w:cs="Arial"/>
          <w:sz w:val="22"/>
          <w:szCs w:val="22"/>
        </w:rPr>
      </w:pPr>
      <w:r>
        <w:rPr>
          <w:rFonts w:cs="Arial" w:ascii="Arial" w:hAnsi="Arial"/>
          <w:sz w:val="22"/>
          <w:szCs w:val="22"/>
        </w:rPr>
      </w:r>
    </w:p>
    <w:p>
      <w:pPr>
        <w:pStyle w:val="ListParagraph"/>
        <w:numPr>
          <w:ilvl w:val="1"/>
          <w:numId w:val="1"/>
        </w:numPr>
        <w:shd w:val="clear" w:color="auto" w:fill="F2F2F2" w:themeFill="background1" w:themeFillShade="f2"/>
        <w:spacing w:lineRule="auto" w:line="240" w:before="0" w:after="113"/>
        <w:ind w:hanging="0" w:left="0"/>
        <w:contextualSpacing w:val="false"/>
        <w:rPr>
          <w:sz w:val="22"/>
          <w:szCs w:val="22"/>
        </w:rPr>
      </w:pPr>
      <w:r>
        <w:rPr>
          <w:rFonts w:cs="Arial" w:ascii="Arial" w:hAnsi="Arial"/>
          <w:b/>
          <w:sz w:val="22"/>
          <w:szCs w:val="22"/>
        </w:rPr>
        <w:t>DA VIGÊNCIA</w:t>
      </w:r>
    </w:p>
    <w:p>
      <w:pPr>
        <w:pStyle w:val="ListParagraph"/>
        <w:numPr>
          <w:ilvl w:val="2"/>
          <w:numId w:val="1"/>
        </w:numPr>
        <w:spacing w:lineRule="auto" w:line="240" w:before="0" w:after="0"/>
        <w:ind w:hanging="0" w:left="0"/>
        <w:contextualSpacing/>
        <w:jc w:val="both"/>
        <w:rPr>
          <w:sz w:val="22"/>
          <w:szCs w:val="22"/>
        </w:rPr>
      </w:pPr>
      <w:r>
        <w:rPr>
          <w:rFonts w:cs="Arial" w:ascii="Arial" w:hAnsi="Arial"/>
          <w:sz w:val="22"/>
          <w:szCs w:val="22"/>
        </w:rPr>
        <w:t xml:space="preserve">O </w:t>
      </w:r>
      <w:r>
        <w:rPr>
          <w:rFonts w:cs="Arial" w:ascii="Arial" w:hAnsi="Arial"/>
          <w:b/>
          <w:sz w:val="22"/>
          <w:szCs w:val="22"/>
        </w:rPr>
        <w:t>empenho estimativo</w:t>
      </w:r>
      <w:r>
        <w:rPr>
          <w:rFonts w:cs="Arial" w:ascii="Arial" w:hAnsi="Arial"/>
          <w:sz w:val="22"/>
          <w:szCs w:val="22"/>
        </w:rPr>
        <w:t xml:space="preserve"> deverá ocorrer, preferencialmente, no mês de janeiro de 2025, com vigência programada para custeio das despesas relativas ao consumo de água no </w:t>
      </w:r>
      <w:r>
        <w:rPr>
          <w:rFonts w:cs="Arial" w:ascii="Arial" w:hAnsi="Arial"/>
          <w:b/>
          <w:sz w:val="22"/>
          <w:szCs w:val="22"/>
        </w:rPr>
        <w:t>período de</w:t>
      </w:r>
      <w:r>
        <w:rPr>
          <w:rFonts w:cs="Arial" w:ascii="Arial" w:hAnsi="Arial"/>
          <w:b/>
          <w:sz w:val="22"/>
          <w:szCs w:val="22"/>
          <w:shd w:fill="auto" w:val="clear"/>
        </w:rPr>
        <w:t xml:space="preserve"> 01/</w:t>
      </w:r>
      <w:r>
        <w:rPr>
          <w:rFonts w:cs="Arial" w:ascii="Arial" w:hAnsi="Arial"/>
          <w:b/>
          <w:sz w:val="22"/>
          <w:szCs w:val="22"/>
          <w:shd w:fill="auto" w:val="clear"/>
        </w:rPr>
        <w:t>11</w:t>
      </w:r>
      <w:r>
        <w:rPr>
          <w:rFonts w:cs="Arial" w:ascii="Arial" w:hAnsi="Arial"/>
          <w:b/>
          <w:sz w:val="22"/>
          <w:szCs w:val="22"/>
          <w:shd w:fill="auto" w:val="clear"/>
        </w:rPr>
        <w:t>/2025 à 31/12/2025.</w:t>
      </w:r>
    </w:p>
    <w:p>
      <w:pPr>
        <w:pStyle w:val="Normal"/>
        <w:spacing w:lineRule="auto" w:line="240" w:before="0" w:after="0"/>
        <w:rPr>
          <w:rFonts w:ascii="Arial" w:hAnsi="Arial" w:cs="Arial"/>
          <w:sz w:val="22"/>
          <w:szCs w:val="22"/>
        </w:rPr>
      </w:pPr>
      <w:r>
        <w:rPr>
          <w:rFonts w:cs="Arial" w:ascii="Arial" w:hAnsi="Arial"/>
          <w:sz w:val="22"/>
          <w:szCs w:val="22"/>
        </w:rPr>
      </w:r>
    </w:p>
    <w:p>
      <w:pPr>
        <w:pStyle w:val="ListParagraph"/>
        <w:numPr>
          <w:ilvl w:val="0"/>
          <w:numId w:val="1"/>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DO OBJETIVO E DA JUSTIFICATIVA</w:t>
      </w:r>
    </w:p>
    <w:p>
      <w:pPr>
        <w:pStyle w:val="ListParagraph"/>
        <w:numPr>
          <w:ilvl w:val="1"/>
          <w:numId w:val="1"/>
        </w:numPr>
        <w:spacing w:lineRule="auto" w:line="240" w:before="0" w:after="113"/>
        <w:ind w:hanging="0" w:left="0"/>
        <w:contextualSpacing w:val="false"/>
        <w:jc w:val="both"/>
        <w:rPr>
          <w:sz w:val="22"/>
          <w:szCs w:val="22"/>
        </w:rPr>
      </w:pPr>
      <w:r>
        <w:rPr>
          <w:rFonts w:cs="Arial" w:ascii="Arial" w:hAnsi="Arial"/>
          <w:sz w:val="22"/>
          <w:szCs w:val="22"/>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pPr>
        <w:pStyle w:val="ListParagraph"/>
        <w:numPr>
          <w:ilvl w:val="1"/>
          <w:numId w:val="1"/>
        </w:numPr>
        <w:spacing w:lineRule="auto" w:line="240" w:before="0" w:after="113"/>
        <w:ind w:hanging="0" w:left="0"/>
        <w:contextualSpacing w:val="false"/>
        <w:jc w:val="both"/>
        <w:rPr>
          <w:sz w:val="22"/>
          <w:szCs w:val="22"/>
        </w:rPr>
      </w:pPr>
      <w:r>
        <w:rPr>
          <w:rFonts w:cs="Arial" w:ascii="Arial" w:hAnsi="Arial"/>
          <w:sz w:val="22"/>
          <w:szCs w:val="22"/>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pPr>
        <w:pStyle w:val="ListParagraph"/>
        <w:numPr>
          <w:ilvl w:val="1"/>
          <w:numId w:val="1"/>
        </w:numPr>
        <w:spacing w:lineRule="auto" w:line="240" w:before="0" w:after="113"/>
        <w:ind w:hanging="0" w:left="0"/>
        <w:contextualSpacing w:val="false"/>
        <w:jc w:val="both"/>
        <w:rPr>
          <w:sz w:val="22"/>
          <w:szCs w:val="22"/>
        </w:rPr>
      </w:pPr>
      <w:r>
        <w:rPr>
          <w:rFonts w:cs="Arial" w:ascii="Arial" w:hAnsi="Arial"/>
          <w:sz w:val="22"/>
          <w:szCs w:val="22"/>
        </w:rPr>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cs="Arial" w:ascii="Arial" w:hAnsi="Arial"/>
          <w:b/>
          <w:sz w:val="22"/>
          <w:szCs w:val="22"/>
        </w:rPr>
        <w:t>vedada a realização de despesas sem prévio empenho.</w:t>
      </w:r>
      <w:r>
        <w:rPr>
          <w:rFonts w:cs="Arial" w:ascii="Arial" w:hAnsi="Arial"/>
          <w:sz w:val="22"/>
          <w:szCs w:val="22"/>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pPr>
        <w:pStyle w:val="ListParagraph"/>
        <w:numPr>
          <w:ilvl w:val="1"/>
          <w:numId w:val="1"/>
        </w:numPr>
        <w:spacing w:lineRule="auto" w:line="240" w:before="0" w:after="113"/>
        <w:ind w:hanging="0" w:left="0"/>
        <w:contextualSpacing w:val="false"/>
        <w:jc w:val="both"/>
        <w:rPr>
          <w:sz w:val="22"/>
          <w:szCs w:val="22"/>
        </w:rPr>
      </w:pPr>
      <w:r>
        <w:rPr>
          <w:rFonts w:cs="Arial" w:ascii="Arial" w:hAnsi="Arial"/>
          <w:sz w:val="22"/>
          <w:szCs w:val="22"/>
        </w:rPr>
        <w:t xml:space="preserve">Nessa perspectiva, o art. 60, §2º, da Lei Federal nº 4.320/1964, disciplina que, nas hipóteses de o montante da despesa não for possível ser determinado, será feito o </w:t>
      </w:r>
      <w:r>
        <w:rPr>
          <w:rFonts w:cs="Arial" w:ascii="Arial" w:hAnsi="Arial"/>
          <w:b/>
          <w:sz w:val="22"/>
          <w:szCs w:val="22"/>
        </w:rPr>
        <w:t>empenho por estimativa.</w:t>
      </w:r>
      <w:r>
        <w:rPr>
          <w:rFonts w:cs="Arial" w:ascii="Arial" w:hAnsi="Arial"/>
          <w:sz w:val="22"/>
          <w:szCs w:val="22"/>
        </w:rPr>
        <w:t xml:space="preserve"> Tem-se, portanto, como aquele em que </w:t>
      </w:r>
      <w:r>
        <w:rPr>
          <w:rFonts w:cs="Arial" w:ascii="Arial" w:hAnsi="Arial"/>
          <w:b/>
          <w:sz w:val="22"/>
          <w:szCs w:val="22"/>
        </w:rPr>
        <w:t>não se pode determinar previamente o montante exato a ser pago</w:t>
      </w:r>
      <w:r>
        <w:rPr>
          <w:rFonts w:cs="Arial" w:ascii="Arial" w:hAnsi="Arial"/>
          <w:sz w:val="22"/>
          <w:szCs w:val="22"/>
        </w:rPr>
        <w:t>, como ocorre, em particular, com as contas de água, luz, gás e telefone.</w:t>
      </w:r>
    </w:p>
    <w:p>
      <w:pPr>
        <w:pStyle w:val="ListParagraph"/>
        <w:numPr>
          <w:ilvl w:val="1"/>
          <w:numId w:val="1"/>
        </w:numPr>
        <w:spacing w:lineRule="auto" w:line="240" w:before="0" w:after="113"/>
        <w:ind w:hanging="0" w:left="0"/>
        <w:contextualSpacing w:val="false"/>
        <w:jc w:val="both"/>
        <w:rPr>
          <w:sz w:val="22"/>
          <w:szCs w:val="22"/>
        </w:rPr>
      </w:pPr>
      <w:r>
        <w:rPr>
          <w:rFonts w:cs="Arial" w:ascii="Arial" w:hAnsi="Arial"/>
          <w:sz w:val="22"/>
          <w:szCs w:val="22"/>
        </w:rPr>
        <w:t xml:space="preserve">Ademais, a Lei Federal nº 14.133, por meio do art. 74, </w:t>
      </w:r>
      <w:r>
        <w:rPr>
          <w:rFonts w:cs="Arial" w:ascii="Arial" w:hAnsi="Arial"/>
          <w:i/>
          <w:sz w:val="22"/>
          <w:szCs w:val="22"/>
        </w:rPr>
        <w:t>caput</w:t>
      </w:r>
      <w:r>
        <w:rPr>
          <w:rFonts w:cs="Arial" w:ascii="Arial" w:hAnsi="Arial"/>
          <w:sz w:val="22"/>
          <w:szCs w:val="22"/>
        </w:rPr>
        <w:t xml:space="preserve">, determina a inexigibilidade de licitação nas hipóteses de ser inviável a competição. </w:t>
      </w:r>
    </w:p>
    <w:p>
      <w:pPr>
        <w:pStyle w:val="ListParagraph"/>
        <w:numPr>
          <w:ilvl w:val="1"/>
          <w:numId w:val="1"/>
        </w:numPr>
        <w:spacing w:lineRule="auto" w:line="240" w:before="0" w:after="113"/>
        <w:ind w:hanging="0" w:left="0"/>
        <w:contextualSpacing w:val="false"/>
        <w:jc w:val="both"/>
        <w:rPr>
          <w:sz w:val="22"/>
          <w:szCs w:val="22"/>
        </w:rPr>
      </w:pPr>
      <w:r>
        <w:rPr>
          <w:rFonts w:cs="Arial" w:ascii="Arial" w:hAnsi="Arial"/>
          <w:sz w:val="22"/>
          <w:szCs w:val="22"/>
        </w:rPr>
        <w:t xml:space="preserve">Assim, por consequência, dada à natureza do objeto em questão, </w:t>
      </w:r>
      <w:r>
        <w:rPr>
          <w:rFonts w:cs="Arial" w:ascii="Arial" w:hAnsi="Arial"/>
          <w:b/>
          <w:sz w:val="22"/>
          <w:szCs w:val="22"/>
        </w:rPr>
        <w:t>dispensa-se a elaboração do Estudo Técnico Preliminar (ETP)</w:t>
      </w:r>
      <w:r>
        <w:rPr>
          <w:rFonts w:cs="Arial" w:ascii="Arial" w:hAnsi="Arial"/>
          <w:sz w:val="22"/>
          <w:szCs w:val="22"/>
        </w:rPr>
        <w:t xml:space="preserve">, vez que a </w:t>
      </w:r>
      <w:r>
        <w:rPr>
          <w:rFonts w:cs="Arial" w:ascii="Arial" w:hAnsi="Arial"/>
          <w:b/>
          <w:sz w:val="22"/>
          <w:szCs w:val="22"/>
        </w:rPr>
        <w:t>solução adequada</w:t>
      </w:r>
      <w:r>
        <w:rPr>
          <w:rFonts w:cs="Arial" w:ascii="Arial" w:hAnsi="Arial"/>
          <w:sz w:val="22"/>
          <w:szCs w:val="22"/>
        </w:rPr>
        <w:t xml:space="preserve"> para o custeio das despesas decorrentes do consumo de água pelas unidades relativas à Secretaria Municipal de Administração, </w:t>
      </w:r>
      <w:r>
        <w:rPr>
          <w:rFonts w:cs="Arial" w:ascii="Arial" w:hAnsi="Arial"/>
          <w:b/>
          <w:sz w:val="22"/>
          <w:szCs w:val="22"/>
        </w:rPr>
        <w:t>é a realização de</w:t>
      </w:r>
      <w:r>
        <w:rPr>
          <w:rFonts w:cs="Arial" w:ascii="Arial" w:hAnsi="Arial"/>
          <w:sz w:val="22"/>
          <w:szCs w:val="22"/>
        </w:rPr>
        <w:t xml:space="preserve"> </w:t>
      </w:r>
      <w:r>
        <w:rPr>
          <w:rFonts w:cs="Arial" w:ascii="Arial" w:hAnsi="Arial"/>
          <w:b/>
          <w:sz w:val="22"/>
          <w:szCs w:val="22"/>
        </w:rPr>
        <w:t>empenho estimativo</w:t>
      </w:r>
      <w:r>
        <w:rPr>
          <w:rFonts w:cs="Arial" w:ascii="Arial" w:hAnsi="Arial"/>
          <w:bCs/>
          <w:sz w:val="22"/>
          <w:szCs w:val="22"/>
        </w:rPr>
        <w:t xml:space="preserve">, com fulcro no art. 60, da Lei Federal nº </w:t>
      </w:r>
      <w:r>
        <w:rPr>
          <w:rFonts w:cs="Arial" w:ascii="Arial" w:hAnsi="Arial"/>
          <w:sz w:val="22"/>
          <w:szCs w:val="22"/>
        </w:rPr>
        <w:t xml:space="preserve">4.320/1964 e art. 74, </w:t>
      </w:r>
      <w:r>
        <w:rPr>
          <w:rFonts w:cs="Arial" w:ascii="Arial" w:hAnsi="Arial"/>
          <w:i/>
          <w:sz w:val="22"/>
          <w:szCs w:val="22"/>
        </w:rPr>
        <w:t>caput</w:t>
      </w:r>
      <w:r>
        <w:rPr>
          <w:rFonts w:cs="Arial" w:ascii="Arial" w:hAnsi="Arial"/>
          <w:sz w:val="22"/>
          <w:szCs w:val="22"/>
        </w:rPr>
        <w:t>, da Lei Federal nº 14.133/2021.</w:t>
      </w:r>
    </w:p>
    <w:p>
      <w:pPr>
        <w:pStyle w:val="ListParagraph"/>
        <w:numPr>
          <w:ilvl w:val="1"/>
          <w:numId w:val="1"/>
        </w:numPr>
        <w:spacing w:lineRule="auto" w:line="240" w:before="0" w:after="113"/>
        <w:ind w:hanging="0" w:left="0"/>
        <w:contextualSpacing w:val="false"/>
        <w:jc w:val="both"/>
        <w:rPr>
          <w:sz w:val="22"/>
          <w:szCs w:val="22"/>
        </w:rPr>
      </w:pPr>
      <w:r>
        <w:rPr>
          <w:rFonts w:cs="Arial" w:ascii="Arial" w:hAnsi="Arial"/>
          <w:color w:val="000000"/>
          <w:sz w:val="22"/>
          <w:szCs w:val="22"/>
          <w:shd w:fill="auto" w:val="clear"/>
        </w:rPr>
        <w:t xml:space="preserve">Ademais, </w:t>
      </w:r>
      <w:r>
        <w:rPr>
          <w:rFonts w:cs="Arial" w:ascii="Arial" w:hAnsi="Arial"/>
          <w:b/>
          <w:bCs/>
          <w:color w:val="000000"/>
          <w:sz w:val="22"/>
          <w:szCs w:val="22"/>
          <w:shd w:fill="auto" w:val="clear"/>
        </w:rPr>
        <w:t>NÃO</w:t>
      </w:r>
      <w:r>
        <w:rPr>
          <w:rFonts w:cs="Arial" w:ascii="Arial" w:hAnsi="Arial"/>
          <w:color w:val="000000"/>
          <w:sz w:val="22"/>
          <w:szCs w:val="22"/>
          <w:shd w:fill="auto" w:val="clear"/>
        </w:rPr>
        <w:t xml:space="preserve"> </w:t>
      </w:r>
      <w:r>
        <w:rPr>
          <w:rFonts w:cs="Arial" w:ascii="Arial" w:hAnsi="Arial"/>
          <w:b/>
          <w:color w:val="000000"/>
          <w:sz w:val="22"/>
          <w:szCs w:val="22"/>
          <w:shd w:fill="auto" w:val="clear"/>
        </w:rPr>
        <w:t>será necessária a atualização do Plano Anual de Contratações (PAC) para o exercício de 2025, aprovado pelo Decreto Municipal nº 7.324/2024, para a inclusão da demanda.</w:t>
      </w:r>
    </w:p>
    <w:p>
      <w:pPr>
        <w:pStyle w:val="ListParagraph"/>
        <w:numPr>
          <w:ilvl w:val="1"/>
          <w:numId w:val="1"/>
        </w:numPr>
        <w:spacing w:lineRule="auto" w:line="240" w:before="0" w:after="0"/>
        <w:ind w:hanging="0" w:left="0"/>
        <w:contextualSpacing/>
        <w:jc w:val="both"/>
        <w:rPr>
          <w:sz w:val="22"/>
          <w:szCs w:val="22"/>
        </w:rPr>
      </w:pPr>
      <w:r>
        <w:rPr>
          <w:rFonts w:cs="Arial" w:ascii="Arial" w:hAnsi="Arial"/>
          <w:sz w:val="22"/>
          <w:szCs w:val="22"/>
        </w:rPr>
        <w:t xml:space="preserve">Justificando, o presente Termo de Referência visa </w:t>
      </w:r>
      <w:r>
        <w:rPr>
          <w:rFonts w:cs="Arial" w:ascii="Arial" w:hAnsi="Arial"/>
          <w:b/>
          <w:sz w:val="22"/>
          <w:szCs w:val="22"/>
        </w:rPr>
        <w:t xml:space="preserve">esclarecer e direcionar os procedimentos essenciais para a Inexigibilidade de Licitação e realização de Empenho por estimativa, </w:t>
      </w:r>
      <w:r>
        <w:rPr>
          <w:rFonts w:cs="Arial" w:ascii="Arial" w:hAnsi="Arial"/>
          <w:sz w:val="22"/>
          <w:szCs w:val="22"/>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pPr>
        <w:pStyle w:val="Normal"/>
        <w:spacing w:lineRule="auto" w:line="240" w:before="0" w:after="0"/>
        <w:rPr>
          <w:rFonts w:ascii="Arial" w:hAnsi="Arial" w:cs="Arial"/>
          <w:sz w:val="22"/>
          <w:szCs w:val="22"/>
        </w:rPr>
      </w:pPr>
      <w:r>
        <w:rPr>
          <w:rFonts w:cs="Arial" w:ascii="Arial" w:hAnsi="Arial"/>
          <w:sz w:val="22"/>
          <w:szCs w:val="22"/>
        </w:rPr>
      </w:r>
    </w:p>
    <w:p>
      <w:pPr>
        <w:pStyle w:val="ListParagraph"/>
        <w:numPr>
          <w:ilvl w:val="0"/>
          <w:numId w:val="1"/>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DA FORMALIZAÇÃO DA ATA DE REGISTRO DE PREÇOS, DOS USUÁRIOS DO REGISTRO DE PREÇOS E DO FORNECIMENTO</w:t>
      </w:r>
    </w:p>
    <w:p>
      <w:pPr>
        <w:pStyle w:val="ListParagraph"/>
        <w:numPr>
          <w:ilvl w:val="1"/>
          <w:numId w:val="1"/>
        </w:numPr>
        <w:spacing w:lineRule="auto" w:line="240" w:before="0" w:after="0"/>
        <w:ind w:hanging="0" w:left="0"/>
        <w:contextualSpacing/>
        <w:jc w:val="both"/>
        <w:rPr>
          <w:sz w:val="22"/>
          <w:szCs w:val="22"/>
        </w:rPr>
      </w:pPr>
      <w:r>
        <w:rPr>
          <w:rFonts w:cs="Arial" w:ascii="Arial" w:hAnsi="Arial"/>
          <w:i/>
          <w:sz w:val="22"/>
          <w:szCs w:val="22"/>
        </w:rPr>
        <w:t>Não se aplica a presente contratação</w:t>
      </w:r>
      <w:r>
        <w:rPr>
          <w:rFonts w:cs="Arial" w:ascii="Arial" w:hAnsi="Arial"/>
          <w:sz w:val="22"/>
          <w:szCs w:val="22"/>
        </w:rPr>
        <w:t>.</w:t>
      </w:r>
    </w:p>
    <w:p>
      <w:pPr>
        <w:pStyle w:val="Normal"/>
        <w:spacing w:lineRule="auto" w:line="240" w:before="0" w:after="0"/>
        <w:rPr>
          <w:rFonts w:ascii="Arial" w:hAnsi="Arial" w:cs="Arial"/>
          <w:sz w:val="22"/>
          <w:szCs w:val="22"/>
        </w:rPr>
      </w:pPr>
      <w:r>
        <w:rPr>
          <w:rFonts w:cs="Arial" w:ascii="Arial" w:hAnsi="Arial"/>
          <w:sz w:val="22"/>
          <w:szCs w:val="22"/>
        </w:rPr>
      </w:r>
    </w:p>
    <w:p>
      <w:pPr>
        <w:pStyle w:val="ListParagraph"/>
        <w:numPr>
          <w:ilvl w:val="0"/>
          <w:numId w:val="1"/>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DO OBJETO LICITADO</w:t>
      </w:r>
    </w:p>
    <w:p>
      <w:pPr>
        <w:pStyle w:val="ListParagraph"/>
        <w:numPr>
          <w:ilvl w:val="1"/>
          <w:numId w:val="1"/>
        </w:numPr>
        <w:shd w:val="clear" w:color="auto" w:fill="F2F2F2" w:themeFill="background1" w:themeFillShade="f2"/>
        <w:spacing w:lineRule="auto" w:line="240" w:before="0" w:after="113"/>
        <w:ind w:hanging="0" w:left="0"/>
        <w:contextualSpacing w:val="false"/>
        <w:jc w:val="both"/>
        <w:rPr>
          <w:sz w:val="22"/>
          <w:szCs w:val="22"/>
        </w:rPr>
      </w:pPr>
      <w:r>
        <w:rPr>
          <w:rFonts w:cs="Arial" w:ascii="Arial" w:hAnsi="Arial"/>
          <w:b/>
          <w:sz w:val="22"/>
          <w:szCs w:val="22"/>
        </w:rPr>
        <w:t>DA SOLUÇÃO E DO CICLO DE VIDA DO OBJETO</w:t>
      </w:r>
    </w:p>
    <w:p>
      <w:pPr>
        <w:pStyle w:val="ListParagraph"/>
        <w:numPr>
          <w:ilvl w:val="2"/>
          <w:numId w:val="1"/>
        </w:numPr>
        <w:spacing w:lineRule="auto" w:line="240" w:before="0" w:after="113"/>
        <w:ind w:hanging="0" w:left="0"/>
        <w:contextualSpacing w:val="false"/>
        <w:jc w:val="both"/>
        <w:rPr>
          <w:sz w:val="22"/>
          <w:szCs w:val="22"/>
        </w:rPr>
      </w:pPr>
      <w:r>
        <w:rPr>
          <w:rFonts w:cs="Arial" w:ascii="Arial" w:hAnsi="Arial"/>
          <w:b/>
          <w:sz w:val="22"/>
          <w:szCs w:val="22"/>
        </w:rPr>
        <w:t>A descrição da solução como um todo se encontra pormenorizada na Lei Federal nº 14.133/2021, na Lei Federal nº 4.320/1964 e demais normativas vigentes, inclusive municipais, bem como no Documento de Formalização de Demanda</w:t>
      </w:r>
      <w:r>
        <w:rPr>
          <w:rFonts w:cs="Arial" w:ascii="Arial" w:hAnsi="Arial"/>
          <w:sz w:val="22"/>
          <w:szCs w:val="22"/>
        </w:rPr>
        <w:t>, qual seja a inexigibilidade de licitação e a realização de empenho por estimativa para custear as despesas decorrentes do consumo de água.</w:t>
      </w:r>
    </w:p>
    <w:p>
      <w:pPr>
        <w:pStyle w:val="ListParagraph"/>
        <w:spacing w:lineRule="auto" w:line="240" w:before="0" w:after="0"/>
        <w:ind w:hanging="0" w:left="0"/>
        <w:contextualSpacing/>
        <w:jc w:val="both"/>
        <w:rPr>
          <w:rFonts w:ascii="Arial" w:hAnsi="Arial" w:cs="Arial"/>
          <w:sz w:val="22"/>
          <w:szCs w:val="22"/>
        </w:rPr>
      </w:pPr>
      <w:r>
        <w:rPr>
          <w:rFonts w:cs="Arial" w:ascii="Arial" w:hAnsi="Arial"/>
          <w:sz w:val="22"/>
          <w:szCs w:val="22"/>
        </w:rPr>
      </w:r>
    </w:p>
    <w:p>
      <w:pPr>
        <w:pStyle w:val="ListParagraph"/>
        <w:numPr>
          <w:ilvl w:val="1"/>
          <w:numId w:val="1"/>
        </w:numPr>
        <w:shd w:val="clear" w:color="auto" w:fill="F2F2F2" w:themeFill="background1" w:themeFillShade="f2"/>
        <w:spacing w:lineRule="auto" w:line="240" w:before="0" w:after="113"/>
        <w:ind w:hanging="0" w:left="0"/>
        <w:contextualSpacing w:val="false"/>
        <w:jc w:val="both"/>
        <w:rPr>
          <w:sz w:val="22"/>
          <w:szCs w:val="22"/>
        </w:rPr>
      </w:pPr>
      <w:r>
        <w:rPr>
          <w:rFonts w:cs="Arial" w:ascii="Arial" w:hAnsi="Arial"/>
          <w:b/>
          <w:sz w:val="22"/>
          <w:szCs w:val="22"/>
        </w:rPr>
        <w:t>DOS REQUISITOS DA CONTRATAÇÃO</w:t>
      </w:r>
    </w:p>
    <w:p>
      <w:pPr>
        <w:pStyle w:val="ListParagraph"/>
        <w:numPr>
          <w:ilvl w:val="2"/>
          <w:numId w:val="1"/>
        </w:numPr>
        <w:spacing w:lineRule="auto" w:line="240" w:before="0" w:after="113"/>
        <w:ind w:hanging="0" w:left="0"/>
        <w:contextualSpacing w:val="false"/>
        <w:jc w:val="both"/>
        <w:rPr>
          <w:sz w:val="22"/>
          <w:szCs w:val="22"/>
        </w:rPr>
      </w:pPr>
      <w:r>
        <w:rPr>
          <w:rFonts w:cs="Arial" w:ascii="Arial" w:hAnsi="Arial"/>
          <w:sz w:val="22"/>
          <w:szCs w:val="22"/>
        </w:rPr>
        <w:t>A contratação será realizada em razão da necessidade de custeio das despesas decorrentes do consumo de água pelas unidades relacionadas à Secretaria Municipal de Administração, no exercício de 2025, em virtude do desempenho de suas atividades.</w:t>
      </w:r>
    </w:p>
    <w:p>
      <w:pPr>
        <w:pStyle w:val="ListParagraph"/>
        <w:numPr>
          <w:ilvl w:val="2"/>
          <w:numId w:val="1"/>
        </w:numPr>
        <w:spacing w:lineRule="auto" w:line="240" w:before="0" w:after="113"/>
        <w:ind w:hanging="0" w:left="0"/>
        <w:contextualSpacing w:val="false"/>
        <w:jc w:val="both"/>
        <w:rPr>
          <w:sz w:val="22"/>
          <w:szCs w:val="22"/>
        </w:rPr>
      </w:pPr>
      <w:r>
        <w:rPr>
          <w:rFonts w:cs="Arial" w:ascii="Arial" w:hAnsi="Arial"/>
          <w:sz w:val="22"/>
          <w:szCs w:val="22"/>
        </w:rPr>
        <w:t xml:space="preserve">A demanda em comento leva em conta a necessidade da Secretaria para o exercício financeiro de 2025, </w:t>
      </w:r>
      <w:r>
        <w:rPr>
          <w:rFonts w:cs="Arial" w:ascii="Arial" w:hAnsi="Arial"/>
          <w:color w:val="000000"/>
          <w:sz w:val="22"/>
          <w:szCs w:val="22"/>
          <w:shd w:fill="auto" w:val="clear"/>
        </w:rPr>
        <w:t>sendo, entretanto, necessária a atualização do Plano Anual de Contratações (PAC) para o exercício de 2025, aprovado pelo Decreto Municipal nº 7.324/2024, para a inclusão da demanda, vislumbrando o alinhamento com o planejamento realizado pela requerente.</w:t>
      </w:r>
    </w:p>
    <w:p>
      <w:pPr>
        <w:pStyle w:val="ListParagraph"/>
        <w:numPr>
          <w:ilvl w:val="2"/>
          <w:numId w:val="1"/>
        </w:numPr>
        <w:spacing w:lineRule="auto" w:line="240" w:before="0" w:after="0"/>
        <w:ind w:hanging="0" w:left="0"/>
        <w:contextualSpacing/>
        <w:jc w:val="both"/>
        <w:rPr>
          <w:sz w:val="22"/>
          <w:szCs w:val="22"/>
        </w:rPr>
      </w:pPr>
      <w:r>
        <w:rPr>
          <w:rFonts w:cs="Arial" w:ascii="Arial" w:hAnsi="Arial"/>
          <w:sz w:val="22"/>
          <w:szCs w:val="22"/>
        </w:rPr>
        <w:t>Para a demanda em questão, se necessário, será aferida a verificação da habilitação social, fiscal, trabalhista e técnica da empresa, de acordo com as premissas da Lei Federal nº 14.133/2021, em seu Capítulo VI.</w:t>
      </w:r>
    </w:p>
    <w:p>
      <w:pPr>
        <w:pStyle w:val="ListParagraph"/>
        <w:spacing w:lineRule="auto" w:line="240" w:before="0" w:after="0"/>
        <w:ind w:hanging="0" w:left="0"/>
        <w:contextualSpacing/>
        <w:jc w:val="both"/>
        <w:rPr>
          <w:rFonts w:ascii="Arial" w:hAnsi="Arial" w:cs="Arial"/>
          <w:sz w:val="22"/>
          <w:szCs w:val="22"/>
        </w:rPr>
      </w:pPr>
      <w:r>
        <w:rPr>
          <w:rFonts w:cs="Arial" w:ascii="Arial" w:hAnsi="Arial"/>
          <w:sz w:val="22"/>
          <w:szCs w:val="22"/>
        </w:rPr>
      </w:r>
    </w:p>
    <w:p>
      <w:pPr>
        <w:pStyle w:val="ListParagraph"/>
        <w:numPr>
          <w:ilvl w:val="1"/>
          <w:numId w:val="1"/>
        </w:numPr>
        <w:shd w:val="clear" w:color="auto" w:fill="F2F2F2" w:themeFill="background1" w:themeFillShade="f2"/>
        <w:spacing w:lineRule="auto" w:line="240" w:before="0" w:after="113"/>
        <w:ind w:hanging="0" w:left="0"/>
        <w:contextualSpacing w:val="false"/>
        <w:jc w:val="both"/>
        <w:rPr>
          <w:sz w:val="22"/>
          <w:szCs w:val="22"/>
        </w:rPr>
      </w:pPr>
      <w:r>
        <w:rPr>
          <w:rFonts w:cs="Arial" w:ascii="Arial" w:hAnsi="Arial"/>
          <w:b/>
          <w:sz w:val="22"/>
          <w:szCs w:val="22"/>
        </w:rPr>
        <w:t>DO FORNECIMENTO E RECEBIMENTO</w:t>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sz w:val="22"/>
          <w:szCs w:val="22"/>
        </w:rPr>
      </w:pPr>
      <w:r>
        <w:rPr>
          <w:rFonts w:cs="Arial" w:ascii="Arial" w:hAnsi="Arial"/>
          <w:i/>
          <w:sz w:val="22"/>
          <w:szCs w:val="22"/>
        </w:rPr>
        <w:t>Não se aplica a presente contratação.</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cs="Arial"/>
          <w:sz w:val="22"/>
          <w:szCs w:val="22"/>
        </w:rPr>
      </w:pPr>
      <w:r>
        <w:rPr>
          <w:rFonts w:cs="Arial" w:ascii="Arial" w:hAnsi="Arial"/>
          <w:sz w:val="22"/>
          <w:szCs w:val="22"/>
        </w:rPr>
      </w:r>
    </w:p>
    <w:p>
      <w:pPr>
        <w:pStyle w:val="ListParagraph"/>
        <w:numPr>
          <w:ilvl w:val="1"/>
          <w:numId w:val="1"/>
        </w:numPr>
        <w:shd w:val="clear" w:color="auto" w:fill="F2F2F2" w:themeFill="background1" w:themeFillShade="f2"/>
        <w:spacing w:lineRule="auto" w:line="240" w:before="0" w:after="113"/>
        <w:ind w:hanging="0" w:left="0"/>
        <w:contextualSpacing w:val="false"/>
        <w:jc w:val="both"/>
        <w:rPr>
          <w:sz w:val="22"/>
          <w:szCs w:val="22"/>
        </w:rPr>
      </w:pPr>
      <w:r>
        <w:rPr>
          <w:rFonts w:cs="Arial" w:ascii="Arial" w:hAnsi="Arial"/>
          <w:b/>
          <w:sz w:val="22"/>
          <w:szCs w:val="22"/>
        </w:rPr>
        <w:t>DAS CONDIÇÕES DE RECEBIMENTO DO OBJETO</w:t>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sz w:val="22"/>
          <w:szCs w:val="22"/>
        </w:rPr>
      </w:pPr>
      <w:r>
        <w:rPr>
          <w:rFonts w:cs="Arial" w:ascii="Arial" w:hAnsi="Arial"/>
          <w:i/>
          <w:sz w:val="22"/>
          <w:szCs w:val="22"/>
        </w:rPr>
        <w:t>Não se aplica a presente contratação.</w:t>
      </w:r>
    </w:p>
    <w:p>
      <w:pPr>
        <w:pStyle w:val="Normal"/>
        <w:spacing w:lineRule="auto" w:line="240" w:before="0" w:after="0"/>
        <w:jc w:val="both"/>
        <w:rPr>
          <w:rFonts w:ascii="Arial" w:hAnsi="Arial" w:cs="Arial"/>
          <w:sz w:val="22"/>
          <w:szCs w:val="22"/>
          <w:highlight w:val="yellow"/>
        </w:rPr>
      </w:pPr>
      <w:r>
        <w:rPr>
          <w:rFonts w:cs="Arial" w:ascii="Arial" w:hAnsi="Arial"/>
          <w:sz w:val="22"/>
          <w:szCs w:val="22"/>
          <w:highlight w:val="yellow"/>
        </w:rPr>
      </w:r>
    </w:p>
    <w:p>
      <w:pPr>
        <w:pStyle w:val="ListParagraph"/>
        <w:numPr>
          <w:ilvl w:val="1"/>
          <w:numId w:val="1"/>
        </w:numPr>
        <w:shd w:val="clear" w:color="auto" w:fill="F2F2F2" w:themeFill="background1" w:themeFillShade="f2"/>
        <w:spacing w:lineRule="auto" w:line="240" w:before="0" w:after="113"/>
        <w:ind w:hanging="0" w:left="0"/>
        <w:contextualSpacing w:val="false"/>
        <w:jc w:val="both"/>
        <w:rPr>
          <w:sz w:val="22"/>
          <w:szCs w:val="22"/>
        </w:rPr>
      </w:pPr>
      <w:r>
        <w:rPr>
          <w:rFonts w:cs="Arial" w:ascii="Arial" w:hAnsi="Arial"/>
          <w:b/>
          <w:sz w:val="22"/>
          <w:szCs w:val="22"/>
        </w:rPr>
        <w:t>DAS OBRIGAÇÕES E RESPONSABILIDADES</w:t>
      </w:r>
    </w:p>
    <w:p>
      <w:pPr>
        <w:pStyle w:val="ListParagraph"/>
        <w:numPr>
          <w:ilvl w:val="2"/>
          <w:numId w:val="1"/>
        </w:numPr>
        <w:spacing w:lineRule="auto" w:line="240" w:before="0" w:after="0"/>
        <w:ind w:hanging="0" w:left="0"/>
        <w:contextualSpacing/>
        <w:jc w:val="both"/>
        <w:rPr>
          <w:sz w:val="22"/>
          <w:szCs w:val="22"/>
        </w:rPr>
      </w:pPr>
      <w:r>
        <w:rPr>
          <w:rFonts w:cs="Arial" w:ascii="Arial" w:hAnsi="Arial"/>
          <w:b/>
          <w:sz w:val="22"/>
          <w:szCs w:val="22"/>
        </w:rPr>
        <w:t>DAS OBRIGAÇÕES E RESPONSABILIDADES DA EMPRESA CONTRATADA</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Caberá ao CONTRATADO o cumprimento das seguintes obrigações: </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1 - Prestar os serviços, objeto da Contratação; </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2 - Não subcontratar, ceder ou transferir, total ou parcialmente, o objeto da Contratação; </w:t>
      </w:r>
    </w:p>
    <w:p>
      <w:pPr>
        <w:pStyle w:val="ListParagraph"/>
        <w:spacing w:lineRule="auto" w:line="240" w:before="0" w:after="0"/>
        <w:ind w:hanging="0" w:left="0"/>
        <w:contextualSpacing/>
        <w:jc w:val="both"/>
        <w:rPr>
          <w:sz w:val="22"/>
          <w:szCs w:val="22"/>
        </w:rPr>
      </w:pPr>
      <w:r>
        <w:rPr>
          <w:rFonts w:cs="Arial" w:ascii="Arial" w:hAnsi="Arial"/>
          <w:sz w:val="22"/>
          <w:szCs w:val="22"/>
        </w:rPr>
        <w:t>3 - Responsabilizar-se pelos encargos trabalhistas, previdenciários, fiscais e comerciais, resultantes da execução do objeto deste projeto;</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4 - Executar fielmente o objeto da Contratação com fornecimento ininterrupto de água tratada e tratamento de esgoto durante 365 (trezentos e sessenta e cinco) dias do ano de 2025; </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5 - Dar plena garantia e qualidade do serviço prestado; </w:t>
      </w:r>
    </w:p>
    <w:p>
      <w:pPr>
        <w:pStyle w:val="ListParagraph"/>
        <w:spacing w:lineRule="auto" w:line="240" w:before="0" w:after="0"/>
        <w:ind w:hanging="0" w:left="0"/>
        <w:contextualSpacing/>
        <w:jc w:val="both"/>
        <w:rPr>
          <w:sz w:val="22"/>
          <w:szCs w:val="22"/>
        </w:rPr>
      </w:pPr>
      <w:r>
        <w:rPr>
          <w:rFonts w:cs="Arial" w:ascii="Arial" w:hAnsi="Arial"/>
          <w:sz w:val="22"/>
          <w:szCs w:val="22"/>
        </w:rPr>
        <w:t>6 - Manter durante toda a execução do Contrato, em compatibilidade com as obrigações por ele assumidas, todas as condições de habilitação e qualificação legalmente exigidas;</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7 - Prestar, de imediato, todos os esclarecimentos que forem solicitados pela contratante, obrigando-se a atender todas as reclamações a respeito da qualidade do serviço prestado; </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8 - Comunicar a contratante, de imediato e por escrito, qualquer irregularidade verificada durante a execução do serviço, para a adoção das medidas necessárias à sua regularização; </w:t>
      </w:r>
    </w:p>
    <w:p>
      <w:pPr>
        <w:pStyle w:val="ListParagraph"/>
        <w:spacing w:lineRule="auto" w:line="240" w:before="0" w:after="0"/>
        <w:ind w:hanging="0" w:left="0"/>
        <w:contextualSpacing/>
        <w:jc w:val="both"/>
        <w:rPr>
          <w:sz w:val="22"/>
          <w:szCs w:val="22"/>
        </w:rPr>
      </w:pPr>
      <w:r>
        <w:rPr>
          <w:rFonts w:cs="Arial" w:ascii="Arial" w:hAnsi="Arial"/>
          <w:sz w:val="22"/>
          <w:szCs w:val="22"/>
        </w:rPr>
        <w:t>9 - Acatar as determinações feitas pela Contratante no que tange ao cumprimento do objeto do Contrato.</w:t>
      </w:r>
    </w:p>
    <w:p>
      <w:pPr>
        <w:pStyle w:val="ListParagraph"/>
        <w:numPr>
          <w:ilvl w:val="0"/>
          <w:numId w:val="0"/>
        </w:numPr>
        <w:spacing w:lineRule="auto" w:line="240" w:before="0" w:after="0"/>
        <w:ind w:hanging="0" w:left="0"/>
        <w:contextualSpacing/>
        <w:jc w:val="both"/>
        <w:rPr>
          <w:rFonts w:ascii="Arial" w:hAnsi="Arial"/>
          <w:sz w:val="22"/>
          <w:szCs w:val="22"/>
        </w:rPr>
      </w:pPr>
      <w:r>
        <w:rPr>
          <w:rFonts w:ascii="Arial" w:hAnsi="Arial"/>
          <w:sz w:val="22"/>
          <w:szCs w:val="22"/>
        </w:rPr>
      </w:r>
    </w:p>
    <w:p>
      <w:pPr>
        <w:pStyle w:val="ListParagraph"/>
        <w:numPr>
          <w:ilvl w:val="2"/>
          <w:numId w:val="1"/>
        </w:numPr>
        <w:spacing w:lineRule="auto" w:line="240" w:before="0" w:after="0"/>
        <w:ind w:hanging="0" w:left="0"/>
        <w:contextualSpacing/>
        <w:jc w:val="both"/>
        <w:rPr>
          <w:sz w:val="22"/>
          <w:szCs w:val="22"/>
        </w:rPr>
      </w:pPr>
      <w:r>
        <w:rPr>
          <w:rFonts w:cs="Arial" w:ascii="Arial" w:hAnsi="Arial"/>
          <w:b/>
          <w:sz w:val="22"/>
          <w:szCs w:val="22"/>
        </w:rPr>
        <w:t>DAS OBRIGAÇÕES E RESPONSABILIDADES DO MUNICÍPIO</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Caberá a Prefeitura Municipal de São Roque do Canaã/ES, como CONTRATANTE: </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1 - Fornecer à Contratada todas as informações relacionadas ao objeto da Contratação; </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2 - Notificar por escrito a Contratada, a respeito de qualquer irregularidade constatada na execução do objeto da Contratação; </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3 - Assegurar os recursos orçamentários e financeiros para custear as despesas do empenho estimativo; </w:t>
      </w:r>
    </w:p>
    <w:p>
      <w:pPr>
        <w:pStyle w:val="ListParagraph"/>
        <w:spacing w:lineRule="auto" w:line="240" w:before="0" w:after="0"/>
        <w:ind w:hanging="0" w:left="0"/>
        <w:contextualSpacing/>
        <w:jc w:val="both"/>
        <w:rPr>
          <w:sz w:val="22"/>
          <w:szCs w:val="22"/>
        </w:rPr>
      </w:pPr>
      <w:r>
        <w:rPr>
          <w:rFonts w:cs="Arial" w:ascii="Arial" w:hAnsi="Arial"/>
          <w:sz w:val="22"/>
          <w:szCs w:val="22"/>
        </w:rPr>
        <w:t xml:space="preserve">4 - Efetuar o pagamento nas condições e preços pactuados; </w:t>
      </w:r>
    </w:p>
    <w:p>
      <w:pPr>
        <w:pStyle w:val="ListParagraph"/>
        <w:spacing w:lineRule="auto" w:line="240" w:before="0" w:after="0"/>
        <w:ind w:hanging="0" w:left="0"/>
        <w:contextualSpacing/>
        <w:jc w:val="both"/>
        <w:rPr>
          <w:sz w:val="22"/>
          <w:szCs w:val="22"/>
        </w:rPr>
      </w:pPr>
      <w:r>
        <w:rPr>
          <w:rFonts w:cs="Arial" w:ascii="Arial" w:hAnsi="Arial"/>
          <w:sz w:val="22"/>
          <w:szCs w:val="22"/>
        </w:rPr>
        <w:t>5 - Acompanhar, verificar, fiscalizar e intervir na execução do serviço, para assegurar a fiel observância de suas cláusulas, bem como do que consta das especificações do presente Termo de Referência.</w:t>
      </w:r>
    </w:p>
    <w:p>
      <w:pPr>
        <w:pStyle w:val="Normal"/>
        <w:spacing w:lineRule="auto" w:line="240" w:before="0" w:after="0"/>
        <w:rPr>
          <w:rFonts w:ascii="Arial" w:hAnsi="Arial" w:cs="Arial"/>
          <w:sz w:val="22"/>
          <w:szCs w:val="22"/>
        </w:rPr>
      </w:pPr>
      <w:r>
        <w:rPr>
          <w:rFonts w:cs="Arial" w:ascii="Arial" w:hAnsi="Arial"/>
          <w:sz w:val="22"/>
          <w:szCs w:val="22"/>
        </w:rPr>
      </w:r>
    </w:p>
    <w:p>
      <w:pPr>
        <w:pStyle w:val="ListParagraph"/>
        <w:numPr>
          <w:ilvl w:val="0"/>
          <w:numId w:val="3"/>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DA FISCALIZAÇÃO E ACOMPANHAMENTO</w:t>
      </w:r>
    </w:p>
    <w:p>
      <w:pPr>
        <w:pStyle w:val="ListParagraph"/>
        <w:numPr>
          <w:ilvl w:val="1"/>
          <w:numId w:val="3"/>
        </w:numPr>
        <w:spacing w:lineRule="auto" w:line="240" w:before="0" w:after="0"/>
        <w:ind w:hanging="0" w:left="0"/>
        <w:contextualSpacing/>
        <w:jc w:val="both"/>
        <w:rPr>
          <w:sz w:val="22"/>
          <w:szCs w:val="22"/>
        </w:rPr>
      </w:pPr>
      <w:r>
        <w:rPr>
          <w:rFonts w:cs="Arial" w:ascii="Arial" w:hAnsi="Arial"/>
          <w:i/>
          <w:sz w:val="22"/>
          <w:szCs w:val="22"/>
        </w:rPr>
        <w:t>Não se aplica a presente contratação.</w:t>
      </w:r>
    </w:p>
    <w:p>
      <w:pPr>
        <w:pStyle w:val="Corpodetexto23"/>
        <w:rPr>
          <w:rFonts w:ascii="Arial" w:hAnsi="Arial" w:cs="Arial"/>
          <w:sz w:val="22"/>
          <w:szCs w:val="22"/>
        </w:rPr>
      </w:pPr>
      <w:r>
        <w:rPr>
          <w:rFonts w:cs="Arial" w:ascii="Arial" w:hAnsi="Arial"/>
          <w:sz w:val="22"/>
          <w:szCs w:val="22"/>
        </w:rPr>
      </w:r>
    </w:p>
    <w:p>
      <w:pPr>
        <w:pStyle w:val="ListParagraph"/>
        <w:numPr>
          <w:ilvl w:val="0"/>
          <w:numId w:val="3"/>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DA GARANTIA PELO FORNECIMENTO</w:t>
      </w:r>
    </w:p>
    <w:p>
      <w:pPr>
        <w:pStyle w:val="ListParagraph"/>
        <w:numPr>
          <w:ilvl w:val="1"/>
          <w:numId w:val="3"/>
        </w:numPr>
        <w:spacing w:lineRule="auto" w:line="240" w:before="0" w:after="0"/>
        <w:ind w:hanging="0" w:left="0"/>
        <w:contextualSpacing/>
        <w:jc w:val="both"/>
        <w:rPr>
          <w:sz w:val="22"/>
          <w:szCs w:val="22"/>
        </w:rPr>
      </w:pPr>
      <w:r>
        <w:rPr>
          <w:rFonts w:cs="Arial" w:ascii="Arial" w:hAnsi="Arial"/>
          <w:i/>
          <w:sz w:val="22"/>
          <w:szCs w:val="22"/>
        </w:rPr>
        <w:t>Não se aplica a presente contratação.</w:t>
      </w:r>
    </w:p>
    <w:p>
      <w:pPr>
        <w:pStyle w:val="Normal"/>
        <w:spacing w:lineRule="auto" w:line="240" w:before="0" w:after="0"/>
        <w:rPr>
          <w:rFonts w:ascii="Arial" w:hAnsi="Arial" w:cs="Arial"/>
          <w:sz w:val="22"/>
          <w:szCs w:val="22"/>
        </w:rPr>
      </w:pPr>
      <w:r>
        <w:rPr>
          <w:rFonts w:cs="Arial" w:ascii="Arial" w:hAnsi="Arial"/>
          <w:sz w:val="22"/>
          <w:szCs w:val="22"/>
        </w:rPr>
      </w:r>
    </w:p>
    <w:p>
      <w:pPr>
        <w:pStyle w:val="ListParagraph"/>
        <w:numPr>
          <w:ilvl w:val="0"/>
          <w:numId w:val="3"/>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DAS AMOSTRAS</w:t>
      </w:r>
    </w:p>
    <w:p>
      <w:pPr>
        <w:pStyle w:val="ListParagraph"/>
        <w:numPr>
          <w:ilvl w:val="1"/>
          <w:numId w:val="3"/>
        </w:numPr>
        <w:spacing w:lineRule="auto" w:line="240" w:before="0" w:after="0"/>
        <w:ind w:hanging="0" w:left="0"/>
        <w:contextualSpacing/>
        <w:jc w:val="both"/>
        <w:rPr>
          <w:sz w:val="22"/>
          <w:szCs w:val="22"/>
        </w:rPr>
      </w:pPr>
      <w:r>
        <w:rPr>
          <w:rFonts w:cs="Arial" w:ascii="Arial" w:hAnsi="Arial"/>
          <w:i/>
          <w:sz w:val="22"/>
          <w:szCs w:val="22"/>
        </w:rPr>
        <w:t>Não se aplica a presente contratação.</w:t>
      </w:r>
    </w:p>
    <w:p>
      <w:pPr>
        <w:pStyle w:val="Normal"/>
        <w:spacing w:lineRule="auto" w:line="240" w:before="0" w:after="0"/>
        <w:rPr>
          <w:rFonts w:ascii="Arial" w:hAnsi="Arial" w:cs="Arial"/>
          <w:sz w:val="22"/>
          <w:szCs w:val="22"/>
        </w:rPr>
      </w:pPr>
      <w:r>
        <w:rPr>
          <w:rFonts w:cs="Arial" w:ascii="Arial" w:hAnsi="Arial"/>
          <w:sz w:val="22"/>
          <w:szCs w:val="22"/>
        </w:rPr>
      </w:r>
    </w:p>
    <w:p>
      <w:pPr>
        <w:pStyle w:val="ListParagraph"/>
        <w:numPr>
          <w:ilvl w:val="0"/>
          <w:numId w:val="3"/>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DA GESTÃO DO CONTRATO</w:t>
      </w:r>
    </w:p>
    <w:p>
      <w:pPr>
        <w:pStyle w:val="ListParagraph"/>
        <w:numPr>
          <w:ilvl w:val="1"/>
          <w:numId w:val="3"/>
        </w:numPr>
        <w:spacing w:lineRule="auto" w:line="240" w:before="0" w:after="0"/>
        <w:ind w:hanging="0" w:left="0"/>
        <w:contextualSpacing/>
        <w:jc w:val="both"/>
        <w:rPr>
          <w:sz w:val="22"/>
          <w:szCs w:val="22"/>
        </w:rPr>
      </w:pPr>
      <w:r>
        <w:rPr>
          <w:rFonts w:cs="Arial" w:ascii="Arial" w:hAnsi="Arial"/>
          <w:i/>
          <w:sz w:val="22"/>
          <w:szCs w:val="22"/>
        </w:rPr>
        <w:t>Não se aplica a presente contratação.</w:t>
      </w:r>
    </w:p>
    <w:p>
      <w:pPr>
        <w:pStyle w:val="Normal"/>
        <w:spacing w:lineRule="auto" w:line="240" w:before="0" w:after="0"/>
        <w:rPr>
          <w:rFonts w:ascii="Arial" w:hAnsi="Arial" w:cs="Arial"/>
          <w:sz w:val="22"/>
          <w:szCs w:val="22"/>
        </w:rPr>
      </w:pPr>
      <w:r>
        <w:rPr>
          <w:rFonts w:cs="Arial" w:ascii="Arial" w:hAnsi="Arial"/>
          <w:sz w:val="22"/>
          <w:szCs w:val="22"/>
        </w:rPr>
      </w:r>
    </w:p>
    <w:p>
      <w:pPr>
        <w:pStyle w:val="ListParagraph"/>
        <w:numPr>
          <w:ilvl w:val="0"/>
          <w:numId w:val="3"/>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DO FATURAMENTO E DO PAGAMENTO</w:t>
      </w:r>
    </w:p>
    <w:p>
      <w:pPr>
        <w:pStyle w:val="Normal"/>
        <w:spacing w:lineRule="auto" w:line="240" w:before="0" w:after="113"/>
        <w:jc w:val="both"/>
        <w:rPr>
          <w:sz w:val="22"/>
          <w:szCs w:val="22"/>
        </w:rPr>
      </w:pPr>
      <w:r>
        <w:rPr>
          <w:rFonts w:cs="Arial" w:ascii="Arial" w:hAnsi="Arial"/>
          <w:sz w:val="22"/>
          <w:szCs w:val="22"/>
        </w:rPr>
        <w:t xml:space="preserve">O pagamento se realizará após a devida liquidação, conforme dispõe a Lei nº 4.320/64, que estatui normas gerais de Direito Financeiro para elaboração e controle dos orçamentos e balanços da União, dos Estados, dos Municípios e do Distrito Federal. </w:t>
      </w:r>
    </w:p>
    <w:p>
      <w:pPr>
        <w:pStyle w:val="Normal"/>
        <w:spacing w:lineRule="auto" w:line="240" w:before="0" w:after="113"/>
        <w:jc w:val="both"/>
        <w:rPr>
          <w:sz w:val="22"/>
          <w:szCs w:val="22"/>
        </w:rPr>
      </w:pPr>
      <w:r>
        <w:rPr>
          <w:rFonts w:cs="Arial" w:ascii="Arial" w:hAnsi="Arial"/>
          <w:sz w:val="22"/>
          <w:szCs w:val="22"/>
        </w:rPr>
        <w:t xml:space="preserve">A CONTRATADA deverá encaminhar à unidade administrativa responsável pela gestão do contrato, a fatura do fornecimento de água e esgoto correspondente à leitura do período de consumo abrangido, com o respectivo preço e com prazo de pagamento não inferior a 10 (dez) dias úteis contados a partir de sua apresentação. </w:t>
      </w:r>
    </w:p>
    <w:p>
      <w:pPr>
        <w:pStyle w:val="Normal"/>
        <w:spacing w:lineRule="auto" w:line="240" w:before="0" w:after="113"/>
        <w:jc w:val="both"/>
        <w:rPr>
          <w:sz w:val="22"/>
          <w:szCs w:val="22"/>
        </w:rPr>
      </w:pPr>
      <w:r>
        <w:rPr>
          <w:rFonts w:cs="Arial" w:ascii="Arial" w:hAnsi="Arial"/>
          <w:sz w:val="22"/>
          <w:szCs w:val="22"/>
        </w:rPr>
        <w:t>Na ocorrência de rejeição da Nota Fiscal/Fatura, motivada por erro ou incorreções, o prazo para pagamento estipulado no item acima passará a ser contado a partir da data da sua reapresentação.</w:t>
      </w:r>
    </w:p>
    <w:p>
      <w:pPr>
        <w:pStyle w:val="Normal"/>
        <w:spacing w:lineRule="auto" w:line="240" w:before="0" w:after="0"/>
        <w:jc w:val="both"/>
        <w:rPr>
          <w:sz w:val="22"/>
          <w:szCs w:val="22"/>
        </w:rPr>
      </w:pPr>
      <w:r>
        <w:rPr>
          <w:rFonts w:cs="Arial" w:ascii="Arial" w:hAnsi="Arial"/>
          <w:sz w:val="22"/>
          <w:szCs w:val="22"/>
        </w:rPr>
        <w:t xml:space="preserve">Para efeito de pagamento, junto com o Recibo, deverá ser anexado: </w:t>
      </w:r>
    </w:p>
    <w:p>
      <w:pPr>
        <w:pStyle w:val="Normal"/>
        <w:spacing w:lineRule="auto" w:line="240" w:before="0" w:after="0"/>
        <w:jc w:val="both"/>
        <w:rPr>
          <w:sz w:val="22"/>
          <w:szCs w:val="22"/>
        </w:rPr>
      </w:pPr>
      <w:r>
        <w:rPr>
          <w:rFonts w:cs="Arial" w:ascii="Arial" w:hAnsi="Arial"/>
          <w:sz w:val="22"/>
          <w:szCs w:val="22"/>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pPr>
        <w:pStyle w:val="Normal"/>
        <w:spacing w:lineRule="auto" w:line="240" w:before="0" w:after="0"/>
        <w:jc w:val="both"/>
        <w:rPr>
          <w:sz w:val="22"/>
          <w:szCs w:val="22"/>
        </w:rPr>
      </w:pPr>
      <w:r>
        <w:rPr>
          <w:rFonts w:cs="Arial" w:ascii="Arial" w:hAnsi="Arial"/>
          <w:sz w:val="22"/>
          <w:szCs w:val="22"/>
        </w:rPr>
        <w:t xml:space="preserve">II - Certificado de Regularidade do Fundo de Garantia por Tempo de Serviço – FGTS, fornecido pela CEF – Caixa Econômica Federal, devidamente atualizado (Lei n.º 8.036/90); </w:t>
      </w:r>
    </w:p>
    <w:p>
      <w:pPr>
        <w:pStyle w:val="Normal"/>
        <w:spacing w:lineRule="auto" w:line="240" w:before="0" w:after="0"/>
        <w:jc w:val="both"/>
        <w:rPr>
          <w:sz w:val="22"/>
          <w:szCs w:val="22"/>
        </w:rPr>
      </w:pPr>
      <w:r>
        <w:rPr>
          <w:rFonts w:cs="Arial" w:ascii="Arial" w:hAnsi="Arial"/>
          <w:sz w:val="22"/>
          <w:szCs w:val="22"/>
        </w:rPr>
        <w:t xml:space="preserve">III - Certidão de Regularidade com a Fazenda do Estado; </w:t>
      </w:r>
    </w:p>
    <w:p>
      <w:pPr>
        <w:pStyle w:val="Normal"/>
        <w:spacing w:lineRule="auto" w:line="240" w:before="0" w:after="0"/>
        <w:jc w:val="both"/>
        <w:rPr>
          <w:sz w:val="22"/>
          <w:szCs w:val="22"/>
        </w:rPr>
      </w:pPr>
      <w:r>
        <w:rPr>
          <w:rFonts w:cs="Arial" w:ascii="Arial" w:hAnsi="Arial"/>
          <w:sz w:val="22"/>
          <w:szCs w:val="22"/>
        </w:rPr>
        <w:t xml:space="preserve">IV - Prova de regularidade com a Fazenda Federal por meio de Certidão Conjunto de débitos relativo aos tributos federais e a Dívida Ativa da União, expedida pelo Ministério da Fazenda/Secretaria da Receita Federal do Brasil; </w:t>
      </w:r>
    </w:p>
    <w:p>
      <w:pPr>
        <w:pStyle w:val="Normal"/>
        <w:spacing w:lineRule="auto" w:line="240" w:before="0" w:after="113"/>
        <w:jc w:val="both"/>
        <w:rPr>
          <w:sz w:val="22"/>
          <w:szCs w:val="22"/>
        </w:rPr>
      </w:pPr>
      <w:r>
        <w:rPr>
          <w:rFonts w:cs="Arial" w:ascii="Arial" w:hAnsi="Arial"/>
          <w:sz w:val="22"/>
          <w:szCs w:val="22"/>
        </w:rPr>
        <w:t>V - Prova de regularidade relativa a débitos inadimplidos perante a Justiça do Trabalho, mediante a apresentação de certidão negativa ou positiva com efeito de negativa que poderá ser obtida no site www.tst.jus.br/certidão.</w:t>
      </w:r>
    </w:p>
    <w:p>
      <w:pPr>
        <w:pStyle w:val="ListParagraph"/>
        <w:numPr>
          <w:ilvl w:val="1"/>
          <w:numId w:val="3"/>
        </w:numPr>
        <w:spacing w:lineRule="auto" w:line="240" w:before="0" w:after="113"/>
        <w:ind w:hanging="0" w:left="0"/>
        <w:contextualSpacing w:val="false"/>
        <w:jc w:val="both"/>
        <w:rPr>
          <w:sz w:val="22"/>
          <w:szCs w:val="22"/>
        </w:rPr>
      </w:pPr>
      <w:r>
        <w:rPr>
          <w:rFonts w:cs="Arial" w:ascii="Arial" w:hAnsi="Arial"/>
          <w:b/>
          <w:sz w:val="22"/>
          <w:szCs w:val="22"/>
        </w:rPr>
        <w:t>DA ANTECIPAÇÃO DO PAGAMENTO</w:t>
      </w:r>
    </w:p>
    <w:p>
      <w:pPr>
        <w:pStyle w:val="ListParagraph"/>
        <w:numPr>
          <w:ilvl w:val="2"/>
          <w:numId w:val="3"/>
        </w:numPr>
        <w:spacing w:lineRule="auto" w:line="240" w:before="0" w:after="0"/>
        <w:ind w:hanging="0" w:left="0"/>
        <w:contextualSpacing/>
        <w:jc w:val="both"/>
        <w:rPr>
          <w:sz w:val="22"/>
          <w:szCs w:val="22"/>
        </w:rPr>
      </w:pPr>
      <w:r>
        <w:rPr>
          <w:rFonts w:cs="Arial" w:ascii="Arial" w:hAnsi="Arial"/>
          <w:i/>
          <w:sz w:val="22"/>
          <w:szCs w:val="22"/>
        </w:rPr>
        <w:t>Não se aplica a presente contratação.</w:t>
      </w:r>
    </w:p>
    <w:p>
      <w:pPr>
        <w:pStyle w:val="Normal"/>
        <w:spacing w:lineRule="auto" w:line="240" w:before="0" w:after="0"/>
        <w:rPr>
          <w:rFonts w:ascii="Arial" w:hAnsi="Arial" w:cs="Arial"/>
          <w:sz w:val="22"/>
          <w:szCs w:val="22"/>
        </w:rPr>
      </w:pPr>
      <w:r>
        <w:rPr>
          <w:rFonts w:cs="Arial" w:ascii="Arial" w:hAnsi="Arial"/>
          <w:sz w:val="22"/>
          <w:szCs w:val="22"/>
        </w:rPr>
      </w:r>
    </w:p>
    <w:p>
      <w:pPr>
        <w:pStyle w:val="ListParagraph"/>
        <w:numPr>
          <w:ilvl w:val="0"/>
          <w:numId w:val="3"/>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DA FORMA E CRITÉRIOS DE SELEÇÃO DO FORNECEDOR</w:t>
      </w:r>
    </w:p>
    <w:p>
      <w:pPr>
        <w:pStyle w:val="ListParagraph"/>
        <w:numPr>
          <w:ilvl w:val="1"/>
          <w:numId w:val="3"/>
        </w:numPr>
        <w:spacing w:lineRule="auto" w:line="240" w:before="0" w:after="0"/>
        <w:ind w:hanging="0" w:left="0"/>
        <w:contextualSpacing/>
        <w:jc w:val="both"/>
        <w:rPr>
          <w:sz w:val="22"/>
          <w:szCs w:val="22"/>
        </w:rPr>
      </w:pPr>
      <w:r>
        <w:rPr>
          <w:rFonts w:cs="Arial" w:ascii="Arial" w:hAnsi="Arial"/>
          <w:i/>
          <w:sz w:val="22"/>
          <w:szCs w:val="22"/>
        </w:rPr>
        <w:t>Não se aplica a presente contratação.</w:t>
      </w:r>
    </w:p>
    <w:p>
      <w:pPr>
        <w:pStyle w:val="Normal"/>
        <w:spacing w:lineRule="auto" w:line="240" w:before="0" w:after="0"/>
        <w:rPr>
          <w:rFonts w:ascii="Arial" w:hAnsi="Arial" w:cs="Arial"/>
          <w:sz w:val="22"/>
          <w:szCs w:val="22"/>
        </w:rPr>
      </w:pPr>
      <w:r>
        <w:rPr>
          <w:rFonts w:cs="Arial" w:ascii="Arial" w:hAnsi="Arial"/>
          <w:sz w:val="22"/>
          <w:szCs w:val="22"/>
        </w:rPr>
      </w:r>
    </w:p>
    <w:p>
      <w:pPr>
        <w:pStyle w:val="ListParagraph"/>
        <w:numPr>
          <w:ilvl w:val="0"/>
          <w:numId w:val="3"/>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DO VALOR MÁXIMO E DOS RECURSOS ORÇAMENTÁRIOS</w:t>
      </w:r>
    </w:p>
    <w:p>
      <w:pPr>
        <w:pStyle w:val="ListParagraph"/>
        <w:widowControl/>
        <w:numPr>
          <w:ilvl w:val="1"/>
          <w:numId w:val="3"/>
        </w:numPr>
        <w:shd w:val="clear" w:color="auto" w:fill="F2F2F2" w:themeFill="background1" w:themeFillShade="f2"/>
        <w:suppressAutoHyphens w:val="true"/>
        <w:bidi w:val="0"/>
        <w:spacing w:lineRule="auto" w:line="240" w:before="0" w:after="57"/>
        <w:ind w:hanging="0" w:left="0" w:right="0"/>
        <w:contextualSpacing w:val="false"/>
        <w:jc w:val="both"/>
        <w:rPr>
          <w:sz w:val="22"/>
          <w:szCs w:val="22"/>
        </w:rPr>
      </w:pPr>
      <w:r>
        <w:rPr>
          <w:rFonts w:cs="Arial" w:ascii="Arial" w:hAnsi="Arial"/>
          <w:b/>
          <w:sz w:val="22"/>
          <w:szCs w:val="22"/>
        </w:rPr>
        <w:t>DO VALOR ESTIMADO</w:t>
      </w:r>
    </w:p>
    <w:p>
      <w:pPr>
        <w:pStyle w:val="ListParagraph"/>
        <w:numPr>
          <w:ilvl w:val="2"/>
          <w:numId w:val="3"/>
        </w:numPr>
        <w:spacing w:lineRule="auto" w:line="240" w:before="0" w:after="0"/>
        <w:ind w:hanging="0" w:left="0"/>
        <w:contextualSpacing/>
        <w:jc w:val="both"/>
        <w:rPr>
          <w:sz w:val="22"/>
          <w:szCs w:val="22"/>
        </w:rPr>
      </w:pPr>
      <w:r>
        <w:rPr>
          <w:rFonts w:cs="Arial" w:ascii="Arial" w:hAnsi="Arial"/>
          <w:color w:val="000000"/>
          <w:sz w:val="22"/>
          <w:szCs w:val="22"/>
          <w:shd w:fill="auto" w:val="clear"/>
        </w:rPr>
        <w:t xml:space="preserve">O </w:t>
      </w:r>
      <w:r>
        <w:rPr>
          <w:rFonts w:cs="Arial" w:ascii="Arial" w:hAnsi="Arial"/>
          <w:b/>
          <w:color w:val="000000"/>
          <w:sz w:val="22"/>
          <w:szCs w:val="22"/>
          <w:shd w:fill="auto" w:val="clear"/>
        </w:rPr>
        <w:t>valor estimado</w:t>
      </w:r>
      <w:r>
        <w:rPr>
          <w:rFonts w:cs="Arial" w:ascii="Arial" w:hAnsi="Arial"/>
          <w:color w:val="000000"/>
          <w:sz w:val="22"/>
          <w:szCs w:val="22"/>
          <w:shd w:fill="auto" w:val="clear"/>
        </w:rPr>
        <w:t xml:space="preserve"> para custeio das despesas com o consumo de água pelas unidades relativas à Secretaria de Administração, no exercício de 2025, </w:t>
      </w:r>
      <w:r>
        <w:rPr>
          <w:rFonts w:cs="Arial" w:ascii="Arial" w:hAnsi="Arial"/>
          <w:b/>
          <w:color w:val="000000"/>
          <w:sz w:val="22"/>
          <w:szCs w:val="22"/>
          <w:shd w:fill="auto" w:val="clear"/>
        </w:rPr>
        <w:t>é de R$15.000,00 (quinze mil reais).</w:t>
      </w:r>
    </w:p>
    <w:p>
      <w:pPr>
        <w:pStyle w:val="Normal"/>
        <w:spacing w:lineRule="auto" w:line="240" w:before="0" w:after="0"/>
        <w:jc w:val="both"/>
        <w:rPr>
          <w:rFonts w:ascii="Arial" w:hAnsi="Arial" w:cs="Arial"/>
          <w:color w:val="000000"/>
          <w:sz w:val="22"/>
          <w:szCs w:val="22"/>
        </w:rPr>
      </w:pPr>
      <w:r>
        <w:rPr>
          <w:rFonts w:cs="Arial" w:ascii="Arial" w:hAnsi="Arial"/>
          <w:color w:val="000000"/>
          <w:sz w:val="22"/>
          <w:szCs w:val="22"/>
        </w:rPr>
      </w:r>
    </w:p>
    <w:p>
      <w:pPr>
        <w:pStyle w:val="ListParagraph"/>
        <w:numPr>
          <w:ilvl w:val="1"/>
          <w:numId w:val="3"/>
        </w:numPr>
        <w:shd w:val="clear" w:color="auto" w:fill="F2F2F2" w:themeFill="background1" w:themeFillShade="f2"/>
        <w:spacing w:lineRule="auto" w:line="240" w:before="0" w:after="113"/>
        <w:ind w:hanging="0" w:left="0"/>
        <w:contextualSpacing w:val="false"/>
        <w:jc w:val="both"/>
        <w:rPr>
          <w:sz w:val="22"/>
          <w:szCs w:val="22"/>
        </w:rPr>
      </w:pPr>
      <w:r>
        <w:rPr>
          <w:rFonts w:cs="Arial" w:ascii="Arial" w:hAnsi="Arial"/>
          <w:b/>
          <w:sz w:val="22"/>
          <w:szCs w:val="22"/>
        </w:rPr>
        <w:t>DOS RECURSOS ORÇAMENTÁRIOS</w:t>
      </w:r>
    </w:p>
    <w:p>
      <w:pPr>
        <w:pStyle w:val="ListParagraph"/>
        <w:numPr>
          <w:ilvl w:val="2"/>
          <w:numId w:val="3"/>
        </w:numPr>
        <w:spacing w:lineRule="auto" w:line="240" w:before="0" w:after="113"/>
        <w:ind w:hanging="0" w:left="0"/>
        <w:contextualSpacing w:val="false"/>
        <w:jc w:val="both"/>
        <w:rPr/>
      </w:pPr>
      <w:r>
        <w:rPr>
          <w:rFonts w:cs="Arial" w:ascii="Arial" w:hAnsi="Arial"/>
          <w:color w:val="000000"/>
          <w:sz w:val="22"/>
          <w:szCs w:val="22"/>
          <w:shd w:fill="auto" w:val="clear"/>
        </w:rPr>
        <w:t xml:space="preserve">Para fins de cumprimento dos requisitos operacionais inerentes ao atendimento da realização do Empenho por estimativa, as despesas decorrentes do custeio em questão correrão por conta da dotação orçamentária consignada na </w:t>
      </w:r>
      <w:r>
        <w:rPr>
          <w:rFonts w:cs="Arial" w:ascii="Arial" w:hAnsi="Arial"/>
          <w:b/>
          <w:color w:val="000000"/>
          <w:sz w:val="22"/>
          <w:szCs w:val="22"/>
          <w:shd w:fill="auto" w:val="clear"/>
        </w:rPr>
        <w:t>Lei Orçamentária Anual (LOA) vinculada para o exercício financeiro de 2025</w:t>
      </w:r>
      <w:r>
        <w:rPr>
          <w:rFonts w:cs="Arial" w:ascii="Arial" w:hAnsi="Arial"/>
          <w:color w:val="000000"/>
          <w:sz w:val="22"/>
          <w:szCs w:val="22"/>
          <w:shd w:fill="auto" w:val="clear"/>
        </w:rPr>
        <w:t>, a qual será informada pelo requerente, após a aprovação da respectiva Lei.</w:t>
      </w:r>
    </w:p>
    <w:tbl>
      <w:tblPr>
        <w:tblStyle w:val="Tabelacomgrade"/>
        <w:tblW w:w="8954"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6960"/>
        <w:gridCol w:w="1993"/>
      </w:tblGrid>
      <w:tr>
        <w:trPr>
          <w:trHeight w:val="567" w:hRule="atLeast"/>
        </w:trPr>
        <w:tc>
          <w:tcPr>
            <w:tcW w:w="8953" w:type="dxa"/>
            <w:gridSpan w:val="2"/>
            <w:tcBorders/>
            <w:shd w:color="auto" w:fill="D9D9D9" w:themeFill="background1" w:themeFillShade="d9" w:val="clear"/>
            <w:vAlign w:val="center"/>
          </w:tcPr>
          <w:p>
            <w:pPr>
              <w:pStyle w:val="Normal"/>
              <w:widowControl w:val="false"/>
              <w:suppressAutoHyphens w:val="true"/>
              <w:spacing w:lineRule="auto" w:line="240" w:before="0" w:after="0"/>
              <w:jc w:val="center"/>
              <w:rPr>
                <w:sz w:val="22"/>
                <w:szCs w:val="22"/>
              </w:rPr>
            </w:pPr>
            <w:r>
              <w:rPr>
                <w:rFonts w:eastAsia="Calibri" w:cs="Arial" w:ascii="Arial" w:hAnsi="Arial"/>
                <w:b/>
                <w:color w:val="000000"/>
                <w:kern w:val="0"/>
                <w:sz w:val="22"/>
                <w:szCs w:val="22"/>
                <w:lang w:val="pt-BR" w:bidi="ar-SA"/>
              </w:rPr>
              <w:t>GESTÃO DAS ATIVIDADES DA SECRETARIA DE ADMINISTRAÇÃO</w:t>
            </w:r>
          </w:p>
          <w:p>
            <w:pPr>
              <w:pStyle w:val="Normal"/>
              <w:widowControl w:val="false"/>
              <w:suppressAutoHyphens w:val="true"/>
              <w:spacing w:lineRule="auto" w:line="240" w:before="0" w:after="0"/>
              <w:jc w:val="center"/>
              <w:rPr>
                <w:sz w:val="22"/>
                <w:szCs w:val="22"/>
              </w:rPr>
            </w:pPr>
            <w:r>
              <w:rPr>
                <w:rFonts w:eastAsia="Calibri" w:ascii="Arial" w:hAnsi="Arial"/>
                <w:color w:val="000000"/>
                <w:kern w:val="0"/>
                <w:sz w:val="22"/>
                <w:szCs w:val="22"/>
                <w:lang w:val="pt-BR" w:bidi="ar-SA"/>
              </w:rPr>
              <w:t>Outros Serviços de Terceiros – Pessoa Jurídica</w:t>
            </w:r>
          </w:p>
        </w:tc>
      </w:tr>
      <w:tr>
        <w:trPr>
          <w:trHeight w:val="340" w:hRule="atLeast"/>
        </w:trPr>
        <w:tc>
          <w:tcPr>
            <w:tcW w:w="6960" w:type="dxa"/>
            <w:tcBorders/>
            <w:shd w:color="auto" w:fill="FFFFFF" w:themeFill="background1" w:val="clear"/>
            <w:vAlign w:val="center"/>
          </w:tcPr>
          <w:p>
            <w:pPr>
              <w:pStyle w:val="Normal"/>
              <w:widowControl w:val="false"/>
              <w:spacing w:lineRule="auto" w:line="360" w:before="0" w:after="0"/>
              <w:jc w:val="center"/>
              <w:rPr>
                <w:sz w:val="22"/>
                <w:szCs w:val="22"/>
              </w:rPr>
            </w:pPr>
            <w:r>
              <w:rPr>
                <w:rFonts w:eastAsia="Calibri" w:ascii="Arial" w:hAnsi="Arial"/>
                <w:color w:val="000000"/>
                <w:kern w:val="0"/>
                <w:sz w:val="22"/>
                <w:szCs w:val="22"/>
                <w:lang w:val="pt-BR" w:bidi="ar-SA"/>
              </w:rPr>
              <w:t>0301.0412200042.004 – 33903900000 – FR 1500 – F 037</w:t>
            </w:r>
          </w:p>
        </w:tc>
        <w:tc>
          <w:tcPr>
            <w:tcW w:w="1993" w:type="dxa"/>
            <w:tcBorders/>
            <w:vAlign w:val="center"/>
          </w:tcPr>
          <w:p>
            <w:pPr>
              <w:pStyle w:val="Normal"/>
              <w:widowControl w:val="false"/>
              <w:suppressAutoHyphens w:val="true"/>
              <w:spacing w:lineRule="auto" w:line="240" w:before="0" w:after="0"/>
              <w:jc w:val="center"/>
              <w:rPr>
                <w:sz w:val="22"/>
                <w:szCs w:val="22"/>
              </w:rPr>
            </w:pPr>
            <w:r>
              <w:rPr>
                <w:rFonts w:cs="Arial" w:ascii="Arial" w:hAnsi="Arial"/>
                <w:b/>
                <w:color w:val="000000"/>
                <w:sz w:val="22"/>
                <w:szCs w:val="22"/>
                <w:shd w:fill="auto" w:val="clear"/>
              </w:rPr>
              <w:t>R$ 15.000,00</w:t>
            </w:r>
          </w:p>
        </w:tc>
      </w:tr>
    </w:tbl>
    <w:p>
      <w:pPr>
        <w:pStyle w:val="Normal"/>
        <w:spacing w:lineRule="auto" w:line="240" w:before="0" w:after="0"/>
        <w:jc w:val="both"/>
        <w:rPr>
          <w:rFonts w:ascii="Arial" w:hAnsi="Arial" w:cs="Arial"/>
          <w:sz w:val="22"/>
          <w:szCs w:val="22"/>
        </w:rPr>
      </w:pPr>
      <w:r>
        <w:rPr>
          <w:rFonts w:cs="Arial" w:ascii="Arial" w:hAnsi="Arial"/>
          <w:sz w:val="22"/>
          <w:szCs w:val="22"/>
        </w:rPr>
      </w:r>
    </w:p>
    <w:p>
      <w:pPr>
        <w:pStyle w:val="ListParagraph"/>
        <w:numPr>
          <w:ilvl w:val="0"/>
          <w:numId w:val="3"/>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DAS SANÇÕES E PENALIDADES</w:t>
      </w:r>
    </w:p>
    <w:p>
      <w:pPr>
        <w:pStyle w:val="ListParagraph"/>
        <w:widowControl/>
        <w:numPr>
          <w:ilvl w:val="1"/>
          <w:numId w:val="3"/>
        </w:numPr>
        <w:suppressAutoHyphens w:val="true"/>
        <w:bidi w:val="0"/>
        <w:spacing w:lineRule="auto" w:line="240" w:before="0" w:after="0"/>
        <w:ind w:hanging="0" w:left="0" w:right="0"/>
        <w:contextualSpacing/>
        <w:jc w:val="both"/>
        <w:rPr>
          <w:sz w:val="22"/>
          <w:szCs w:val="22"/>
        </w:rPr>
      </w:pPr>
      <w:r>
        <w:rPr>
          <w:rFonts w:cs="Arial" w:ascii="Arial" w:hAnsi="Arial"/>
          <w:bCs/>
          <w:color w:val="000000"/>
          <w:sz w:val="22"/>
          <w:szCs w:val="22"/>
        </w:rPr>
        <w:t>Serão aplicadas as infrações administrativas disciplinadas na Lei Federal nº 14.133/2021, na forma de regulamento municipal.</w:t>
      </w:r>
    </w:p>
    <w:p>
      <w:pPr>
        <w:pStyle w:val="ListParagraph"/>
        <w:rPr>
          <w:rFonts w:ascii="Arial" w:hAnsi="Arial" w:cs="Arial"/>
          <w:bCs/>
          <w:color w:val="000000"/>
          <w:sz w:val="22"/>
          <w:szCs w:val="22"/>
        </w:rPr>
      </w:pPr>
      <w:r>
        <w:rPr>
          <w:rFonts w:cs="Arial" w:ascii="Arial" w:hAnsi="Arial"/>
          <w:bCs/>
          <w:color w:val="000000"/>
          <w:sz w:val="22"/>
          <w:szCs w:val="22"/>
        </w:rPr>
      </w:r>
    </w:p>
    <w:p>
      <w:pPr>
        <w:pStyle w:val="ListParagraph"/>
        <w:spacing w:lineRule="auto" w:line="240" w:before="0" w:after="0"/>
        <w:ind w:hanging="0" w:left="585"/>
        <w:contextualSpacing/>
        <w:jc w:val="both"/>
        <w:rPr>
          <w:rFonts w:ascii="Arial" w:hAnsi="Arial" w:cs="Arial"/>
          <w:bCs/>
          <w:color w:val="000000"/>
          <w:sz w:val="22"/>
          <w:szCs w:val="22"/>
        </w:rPr>
      </w:pPr>
      <w:r>
        <w:rPr>
          <w:rFonts w:cs="Arial" w:ascii="Arial" w:hAnsi="Arial"/>
          <w:bCs/>
          <w:color w:val="000000"/>
          <w:sz w:val="22"/>
          <w:szCs w:val="22"/>
        </w:rPr>
      </w:r>
    </w:p>
    <w:p>
      <w:pPr>
        <w:pStyle w:val="ListParagraph"/>
        <w:numPr>
          <w:ilvl w:val="0"/>
          <w:numId w:val="3"/>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DA QUALIFICAÇÃO TÉCNICA</w:t>
      </w:r>
    </w:p>
    <w:p>
      <w:pPr>
        <w:pStyle w:val="ListParagraph"/>
        <w:numPr>
          <w:ilvl w:val="1"/>
          <w:numId w:val="3"/>
        </w:numPr>
        <w:spacing w:lineRule="auto" w:line="240" w:before="0" w:after="0"/>
        <w:ind w:hanging="0" w:left="0"/>
        <w:contextualSpacing/>
        <w:jc w:val="both"/>
        <w:rPr>
          <w:sz w:val="22"/>
          <w:szCs w:val="22"/>
        </w:rPr>
      </w:pPr>
      <w:r>
        <w:rPr>
          <w:rFonts w:cs="Arial" w:ascii="Arial" w:hAnsi="Arial"/>
          <w:i/>
          <w:sz w:val="22"/>
          <w:szCs w:val="22"/>
        </w:rPr>
        <w:t>Não se aplica a presente contratação.</w:t>
      </w:r>
    </w:p>
    <w:p>
      <w:pPr>
        <w:pStyle w:val="Normal"/>
        <w:spacing w:lineRule="auto" w:line="240" w:before="0" w:after="0"/>
        <w:jc w:val="both"/>
        <w:rPr>
          <w:rFonts w:ascii="Arial" w:hAnsi="Arial" w:cs="Arial"/>
          <w:sz w:val="22"/>
          <w:szCs w:val="22"/>
        </w:rPr>
      </w:pPr>
      <w:r>
        <w:rPr>
          <w:rFonts w:cs="Arial" w:ascii="Arial" w:hAnsi="Arial"/>
          <w:sz w:val="22"/>
          <w:szCs w:val="22"/>
        </w:rPr>
      </w:r>
    </w:p>
    <w:p>
      <w:pPr>
        <w:pStyle w:val="ListParagraph"/>
        <w:numPr>
          <w:ilvl w:val="0"/>
          <w:numId w:val="3"/>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DA UNIDADE REQUISITANTE</w:t>
      </w:r>
    </w:p>
    <w:p>
      <w:pPr>
        <w:pStyle w:val="ListParagraph"/>
        <w:numPr>
          <w:ilvl w:val="1"/>
          <w:numId w:val="3"/>
        </w:numPr>
        <w:spacing w:lineRule="auto" w:line="240" w:before="0" w:after="0"/>
        <w:ind w:hanging="0" w:left="0"/>
        <w:contextualSpacing/>
        <w:jc w:val="both"/>
        <w:rPr>
          <w:sz w:val="22"/>
          <w:szCs w:val="22"/>
        </w:rPr>
      </w:pPr>
      <w:r>
        <w:rPr>
          <w:rFonts w:cs="Arial" w:ascii="Arial" w:hAnsi="Arial"/>
          <w:sz w:val="22"/>
          <w:szCs w:val="22"/>
        </w:rPr>
        <w:t xml:space="preserve">Constitui unidade requisitante da presente demanda a </w:t>
      </w:r>
      <w:r>
        <w:rPr>
          <w:rFonts w:cs="Arial" w:ascii="Arial" w:hAnsi="Arial"/>
          <w:b/>
          <w:sz w:val="22"/>
          <w:szCs w:val="22"/>
        </w:rPr>
        <w:t>Secretaria Municipal de Administração.</w:t>
      </w:r>
    </w:p>
    <w:p>
      <w:pPr>
        <w:pStyle w:val="Normal"/>
        <w:spacing w:lineRule="auto" w:line="240" w:before="0" w:after="0"/>
        <w:rPr>
          <w:rFonts w:ascii="Arial" w:hAnsi="Arial" w:cs="Arial"/>
          <w:sz w:val="22"/>
          <w:szCs w:val="22"/>
        </w:rPr>
      </w:pPr>
      <w:r>
        <w:rPr>
          <w:rFonts w:cs="Arial" w:ascii="Arial" w:hAnsi="Arial"/>
          <w:sz w:val="22"/>
          <w:szCs w:val="22"/>
        </w:rPr>
      </w:r>
    </w:p>
    <w:p>
      <w:pPr>
        <w:pStyle w:val="ListParagraph"/>
        <w:numPr>
          <w:ilvl w:val="0"/>
          <w:numId w:val="3"/>
        </w:numPr>
        <w:shd w:val="clear" w:color="auto" w:fill="D9D9D9" w:themeFill="background1" w:themeFillShade="d9"/>
        <w:spacing w:lineRule="auto" w:line="240" w:before="0" w:after="113"/>
        <w:ind w:hanging="0" w:left="0"/>
        <w:contextualSpacing w:val="false"/>
        <w:rPr>
          <w:sz w:val="22"/>
          <w:szCs w:val="22"/>
        </w:rPr>
      </w:pPr>
      <w:r>
        <w:rPr>
          <w:rFonts w:cs="Arial" w:ascii="Arial" w:hAnsi="Arial"/>
          <w:b/>
          <w:sz w:val="22"/>
          <w:szCs w:val="22"/>
        </w:rPr>
        <w:t>DO RESPONSÁVEL PELA ELABORAÇÃO DO TERMO DE REFERÊNCIA</w:t>
      </w:r>
    </w:p>
    <w:p>
      <w:pPr>
        <w:pStyle w:val="ListParagraph"/>
        <w:numPr>
          <w:ilvl w:val="1"/>
          <w:numId w:val="3"/>
        </w:numPr>
        <w:spacing w:lineRule="auto" w:line="240" w:before="0" w:after="0"/>
        <w:ind w:hanging="0" w:left="0"/>
        <w:contextualSpacing/>
        <w:jc w:val="both"/>
        <w:rPr>
          <w:sz w:val="22"/>
          <w:szCs w:val="22"/>
        </w:rPr>
      </w:pPr>
      <w:r>
        <w:rPr>
          <w:rFonts w:cs="Arial" w:ascii="Arial" w:hAnsi="Arial"/>
          <w:b/>
          <w:sz w:val="22"/>
          <w:szCs w:val="22"/>
        </w:rPr>
        <w:t>Gestor da Unidade Requisitante:</w:t>
      </w:r>
      <w:r>
        <w:rPr>
          <w:rFonts w:cs="Arial" w:ascii="Arial" w:hAnsi="Arial"/>
          <w:sz w:val="22"/>
          <w:szCs w:val="22"/>
        </w:rPr>
        <w:t xml:space="preserve"> NAYANE ALLINE DA SILVA MALAVASI.</w:t>
      </w:r>
    </w:p>
    <w:p>
      <w:pPr>
        <w:pStyle w:val="NormalWeb"/>
        <w:spacing w:beforeAutospacing="0" w:before="0" w:afterAutospacing="0" w:after="0"/>
        <w:jc w:val="both"/>
        <w:rPr>
          <w:rFonts w:ascii="Arial" w:hAnsi="Arial" w:cs="Arial"/>
          <w:sz w:val="22"/>
          <w:szCs w:val="22"/>
          <w:highlight w:val="lightGray"/>
        </w:rPr>
      </w:pPr>
      <w:r>
        <w:rPr>
          <w:rFonts w:cs="Arial" w:ascii="Arial" w:hAnsi="Arial"/>
          <w:sz w:val="22"/>
          <w:szCs w:val="22"/>
          <w:highlight w:val="lightGray"/>
        </w:rPr>
      </w:r>
    </w:p>
    <w:p>
      <w:pPr>
        <w:pStyle w:val="NormalWeb"/>
        <w:spacing w:beforeAutospacing="0" w:before="0" w:afterAutospacing="0" w:after="0"/>
        <w:jc w:val="right"/>
        <w:rPr>
          <w:sz w:val="22"/>
          <w:szCs w:val="22"/>
        </w:rPr>
      </w:pPr>
      <w:r>
        <w:rPr>
          <w:rFonts w:cs="Arial" w:ascii="Arial" w:hAnsi="Arial"/>
          <w:b/>
          <w:sz w:val="22"/>
          <w:szCs w:val="22"/>
        </w:rPr>
        <w:t>São Roque do Canaã/ES</w:t>
      </w:r>
      <w:r>
        <w:rPr>
          <w:rFonts w:cs="Arial" w:ascii="Arial" w:hAnsi="Arial"/>
          <w:sz w:val="22"/>
          <w:szCs w:val="22"/>
        </w:rPr>
        <w:t xml:space="preserve">, </w:t>
      </w:r>
      <w:r>
        <w:rPr>
          <w:rFonts w:cs="Arial" w:ascii="Arial" w:hAnsi="Arial"/>
          <w:sz w:val="22"/>
          <w:szCs w:val="22"/>
        </w:rPr>
        <w:t>0</w:t>
      </w:r>
      <w:r>
        <w:rPr>
          <w:rFonts w:cs="Arial" w:ascii="Arial" w:hAnsi="Arial"/>
          <w:sz w:val="22"/>
          <w:szCs w:val="22"/>
          <w:shd w:fill="auto" w:val="clear"/>
        </w:rPr>
        <w:t xml:space="preserve">6 de </w:t>
      </w:r>
      <w:r>
        <w:rPr>
          <w:rFonts w:cs="Arial" w:ascii="Arial" w:hAnsi="Arial"/>
          <w:sz w:val="22"/>
          <w:szCs w:val="22"/>
          <w:shd w:fill="auto" w:val="clear"/>
        </w:rPr>
        <w:t>Novembr</w:t>
      </w:r>
      <w:r>
        <w:rPr>
          <w:rFonts w:cs="Arial" w:ascii="Arial" w:hAnsi="Arial"/>
          <w:sz w:val="22"/>
          <w:szCs w:val="22"/>
          <w:shd w:fill="auto" w:val="clear"/>
        </w:rPr>
        <w:t>o de 2025.</w:t>
      </w:r>
    </w:p>
    <w:p>
      <w:pPr>
        <w:pStyle w:val="NormalWeb"/>
        <w:spacing w:beforeAutospacing="0" w:before="0" w:afterAutospacing="0" w:after="0"/>
        <w:rPr>
          <w:rFonts w:ascii="Arial" w:hAnsi="Arial" w:cs="Arial"/>
          <w:sz w:val="22"/>
          <w:szCs w:val="22"/>
        </w:rPr>
      </w:pPr>
      <w:r>
        <w:rPr>
          <w:rFonts w:cs="Arial" w:ascii="Arial" w:hAnsi="Arial"/>
          <w:sz w:val="22"/>
          <w:szCs w:val="22"/>
        </w:rPr>
      </w:r>
    </w:p>
    <w:tbl>
      <w:tblPr>
        <w:tblStyle w:val="Tabelacomgrade"/>
        <w:tblW w:w="5000" w:type="pct"/>
        <w:jc w:val="center"/>
        <w:tblInd w:w="0" w:type="dxa"/>
        <w:tblLayout w:type="fixed"/>
        <w:tblCellMar>
          <w:top w:w="0" w:type="dxa"/>
          <w:left w:w="108" w:type="dxa"/>
          <w:bottom w:w="0" w:type="dxa"/>
          <w:right w:w="108" w:type="dxa"/>
        </w:tblCellMar>
        <w:tblLook w:firstRow="1" w:noVBand="1" w:lastRow="0" w:firstColumn="1" w:lastColumn="0" w:noHBand="0" w:val="04a0"/>
      </w:tblPr>
      <w:tblGrid>
        <w:gridCol w:w="9071"/>
      </w:tblGrid>
      <w:tr>
        <w:trPr/>
        <w:tc>
          <w:tcPr>
            <w:tcW w:w="9071" w:type="dxa"/>
            <w:tcBorders>
              <w:top w:val="nil"/>
              <w:left w:val="nil"/>
              <w:bottom w:val="nil"/>
              <w:right w:val="nil"/>
            </w:tcBorders>
          </w:tcPr>
          <w:p>
            <w:pPr>
              <w:pStyle w:val="NormalWeb"/>
              <w:widowControl w:val="false"/>
              <w:suppressAutoHyphens w:val="true"/>
              <w:spacing w:beforeAutospacing="0" w:before="0" w:afterAutospacing="0" w:after="0"/>
              <w:jc w:val="center"/>
              <w:rPr>
                <w:rFonts w:ascii="Arial" w:hAnsi="Arial" w:cs="Arial"/>
                <w:sz w:val="22"/>
                <w:szCs w:val="22"/>
              </w:rPr>
            </w:pPr>
            <w:r>
              <w:rPr>
                <w:rFonts w:cs="Arial" w:ascii="Arial" w:hAnsi="Arial"/>
                <w:sz w:val="22"/>
                <w:szCs w:val="22"/>
              </w:rPr>
            </w:r>
          </w:p>
          <w:p>
            <w:pPr>
              <w:pStyle w:val="NormalWeb"/>
              <w:widowControl w:val="false"/>
              <w:suppressAutoHyphens w:val="true"/>
              <w:spacing w:beforeAutospacing="0" w:before="0" w:afterAutospacing="0" w:after="0"/>
              <w:jc w:val="center"/>
              <w:rPr>
                <w:rFonts w:ascii="Arial" w:hAnsi="Arial" w:cs="Arial"/>
                <w:sz w:val="22"/>
                <w:szCs w:val="22"/>
              </w:rPr>
            </w:pPr>
            <w:r>
              <w:rPr>
                <w:rFonts w:cs="Arial" w:ascii="Arial" w:hAnsi="Arial"/>
                <w:sz w:val="22"/>
                <w:szCs w:val="22"/>
              </w:rPr>
            </w:r>
          </w:p>
          <w:p>
            <w:pPr>
              <w:pStyle w:val="NormalWeb"/>
              <w:widowControl w:val="false"/>
              <w:suppressAutoHyphens w:val="true"/>
              <w:spacing w:beforeAutospacing="0" w:before="0" w:afterAutospacing="0" w:after="0"/>
              <w:jc w:val="center"/>
              <w:rPr>
                <w:rFonts w:ascii="Arial" w:hAnsi="Arial" w:cs="Arial"/>
                <w:sz w:val="22"/>
                <w:szCs w:val="22"/>
              </w:rPr>
            </w:pPr>
            <w:r>
              <w:rPr>
                <w:rFonts w:cs="Arial" w:ascii="Arial" w:hAnsi="Arial"/>
                <w:sz w:val="22"/>
                <w:szCs w:val="22"/>
              </w:rPr>
            </w:r>
          </w:p>
          <w:p>
            <w:pPr>
              <w:pStyle w:val="NormalWeb"/>
              <w:widowControl w:val="false"/>
              <w:suppressAutoHyphens w:val="true"/>
              <w:spacing w:beforeAutospacing="0" w:before="0" w:afterAutospacing="0" w:after="0"/>
              <w:jc w:val="center"/>
              <w:rPr>
                <w:sz w:val="22"/>
                <w:szCs w:val="22"/>
              </w:rPr>
            </w:pPr>
            <w:r>
              <w:rPr>
                <w:rFonts w:cs="Arial" w:ascii="Arial" w:hAnsi="Arial"/>
                <w:b/>
                <w:color w:themeColor="text1" w:val="000000"/>
                <w:kern w:val="0"/>
                <w:sz w:val="22"/>
                <w:szCs w:val="22"/>
                <w:shd w:fill="auto" w:val="clear"/>
                <w:lang w:val="pt-BR" w:bidi="ar-SA"/>
              </w:rPr>
              <w:t>NAYANE ALLINE DA SILVA MALAVASI</w:t>
            </w:r>
          </w:p>
          <w:p>
            <w:pPr>
              <w:pStyle w:val="NormalWeb"/>
              <w:widowControl w:val="false"/>
              <w:suppressAutoHyphens w:val="true"/>
              <w:spacing w:beforeAutospacing="0" w:before="0" w:afterAutospacing="0" w:after="0"/>
              <w:jc w:val="center"/>
              <w:rPr>
                <w:sz w:val="22"/>
                <w:szCs w:val="22"/>
              </w:rPr>
            </w:pPr>
            <w:r>
              <w:rPr>
                <w:rFonts w:cs="Arial" w:ascii="Arial" w:hAnsi="Arial"/>
                <w:color w:themeColor="text1" w:val="000000"/>
                <w:kern w:val="0"/>
                <w:sz w:val="22"/>
                <w:szCs w:val="22"/>
                <w:shd w:fill="auto" w:val="clear"/>
                <w:lang w:val="pt-BR" w:bidi="ar-SA"/>
              </w:rPr>
              <w:t>Secretária Municipal de Administração</w:t>
            </w:r>
          </w:p>
        </w:tc>
      </w:tr>
    </w:tbl>
    <w:p>
      <w:pPr>
        <w:pStyle w:val="NormalWeb"/>
        <w:spacing w:beforeAutospacing="0" w:before="0" w:afterAutospacing="0" w:after="0"/>
        <w:jc w:val="both"/>
        <w:rPr>
          <w:rFonts w:ascii="Arial" w:hAnsi="Arial"/>
          <w:sz w:val="22"/>
          <w:szCs w:val="22"/>
        </w:rPr>
      </w:pPr>
      <w:r>
        <w:rPr>
          <w:rFonts w:ascii="Arial" w:hAnsi="Arial"/>
          <w:sz w:val="22"/>
          <w:szCs w:val="22"/>
        </w:rPr>
      </w:r>
    </w:p>
    <w:sectPr>
      <w:headerReference w:type="default" r:id="rId2"/>
      <w:footerReference w:type="default" r:id="rId3"/>
      <w:type w:val="nextPage"/>
      <w:pgSz w:w="11906" w:h="16838"/>
      <w:pgMar w:left="1701" w:right="1134" w:gutter="0" w:header="555" w:top="2535" w:footer="548" w:bottom="119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Cambria">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13" w:after="0"/>
      <w:jc w:val="center"/>
      <w:rPr>
        <w:rFonts w:ascii="Arial" w:hAnsi="Arial" w:cs="Arial"/>
        <w:sz w:val="20"/>
        <w:szCs w:val="16"/>
      </w:rPr>
    </w:pPr>
    <w:r>
      <w:rPr>
        <w:rFonts w:cs="Arial" w:ascii="Arial" w:hAnsi="Arial"/>
        <w:sz w:val="20"/>
        <w:szCs w:val="16"/>
      </w:rPr>
      <w:t>Rua Lourenço Roldi n.º 88, São Roquinho, São Roque do Canaã/ES, CEP: 29665-000</w:t>
    </w:r>
  </w:p>
  <w:p>
    <w:pPr>
      <w:pStyle w:val="Footer"/>
      <w:jc w:val="center"/>
      <w:rPr/>
    </w:pPr>
    <w:r>
      <w:rPr>
        <w:rFonts w:cs="Arial" w:ascii="Arial" w:hAnsi="Arial"/>
        <w:sz w:val="20"/>
        <w:szCs w:val="16"/>
      </w:rPr>
      <w:t xml:space="preserve">Telefone: (27) 3729-1120 | E-mail: </w:t>
    </w:r>
    <w:hyperlink r:id="rId1">
      <w:r>
        <w:rPr>
          <w:rStyle w:val="Hyperlink"/>
          <w:rFonts w:cs="Arial" w:ascii="Arial" w:hAnsi="Arial"/>
          <w:sz w:val="20"/>
          <w:szCs w:val="16"/>
        </w:rPr>
        <w:t>administracao@saoroquedocanaa.es.gov.br</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166" w:leader="none"/>
        <w:tab w:val="center" w:pos="4252" w:leader="none"/>
        <w:tab w:val="right" w:pos="8504" w:leader="none"/>
      </w:tabs>
      <w:spacing w:lineRule="auto" w:line="276"/>
      <w:jc w:val="center"/>
      <w:rPr>
        <w:rFonts w:ascii="Arial" w:hAnsi="Arial" w:cs="Arial"/>
        <w:b/>
        <w:szCs w:val="16"/>
      </w:rPr>
    </w:pPr>
    <w:r>
      <w:rPr/>
      <w:drawing>
        <wp:inline distT="0" distB="0" distL="0" distR="0">
          <wp:extent cx="647700" cy="65024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47700" cy="650240"/>
                  </a:xfrm>
                  <a:prstGeom prst="rect">
                    <a:avLst/>
                  </a:prstGeom>
                </pic:spPr>
              </pic:pic>
            </a:graphicData>
          </a:graphic>
        </wp:inline>
      </w:drawing>
    </w:r>
  </w:p>
  <w:p>
    <w:pPr>
      <w:pStyle w:val="Header"/>
      <w:tabs>
        <w:tab w:val="left" w:pos="2166" w:leader="none"/>
        <w:tab w:val="center" w:pos="4252" w:leader="none"/>
        <w:tab w:val="right" w:pos="8504" w:leader="none"/>
      </w:tabs>
      <w:jc w:val="center"/>
      <w:rPr>
        <w:sz w:val="24"/>
        <w:szCs w:val="24"/>
      </w:rPr>
    </w:pPr>
    <w:r>
      <w:rPr>
        <w:rFonts w:cs="Arial" w:ascii="Arial" w:hAnsi="Arial"/>
        <w:b/>
        <w:sz w:val="24"/>
        <w:szCs w:val="24"/>
      </w:rPr>
      <w:t>PREFEITURA MUNICIPAL DE SÃO ROQUE DO CANAÃ</w:t>
    </w:r>
  </w:p>
  <w:p>
    <w:pPr>
      <w:pStyle w:val="Subtitle"/>
      <w:rPr>
        <w:rFonts w:ascii="Arial" w:hAnsi="Arial" w:cs="Arial"/>
        <w:sz w:val="22"/>
        <w:szCs w:val="16"/>
      </w:rPr>
    </w:pPr>
    <w:r>
      <w:rPr>
        <w:rFonts w:cs="Arial" w:ascii="Arial" w:hAnsi="Arial"/>
        <w:sz w:val="22"/>
        <w:szCs w:val="16"/>
      </w:rPr>
      <w:t>ESTADO DO ESPÍRITO SANTO</w:t>
    </w:r>
  </w:p>
  <w:p>
    <w:pPr>
      <w:pStyle w:val="Subtitle"/>
      <w:rPr>
        <w:rFonts w:ascii="Arial" w:hAnsi="Arial" w:cs="Arial"/>
        <w:sz w:val="22"/>
        <w:szCs w:val="16"/>
      </w:rPr>
    </w:pPr>
    <w:r>
      <w:rPr>
        <w:rFonts w:cs="Arial" w:ascii="Arial" w:hAnsi="Arial"/>
        <w:sz w:val="22"/>
        <w:szCs w:val="16"/>
      </w:rPr>
      <w:t>SECRETARIA MUNICIPAL DE ADMINISTRAÇÃO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sz w:val="22"/>
        <w:b/>
        <w:szCs w:val="22"/>
        <w:bCs/>
        <w:rFonts w:ascii="Arial" w:hAnsi="Arial"/>
      </w:rPr>
    </w:lvl>
    <w:lvl w:ilvl="1">
      <w:start w:val="1"/>
      <w:numFmt w:val="decimal"/>
      <w:lvlText w:val="%1.%2."/>
      <w:lvlJc w:val="left"/>
      <w:pPr>
        <w:tabs>
          <w:tab w:val="num" w:pos="0"/>
        </w:tabs>
        <w:ind w:left="792" w:hanging="432"/>
      </w:pPr>
      <w:rPr>
        <w:i w:val="false"/>
        <w:b w:val="false"/>
        <w:rFonts w:ascii="Arial" w:hAnsi="Arial" w:cs="Arial"/>
      </w:rPr>
    </w:lvl>
    <w:lvl w:ilvl="2">
      <w:start w:val="1"/>
      <w:numFmt w:val="decimal"/>
      <w:lvlText w:val="%1.%2.%3."/>
      <w:lvlJc w:val="left"/>
      <w:pPr>
        <w:tabs>
          <w:tab w:val="num" w:pos="0"/>
        </w:tabs>
        <w:ind w:left="2631" w:hanging="504"/>
      </w:pPr>
      <w:rPr>
        <w:sz w:val="22"/>
        <w:i w:val="false"/>
        <w:b w:val="false"/>
        <w:szCs w:val="22"/>
        <w:rFonts w:ascii="Arial" w:hAnsi="Arial"/>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upperRoman"/>
      <w:lvlText w:val="%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val="false"/>
        <w:rFonts w:ascii="Arial" w:hAnsi="Arial" w:cs="Arial"/>
      </w:rPr>
    </w:lvl>
    <w:lvl w:ilvl="2">
      <w:start w:val="1"/>
      <w:numFmt w:val="decimal"/>
      <w:lvlText w:val="%1.%2.%3."/>
      <w:lvlJc w:val="left"/>
      <w:pPr>
        <w:tabs>
          <w:tab w:val="num" w:pos="0"/>
        </w:tabs>
        <w:ind w:left="504" w:hanging="504"/>
      </w:pPr>
      <w:rPr>
        <w:sz w:val="22"/>
        <w:b w:val="false"/>
        <w:szCs w:val="22"/>
        <w:rFonts w:ascii="Arial" w:hAnsi="Arial"/>
      </w:rPr>
    </w:lvl>
    <w:lvl w:ilvl="3">
      <w:start w:val="1"/>
      <w:numFmt w:val="decimal"/>
      <w:lvlText w:val="%1.%2.%3.%4."/>
      <w:lvlJc w:val="left"/>
      <w:pPr>
        <w:tabs>
          <w:tab w:val="num" w:pos="0"/>
        </w:tabs>
        <w:ind w:left="1728" w:hanging="648"/>
      </w:pPr>
      <w:rPr>
        <w:b w:val="false"/>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5"/>
      <w:numFmt w:val="decimal"/>
      <w:lvlText w:val="%1."/>
      <w:lvlJc w:val="left"/>
      <w:pPr>
        <w:tabs>
          <w:tab w:val="num" w:pos="0"/>
        </w:tabs>
        <w:ind w:left="585" w:hanging="585"/>
      </w:pPr>
      <w:rPr>
        <w:sz w:val="22"/>
        <w:b/>
        <w:szCs w:val="22"/>
        <w:bCs/>
        <w:rFonts w:ascii="Arial" w:hAnsi="Arial"/>
      </w:rPr>
    </w:lvl>
    <w:lvl w:ilvl="1">
      <w:start w:val="1"/>
      <w:numFmt w:val="decimal"/>
      <w:lvlText w:val="%1.%2."/>
      <w:lvlJc w:val="left"/>
      <w:pPr>
        <w:tabs>
          <w:tab w:val="num" w:pos="0"/>
        </w:tabs>
        <w:ind w:left="720" w:hanging="720"/>
      </w:pPr>
      <w:rPr>
        <w:sz w:val="22"/>
        <w:szCs w:val="22"/>
        <w:rFonts w:ascii="Arial" w:hAnsi="Arial"/>
      </w:rPr>
    </w:lvl>
    <w:lvl w:ilvl="2">
      <w:start w:val="1"/>
      <w:numFmt w:val="decimal"/>
      <w:lvlText w:val="%1.%2.%3."/>
      <w:lvlJc w:val="left"/>
      <w:pPr>
        <w:tabs>
          <w:tab w:val="num" w:pos="0"/>
        </w:tabs>
        <w:ind w:left="720" w:hanging="720"/>
      </w:pPr>
      <w:rPr>
        <w:sz w:val="22"/>
        <w:szCs w:val="22"/>
        <w:rFonts w:ascii="Arial" w:hAnsi="Arial"/>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Heading1">
    <w:name w:val="Heading 1"/>
    <w:basedOn w:val="Normal"/>
    <w:next w:val="Normal"/>
    <w:link w:val="Ttulo1Char"/>
    <w:uiPriority w:val="9"/>
    <w:qFormat/>
    <w:rsid w:val="000a2c0f"/>
    <w:pPr>
      <w:keepNext w:val="true"/>
      <w:keepLines/>
      <w:spacing w:before="480" w:after="0"/>
      <w:outlineLvl w:val="0"/>
    </w:pPr>
    <w:rPr>
      <w:rFonts w:ascii="Calibri Light" w:hAnsi="Calibri Light" w:eastAsia="" w:cs="" w:asciiTheme="majorHAnsi" w:cstheme="majorBidi" w:eastAsiaTheme="majorEastAsia" w:hAnsiTheme="majorHAnsi"/>
      <w:b/>
      <w:bCs/>
      <w:color w:themeColor="accent1" w:themeShade="bf" w:val="2E74B5"/>
      <w:sz w:val="28"/>
      <w:szCs w:val="2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uiPriority w:val="99"/>
    <w:qFormat/>
    <w:rPr/>
  </w:style>
  <w:style w:type="character" w:styleId="TextodebaloChar" w:customStyle="1">
    <w:name w:val="Texto de balão Char"/>
    <w:basedOn w:val="DefaultParagraphFont"/>
    <w:link w:val="BalloonText"/>
    <w:uiPriority w:val="99"/>
    <w:semiHidden/>
    <w:qFormat/>
    <w:rPr>
      <w:rFonts w:ascii="Segoe UI" w:hAnsi="Segoe UI" w:cs="Segoe UI"/>
      <w:sz w:val="18"/>
      <w:szCs w:val="18"/>
    </w:rPr>
  </w:style>
  <w:style w:type="character" w:styleId="Ttulo1Char" w:customStyle="1">
    <w:name w:val="Título 1 Char"/>
    <w:basedOn w:val="DefaultParagraphFont"/>
    <w:uiPriority w:val="9"/>
    <w:qFormat/>
    <w:rsid w:val="000a2c0f"/>
    <w:rPr>
      <w:rFonts w:ascii="Calibri Light" w:hAnsi="Calibri Light" w:eastAsia="" w:cs="" w:asciiTheme="majorHAnsi" w:cstheme="majorBidi" w:eastAsiaTheme="majorEastAsia" w:hAnsiTheme="majorHAnsi"/>
      <w:b/>
      <w:bCs/>
      <w:color w:themeColor="accent1" w:themeShade="bf" w:val="2E74B5"/>
      <w:sz w:val="28"/>
      <w:szCs w:val="28"/>
      <w:lang w:eastAsia="en-US"/>
    </w:rPr>
  </w:style>
  <w:style w:type="character" w:styleId="Hyperlink">
    <w:name w:val="Hyperlink"/>
    <w:basedOn w:val="DefaultParagraphFont"/>
    <w:uiPriority w:val="99"/>
    <w:unhideWhenUsed/>
    <w:rsid w:val="000a2c0f"/>
    <w:rPr>
      <w:color w:themeColor="hyperlink" w:val="0563C1"/>
      <w:u w:val="single"/>
    </w:rPr>
  </w:style>
  <w:style w:type="character" w:styleId="Markedcontent" w:customStyle="1">
    <w:name w:val="markedcontent"/>
    <w:basedOn w:val="DefaultParagraphFont"/>
    <w:qFormat/>
    <w:rsid w:val="000a2c0f"/>
    <w:rPr/>
  </w:style>
  <w:style w:type="character" w:styleId="SubttuloChar" w:customStyle="1">
    <w:name w:val="Subtítulo Char"/>
    <w:basedOn w:val="DefaultParagraphFont"/>
    <w:qFormat/>
    <w:rsid w:val="000b235b"/>
    <w:rPr>
      <w:rFonts w:ascii="Cambria" w:hAnsi="Cambria" w:eastAsia="Times New Roman" w:cs="Times New Roman"/>
      <w:sz w:val="24"/>
    </w:rPr>
  </w:style>
  <w:style w:type="character" w:styleId="PargrafodaListaChar" w:customStyle="1">
    <w:name w:val="Parágrafo da Lista Char"/>
    <w:link w:val="ListParagraph"/>
    <w:qFormat/>
    <w:locked/>
    <w:rsid w:val="006876f3"/>
    <w:rPr>
      <w:sz w:val="22"/>
      <w:szCs w:val="22"/>
      <w:lang w:eastAsia="en-US"/>
    </w:rPr>
  </w:style>
  <w:style w:type="character" w:styleId="Strong">
    <w:name w:val="Strong"/>
    <w:basedOn w:val="DefaultParagraphFont"/>
    <w:uiPriority w:val="22"/>
    <w:qFormat/>
    <w:rsid w:val="00600a63"/>
    <w:rPr>
      <w:b/>
      <w:bCs/>
    </w:rPr>
  </w:style>
  <w:style w:type="character" w:styleId="TtuloChar" w:customStyle="1">
    <w:name w:val="Título Char"/>
    <w:basedOn w:val="DefaultParagraphFont"/>
    <w:qFormat/>
    <w:rsid w:val="000f068c"/>
    <w:rPr>
      <w:rFonts w:ascii="Cambria" w:hAnsi="Cambria" w:eastAsia="Times New Roman" w:cs="Times New Roman"/>
      <w:b/>
      <w:kern w:val="2"/>
      <w:sz w:val="32"/>
    </w:rPr>
  </w:style>
  <w:style w:type="character" w:styleId="Corpodetexto3Char" w:customStyle="1">
    <w:name w:val="Corpo de texto 3 Char"/>
    <w:basedOn w:val="DefaultParagraphFont"/>
    <w:link w:val="BodyText3"/>
    <w:qFormat/>
    <w:rsid w:val="000f068c"/>
    <w:rPr>
      <w:rFonts w:ascii="Times New Roman" w:hAnsi="Times New Roman" w:eastAsia="Times New Roman" w:cs="Times New Roman"/>
      <w:sz w:val="16"/>
      <w:szCs w:val="16"/>
    </w:rPr>
  </w:style>
  <w:style w:type="character" w:styleId="TextodenotaderodapChar" w:customStyle="1">
    <w:name w:val="Texto de nota de rodapé Char"/>
    <w:basedOn w:val="DefaultParagraphFont"/>
    <w:uiPriority w:val="99"/>
    <w:semiHidden/>
    <w:qFormat/>
    <w:rsid w:val="003e5cca"/>
    <w:rPr>
      <w:lang w:eastAsia="en-US"/>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FootnoteCharacters">
    <w:name w:val="Footnote Characters"/>
    <w:basedOn w:val="DefaultParagraphFont"/>
    <w:uiPriority w:val="99"/>
    <w:semiHidden/>
    <w:unhideWhenUsed/>
    <w:qFormat/>
    <w:rsid w:val="003e5cca"/>
    <w:rPr>
      <w:vertAlign w:val="superscrip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EndnoteCharacters">
    <w:name w:val="Endnote Characters"/>
    <w:qFormat/>
    <w:rPr>
      <w:vertAlign w:val="superscrip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pt-BR"/>
    </w:rPr>
  </w:style>
  <w:style w:type="paragraph" w:styleId="CabealhoeRodap">
    <w:name w:val="Cabeçalho e Rodapé"/>
    <w:basedOn w:val="Normal"/>
    <w:qFormat/>
    <w:pPr/>
    <w:rPr/>
  </w:style>
  <w:style w:type="paragraph" w:styleId="Header">
    <w:name w:val="Header"/>
    <w:basedOn w:val="Normal"/>
    <w:link w:val="CabealhoChar"/>
    <w:unhideWhenUsed/>
    <w:qFormat/>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pPr>
      <w:spacing w:lineRule="auto" w:line="240" w:before="0" w:after="0"/>
    </w:pPr>
    <w:rPr>
      <w:rFonts w:ascii="Segoe UI" w:hAnsi="Segoe UI" w:cs="Segoe UI"/>
      <w:sz w:val="18"/>
      <w:szCs w:val="18"/>
    </w:rPr>
  </w:style>
  <w:style w:type="paragraph" w:styleId="WW-Corpodetexto3" w:customStyle="1">
    <w:name w:val="WW-Corpo de texto 3"/>
    <w:basedOn w:val="Normal"/>
    <w:qFormat/>
    <w:pPr>
      <w:suppressAutoHyphens w:val="true"/>
      <w:spacing w:lineRule="auto" w:line="240" w:before="0" w:after="0"/>
      <w:jc w:val="both"/>
    </w:pPr>
    <w:rPr>
      <w:rFonts w:ascii="Times New Roman" w:hAnsi="Times New Roman" w:eastAsia="Times New Roman" w:cs="Times New Roman"/>
      <w:sz w:val="24"/>
      <w:szCs w:val="20"/>
      <w:lang w:eastAsia="pt-BR"/>
    </w:rPr>
  </w:style>
  <w:style w:type="paragraph" w:styleId="Subtitle">
    <w:name w:val="Subtitle"/>
    <w:basedOn w:val="Normal"/>
    <w:link w:val="SubttuloChar"/>
    <w:qFormat/>
    <w:rsid w:val="000b235b"/>
    <w:pPr>
      <w:spacing w:lineRule="auto" w:line="240" w:before="0" w:after="0"/>
      <w:jc w:val="center"/>
    </w:pPr>
    <w:rPr>
      <w:rFonts w:ascii="Cambria" w:hAnsi="Cambria" w:eastAsia="Times New Roman" w:cs="Times New Roman"/>
      <w:sz w:val="24"/>
      <w:szCs w:val="20"/>
      <w:lang w:eastAsia="pt-BR"/>
    </w:rPr>
  </w:style>
  <w:style w:type="paragraph" w:styleId="ListParagraph">
    <w:name w:val="List Paragraph"/>
    <w:basedOn w:val="Normal"/>
    <w:link w:val="PargrafodaListaChar"/>
    <w:uiPriority w:val="34"/>
    <w:qFormat/>
    <w:rsid w:val="000b28e5"/>
    <w:pPr>
      <w:spacing w:before="0" w:after="160"/>
      <w:ind w:hanging="0" w:left="720"/>
      <w:contextualSpacing/>
    </w:pPr>
    <w:rPr/>
  </w:style>
  <w:style w:type="paragraph" w:styleId="Corpodetexto23" w:customStyle="1">
    <w:name w:val="Corpo de texto 23"/>
    <w:basedOn w:val="Normal"/>
    <w:qFormat/>
    <w:rsid w:val="00de115b"/>
    <w:pPr>
      <w:spacing w:lineRule="auto" w:line="240" w:before="0" w:after="0"/>
      <w:jc w:val="both"/>
    </w:pPr>
    <w:rPr>
      <w:rFonts w:ascii="Times New Roman" w:hAnsi="Times New Roman" w:eastAsia="SimSun" w:cs="Times New Roman"/>
      <w:sz w:val="20"/>
      <w:szCs w:val="20"/>
      <w:lang w:eastAsia="zh-CN"/>
    </w:rPr>
  </w:style>
  <w:style w:type="paragraph" w:styleId="Title">
    <w:name w:val="Title"/>
    <w:basedOn w:val="Normal"/>
    <w:link w:val="TtuloChar"/>
    <w:qFormat/>
    <w:rsid w:val="000f068c"/>
    <w:pPr>
      <w:spacing w:lineRule="auto" w:line="240" w:before="0" w:after="0"/>
      <w:jc w:val="center"/>
    </w:pPr>
    <w:rPr>
      <w:rFonts w:ascii="Cambria" w:hAnsi="Cambria" w:eastAsia="Times New Roman" w:cs="Times New Roman"/>
      <w:b/>
      <w:kern w:val="2"/>
      <w:sz w:val="32"/>
      <w:szCs w:val="20"/>
      <w:lang w:eastAsia="pt-BR"/>
    </w:rPr>
  </w:style>
  <w:style w:type="paragraph" w:styleId="BodyText3">
    <w:name w:val="Body Text 3"/>
    <w:basedOn w:val="Normal"/>
    <w:link w:val="Corpodetexto3Char"/>
    <w:qFormat/>
    <w:rsid w:val="000f068c"/>
    <w:pPr>
      <w:spacing w:lineRule="auto" w:line="240" w:before="0" w:after="120"/>
    </w:pPr>
    <w:rPr>
      <w:rFonts w:ascii="Times New Roman" w:hAnsi="Times New Roman" w:eastAsia="Times New Roman" w:cs="Times New Roman"/>
      <w:sz w:val="16"/>
      <w:szCs w:val="16"/>
      <w:lang w:eastAsia="pt-BR"/>
    </w:rPr>
  </w:style>
  <w:style w:type="paragraph" w:styleId="FootnoteText">
    <w:name w:val="Footnote Text"/>
    <w:basedOn w:val="Normal"/>
    <w:link w:val="TextodenotaderodapChar"/>
    <w:uiPriority w:val="99"/>
    <w:semiHidden/>
    <w:unhideWhenUsed/>
    <w:rsid w:val="003e5cca"/>
    <w:pPr>
      <w:spacing w:lineRule="auto" w:line="240" w:before="0" w:after="0"/>
    </w:pPr>
    <w:rPr>
      <w:sz w:val="20"/>
      <w:szCs w:val="20"/>
    </w:rPr>
  </w:style>
  <w:style w:type="paragraph" w:styleId="Western" w:customStyle="1">
    <w:name w:val="western"/>
    <w:basedOn w:val="Normal"/>
    <w:qFormat/>
    <w:rsid w:val="005212e3"/>
    <w:pPr>
      <w:spacing w:lineRule="auto" w:line="240" w:beforeAutospacing="1" w:after="119"/>
    </w:pPr>
    <w:rPr>
      <w:rFonts w:ascii="Times New Roman" w:hAnsi="Times New Roman" w:eastAsia="Times New Roman" w:cs="Times New Roman"/>
      <w:color w:val="000000"/>
      <w:sz w:val="24"/>
      <w:szCs w:val="24"/>
      <w:lang w:eastAsia="pt-BR"/>
    </w:rPr>
  </w:style>
  <w:style w:type="paragraph" w:styleId="EndnoteText">
    <w:name w:val="Endnote Text"/>
    <w:basedOn w:val="Normal"/>
    <w:pPr>
      <w:suppressLineNumbers/>
      <w:ind w:hanging="340" w:left="340"/>
    </w:pPr>
    <w:rPr>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e7196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hyperlink" Target="mailto:administracao@saoroquedocanaa.es.gov.br"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420D8-8CB8-4BE1-84F1-4C7608A44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Application>LibreOffice/7.6.4.1$Windows_X86_64 LibreOffice_project/e19e193f88cd6c0525a17fb7a176ed8e6a3e2aa1</Application>
  <AppVersion>15.0000</AppVersion>
  <Pages>5</Pages>
  <Words>1824</Words>
  <Characters>10206</Characters>
  <CharactersWithSpaces>11900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2023-11-27T17:27:00Z</dcterms:created>
  <dc:creator>COMPUTADOR</dc:creator>
  <dc:description/>
  <dc:language>pt-BR</dc:language>
  <cp:lastModifiedBy/>
  <cp:lastPrinted>2025-11-06T09:39:14Z</cp:lastPrinted>
  <dcterms:modified xsi:type="dcterms:W3CDTF">2025-11-06T09:37:47Z</dcterms:modified>
  <cp:revision>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A1EA58DFB2F64CA49379DECF14E588A6</vt:lpwstr>
  </property>
  <property fmtid="{D5CDD505-2E9C-101B-9397-08002B2CF9AE}" pid="3" name="KSOProductBuildVer">
    <vt:lpwstr>1046-11.2.0.11440</vt:lpwstr>
  </property>
</Properties>
</file>