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DFD/SMA Nº. 02</w:t>
      </w:r>
      <w:r>
        <w:rPr>
          <w:rFonts w:cs="Arial" w:ascii="Arial" w:hAnsi="Arial"/>
          <w:b/>
          <w:sz w:val="24"/>
          <w:szCs w:val="24"/>
        </w:rPr>
        <w:t>1</w:t>
      </w:r>
      <w:r>
        <w:rPr>
          <w:rFonts w:cs="Arial" w:ascii="Arial" w:hAnsi="Arial"/>
          <w:b/>
          <w:sz w:val="24"/>
          <w:szCs w:val="24"/>
        </w:rPr>
        <w:t>/2025</w:t>
      </w:r>
    </w:p>
    <w:p>
      <w:pPr>
        <w:pStyle w:val="Normal"/>
        <w:spacing w:lineRule="auto" w:line="240" w:before="0" w:after="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Ao Exmo. Senhor,</w:t>
      </w:r>
    </w:p>
    <w:p>
      <w:pPr>
        <w:pStyle w:val="Normal"/>
        <w:widowControl w:val="false"/>
        <w:tabs>
          <w:tab w:val="clear" w:pos="708"/>
          <w:tab w:val="left" w:pos="1701" w:leader="none"/>
        </w:tabs>
        <w:spacing w:lineRule="auto" w:line="240" w:before="0" w:after="0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MARCOS GERALDO GUERRA</w:t>
      </w:r>
    </w:p>
    <w:p>
      <w:pPr>
        <w:pStyle w:val="Normal"/>
        <w:widowControl w:val="false"/>
        <w:tabs>
          <w:tab w:val="clear" w:pos="708"/>
          <w:tab w:val="left" w:pos="1701" w:leader="none"/>
        </w:tabs>
        <w:spacing w:lineRule="auto" w:line="240" w:before="0" w:after="0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Prefeito de São Roque do Canaã/ES</w:t>
      </w:r>
    </w:p>
    <w:p>
      <w:pPr>
        <w:pStyle w:val="Normal"/>
        <w:widowControl w:val="false"/>
        <w:tabs>
          <w:tab w:val="clear" w:pos="708"/>
          <w:tab w:val="left" w:pos="1701" w:leader="none"/>
        </w:tabs>
        <w:spacing w:lineRule="auto" w:line="240" w:before="0" w:after="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widowControl w:val="false"/>
        <w:pBdr>
          <w:bottom w:val="single" w:sz="4" w:space="1" w:color="000000"/>
        </w:pBdr>
        <w:tabs>
          <w:tab w:val="clear" w:pos="708"/>
          <w:tab w:val="left" w:pos="1701" w:leader="none"/>
        </w:tabs>
        <w:spacing w:lineRule="auto" w:line="240" w:before="0" w:after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Ref.:</w:t>
      </w:r>
      <w:r>
        <w:rPr>
          <w:rFonts w:cs="Arial" w:ascii="Arial" w:hAnsi="Arial"/>
          <w:sz w:val="24"/>
          <w:szCs w:val="24"/>
        </w:rPr>
        <w:t xml:space="preserve"> Empenho por Estimativa – Água – CESAN 2025 - </w:t>
      </w:r>
      <w:r>
        <w:rPr>
          <w:rFonts w:cs="Arial" w:ascii="Arial" w:hAnsi="Arial"/>
          <w:b w:val="false"/>
          <w:bCs w:val="false"/>
          <w:sz w:val="24"/>
          <w:szCs w:val="24"/>
        </w:rPr>
        <w:t>CATSERV 22845</w:t>
      </w:r>
    </w:p>
    <w:p>
      <w:pPr>
        <w:pStyle w:val="NormalWeb"/>
        <w:spacing w:lineRule="auto" w:line="240" w:beforeAutospacing="0" w:before="0" w:afterAutospacing="0" w:after="0"/>
        <w:jc w:val="both"/>
        <w:rPr>
          <w:rFonts w:ascii="Arial" w:hAnsi="Arial" w:cs="Arial"/>
          <w:bCs/>
          <w:sz w:val="24"/>
          <w:szCs w:val="24"/>
        </w:rPr>
      </w:pPr>
      <w:r>
        <w:rPr>
          <w:rFonts w:cs="Arial" w:ascii="Arial" w:hAnsi="Arial"/>
          <w:bCs/>
          <w:sz w:val="24"/>
          <w:szCs w:val="24"/>
        </w:rPr>
      </w:r>
    </w:p>
    <w:p>
      <w:pPr>
        <w:pStyle w:val="NormalWeb"/>
        <w:spacing w:lineRule="auto" w:line="240" w:beforeAutospacing="0" w:before="0" w:afterAutospacing="0" w:after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  <w:shd w:fill="D9D9D9" w:val="clear"/>
        </w:rPr>
        <w:t>UNIDADE REQUISITANTE</w:t>
      </w:r>
      <w:r>
        <w:rPr>
          <w:rFonts w:cs="Arial" w:ascii="Arial" w:hAnsi="Arial"/>
          <w:b/>
          <w:sz w:val="24"/>
          <w:szCs w:val="24"/>
          <w:shd w:fill="D9D9D9" w:val="clear"/>
        </w:rPr>
        <w:t>:</w:t>
      </w:r>
      <w:r>
        <w:rPr>
          <w:rFonts w:cs="Arial" w:ascii="Arial" w:hAnsi="Arial"/>
          <w:sz w:val="24"/>
          <w:szCs w:val="24"/>
        </w:rPr>
        <w:t xml:space="preserve"> Secretaria Municipal de Administração.</w:t>
      </w:r>
    </w:p>
    <w:p>
      <w:pPr>
        <w:pStyle w:val="NormalWeb"/>
        <w:spacing w:lineRule="auto" w:line="240" w:beforeAutospacing="0" w:before="0" w:afterAutospacing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Web"/>
        <w:spacing w:lineRule="auto" w:line="240" w:beforeAutospacing="0" w:before="0" w:afterAutospacing="0" w:after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  <w:shd w:fill="D9D9D9" w:val="clear"/>
        </w:rPr>
        <w:t>RESPONSÁVEL PELA DEMANDA:</w:t>
      </w:r>
      <w:r>
        <w:rPr>
          <w:rFonts w:cs="Arial" w:ascii="Arial" w:hAnsi="Arial"/>
          <w:bCs/>
          <w:sz w:val="24"/>
          <w:szCs w:val="24"/>
        </w:rPr>
        <w:t xml:space="preserve"> Responsabilizar-se-á, pela presente demanda, a servidora </w:t>
      </w:r>
      <w:r>
        <w:rPr>
          <w:rFonts w:cs="Arial" w:ascii="Arial" w:hAnsi="Arial"/>
          <w:b/>
          <w:bCs/>
          <w:sz w:val="24"/>
          <w:szCs w:val="24"/>
        </w:rPr>
        <w:t>Nayane Alline da Silva Malavasi</w:t>
      </w:r>
      <w:r>
        <w:rPr>
          <w:rFonts w:cs="Arial" w:ascii="Arial" w:hAnsi="Arial"/>
          <w:bCs/>
          <w:sz w:val="24"/>
          <w:szCs w:val="24"/>
        </w:rPr>
        <w:t>, ocupante do cargo de Secretária Municipal de Administração, integrante da Unidade Requisitante.</w:t>
      </w:r>
    </w:p>
    <w:p>
      <w:pPr>
        <w:pStyle w:val="NormalWeb"/>
        <w:spacing w:lineRule="auto" w:line="240" w:beforeAutospacing="0" w:before="0" w:afterAutospacing="0" w:after="0"/>
        <w:jc w:val="both"/>
        <w:rPr>
          <w:rFonts w:ascii="Arial" w:hAnsi="Arial" w:cs="Arial"/>
          <w:bCs/>
          <w:sz w:val="24"/>
          <w:szCs w:val="24"/>
        </w:rPr>
      </w:pPr>
      <w:r>
        <w:rPr>
          <w:rFonts w:cs="Arial" w:ascii="Arial" w:hAnsi="Arial"/>
          <w:bCs/>
          <w:sz w:val="24"/>
          <w:szCs w:val="24"/>
        </w:rPr>
      </w:r>
    </w:p>
    <w:p>
      <w:pPr>
        <w:pStyle w:val="NormalWeb"/>
        <w:spacing w:lineRule="auto" w:line="240" w:beforeAutospacing="0" w:before="0" w:afterAutospacing="0" w:after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  <w:shd w:fill="D9D9D9" w:val="clear"/>
        </w:rPr>
        <w:t>CONTATO DA UNIDADE REQUISITANTE:</w:t>
      </w:r>
      <w:r>
        <w:rPr>
          <w:rFonts w:cs="Arial" w:ascii="Arial" w:hAnsi="Arial"/>
          <w:bCs/>
          <w:sz w:val="24"/>
          <w:szCs w:val="24"/>
        </w:rPr>
        <w:t xml:space="preserve"> Os contatos com a unidade requisitante podem ser realizados pelo telefone (027) 3729-1120, o e-mail: administração@saoroquedocanaa.es.gov.br. </w:t>
      </w:r>
      <w:r>
        <w:rPr>
          <w:rFonts w:cs="Arial" w:ascii="Arial" w:hAnsi="Arial"/>
          <w:sz w:val="24"/>
          <w:szCs w:val="24"/>
        </w:rPr>
        <w:t xml:space="preserve">ou por meio do atendimento presencial, na sede localizada na </w:t>
      </w:r>
      <w:r>
        <w:rPr>
          <w:rFonts w:cs="Arial" w:ascii="Arial" w:hAnsi="Arial"/>
          <w:bCs/>
          <w:sz w:val="24"/>
          <w:szCs w:val="24"/>
        </w:rPr>
        <w:t>Rua Lourenço Roldi, nº 88, São Roquinho, São Roque do Canaã/ES, CEP nº 29.665-000.</w:t>
      </w:r>
    </w:p>
    <w:p>
      <w:pPr>
        <w:pStyle w:val="NormalWeb"/>
        <w:spacing w:lineRule="auto" w:line="240" w:beforeAutospacing="0" w:before="0" w:afterAutospacing="0" w:after="0"/>
        <w:jc w:val="both"/>
        <w:rPr>
          <w:rFonts w:ascii="Arial" w:hAnsi="Arial" w:cs="Arial"/>
          <w:bCs/>
          <w:sz w:val="24"/>
          <w:szCs w:val="24"/>
        </w:rPr>
      </w:pPr>
      <w:r>
        <w:rPr>
          <w:rFonts w:cs="Arial" w:ascii="Arial" w:hAnsi="Arial"/>
          <w:bCs/>
          <w:sz w:val="24"/>
          <w:szCs w:val="24"/>
        </w:rPr>
      </w:r>
    </w:p>
    <w:p>
      <w:pPr>
        <w:pStyle w:val="NormalWeb"/>
        <w:numPr>
          <w:ilvl w:val="0"/>
          <w:numId w:val="1"/>
        </w:numPr>
        <w:shd w:val="clear" w:color="auto" w:fill="D9D9D9" w:themeFill="background1" w:themeFillShade="d9"/>
        <w:spacing w:lineRule="auto" w:line="240"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DESCRIÇÃO SUSCINTA DO OBJETO E/OU OBJETIVO</w:t>
      </w:r>
    </w:p>
    <w:p>
      <w:pPr>
        <w:pStyle w:val="NormalWeb"/>
        <w:numPr>
          <w:ilvl w:val="0"/>
          <w:numId w:val="0"/>
        </w:numPr>
        <w:spacing w:lineRule="auto" w:line="240" w:beforeAutospacing="0" w:before="0" w:afterAutospacing="0" w:after="0"/>
        <w:ind w:hanging="0" w:left="0"/>
        <w:jc w:val="both"/>
        <w:rPr>
          <w:rFonts w:ascii="Arial" w:hAnsi="Arial" w:cs="Arial"/>
          <w:bCs/>
          <w:sz w:val="24"/>
          <w:szCs w:val="24"/>
          <w:highlight w:val="yellow"/>
        </w:rPr>
      </w:pPr>
      <w:r>
        <w:rPr>
          <w:rFonts w:cs="Arial" w:ascii="Arial" w:hAnsi="Arial"/>
          <w:bCs/>
          <w:sz w:val="24"/>
          <w:szCs w:val="24"/>
          <w:highlight w:val="yellow"/>
        </w:rPr>
      </w:r>
    </w:p>
    <w:p>
      <w:pPr>
        <w:pStyle w:val="NormalWeb"/>
        <w:numPr>
          <w:ilvl w:val="1"/>
          <w:numId w:val="1"/>
        </w:numPr>
        <w:spacing w:lineRule="auto" w:line="240"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Cs/>
          <w:sz w:val="24"/>
          <w:szCs w:val="24"/>
          <w:shd w:fill="auto" w:val="clear"/>
        </w:rPr>
        <w:t xml:space="preserve">Constitui objeto da presente demanda a necessidade de </w:t>
      </w:r>
      <w:r>
        <w:rPr>
          <w:rFonts w:cs="Arial" w:ascii="Arial" w:hAnsi="Arial"/>
          <w:b/>
          <w:bCs/>
          <w:sz w:val="24"/>
          <w:szCs w:val="24"/>
          <w:shd w:fill="auto" w:val="clear"/>
        </w:rPr>
        <w:t>custear as despesas decorrentes do consumo de água pelas unidades relacionadas à Secretaria Municipal de Administração, no exercício de 2025 (CATSERV 22845)</w:t>
      </w:r>
      <w:r>
        <w:rPr>
          <w:rFonts w:cs="Arial" w:ascii="Arial" w:hAnsi="Arial"/>
          <w:bCs/>
          <w:sz w:val="24"/>
          <w:szCs w:val="24"/>
          <w:shd w:fill="auto" w:val="clear"/>
        </w:rPr>
        <w:t xml:space="preserve">, em virtude do desempenho de suas atividades, com fulcro no art. 60, da Lei Federal nº </w:t>
      </w:r>
      <w:r>
        <w:rPr>
          <w:rFonts w:cs="Arial" w:ascii="Arial" w:hAnsi="Arial"/>
          <w:sz w:val="24"/>
          <w:szCs w:val="24"/>
          <w:shd w:fill="auto" w:val="clear"/>
        </w:rPr>
        <w:t xml:space="preserve">4.320/1964, art. 74, </w:t>
      </w:r>
      <w:r>
        <w:rPr>
          <w:rFonts w:cs="Arial" w:ascii="Arial" w:hAnsi="Arial"/>
          <w:i/>
          <w:sz w:val="24"/>
          <w:szCs w:val="24"/>
          <w:shd w:fill="auto" w:val="clear"/>
        </w:rPr>
        <w:t>caput</w:t>
      </w:r>
      <w:r>
        <w:rPr>
          <w:rFonts w:cs="Arial" w:ascii="Arial" w:hAnsi="Arial"/>
          <w:sz w:val="24"/>
          <w:szCs w:val="24"/>
          <w:shd w:fill="auto" w:val="clear"/>
        </w:rPr>
        <w:t>, da Lei Federal nº 14.133/2021.</w:t>
      </w:r>
    </w:p>
    <w:p>
      <w:pPr>
        <w:pStyle w:val="NormalWeb"/>
        <w:spacing w:lineRule="auto" w:line="240" w:beforeAutospacing="0" w:before="0" w:afterAutospacing="0" w:after="0"/>
        <w:jc w:val="both"/>
        <w:rPr>
          <w:rFonts w:ascii="Arial" w:hAnsi="Arial" w:cs="Arial"/>
          <w:bCs/>
          <w:sz w:val="24"/>
          <w:szCs w:val="24"/>
        </w:rPr>
      </w:pPr>
      <w:r>
        <w:rPr>
          <w:rFonts w:cs="Arial" w:ascii="Arial" w:hAnsi="Arial"/>
          <w:bCs/>
          <w:sz w:val="24"/>
          <w:szCs w:val="24"/>
        </w:rPr>
      </w:r>
    </w:p>
    <w:p>
      <w:pPr>
        <w:pStyle w:val="NormalWeb"/>
        <w:numPr>
          <w:ilvl w:val="0"/>
          <w:numId w:val="1"/>
        </w:numPr>
        <w:shd w:val="clear" w:color="auto" w:fill="D9D9D9" w:themeFill="background1" w:themeFillShade="d9"/>
        <w:spacing w:lineRule="auto" w:line="240"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JUSTIFICATIVA DA NECESSIDADE/IMPORTÂNCIA DA COMPRA DO BEM/MATERIAL OU PRESTAÇÃO DE SERVIÇOS, CONSIDERANDO O PLANEJAMENTO ESTRATÉGICO, SE FOR O CASO.</w:t>
      </w:r>
    </w:p>
    <w:p>
      <w:pPr>
        <w:pStyle w:val="NormalWeb"/>
        <w:spacing w:lineRule="auto" w:line="240" w:beforeAutospacing="0" w:before="0" w:afterAutospacing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lineRule="auto" w:line="240"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eastAsia="Calibri" w:cs="Arial" w:ascii="Arial" w:hAnsi="Arial" w:eastAsiaTheme="minorHAnsi"/>
          <w:sz w:val="24"/>
          <w:szCs w:val="24"/>
          <w:lang w:eastAsia="en-US"/>
        </w:rPr>
        <w:t>A água, então, como elemento essencial à vida e a preservação da integridade física e mental do indivíduo, afigura-se como um bem cuja disponibilidade assume relevância para a concretização do direito humano a população. A ausência ou interrupção, por sua vez, do abastecimento hídrico não apenas vulnera a dignidade da pessoa, mas, também compromete de maneira direta o alcance pleno do direito constitucionalmente, interrompendo a prestação de serviços.</w:t>
      </w:r>
    </w:p>
    <w:p>
      <w:pPr>
        <w:pStyle w:val="NormalWeb"/>
        <w:spacing w:lineRule="auto" w:line="240" w:beforeAutospacing="0" w:before="0" w:afterAutospacing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lineRule="auto" w:line="240"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A água desempenha um papel crucial em nossos sistemas de prevenção e combate a incêndios, assegurando a segurança das instalações e contribuindo para a continuidade operacional em situações de emergência.</w:t>
      </w:r>
      <w:r>
        <w:rPr>
          <w:rFonts w:cs="Arial" w:ascii="Arial" w:hAnsi="Arial"/>
          <w:color w:val="000000"/>
          <w:sz w:val="24"/>
          <w:szCs w:val="24"/>
        </w:rPr>
        <w:t xml:space="preserve"> </w:t>
      </w:r>
    </w:p>
    <w:p>
      <w:pPr>
        <w:pStyle w:val="NormalWeb"/>
        <w:spacing w:lineRule="auto" w:line="240" w:beforeAutospacing="0" w:before="0" w:afterAutospacing="0" w:after="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cs="Arial" w:ascii="Arial" w:hAnsi="Arial"/>
          <w:color w:val="000000"/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lineRule="auto" w:line="240"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Limpeza regular dos equipamentos e do ambiente é vital para garantir o funcionamento eficiente de nossos servidores. A água é um componente essencial nesse processo, contribuindo para a remoção de detritos e poeira que podem comprometer o desempenho.</w:t>
      </w:r>
      <w:r>
        <w:rPr>
          <w:rFonts w:cs="Arial" w:ascii="Arial" w:hAnsi="Arial"/>
          <w:color w:val="000000"/>
          <w:sz w:val="24"/>
          <w:szCs w:val="24"/>
        </w:rPr>
        <w:t xml:space="preserve"> </w:t>
      </w:r>
    </w:p>
    <w:p>
      <w:pPr>
        <w:pStyle w:val="NormalWeb"/>
        <w:spacing w:lineRule="auto" w:line="240" w:beforeAutospacing="0" w:before="0" w:afterAutospacing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lineRule="auto" w:line="240"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Os serviços, então, relacionados à administração pública possuem incontestável relevância perante a sociedade, não por tratar apenas do bem tutelado pelo direito, mas pela sensibilidade que a matéria requer, de modo que há, então, um dever claro do Estado em fomentar, criar, gerir e garantir a efetiva manutenção de órgãos aptos na tutela dos direitos. </w:t>
      </w:r>
    </w:p>
    <w:p>
      <w:pPr>
        <w:pStyle w:val="NormalWeb"/>
        <w:spacing w:lineRule="auto" w:line="240" w:beforeAutospacing="0" w:before="0" w:afterAutospacing="0" w:after="0"/>
        <w:jc w:val="both"/>
        <w:rPr>
          <w:rFonts w:ascii="Arial" w:hAnsi="Arial" w:eastAsia="Calibri" w:cs="Arial" w:eastAsiaTheme="minorHAnsi"/>
          <w:sz w:val="24"/>
          <w:szCs w:val="24"/>
          <w:lang w:eastAsia="en-US"/>
        </w:rPr>
      </w:pPr>
      <w:r>
        <w:rPr>
          <w:rFonts w:eastAsia="Calibri" w:cs="Arial" w:eastAsiaTheme="minorHAnsi" w:ascii="Arial" w:hAnsi="Arial"/>
          <w:sz w:val="24"/>
          <w:szCs w:val="24"/>
          <w:lang w:eastAsia="en-US"/>
        </w:rPr>
      </w:r>
    </w:p>
    <w:p>
      <w:pPr>
        <w:pStyle w:val="NormalWeb"/>
        <w:numPr>
          <w:ilvl w:val="1"/>
          <w:numId w:val="1"/>
        </w:numPr>
        <w:spacing w:lineRule="auto" w:line="240"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eastAsia="Calibri" w:cs="Arial" w:ascii="Arial" w:hAnsi="Arial" w:eastAsiaTheme="minorHAnsi"/>
          <w:sz w:val="24"/>
          <w:szCs w:val="24"/>
          <w:lang w:eastAsia="en-US"/>
        </w:rPr>
        <w:t xml:space="preserve">De igual modo, na ordem jurídica brasileira, </w:t>
      </w:r>
      <w:r>
        <w:rPr>
          <w:rFonts w:eastAsia="Calibri" w:cs="Arial" w:ascii="Arial" w:hAnsi="Arial" w:eastAsiaTheme="minorHAnsi"/>
          <w:b/>
          <w:sz w:val="24"/>
          <w:szCs w:val="24"/>
          <w:lang w:eastAsia="en-US"/>
        </w:rPr>
        <w:t>a garantia do fornecimento contínuo de água emerge como um direito fundamental, intrinsecamente vinculado ao direito. A inobservância dessa prerrogativa, além de afronta aos preceitos fundamentais consagrados na Constituição Federal, insta a responsabilidade estatal na promoção e preservação do bem-estar social</w:t>
      </w:r>
      <w:r>
        <w:rPr>
          <w:rFonts w:eastAsia="Calibri" w:cs="Arial" w:ascii="Arial" w:hAnsi="Arial" w:eastAsiaTheme="minorHAnsi"/>
          <w:sz w:val="24"/>
          <w:szCs w:val="24"/>
          <w:lang w:eastAsia="en-US"/>
        </w:rPr>
        <w:t>, impondo a necessidade de efetiva tutela, seja judicial ou administrativa, em prol da eficácia plena do mencionado direito.</w:t>
      </w:r>
    </w:p>
    <w:p>
      <w:pPr>
        <w:pStyle w:val="NormalWeb"/>
        <w:spacing w:lineRule="auto" w:line="240" w:beforeAutospacing="0" w:before="0" w:afterAutospacing="0" w:after="0"/>
        <w:jc w:val="both"/>
        <w:rPr>
          <w:rFonts w:ascii="Arial" w:hAnsi="Arial" w:eastAsia="Calibri" w:cs="Arial" w:eastAsiaTheme="minorHAnsi"/>
          <w:sz w:val="24"/>
          <w:szCs w:val="24"/>
          <w:lang w:eastAsia="en-US"/>
        </w:rPr>
      </w:pPr>
      <w:r>
        <w:rPr>
          <w:rFonts w:eastAsia="Calibri" w:cs="Arial" w:eastAsiaTheme="minorHAnsi" w:ascii="Arial" w:hAnsi="Arial"/>
          <w:sz w:val="24"/>
          <w:szCs w:val="24"/>
          <w:lang w:eastAsia="en-US"/>
        </w:rPr>
      </w:r>
    </w:p>
    <w:p>
      <w:pPr>
        <w:pStyle w:val="NormalWeb"/>
        <w:numPr>
          <w:ilvl w:val="1"/>
          <w:numId w:val="1"/>
        </w:numPr>
        <w:spacing w:lineRule="auto" w:line="240"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Nesse contexto, </w:t>
      </w:r>
      <w:r>
        <w:rPr>
          <w:rFonts w:cs="Arial" w:ascii="Arial" w:hAnsi="Arial"/>
          <w:b/>
          <w:sz w:val="24"/>
          <w:szCs w:val="24"/>
        </w:rPr>
        <w:t xml:space="preserve">entende-se necessário custear as despesas decorrentes do consumo de água pelas unidades relacionadas à Secretaria Municipal de Administração, no </w:t>
      </w:r>
      <w:r>
        <w:rPr>
          <w:rFonts w:cs="Arial" w:ascii="Arial" w:hAnsi="Arial"/>
          <w:b/>
          <w:sz w:val="24"/>
          <w:szCs w:val="24"/>
          <w:shd w:fill="auto" w:val="clear"/>
        </w:rPr>
        <w:t>exercício de 2025</w:t>
      </w:r>
      <w:r>
        <w:rPr>
          <w:rFonts w:cs="Arial" w:ascii="Arial" w:hAnsi="Arial"/>
          <w:sz w:val="24"/>
          <w:szCs w:val="24"/>
          <w:shd w:fill="auto" w:val="clear"/>
        </w:rPr>
        <w:t>,</w:t>
      </w:r>
      <w:r>
        <w:rPr>
          <w:rFonts w:cs="Arial" w:ascii="Arial" w:hAnsi="Arial"/>
          <w:sz w:val="24"/>
          <w:szCs w:val="24"/>
        </w:rPr>
        <w:t xml:space="preserve"> </w:t>
      </w:r>
      <w:r>
        <w:rPr>
          <w:rFonts w:cs="Arial" w:ascii="Arial" w:hAnsi="Arial"/>
          <w:bCs/>
          <w:sz w:val="24"/>
          <w:szCs w:val="24"/>
        </w:rPr>
        <w:t>em virtude do desempenho de suas atividades</w:t>
      </w:r>
      <w:r>
        <w:rPr>
          <w:rFonts w:cs="Arial" w:ascii="Arial" w:hAnsi="Arial"/>
          <w:sz w:val="24"/>
          <w:szCs w:val="24"/>
        </w:rPr>
        <w:t>, objetivando uma medida administrativa que se releva essencial à gestão eficiente e eficaz dos recursos públicos, de acordo com as diretrizes da Lei nº 14.133/2021. Essa demanda é respaldada pela premente necessidade de se garantir um direito fundamental e consequente funcionamento pleno das atividades desempenhadas pela Secretaria em questão.</w:t>
      </w:r>
    </w:p>
    <w:p>
      <w:pPr>
        <w:pStyle w:val="NormalWeb"/>
        <w:spacing w:lineRule="auto" w:line="240" w:beforeAutospacing="0" w:before="0" w:afterAutospacing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lineRule="auto" w:line="240"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Todavia, em regra, segundo o art. 60 da Lei Federal nº 4.320/1964, não se podem realizar despesas sem prévio empenho. Outrossim, considerando a aproximação da abertura de um novo exercício financeiro, qual seja de 2025, </w:t>
      </w:r>
      <w:r>
        <w:rPr>
          <w:rFonts w:cs="Arial" w:ascii="Arial" w:hAnsi="Arial"/>
          <w:b/>
          <w:sz w:val="24"/>
          <w:szCs w:val="24"/>
        </w:rPr>
        <w:t>é essencial que a Administração estime</w:t>
      </w:r>
      <w:r>
        <w:rPr>
          <w:rFonts w:cs="Arial" w:ascii="Arial" w:hAnsi="Arial"/>
          <w:sz w:val="24"/>
          <w:szCs w:val="24"/>
        </w:rPr>
        <w:t xml:space="preserve">, com bases nas despesas dos últimos 12 (doze) meses, </w:t>
      </w:r>
      <w:r>
        <w:rPr>
          <w:rFonts w:cs="Arial" w:ascii="Arial" w:hAnsi="Arial"/>
          <w:b/>
          <w:sz w:val="24"/>
          <w:szCs w:val="24"/>
        </w:rPr>
        <w:t>as despesas para o próximo exercício</w:t>
      </w:r>
      <w:r>
        <w:rPr>
          <w:rFonts w:cs="Arial" w:ascii="Arial" w:hAnsi="Arial"/>
          <w:sz w:val="24"/>
          <w:szCs w:val="24"/>
        </w:rPr>
        <w:t>, para que assim, se possam empenhar os recursos estimados necessários, objetivando melhor gestão do pagamento parcelado de tais despesas.</w:t>
      </w:r>
    </w:p>
    <w:p>
      <w:pPr>
        <w:pStyle w:val="NormalWeb"/>
        <w:spacing w:lineRule="auto" w:line="240" w:beforeAutospacing="0" w:before="0" w:afterAutospacing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Web"/>
        <w:spacing w:lineRule="auto" w:line="240"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2.8.</w:t>
        <w:tab/>
        <w:t xml:space="preserve">Conceitualmente, o </w:t>
      </w:r>
      <w:r>
        <w:rPr>
          <w:rFonts w:cs="Arial" w:ascii="Arial" w:hAnsi="Arial"/>
          <w:b/>
          <w:sz w:val="24"/>
          <w:szCs w:val="24"/>
        </w:rPr>
        <w:t>empenho por estimativa</w:t>
      </w:r>
      <w:r>
        <w:rPr>
          <w:rFonts w:cs="Arial" w:ascii="Arial" w:hAnsi="Arial"/>
          <w:sz w:val="24"/>
          <w:szCs w:val="24"/>
        </w:rPr>
        <w:t xml:space="preserve">, é aquele em que </w:t>
      </w:r>
      <w:r>
        <w:rPr>
          <w:rFonts w:cs="Arial" w:ascii="Arial" w:hAnsi="Arial"/>
          <w:b/>
          <w:sz w:val="24"/>
          <w:szCs w:val="24"/>
        </w:rPr>
        <w:t>não se pode determinar previamente o montante exato a ser pago (art. 60, §2º, Lei Federal nº 4.320/1964)</w:t>
      </w:r>
      <w:r>
        <w:rPr>
          <w:rFonts w:cs="Arial" w:ascii="Arial" w:hAnsi="Arial"/>
          <w:sz w:val="24"/>
          <w:szCs w:val="24"/>
        </w:rPr>
        <w:t xml:space="preserve">, como ocorre, em particular, com as contas de água, luz, gás e telefone. Desse modo, objetivando o pleno e efetivo funcionamento dos estabelecimentos integrantes da Secretaria Municipal de Administração, </w:t>
      </w:r>
      <w:r>
        <w:rPr>
          <w:rFonts w:cs="Arial" w:ascii="Arial" w:hAnsi="Arial"/>
          <w:b/>
          <w:bCs/>
          <w:sz w:val="24"/>
          <w:szCs w:val="24"/>
        </w:rPr>
        <w:t>revela-se evidente que o atendimento da demanda em questão se dará mediante empenho por estimativa</w:t>
      </w:r>
      <w:r>
        <w:rPr>
          <w:rFonts w:cs="Arial" w:ascii="Arial" w:hAnsi="Arial"/>
          <w:bCs/>
          <w:sz w:val="24"/>
          <w:szCs w:val="24"/>
        </w:rPr>
        <w:t>, dada a natureza da despesa.</w:t>
      </w:r>
    </w:p>
    <w:p>
      <w:pPr>
        <w:pStyle w:val="NormalWeb"/>
        <w:spacing w:lineRule="auto" w:line="240" w:beforeAutospacing="0" w:before="0" w:afterAutospacing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Web"/>
        <w:numPr>
          <w:ilvl w:val="0"/>
          <w:numId w:val="0"/>
        </w:numPr>
        <w:spacing w:lineRule="auto" w:line="240"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2.9.</w:t>
        <w:tab/>
        <w:t xml:space="preserve">O objeto aqui </w:t>
      </w:r>
      <w:r>
        <w:rPr>
          <w:rFonts w:eastAsia="Calibri" w:cs="Arial" w:ascii="Arial" w:hAnsi="Arial" w:eastAsiaTheme="minorHAnsi"/>
          <w:sz w:val="24"/>
          <w:szCs w:val="24"/>
          <w:lang w:eastAsia="en-US"/>
        </w:rPr>
        <w:t>consignado</w:t>
      </w:r>
      <w:r>
        <w:rPr>
          <w:rFonts w:cs="Arial" w:ascii="Arial" w:hAnsi="Arial"/>
          <w:sz w:val="24"/>
          <w:szCs w:val="24"/>
        </w:rPr>
        <w:t xml:space="preserve">, objetiva, portanto, o empenho por estimativa das despesas decorrentes do consumo de água pelas unidades relativas à Secretaria Municipal de Administração, </w:t>
      </w:r>
      <w:r>
        <w:rPr>
          <w:rFonts w:cs="Arial" w:ascii="Arial" w:hAnsi="Arial"/>
          <w:bCs/>
          <w:sz w:val="24"/>
          <w:szCs w:val="24"/>
        </w:rPr>
        <w:t xml:space="preserve">com fulcro no art. 60, da Lei Federal nº </w:t>
      </w:r>
      <w:r>
        <w:rPr>
          <w:rFonts w:cs="Arial" w:ascii="Arial" w:hAnsi="Arial"/>
          <w:sz w:val="24"/>
          <w:szCs w:val="24"/>
        </w:rPr>
        <w:t xml:space="preserve">4.320/1964, art. 74, </w:t>
      </w:r>
      <w:r>
        <w:rPr>
          <w:rFonts w:cs="Arial" w:ascii="Arial" w:hAnsi="Arial"/>
          <w:i/>
          <w:sz w:val="24"/>
          <w:szCs w:val="24"/>
        </w:rPr>
        <w:t>caput</w:t>
      </w:r>
      <w:r>
        <w:rPr>
          <w:rFonts w:cs="Arial" w:ascii="Arial" w:hAnsi="Arial"/>
          <w:sz w:val="24"/>
          <w:szCs w:val="24"/>
        </w:rPr>
        <w:t>, da Lei Federal nº 14.133/2021.</w:t>
      </w:r>
      <w:r>
        <w:rPr>
          <w:rFonts w:cs="Arial" w:ascii="Arial" w:hAnsi="Arial"/>
          <w:color w:val="FF0000"/>
          <w:sz w:val="24"/>
          <w:szCs w:val="24"/>
        </w:rPr>
        <w:t xml:space="preserve"> </w:t>
      </w:r>
      <w:r>
        <w:rPr>
          <w:rFonts w:cs="Arial" w:ascii="Arial" w:hAnsi="Arial"/>
          <w:sz w:val="24"/>
          <w:szCs w:val="24"/>
        </w:rPr>
        <w:t>Nesse sentido, a análise exaustiva da situação atual revela que a Secretaria de Administração já realizou outros empenhos estimativos dessa natureza e, inclusive, quanto ao objeto aqui destacado, pode-se citar por meio dos seguintes instrumentos:</w:t>
      </w:r>
    </w:p>
    <w:p>
      <w:pPr>
        <w:pStyle w:val="NormalWeb"/>
        <w:spacing w:lineRule="auto" w:line="240" w:beforeAutospacing="0" w:before="0" w:afterAutospacing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Web"/>
        <w:numPr>
          <w:ilvl w:val="0"/>
          <w:numId w:val="2"/>
        </w:numPr>
        <w:spacing w:lineRule="auto" w:line="240" w:beforeAutospacing="0" w:before="0" w:afterAutospacing="0" w:after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SMA/ADM/SRC MEMO Nº 162/2021</w:t>
      </w:r>
      <w:r>
        <w:rPr>
          <w:rFonts w:cs="Arial" w:ascii="Arial" w:hAnsi="Arial"/>
          <w:b w:val="false"/>
          <w:bCs w:val="false"/>
          <w:sz w:val="24"/>
          <w:szCs w:val="24"/>
        </w:rPr>
        <w:t xml:space="preserve">  – Empenho por estimativa, CESAN 2022;</w:t>
      </w:r>
    </w:p>
    <w:p>
      <w:pPr>
        <w:pStyle w:val="NormalWeb"/>
        <w:numPr>
          <w:ilvl w:val="0"/>
          <w:numId w:val="2"/>
        </w:numPr>
        <w:spacing w:lineRule="auto" w:line="240" w:beforeAutospacing="0" w:before="0" w:afterAutospacing="0" w:after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SMA/ADM/SRC MEMO Nº 196/2022</w:t>
      </w:r>
      <w:r>
        <w:rPr>
          <w:rFonts w:cs="Arial" w:ascii="Arial" w:hAnsi="Arial"/>
          <w:b w:val="false"/>
          <w:bCs w:val="false"/>
          <w:sz w:val="24"/>
          <w:szCs w:val="24"/>
        </w:rPr>
        <w:t xml:space="preserve"> – Empenho por estimativa, CESAN 2023;</w:t>
      </w:r>
    </w:p>
    <w:p>
      <w:pPr>
        <w:pStyle w:val="NormalWeb"/>
        <w:numPr>
          <w:ilvl w:val="0"/>
          <w:numId w:val="2"/>
        </w:numPr>
        <w:spacing w:lineRule="auto" w:line="240" w:beforeAutospacing="0" w:before="0" w:afterAutospacing="0" w:after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SMA/SRC DFD N° 006/2024</w:t>
      </w:r>
      <w:r>
        <w:rPr>
          <w:rFonts w:cs="Arial" w:ascii="Arial" w:hAnsi="Arial"/>
          <w:b w:val="false"/>
          <w:bCs w:val="false"/>
          <w:sz w:val="24"/>
          <w:szCs w:val="24"/>
        </w:rPr>
        <w:t xml:space="preserve"> – Empenho por Estimativa, CESAN 2024;</w:t>
      </w:r>
    </w:p>
    <w:p>
      <w:pPr>
        <w:pStyle w:val="NormalWeb"/>
        <w:numPr>
          <w:ilvl w:val="0"/>
          <w:numId w:val="2"/>
        </w:numPr>
        <w:spacing w:lineRule="auto" w:line="240" w:beforeAutospacing="0" w:before="0" w:afterAutospacing="0" w:after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SMA/SRC DFD N° 003/2025</w:t>
      </w:r>
      <w:r>
        <w:rPr>
          <w:rFonts w:cs="Arial" w:ascii="Arial" w:hAnsi="Arial"/>
          <w:b w:val="false"/>
          <w:bCs w:val="false"/>
          <w:sz w:val="24"/>
          <w:szCs w:val="24"/>
        </w:rPr>
        <w:t xml:space="preserve"> – Empenho por Estimativa, CESAN 2025;</w:t>
      </w:r>
    </w:p>
    <w:p>
      <w:pPr>
        <w:pStyle w:val="NormalWeb"/>
        <w:numPr>
          <w:ilvl w:val="0"/>
          <w:numId w:val="2"/>
        </w:numPr>
        <w:spacing w:lineRule="auto" w:line="240" w:beforeAutospacing="0" w:before="0" w:afterAutospacing="0" w:after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SMA/SRC DFD Nº 019/2025</w:t>
      </w:r>
      <w:r>
        <w:rPr>
          <w:rFonts w:cs="Arial" w:ascii="Arial" w:hAnsi="Arial"/>
          <w:b w:val="false"/>
          <w:bCs w:val="false"/>
          <w:sz w:val="24"/>
          <w:szCs w:val="24"/>
        </w:rPr>
        <w:t xml:space="preserve"> – Empenho por Estimativa, CESAN 2025.</w:t>
      </w:r>
    </w:p>
    <w:p>
      <w:pPr>
        <w:pStyle w:val="NormalWeb"/>
        <w:spacing w:lineRule="auto" w:line="240" w:beforeAutospacing="0" w:before="0" w:afterAutospacing="0" w:after="0"/>
        <w:jc w:val="both"/>
        <w:rPr>
          <w:rFonts w:ascii="Arial" w:hAnsi="Arial" w:cs="Arial"/>
          <w:b w:val="false"/>
          <w:bCs w:val="false"/>
          <w:sz w:val="24"/>
          <w:szCs w:val="24"/>
        </w:rPr>
      </w:pPr>
      <w:r>
        <w:rPr>
          <w:rFonts w:cs="Arial" w:ascii="Arial" w:hAnsi="Arial"/>
          <w:b w:val="false"/>
          <w:bCs w:val="false"/>
          <w:sz w:val="24"/>
          <w:szCs w:val="24"/>
        </w:rPr>
      </w:r>
    </w:p>
    <w:p>
      <w:pPr>
        <w:pStyle w:val="NormalWeb"/>
        <w:numPr>
          <w:ilvl w:val="0"/>
          <w:numId w:val="0"/>
        </w:numPr>
        <w:spacing w:lineRule="auto" w:line="240"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eastAsia="Calibri" w:cs="Arial" w:ascii="Arial" w:hAnsi="Arial" w:eastAsiaTheme="minorHAnsi"/>
          <w:sz w:val="24"/>
          <w:szCs w:val="24"/>
          <w:lang w:eastAsia="en-US"/>
        </w:rPr>
        <w:t>2.10.</w:t>
        <w:tab/>
        <w:t xml:space="preserve">Com base nesses dados históricos, torna-se patente que empenho estimativo para custear as despesas decorrentes do consumo de água em questão, constitui um reflexo da inafastável responsabilidade da Secretaria de Administração com o dever de zelar pela economicidade na gestão dos recursos públicos (art. 70, CF/88). </w:t>
      </w:r>
    </w:p>
    <w:p>
      <w:pPr>
        <w:pStyle w:val="NormalWeb"/>
        <w:numPr>
          <w:ilvl w:val="0"/>
          <w:numId w:val="0"/>
        </w:numPr>
        <w:spacing w:lineRule="auto" w:line="240"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Web"/>
        <w:numPr>
          <w:ilvl w:val="0"/>
          <w:numId w:val="1"/>
        </w:numPr>
        <w:shd w:val="clear" w:color="auto" w:fill="D9D9D9" w:themeFill="background1" w:themeFillShade="d9"/>
        <w:spacing w:lineRule="auto" w:line="240"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QUANTIDADE DE COMPRA DO BEM/MATERIAL A SER ADQUIRIDO OU PRESTAÇÃO DE SERVIÇOS A SEREM CONTRATADAS, QUANDO COUBER, CONSIDERADA A EXPECTATIVA DE CONSUMO ANUAL E LOCAIS DE ENTREGA/EXECUÇÃO.</w:t>
      </w:r>
    </w:p>
    <w:p>
      <w:pPr>
        <w:pStyle w:val="NormalWeb"/>
        <w:spacing w:lineRule="auto" w:line="240" w:beforeAutospacing="0" w:before="0" w:afterAutospacing="0" w:after="0"/>
        <w:jc w:val="both"/>
        <w:rPr>
          <w:rFonts w:ascii="Arial" w:hAnsi="Arial" w:cs="Arial"/>
          <w:sz w:val="24"/>
          <w:szCs w:val="24"/>
          <w:highlight w:val="lightGray"/>
        </w:rPr>
      </w:pPr>
      <w:r>
        <w:rPr>
          <w:rFonts w:cs="Arial" w:ascii="Arial" w:hAnsi="Arial"/>
          <w:sz w:val="24"/>
          <w:szCs w:val="24"/>
          <w:highlight w:val="lightGray"/>
        </w:rPr>
      </w:r>
    </w:p>
    <w:p>
      <w:pPr>
        <w:pStyle w:val="NormalWeb"/>
        <w:numPr>
          <w:ilvl w:val="1"/>
          <w:numId w:val="1"/>
        </w:numPr>
        <w:spacing w:lineRule="auto" w:line="240"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i/>
          <w:sz w:val="24"/>
          <w:szCs w:val="24"/>
        </w:rPr>
        <w:t>Não se aplica a presente contratação.</w:t>
      </w:r>
    </w:p>
    <w:p>
      <w:pPr>
        <w:pStyle w:val="NormalWeb"/>
        <w:spacing w:lineRule="auto" w:line="240" w:beforeAutospacing="0" w:before="0" w:afterAutospacing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Web"/>
        <w:numPr>
          <w:ilvl w:val="0"/>
          <w:numId w:val="1"/>
        </w:numPr>
        <w:shd w:val="clear" w:color="auto" w:fill="D9D9D9" w:themeFill="background1" w:themeFillShade="d9"/>
        <w:spacing w:lineRule="auto" w:line="240"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PREVISÃO DE DATA EM QUE DEVE SER INICIADA A CONCLUSÃO DA CONTRATAÇÃO OU REQUISIÇÃO DO BEM</w:t>
      </w:r>
    </w:p>
    <w:p>
      <w:pPr>
        <w:pStyle w:val="NormalWeb"/>
        <w:spacing w:lineRule="auto" w:line="240" w:beforeAutospacing="0" w:before="0" w:afterAutospacing="0" w:after="0"/>
        <w:jc w:val="both"/>
        <w:rPr>
          <w:rFonts w:ascii="Arial" w:hAnsi="Arial" w:cs="Arial"/>
          <w:sz w:val="24"/>
          <w:szCs w:val="24"/>
          <w:highlight w:val="lightGray"/>
        </w:rPr>
      </w:pPr>
      <w:r>
        <w:rPr>
          <w:rFonts w:cs="Arial" w:ascii="Arial" w:hAnsi="Arial"/>
          <w:sz w:val="24"/>
          <w:szCs w:val="24"/>
          <w:highlight w:val="lightGray"/>
        </w:rPr>
      </w:r>
    </w:p>
    <w:p>
      <w:pPr>
        <w:pStyle w:val="NormalWeb"/>
        <w:numPr>
          <w:ilvl w:val="1"/>
          <w:numId w:val="1"/>
        </w:numPr>
        <w:spacing w:lineRule="auto" w:line="240"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A concretização do empenho em questão </w:t>
      </w:r>
      <w:r>
        <w:rPr>
          <w:rFonts w:cs="Arial" w:ascii="Arial" w:hAnsi="Arial"/>
          <w:b/>
          <w:sz w:val="24"/>
          <w:szCs w:val="24"/>
        </w:rPr>
        <w:t>deverá ocorrer, preferencialmente, no mês de</w:t>
      </w:r>
      <w:r>
        <w:rPr>
          <w:rFonts w:cs="Arial" w:ascii="Arial" w:hAnsi="Arial"/>
          <w:b/>
          <w:sz w:val="24"/>
          <w:szCs w:val="24"/>
          <w:shd w:fill="auto" w:val="clear"/>
        </w:rPr>
        <w:t xml:space="preserve"> setembro de 2025</w:t>
      </w:r>
      <w:r>
        <w:rPr>
          <w:rFonts w:cs="Arial" w:ascii="Arial" w:hAnsi="Arial"/>
          <w:sz w:val="24"/>
          <w:szCs w:val="24"/>
        </w:rPr>
        <w:t xml:space="preserve">, com vigência programada para o custeio das despesas relativas ao consumo de água no período de </w:t>
      </w:r>
      <w:r>
        <w:rPr>
          <w:rFonts w:cs="Arial" w:ascii="Arial" w:hAnsi="Arial"/>
          <w:sz w:val="24"/>
          <w:szCs w:val="24"/>
          <w:shd w:fill="auto" w:val="clear"/>
        </w:rPr>
        <w:t>01/11/2025 a</w:t>
      </w:r>
      <w:r>
        <w:rPr>
          <w:rFonts w:cs="Arial" w:ascii="Arial" w:hAnsi="Arial"/>
          <w:sz w:val="24"/>
          <w:szCs w:val="24"/>
          <w:shd w:fill="FFFF00" w:val="clear"/>
        </w:rPr>
        <w:t xml:space="preserve"> </w:t>
      </w:r>
      <w:r>
        <w:rPr>
          <w:rFonts w:cs="Arial" w:ascii="Arial" w:hAnsi="Arial"/>
          <w:sz w:val="24"/>
          <w:szCs w:val="24"/>
          <w:shd w:fill="auto" w:val="clear"/>
        </w:rPr>
        <w:t>31/12/2025</w:t>
      </w:r>
      <w:r>
        <w:rPr>
          <w:rFonts w:cs="Arial" w:ascii="Arial" w:hAnsi="Arial"/>
          <w:sz w:val="24"/>
          <w:szCs w:val="24"/>
        </w:rPr>
        <w:t xml:space="preserve">, </w:t>
      </w:r>
      <w:r>
        <w:rPr>
          <w:rFonts w:cs="Arial" w:ascii="Arial" w:hAnsi="Arial"/>
          <w:b/>
          <w:bCs/>
          <w:color w:val="000000"/>
          <w:sz w:val="24"/>
          <w:szCs w:val="24"/>
        </w:rPr>
        <w:t>NÃO</w:t>
      </w:r>
      <w:r>
        <w:rPr>
          <w:rFonts w:cs="Arial" w:ascii="Arial" w:hAnsi="Arial"/>
          <w:b/>
          <w:bCs/>
          <w:color w:val="auto"/>
          <w:sz w:val="24"/>
          <w:szCs w:val="24"/>
        </w:rPr>
        <w:t xml:space="preserve"> havendo, para tanto, a necessidade de atualização do Plano Anual de Contratações (PAC) 2025</w:t>
      </w:r>
      <w:r>
        <w:rPr>
          <w:rFonts w:cs="Arial" w:ascii="Arial" w:hAnsi="Arial"/>
          <w:b/>
          <w:color w:val="auto"/>
          <w:sz w:val="24"/>
          <w:szCs w:val="24"/>
        </w:rPr>
        <w:t>.</w:t>
      </w:r>
    </w:p>
    <w:p>
      <w:pPr>
        <w:pStyle w:val="NormalWeb"/>
        <w:spacing w:lineRule="auto" w:line="240" w:beforeAutospacing="0" w:before="0" w:afterAutospacing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Web"/>
        <w:numPr>
          <w:ilvl w:val="0"/>
          <w:numId w:val="1"/>
        </w:numPr>
        <w:shd w:val="clear" w:color="auto" w:fill="D9D9D9" w:themeFill="background1" w:themeFillShade="d9"/>
        <w:spacing w:lineRule="auto" w:line="240"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DA DISPENSABILIDADE DE ESTUDO TÉCNICO PRELIMINAR</w:t>
      </w:r>
    </w:p>
    <w:p>
      <w:pPr>
        <w:pStyle w:val="NormalWeb"/>
        <w:spacing w:lineRule="auto" w:line="240" w:beforeAutospacing="0" w:before="0" w:afterAutospacing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lineRule="auto" w:line="240"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A dispensa do Estudo Técnico Preliminar (ETP), neste caso, fundamenta-se em uma série de circunstâncias específicas e de ordem jurídica. Veja, inicialmente, a Lei Federal nº 4.320/1964 dispõe em seu art. 60, que é </w:t>
      </w:r>
      <w:r>
        <w:rPr>
          <w:rFonts w:cs="Arial" w:ascii="Arial" w:hAnsi="Arial"/>
          <w:b/>
          <w:sz w:val="24"/>
          <w:szCs w:val="24"/>
        </w:rPr>
        <w:t>vedada a realização de despesas sem prévio empenho.</w:t>
      </w:r>
      <w:r>
        <w:rPr>
          <w:rFonts w:cs="Arial" w:ascii="Arial" w:hAnsi="Arial"/>
          <w:sz w:val="24"/>
          <w:szCs w:val="24"/>
        </w:rPr>
        <w:t xml:space="preserve"> O empenho, conceitualmente, trata-se do primeiro estágio da execução da despesa pública, o qual se caracteriza como um ato emanado da autoridade competente que compromete parcela de dotação orçamentária disponível, funcionando como uma garantia ao credor do ente público de que existe o crédito necessário para a liquidação de um compromisso assumido (art. 58, LRF).</w:t>
      </w:r>
    </w:p>
    <w:p>
      <w:pPr>
        <w:pStyle w:val="NormalWeb"/>
        <w:spacing w:lineRule="auto" w:line="240" w:beforeAutospacing="0" w:before="0" w:afterAutospacing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lineRule="auto" w:line="240"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Nessa perspectiva, o art. 60, §2º, da Lei Federal nº 4.320/1964, disciplina que, nas hipóteses de o montante da despesa não for possível ser determinado, será feito o </w:t>
      </w:r>
      <w:r>
        <w:rPr>
          <w:rFonts w:cs="Arial" w:ascii="Arial" w:hAnsi="Arial"/>
          <w:b/>
          <w:sz w:val="24"/>
          <w:szCs w:val="24"/>
        </w:rPr>
        <w:t>empenho por estimativa.</w:t>
      </w:r>
      <w:r>
        <w:rPr>
          <w:rFonts w:cs="Arial" w:ascii="Arial" w:hAnsi="Arial"/>
          <w:sz w:val="24"/>
          <w:szCs w:val="24"/>
        </w:rPr>
        <w:t xml:space="preserve"> Tem-se, portanto, como aquele em que </w:t>
      </w:r>
      <w:r>
        <w:rPr>
          <w:rFonts w:cs="Arial" w:ascii="Arial" w:hAnsi="Arial"/>
          <w:b/>
          <w:sz w:val="24"/>
          <w:szCs w:val="24"/>
        </w:rPr>
        <w:t>não se pode determinar previamente o montante exato a ser pago</w:t>
      </w:r>
      <w:r>
        <w:rPr>
          <w:rFonts w:cs="Arial" w:ascii="Arial" w:hAnsi="Arial"/>
          <w:sz w:val="24"/>
          <w:szCs w:val="24"/>
        </w:rPr>
        <w:t>, como ocorre, em particular, com as contas de água, luz, gás e telefone.</w:t>
      </w:r>
    </w:p>
    <w:p>
      <w:pPr>
        <w:pStyle w:val="NormalWeb"/>
        <w:spacing w:lineRule="auto" w:line="240" w:beforeAutospacing="0" w:before="0" w:afterAutospacing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lineRule="auto" w:line="240"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Ademais, a Lei Federal nº 14.133, por meio do art. 74, </w:t>
      </w:r>
      <w:r>
        <w:rPr>
          <w:rFonts w:cs="Arial" w:ascii="Arial" w:hAnsi="Arial"/>
          <w:i/>
          <w:sz w:val="24"/>
          <w:szCs w:val="24"/>
        </w:rPr>
        <w:t>caput</w:t>
      </w:r>
      <w:r>
        <w:rPr>
          <w:rFonts w:cs="Arial" w:ascii="Arial" w:hAnsi="Arial"/>
          <w:sz w:val="24"/>
          <w:szCs w:val="24"/>
        </w:rPr>
        <w:t xml:space="preserve">, determina a inexigibilidade de licitação nas hipóteses de ser inviável a competição. </w:t>
      </w:r>
    </w:p>
    <w:p>
      <w:pPr>
        <w:pStyle w:val="NormalWeb"/>
        <w:spacing w:lineRule="auto" w:line="240" w:beforeAutospacing="0" w:before="0" w:afterAutospacing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lineRule="auto" w:line="240"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Assim, por consequência, dada à natureza do objeto em questão, </w:t>
      </w:r>
      <w:r>
        <w:rPr>
          <w:rFonts w:cs="Arial" w:ascii="Arial" w:hAnsi="Arial"/>
          <w:b/>
          <w:sz w:val="24"/>
          <w:szCs w:val="24"/>
        </w:rPr>
        <w:t>dispensa-se a elaboração do Estudo Técnico Preliminar (ETP)</w:t>
      </w:r>
      <w:r>
        <w:rPr>
          <w:rFonts w:cs="Arial" w:ascii="Arial" w:hAnsi="Arial"/>
          <w:sz w:val="24"/>
          <w:szCs w:val="24"/>
        </w:rPr>
        <w:t xml:space="preserve">, vez que a </w:t>
      </w:r>
      <w:r>
        <w:rPr>
          <w:rFonts w:cs="Arial" w:ascii="Arial" w:hAnsi="Arial"/>
          <w:b/>
          <w:sz w:val="24"/>
          <w:szCs w:val="24"/>
        </w:rPr>
        <w:t>solução adequada</w:t>
      </w:r>
      <w:r>
        <w:rPr>
          <w:rFonts w:cs="Arial" w:ascii="Arial" w:hAnsi="Arial"/>
          <w:sz w:val="24"/>
          <w:szCs w:val="24"/>
        </w:rPr>
        <w:t xml:space="preserve"> para o custeio das despesas decorrentes do consumo de água pelas unidades relativas à Secretaria Municipal de Administração, </w:t>
      </w:r>
      <w:r>
        <w:rPr>
          <w:rFonts w:cs="Arial" w:ascii="Arial" w:hAnsi="Arial"/>
          <w:b/>
          <w:sz w:val="24"/>
          <w:szCs w:val="24"/>
        </w:rPr>
        <w:t>é a realização de</w:t>
      </w:r>
      <w:r>
        <w:rPr>
          <w:rFonts w:cs="Arial" w:ascii="Arial" w:hAnsi="Arial"/>
          <w:sz w:val="24"/>
          <w:szCs w:val="24"/>
        </w:rPr>
        <w:t xml:space="preserve"> </w:t>
      </w:r>
      <w:r>
        <w:rPr>
          <w:rFonts w:cs="Arial" w:ascii="Arial" w:hAnsi="Arial"/>
          <w:b/>
          <w:sz w:val="24"/>
          <w:szCs w:val="24"/>
        </w:rPr>
        <w:t>empenho</w:t>
      </w:r>
      <w:r>
        <w:rPr>
          <w:rFonts w:cs="Arial" w:ascii="Arial" w:hAnsi="Arial"/>
          <w:bCs/>
          <w:sz w:val="24"/>
          <w:szCs w:val="24"/>
        </w:rPr>
        <w:t xml:space="preserve">, com fulcro no art. 60, da Lei Federal nº </w:t>
      </w:r>
      <w:r>
        <w:rPr>
          <w:rFonts w:cs="Arial" w:ascii="Arial" w:hAnsi="Arial"/>
          <w:sz w:val="24"/>
          <w:szCs w:val="24"/>
        </w:rPr>
        <w:t xml:space="preserve">4.320/1964 e art. 74, </w:t>
      </w:r>
      <w:r>
        <w:rPr>
          <w:rFonts w:cs="Arial" w:ascii="Arial" w:hAnsi="Arial"/>
          <w:i/>
          <w:sz w:val="24"/>
          <w:szCs w:val="24"/>
        </w:rPr>
        <w:t>caput</w:t>
      </w:r>
      <w:r>
        <w:rPr>
          <w:rFonts w:cs="Arial" w:ascii="Arial" w:hAnsi="Arial"/>
          <w:sz w:val="24"/>
          <w:szCs w:val="24"/>
        </w:rPr>
        <w:t>, da Lei Federal nº 14.133/2021.</w:t>
      </w:r>
    </w:p>
    <w:p>
      <w:pPr>
        <w:pStyle w:val="NormalWeb"/>
        <w:spacing w:lineRule="auto" w:line="240" w:beforeAutospacing="0" w:before="0" w:afterAutospacing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Web"/>
        <w:numPr>
          <w:ilvl w:val="0"/>
          <w:numId w:val="1"/>
        </w:numPr>
        <w:shd w:val="clear" w:color="auto" w:fill="D9D9D9" w:themeFill="background1" w:themeFillShade="d9"/>
        <w:spacing w:lineRule="auto" w:line="240"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DADOS DE ASSINATURAS</w:t>
      </w:r>
    </w:p>
    <w:p>
      <w:pPr>
        <w:pStyle w:val="NormalWeb"/>
        <w:spacing w:lineRule="auto" w:line="240" w:beforeAutospacing="0" w:before="0" w:afterAutospacing="0" w:after="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Web"/>
        <w:numPr>
          <w:ilvl w:val="1"/>
          <w:numId w:val="1"/>
        </w:numPr>
        <w:spacing w:lineRule="auto" w:line="240" w:beforeAutospacing="0" w:before="0" w:afterAutospacing="0" w:after="0"/>
        <w:ind w:hanging="0" w:left="0"/>
        <w:jc w:val="both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Gestor da Unidade Requisitante:</w:t>
      </w:r>
      <w:r>
        <w:rPr>
          <w:rFonts w:cs="Arial" w:ascii="Arial" w:hAnsi="Arial"/>
          <w:sz w:val="24"/>
          <w:szCs w:val="24"/>
        </w:rPr>
        <w:t xml:space="preserve"> NAYANE ALLINE DA SILVA MALAVASI.</w:t>
      </w:r>
    </w:p>
    <w:p>
      <w:pPr>
        <w:pStyle w:val="NormalWeb"/>
        <w:spacing w:lineRule="auto" w:line="240" w:beforeAutospacing="0" w:before="0" w:afterAutospacing="0" w:after="0"/>
        <w:jc w:val="both"/>
        <w:rPr>
          <w:rFonts w:ascii="Arial" w:hAnsi="Arial" w:cs="Arial"/>
          <w:sz w:val="24"/>
          <w:szCs w:val="24"/>
          <w:highlight w:val="lightGray"/>
        </w:rPr>
      </w:pPr>
      <w:r>
        <w:rPr>
          <w:rFonts w:cs="Arial" w:ascii="Arial" w:hAnsi="Arial"/>
          <w:sz w:val="24"/>
          <w:szCs w:val="24"/>
          <w:highlight w:val="lightGray"/>
        </w:rPr>
      </w:r>
    </w:p>
    <w:p>
      <w:pPr>
        <w:pStyle w:val="NormalWeb"/>
        <w:spacing w:lineRule="auto" w:line="240" w:beforeAutospacing="0" w:before="0" w:afterAutospacing="0" w:after="0"/>
        <w:jc w:val="both"/>
        <w:rPr>
          <w:rFonts w:ascii="Arial" w:hAnsi="Arial" w:cs="Arial"/>
          <w:sz w:val="24"/>
          <w:szCs w:val="24"/>
          <w:highlight w:val="lightGray"/>
        </w:rPr>
      </w:pPr>
      <w:r>
        <w:rPr>
          <w:rFonts w:cs="Arial" w:ascii="Arial" w:hAnsi="Arial"/>
          <w:sz w:val="24"/>
          <w:szCs w:val="24"/>
          <w:highlight w:val="lightGray"/>
        </w:rPr>
      </w:r>
    </w:p>
    <w:p>
      <w:pPr>
        <w:pStyle w:val="NormalWeb"/>
        <w:spacing w:lineRule="auto" w:line="240" w:beforeAutospacing="0" w:before="0" w:afterAutospacing="0" w:after="0"/>
        <w:jc w:val="right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São Roque do Canaã/ES</w:t>
      </w:r>
      <w:r>
        <w:rPr>
          <w:rFonts w:cs="Arial" w:ascii="Arial" w:hAnsi="Arial"/>
          <w:sz w:val="24"/>
          <w:szCs w:val="24"/>
        </w:rPr>
        <w:t>, 0</w:t>
      </w:r>
      <w:r>
        <w:rPr>
          <w:rFonts w:cs="Arial" w:ascii="Arial" w:hAnsi="Arial"/>
          <w:sz w:val="24"/>
          <w:szCs w:val="24"/>
          <w:shd w:fill="auto" w:val="clear"/>
        </w:rPr>
        <w:t>6 de Novembro de 20</w:t>
      </w:r>
      <w:r>
        <w:rPr>
          <w:rFonts w:cs="Arial" w:ascii="Arial" w:hAnsi="Arial"/>
          <w:sz w:val="24"/>
          <w:szCs w:val="24"/>
        </w:rPr>
        <w:t>25</w:t>
      </w:r>
    </w:p>
    <w:tbl>
      <w:tblPr>
        <w:tblStyle w:val="Tabelacomgrade"/>
        <w:tblW w:w="907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71"/>
      </w:tblGrid>
      <w:tr>
        <w:trPr/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cs="Arial" w:ascii="Arial" w:hAnsi="Arial"/>
                <w:b/>
                <w:color w:themeColor="text1" w:val="000000"/>
                <w:kern w:val="0"/>
                <w:sz w:val="24"/>
                <w:szCs w:val="24"/>
                <w:shd w:fill="auto" w:val="clear"/>
                <w:lang w:val="pt-BR" w:bidi="ar-SA"/>
              </w:rPr>
              <w:t>NAYANE ALLINE DA SILVA MALAVASI</w:t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cs="Arial" w:ascii="Arial" w:hAnsi="Arial"/>
                <w:color w:themeColor="text1" w:val="000000"/>
                <w:kern w:val="0"/>
                <w:sz w:val="24"/>
                <w:szCs w:val="24"/>
                <w:shd w:fill="auto" w:val="clear"/>
                <w:lang w:val="pt-BR" w:bidi="ar-SA"/>
              </w:rPr>
              <w:t>Secretária Municipal de Administração</w:t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</w:r>
          </w:p>
        </w:tc>
      </w:tr>
    </w:tbl>
    <w:p>
      <w:pPr>
        <w:pStyle w:val="Normal"/>
        <w:spacing w:lineRule="auto" w:line="240" w:before="0" w:after="0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sectPr>
      <w:headerReference w:type="default" r:id="rId2"/>
      <w:footerReference w:type="default" r:id="rId3"/>
      <w:type w:val="nextPage"/>
      <w:pgSz w:w="11906" w:h="16838"/>
      <w:pgMar w:left="1701" w:right="1134" w:gutter="0" w:header="709" w:top="1701" w:footer="709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 Light">
    <w:charset w:val="00"/>
    <w:family w:val="roman"/>
    <w:pitch w:val="variable"/>
  </w:font>
  <w:font w:name="Segoe UI">
    <w:charset w:val="00"/>
    <w:family w:val="roman"/>
    <w:pitch w:val="variable"/>
  </w:font>
  <w:font w:name="Cambri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>
        <w:rFonts w:ascii="Arial" w:hAnsi="Arial" w:cs="Arial"/>
        <w:sz w:val="20"/>
        <w:szCs w:val="16"/>
      </w:rPr>
    </w:pPr>
    <w:r>
      <w:rPr>
        <w:rFonts w:cs="Arial" w:ascii="Arial" w:hAnsi="Arial"/>
        <w:sz w:val="20"/>
        <w:szCs w:val="16"/>
      </w:rPr>
    </w:r>
  </w:p>
  <w:p>
    <w:pPr>
      <w:pStyle w:val="Footer"/>
      <w:jc w:val="center"/>
      <w:rPr>
        <w:rFonts w:ascii="Arial" w:hAnsi="Arial" w:cs="Arial"/>
        <w:sz w:val="20"/>
        <w:szCs w:val="16"/>
      </w:rPr>
    </w:pPr>
    <w:r>
      <w:rPr>
        <w:rFonts w:cs="Arial" w:ascii="Arial" w:hAnsi="Arial"/>
        <w:sz w:val="20"/>
        <w:szCs w:val="16"/>
      </w:rPr>
      <w:t>Rua Lourenço Roldi n.º 88, São Roquinho, São Roque do Canaã/ES, CEP: 29665-000</w:t>
    </w:r>
  </w:p>
  <w:p>
    <w:pPr>
      <w:pStyle w:val="Footer"/>
      <w:jc w:val="center"/>
      <w:rPr/>
    </w:pPr>
    <w:r>
      <w:rPr>
        <w:rFonts w:cs="Arial" w:ascii="Arial" w:hAnsi="Arial"/>
        <w:sz w:val="20"/>
        <w:szCs w:val="16"/>
      </w:rPr>
      <w:t>Telefone: (27) 3729-1120 | E-mail: administração@saoroquedocanaa.es.gov.br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tabs>
        <w:tab w:val="left" w:pos="2166" w:leader="none"/>
        <w:tab w:val="center" w:pos="4252" w:leader="none"/>
        <w:tab w:val="right" w:pos="8504" w:leader="none"/>
      </w:tabs>
      <w:spacing w:lineRule="auto" w:line="276"/>
      <w:jc w:val="center"/>
      <w:rPr>
        <w:rFonts w:ascii="Arial" w:hAnsi="Arial" w:cs="Arial"/>
        <w:b/>
        <w:szCs w:val="16"/>
      </w:rPr>
    </w:pPr>
    <w:r>
      <w:rPr/>
      <w:drawing>
        <wp:inline distT="0" distB="0" distL="0" distR="0">
          <wp:extent cx="647700" cy="650240"/>
          <wp:effectExtent l="0" t="0" r="0" b="0"/>
          <wp:docPr id="1" name="Imagem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502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Header"/>
      <w:tabs>
        <w:tab w:val="left" w:pos="2166" w:leader="none"/>
        <w:tab w:val="center" w:pos="4252" w:leader="none"/>
        <w:tab w:val="right" w:pos="8504" w:leader="none"/>
      </w:tabs>
      <w:jc w:val="center"/>
      <w:rPr>
        <w:rFonts w:ascii="Arial" w:hAnsi="Arial" w:cs="Arial"/>
        <w:b/>
        <w:szCs w:val="16"/>
      </w:rPr>
    </w:pPr>
    <w:r>
      <w:rPr>
        <w:rFonts w:cs="Arial" w:ascii="Arial" w:hAnsi="Arial"/>
        <w:b/>
        <w:szCs w:val="16"/>
      </w:rPr>
      <w:t>PREFEITURA MUNICIPAL DE SÃO ROQUE DO CANAÃ</w:t>
    </w:r>
  </w:p>
  <w:p>
    <w:pPr>
      <w:pStyle w:val="Subtitle"/>
      <w:rPr>
        <w:rFonts w:ascii="Arial" w:hAnsi="Arial" w:cs="Arial"/>
        <w:sz w:val="22"/>
        <w:szCs w:val="16"/>
      </w:rPr>
    </w:pPr>
    <w:r>
      <w:rPr>
        <w:rFonts w:cs="Arial" w:ascii="Arial" w:hAnsi="Arial"/>
        <w:sz w:val="22"/>
        <w:szCs w:val="16"/>
      </w:rPr>
      <w:t>ESTADO DO ESPÍRITO SANTO</w:t>
    </w:r>
  </w:p>
  <w:p>
    <w:pPr>
      <w:pStyle w:val="Subtitle"/>
      <w:rPr>
        <w:rFonts w:ascii="Arial" w:hAnsi="Arial" w:cs="Arial"/>
        <w:sz w:val="22"/>
        <w:szCs w:val="16"/>
      </w:rPr>
    </w:pPr>
    <w:r>
      <w:rPr>
        <w:rFonts w:cs="Arial" w:ascii="Arial" w:hAnsi="Arial"/>
        <w:sz w:val="22"/>
        <w:szCs w:val="16"/>
      </w:rPr>
      <w:t>SECRETARIA MUNICIPAL DE ADMINISTRAÇÃO</w:t>
    </w:r>
  </w:p>
  <w:p>
    <w:pPr>
      <w:pStyle w:val="Subtitle"/>
      <w:jc w:val="left"/>
      <w:rPr>
        <w:rFonts w:ascii="Arial" w:hAnsi="Arial" w:cs="Arial"/>
        <w:sz w:val="22"/>
        <w:szCs w:val="16"/>
      </w:rPr>
    </w:pPr>
    <w:r>
      <w:rPr>
        <w:rFonts w:cs="Arial" w:ascii="Arial" w:hAnsi="Arial"/>
        <w:sz w:val="22"/>
        <w:szCs w:val="16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2">
    <w:lvl w:ilvl="0">
      <w:start w:val="1"/>
      <w:numFmt w:val="lowerLetter"/>
      <w:lvlText w:val="%1)"/>
      <w:lvlJc w:val="left"/>
      <w:pPr>
        <w:tabs>
          <w:tab w:val="num" w:pos="775"/>
        </w:tabs>
        <w:ind w:left="775" w:hanging="360"/>
      </w:pPr>
      <w:rPr/>
    </w:lvl>
    <w:lvl w:ilvl="1">
      <w:start w:val="1"/>
      <w:numFmt w:val="decimal"/>
      <w:lvlText w:val="%2."/>
      <w:lvlJc w:val="left"/>
      <w:pPr>
        <w:tabs>
          <w:tab w:val="num" w:pos="1135"/>
        </w:tabs>
        <w:ind w:left="1135" w:hanging="360"/>
      </w:pPr>
      <w:rPr/>
    </w:lvl>
    <w:lvl w:ilvl="2">
      <w:start w:val="1"/>
      <w:numFmt w:val="decimal"/>
      <w:lvlText w:val="%3."/>
      <w:lvlJc w:val="left"/>
      <w:pPr>
        <w:tabs>
          <w:tab w:val="num" w:pos="1495"/>
        </w:tabs>
        <w:ind w:left="1495" w:hanging="360"/>
      </w:pPr>
      <w:rPr/>
    </w:lvl>
    <w:lvl w:ilvl="3">
      <w:start w:val="1"/>
      <w:numFmt w:val="decimal"/>
      <w:lvlText w:val="%4."/>
      <w:lvlJc w:val="left"/>
      <w:pPr>
        <w:tabs>
          <w:tab w:val="num" w:pos="1855"/>
        </w:tabs>
        <w:ind w:left="1855" w:hanging="360"/>
      </w:pPr>
      <w:rPr/>
    </w:lvl>
    <w:lvl w:ilvl="4">
      <w:start w:val="1"/>
      <w:numFmt w:val="decimal"/>
      <w:lvlText w:val="%5."/>
      <w:lvlJc w:val="left"/>
      <w:pPr>
        <w:tabs>
          <w:tab w:val="num" w:pos="2215"/>
        </w:tabs>
        <w:ind w:left="2215" w:hanging="360"/>
      </w:pPr>
      <w:rPr/>
    </w:lvl>
    <w:lvl w:ilvl="5">
      <w:start w:val="1"/>
      <w:numFmt w:val="decimal"/>
      <w:lvlText w:val="%6."/>
      <w:lvlJc w:val="left"/>
      <w:pPr>
        <w:tabs>
          <w:tab w:val="num" w:pos="2575"/>
        </w:tabs>
        <w:ind w:left="2575" w:hanging="360"/>
      </w:pPr>
      <w:rPr/>
    </w:lvl>
    <w:lvl w:ilvl="6">
      <w:start w:val="1"/>
      <w:numFmt w:val="decimal"/>
      <w:lvlText w:val="%7."/>
      <w:lvlJc w:val="left"/>
      <w:pPr>
        <w:tabs>
          <w:tab w:val="num" w:pos="2935"/>
        </w:tabs>
        <w:ind w:left="2935" w:hanging="360"/>
      </w:pPr>
      <w:rPr/>
    </w:lvl>
    <w:lvl w:ilvl="7">
      <w:start w:val="1"/>
      <w:numFmt w:val="decimal"/>
      <w:lvlText w:val="%8."/>
      <w:lvlJc w:val="left"/>
      <w:pPr>
        <w:tabs>
          <w:tab w:val="num" w:pos="3295"/>
        </w:tabs>
        <w:ind w:left="3295" w:hanging="360"/>
      </w:pPr>
      <w:rPr/>
    </w:lvl>
    <w:lvl w:ilvl="8">
      <w:start w:val="1"/>
      <w:numFmt w:val="decimal"/>
      <w:lvlText w:val="%9."/>
      <w:lvlJc w:val="left"/>
      <w:pPr>
        <w:tabs>
          <w:tab w:val="num" w:pos="3655"/>
        </w:tabs>
        <w:ind w:left="3655" w:hanging="36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8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 w:qFormat="1"/>
    <w:lsdException w:name="footer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uiPriority="0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paragraph" w:styleId="Heading1">
    <w:name w:val="Heading 1"/>
    <w:basedOn w:val="Normal"/>
    <w:next w:val="Normal"/>
    <w:link w:val="Ttulo1Char"/>
    <w:uiPriority w:val="9"/>
    <w:qFormat/>
    <w:rsid w:val="000a2c0f"/>
    <w:pPr>
      <w:keepNext w:val="true"/>
      <w:keepLines/>
      <w:spacing w:before="480" w:after="0"/>
      <w:outlineLvl w:val="0"/>
    </w:pPr>
    <w:rPr>
      <w:rFonts w:ascii="Calibri Light" w:hAnsi="Calibri Light" w:eastAsia="" w:cs="" w:asciiTheme="majorHAnsi" w:cstheme="majorBidi" w:eastAsiaTheme="majorEastAsia" w:hAnsiTheme="majorHAnsi"/>
      <w:b/>
      <w:bCs/>
      <w:color w:themeColor="accent1" w:themeShade="bf" w:val="2E74B5"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qFormat/>
    <w:rPr/>
  </w:style>
  <w:style w:type="character" w:styleId="RodapChar" w:customStyle="1">
    <w:name w:val="Rodapé Char"/>
    <w:basedOn w:val="DefaultParagraphFont"/>
    <w:uiPriority w:val="99"/>
    <w:qFormat/>
    <w:rPr/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Pr>
      <w:rFonts w:ascii="Segoe UI" w:hAnsi="Segoe UI" w:cs="Segoe UI"/>
      <w:sz w:val="18"/>
      <w:szCs w:val="18"/>
    </w:rPr>
  </w:style>
  <w:style w:type="character" w:styleId="Ttulo1Char" w:customStyle="1">
    <w:name w:val="Título 1 Char"/>
    <w:basedOn w:val="DefaultParagraphFont"/>
    <w:uiPriority w:val="9"/>
    <w:qFormat/>
    <w:rsid w:val="000a2c0f"/>
    <w:rPr>
      <w:rFonts w:ascii="Calibri Light" w:hAnsi="Calibri Light" w:eastAsia="" w:cs="" w:asciiTheme="majorHAnsi" w:cstheme="majorBidi" w:eastAsiaTheme="majorEastAsia" w:hAnsiTheme="majorHAnsi"/>
      <w:b/>
      <w:bCs/>
      <w:color w:themeColor="accent1" w:themeShade="bf" w:val="2E74B5"/>
      <w:sz w:val="28"/>
      <w:szCs w:val="28"/>
      <w:lang w:eastAsia="en-US"/>
    </w:rPr>
  </w:style>
  <w:style w:type="character" w:styleId="Hyperlink">
    <w:name w:val="Hyperlink"/>
    <w:basedOn w:val="DefaultParagraphFont"/>
    <w:uiPriority w:val="99"/>
    <w:unhideWhenUsed/>
    <w:rsid w:val="000a2c0f"/>
    <w:rPr>
      <w:color w:themeColor="hyperlink" w:val="0563C1"/>
      <w:u w:val="single"/>
    </w:rPr>
  </w:style>
  <w:style w:type="character" w:styleId="Markedcontent" w:customStyle="1">
    <w:name w:val="markedcontent"/>
    <w:basedOn w:val="DefaultParagraphFont"/>
    <w:qFormat/>
    <w:rsid w:val="000a2c0f"/>
    <w:rPr/>
  </w:style>
  <w:style w:type="character" w:styleId="SubttuloChar" w:customStyle="1">
    <w:name w:val="Subtítulo Char"/>
    <w:basedOn w:val="DefaultParagraphFont"/>
    <w:qFormat/>
    <w:rsid w:val="000b235b"/>
    <w:rPr>
      <w:rFonts w:ascii="Cambria" w:hAnsi="Cambria" w:eastAsia="Times New Roman" w:cs="Times New Roman"/>
      <w:sz w:val="24"/>
    </w:rPr>
  </w:style>
  <w:style w:type="character" w:styleId="PargrafodaListaChar" w:customStyle="1">
    <w:name w:val="Parágrafo da Lista Char"/>
    <w:link w:val="ListParagraph"/>
    <w:qFormat/>
    <w:locked/>
    <w:rsid w:val="006876f3"/>
    <w:rPr>
      <w:sz w:val="22"/>
      <w:szCs w:val="22"/>
      <w:lang w:eastAsia="en-US"/>
    </w:rPr>
  </w:style>
  <w:style w:type="character" w:styleId="Strong">
    <w:name w:val="Strong"/>
    <w:basedOn w:val="DefaultParagraphFont"/>
    <w:uiPriority w:val="22"/>
    <w:qFormat/>
    <w:rsid w:val="00600a63"/>
    <w:rPr>
      <w:b/>
      <w:bCs/>
    </w:rPr>
  </w:style>
  <w:style w:type="character" w:styleId="TtuloChar" w:customStyle="1">
    <w:name w:val="Título Char"/>
    <w:basedOn w:val="DefaultParagraphFont"/>
    <w:qFormat/>
    <w:rsid w:val="000f068c"/>
    <w:rPr>
      <w:rFonts w:ascii="Cambria" w:hAnsi="Cambria" w:eastAsia="Times New Roman" w:cs="Times New Roman"/>
      <w:b/>
      <w:kern w:val="2"/>
      <w:sz w:val="32"/>
    </w:rPr>
  </w:style>
  <w:style w:type="character" w:styleId="Corpodetexto3Char" w:customStyle="1">
    <w:name w:val="Corpo de texto 3 Char"/>
    <w:basedOn w:val="DefaultParagraphFont"/>
    <w:link w:val="BodyText3"/>
    <w:qFormat/>
    <w:rsid w:val="000f068c"/>
    <w:rPr>
      <w:rFonts w:ascii="Times New Roman" w:hAnsi="Times New Roman" w:eastAsia="Times New Roman" w:cs="Times New Roman"/>
      <w:sz w:val="16"/>
      <w:szCs w:val="16"/>
    </w:rPr>
  </w:style>
  <w:style w:type="character" w:styleId="TextodenotaderodapChar" w:customStyle="1">
    <w:name w:val="Texto de nota de rodapé Char"/>
    <w:basedOn w:val="DefaultParagraphFont"/>
    <w:uiPriority w:val="99"/>
    <w:semiHidden/>
    <w:qFormat/>
    <w:rsid w:val="003e5cca"/>
    <w:rPr>
      <w:lang w:eastAsia="en-US"/>
    </w:rPr>
  </w:style>
  <w:style w:type="character" w:styleId="Caracteresdenotaderodap">
    <w:name w:val="Caracteres de nota de rodapé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FootnoteCharacters">
    <w:name w:val="Footnote Characters"/>
    <w:basedOn w:val="DefaultParagraphFont"/>
    <w:uiPriority w:val="99"/>
    <w:semiHidden/>
    <w:unhideWhenUsed/>
    <w:qFormat/>
    <w:rsid w:val="003e5cca"/>
    <w:rPr>
      <w:vertAlign w:val="superscript"/>
    </w:rPr>
  </w:style>
  <w:style w:type="character" w:styleId="Caracteresdenotadefim">
    <w:name w:val="Caracteres de nota de fim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EndnoteCharacters">
    <w:name w:val="Endnote Characters"/>
    <w:qFormat/>
    <w:rPr>
      <w:vertAlign w:val="superscript"/>
    </w:rPr>
  </w:style>
  <w:style w:type="character" w:styleId="Smbolosdenumerao">
    <w:name w:val="Símbolos de numeração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NormalWeb">
    <w:name w:val="Normal (Web)"/>
    <w:basedOn w:val="Normal"/>
    <w:uiPriority w:val="99"/>
    <w:unhideWhenUsed/>
    <w:qFormat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nhideWhenUsed/>
    <w:qFormat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WW-Corpodetexto3" w:customStyle="1">
    <w:name w:val="WW-Corpo de texto 3"/>
    <w:basedOn w:val="Normal"/>
    <w:qFormat/>
    <w:pPr>
      <w:suppressAutoHyphens w:val="true"/>
      <w:spacing w:lineRule="auto" w:line="240" w:before="0" w:after="0"/>
      <w:jc w:val="both"/>
    </w:pPr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styleId="Subtitle">
    <w:name w:val="Subtitle"/>
    <w:basedOn w:val="Normal"/>
    <w:link w:val="SubttuloChar"/>
    <w:qFormat/>
    <w:rsid w:val="000b235b"/>
    <w:pPr>
      <w:spacing w:lineRule="auto" w:line="240" w:before="0" w:after="0"/>
      <w:jc w:val="center"/>
    </w:pPr>
    <w:rPr>
      <w:rFonts w:ascii="Cambria" w:hAnsi="Cambria" w:eastAsia="Times New Roman" w:cs="Times New Roman"/>
      <w:sz w:val="24"/>
      <w:szCs w:val="20"/>
      <w:lang w:eastAsia="pt-BR"/>
    </w:rPr>
  </w:style>
  <w:style w:type="paragraph" w:styleId="ListParagraph">
    <w:name w:val="List Paragraph"/>
    <w:basedOn w:val="Normal"/>
    <w:link w:val="PargrafodaListaChar"/>
    <w:uiPriority w:val="34"/>
    <w:qFormat/>
    <w:rsid w:val="000b28e5"/>
    <w:pPr>
      <w:spacing w:before="0" w:after="160"/>
      <w:ind w:hanging="0" w:left="720"/>
      <w:contextualSpacing/>
    </w:pPr>
    <w:rPr/>
  </w:style>
  <w:style w:type="paragraph" w:styleId="Corpodetexto23" w:customStyle="1">
    <w:name w:val="Corpo de texto 23"/>
    <w:basedOn w:val="Normal"/>
    <w:qFormat/>
    <w:rsid w:val="00de115b"/>
    <w:pPr>
      <w:spacing w:lineRule="auto" w:line="240" w:before="0" w:after="0"/>
      <w:jc w:val="both"/>
    </w:pPr>
    <w:rPr>
      <w:rFonts w:ascii="Times New Roman" w:hAnsi="Times New Roman" w:eastAsia="SimSun" w:cs="Times New Roman"/>
      <w:sz w:val="20"/>
      <w:szCs w:val="20"/>
      <w:lang w:eastAsia="zh-CN"/>
    </w:rPr>
  </w:style>
  <w:style w:type="paragraph" w:styleId="Title">
    <w:name w:val="Title"/>
    <w:basedOn w:val="Normal"/>
    <w:link w:val="TtuloChar"/>
    <w:qFormat/>
    <w:rsid w:val="000f068c"/>
    <w:pPr>
      <w:spacing w:lineRule="auto" w:line="240" w:before="0" w:after="0"/>
      <w:jc w:val="center"/>
    </w:pPr>
    <w:rPr>
      <w:rFonts w:ascii="Cambria" w:hAnsi="Cambria" w:eastAsia="Times New Roman" w:cs="Times New Roman"/>
      <w:b/>
      <w:kern w:val="2"/>
      <w:sz w:val="32"/>
      <w:szCs w:val="20"/>
      <w:lang w:eastAsia="pt-BR"/>
    </w:rPr>
  </w:style>
  <w:style w:type="paragraph" w:styleId="BodyText3">
    <w:name w:val="Body Text 3"/>
    <w:basedOn w:val="Normal"/>
    <w:link w:val="Corpodetexto3Char"/>
    <w:qFormat/>
    <w:rsid w:val="000f068c"/>
    <w:pPr>
      <w:spacing w:lineRule="auto" w:line="240" w:before="0" w:after="120"/>
    </w:pPr>
    <w:rPr>
      <w:rFonts w:ascii="Times New Roman" w:hAnsi="Times New Roman" w:eastAsia="Times New Roman" w:cs="Times New Roman"/>
      <w:sz w:val="16"/>
      <w:szCs w:val="16"/>
      <w:lang w:eastAsia="pt-BR"/>
    </w:rPr>
  </w:style>
  <w:style w:type="paragraph" w:styleId="FootnoteText">
    <w:name w:val="Footnote Text"/>
    <w:basedOn w:val="Normal"/>
    <w:link w:val="TextodenotaderodapChar"/>
    <w:uiPriority w:val="99"/>
    <w:semiHidden/>
    <w:unhideWhenUsed/>
    <w:rsid w:val="003e5cca"/>
    <w:pPr>
      <w:spacing w:lineRule="auto" w:line="240" w:before="0" w:after="0"/>
    </w:pPr>
    <w:rPr>
      <w:sz w:val="20"/>
      <w:szCs w:val="20"/>
    </w:rPr>
  </w:style>
  <w:style w:type="paragraph" w:styleId="Western" w:customStyle="1">
    <w:name w:val="western"/>
    <w:basedOn w:val="Normal"/>
    <w:qFormat/>
    <w:rsid w:val="005212e3"/>
    <w:pPr>
      <w:spacing w:lineRule="auto" w:line="240" w:beforeAutospacing="1" w:after="119"/>
    </w:pPr>
    <w:rPr>
      <w:rFonts w:ascii="Times New Roman" w:hAnsi="Times New Roman" w:eastAsia="Times New Roman" w:cs="Times New Roman"/>
      <w:color w:val="000000"/>
      <w:sz w:val="24"/>
      <w:szCs w:val="24"/>
      <w:lang w:eastAsia="pt-BR"/>
    </w:rPr>
  </w:style>
  <w:style w:type="paragraph" w:styleId="EndnoteText">
    <w:name w:val="Endnote Text"/>
    <w:basedOn w:val="Normal"/>
    <w:pPr>
      <w:suppressLineNumbers/>
      <w:ind w:hanging="340" w:left="340"/>
    </w:pPr>
    <w:rPr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e71961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F420D8-8CB8-4BE1-84F1-4C7608A447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</TotalTime>
  <Application>LibreOffice/7.6.4.1$Windows_X86_64 LibreOffice_project/e19e193f88cd6c0525a17fb7a176ed8e6a3e2aa1</Application>
  <AppVersion>15.0000</AppVersion>
  <Pages>4</Pages>
  <Words>1282</Words>
  <Characters>7292</Characters>
  <CharactersWithSpaces>8516</CharactersWithSpaces>
  <Paragraphs>46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2023-11-27T17:27:00Z</dcterms:created>
  <dc:creator>COMPUTADOR</dc:creator>
  <dc:description/>
  <dc:language>pt-BR</dc:language>
  <cp:lastModifiedBy/>
  <cp:lastPrinted>2025-08-26T12:58:12Z</cp:lastPrinted>
  <dcterms:modified xsi:type="dcterms:W3CDTF">2025-11-06T09:33:16Z</dcterms:modified>
  <cp:revision>22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A1EA58DFB2F64CA49379DECF14E588A6</vt:lpwstr>
  </property>
  <property fmtid="{D5CDD505-2E9C-101B-9397-08002B2CF9AE}" pid="3" name="KSOProductBuildVer">
    <vt:lpwstr>1046-11.2.0.11440</vt:lpwstr>
  </property>
</Properties>
</file>