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224D72">
      <w:pPr>
        <w:pStyle w:val="348"/>
        <w:spacing w:before="120" w:after="120"/>
        <w:rPr>
          <w:rFonts w:ascii="Times New Roman" w:hAnsi="Times New Roman" w:cs="Times New Roman"/>
          <w:color w:val="000000"/>
          <w:sz w:val="24"/>
          <w:lang w:val="pt-BR"/>
        </w:rPr>
      </w:pPr>
      <w:r>
        <w:rPr>
          <w:rFonts w:ascii="Times New Roman" w:hAnsi="Times New Roman" w:cs="Times New Roman"/>
          <w:color w:val="000000"/>
          <w:sz w:val="24"/>
          <w:lang w:val="pt-BR"/>
        </w:rPr>
        <w:t>TERMO DE REFERÊNCIA</w:t>
      </w:r>
    </w:p>
    <w:p w14:paraId="1F01FCA3">
      <w:pPr>
        <w:pStyle w:val="21"/>
        <w:jc w:val="both"/>
        <w:rPr>
          <w:rFonts w:ascii="Times New Roman" w:hAnsi="Times New Roman" w:cs="Times New Roman"/>
          <w:lang w:val="pt-BR"/>
        </w:rPr>
      </w:pPr>
    </w:p>
    <w:p w14:paraId="2A45B41C">
      <w:pPr>
        <w:pStyle w:val="348"/>
        <w:shd w:val="clear" w:color="auto" w:fill="D9D9D9"/>
        <w:jc w:val="both"/>
        <w:rPr>
          <w:rFonts w:ascii="Times New Roman" w:hAnsi="Times New Roman" w:cs="Times New Roman"/>
          <w:sz w:val="24"/>
          <w:lang w:val="pt-BR"/>
        </w:rPr>
      </w:pPr>
      <w:r>
        <w:rPr>
          <w:rFonts w:ascii="Times New Roman" w:hAnsi="Times New Roman" w:cs="Times New Roman"/>
          <w:color w:val="000000"/>
          <w:sz w:val="24"/>
        </w:rPr>
        <w:t>1</w:t>
      </w:r>
      <w:r>
        <w:rPr>
          <w:rFonts w:ascii="Times New Roman" w:hAnsi="Times New Roman" w:cs="Times New Roman"/>
          <w:color w:val="000000"/>
          <w:sz w:val="24"/>
          <w:lang w:val="pt-BR"/>
        </w:rPr>
        <w:t>.</w:t>
      </w:r>
      <w:r>
        <w:rPr>
          <w:rFonts w:ascii="Times New Roman" w:hAnsi="Times New Roman" w:cs="Times New Roman"/>
          <w:color w:val="000000"/>
          <w:sz w:val="24"/>
        </w:rPr>
        <w:t xml:space="preserve"> DA DESCRIÇÃO DO OBJETO</w:t>
      </w:r>
      <w:r>
        <w:rPr>
          <w:rFonts w:ascii="Times New Roman" w:hAnsi="Times New Roman" w:cs="Times New Roman"/>
          <w:color w:val="000000"/>
          <w:sz w:val="24"/>
          <w:lang w:val="pt-BR"/>
        </w:rPr>
        <w:t xml:space="preserve"> E DA VIGÊNCIA</w:t>
      </w:r>
    </w:p>
    <w:p w14:paraId="4F1B672B">
      <w:pPr>
        <w:spacing w:before="120" w:after="12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 O presente Termo de Referência tem por objetivo definir as condições que disciplinarão as contratações das Bandas/cantores/artistas regionai</w:t>
      </w:r>
      <w:r>
        <w:rPr>
          <w:rFonts w:hint="default" w:ascii="Times New Roman" w:hAnsi="Times New Roman" w:cs="Times New Roman"/>
          <w:color w:val="000000"/>
          <w:sz w:val="24"/>
          <w:szCs w:val="24"/>
          <w:lang w:val="pt-BR"/>
        </w:rPr>
        <w:t>s e nacionais</w:t>
      </w:r>
      <w:r>
        <w:rPr>
          <w:rFonts w:ascii="Times New Roman" w:hAnsi="Times New Roman" w:cs="Times New Roman"/>
          <w:color w:val="000000"/>
          <w:sz w:val="24"/>
          <w:szCs w:val="24"/>
        </w:rPr>
        <w:t xml:space="preserve"> necessári</w:t>
      </w:r>
      <w:r>
        <w:rPr>
          <w:rFonts w:hint="default" w:ascii="Times New Roman" w:hAnsi="Times New Roman" w:cs="Times New Roman"/>
          <w:color w:val="000000"/>
          <w:sz w:val="24"/>
          <w:szCs w:val="24"/>
          <w:lang w:val="pt-BR"/>
        </w:rPr>
        <w:t>o</w:t>
      </w:r>
      <w:r>
        <w:rPr>
          <w:rFonts w:ascii="Times New Roman" w:hAnsi="Times New Roman" w:cs="Times New Roman"/>
          <w:color w:val="000000"/>
          <w:sz w:val="24"/>
          <w:szCs w:val="24"/>
        </w:rPr>
        <w:t xml:space="preserve">s para abrilhantar a realização do </w:t>
      </w:r>
      <w:r>
        <w:rPr>
          <w:rFonts w:hint="default" w:ascii="Times New Roman" w:hAnsi="Times New Roman" w:cs="Times New Roman"/>
          <w:color w:val="000000"/>
          <w:sz w:val="24"/>
          <w:szCs w:val="24"/>
          <w:lang w:val="pt-BR"/>
        </w:rPr>
        <w:t>Réveillon de Rua 2024/2025</w:t>
      </w:r>
      <w:r>
        <w:rPr>
          <w:rFonts w:ascii="Times New Roman" w:hAnsi="Times New Roman" w:cs="Times New Roman"/>
          <w:color w:val="000000"/>
          <w:sz w:val="24"/>
          <w:szCs w:val="24"/>
        </w:rPr>
        <w:t>, previsto para ocorrer no</w:t>
      </w:r>
      <w:r>
        <w:rPr>
          <w:rFonts w:hint="default" w:ascii="Times New Roman" w:hAnsi="Times New Roman" w:cs="Times New Roman"/>
          <w:color w:val="000000"/>
          <w:sz w:val="24"/>
          <w:szCs w:val="24"/>
          <w:lang w:val="pt-BR"/>
        </w:rPr>
        <w:t xml:space="preserve"> </w:t>
      </w:r>
      <w:r>
        <w:rPr>
          <w:rFonts w:ascii="Times New Roman" w:hAnsi="Times New Roman" w:cs="Times New Roman"/>
          <w:color w:val="000000"/>
          <w:sz w:val="24"/>
          <w:szCs w:val="24"/>
        </w:rPr>
        <w:t xml:space="preserve">dia </w:t>
      </w:r>
      <w:r>
        <w:rPr>
          <w:rFonts w:hint="default" w:ascii="Times New Roman" w:hAnsi="Times New Roman" w:cs="Times New Roman"/>
          <w:color w:val="000000"/>
          <w:sz w:val="24"/>
          <w:szCs w:val="24"/>
          <w:lang w:val="pt-BR"/>
        </w:rPr>
        <w:t>31</w:t>
      </w:r>
      <w:r>
        <w:rPr>
          <w:rFonts w:ascii="Times New Roman" w:hAnsi="Times New Roman" w:cs="Times New Roman"/>
          <w:color w:val="000000"/>
          <w:sz w:val="24"/>
          <w:szCs w:val="24"/>
        </w:rPr>
        <w:t xml:space="preserve"> de </w:t>
      </w:r>
      <w:r>
        <w:rPr>
          <w:rFonts w:hint="default" w:ascii="Times New Roman" w:hAnsi="Times New Roman" w:cs="Times New Roman"/>
          <w:color w:val="000000"/>
          <w:sz w:val="24"/>
          <w:szCs w:val="24"/>
          <w:lang w:val="pt-BR"/>
        </w:rPr>
        <w:t>dezembro</w:t>
      </w:r>
      <w:r>
        <w:rPr>
          <w:rFonts w:ascii="Times New Roman" w:hAnsi="Times New Roman" w:cs="Times New Roman"/>
          <w:color w:val="000000"/>
          <w:sz w:val="24"/>
          <w:szCs w:val="24"/>
        </w:rPr>
        <w:t xml:space="preserve">  2024, no Município de </w:t>
      </w:r>
      <w:r>
        <w:rPr>
          <w:rFonts w:hint="default" w:ascii="Times New Roman" w:hAnsi="Times New Roman" w:cs="Times New Roman"/>
          <w:color w:val="000000"/>
          <w:sz w:val="24"/>
          <w:szCs w:val="24"/>
          <w:lang w:val="pt-BR"/>
        </w:rPr>
        <w:t>São Roque do Canaã/ES</w:t>
      </w:r>
      <w:r>
        <w:rPr>
          <w:rFonts w:ascii="Times New Roman" w:hAnsi="Times New Roman" w:cs="Times New Roman"/>
          <w:color w:val="000000"/>
          <w:sz w:val="24"/>
          <w:szCs w:val="24"/>
        </w:rPr>
        <w:t xml:space="preserve">. </w:t>
      </w:r>
    </w:p>
    <w:p w14:paraId="4284CBBC">
      <w:pPr>
        <w:spacing w:before="120" w:after="120" w:line="240" w:lineRule="auto"/>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1.1.1. Vale dizer que os estudos preliminares para mensurar a escolha da modalidade de contratação das Bandas/cantores/artistas regionais afim de abrilhantar os eventos municipais, via contratação</w:t>
      </w:r>
      <w:r>
        <w:rPr>
          <w:rFonts w:ascii="Times New Roman" w:hAnsi="Times New Roman" w:cs="Times New Roman"/>
          <w:sz w:val="24"/>
          <w:szCs w:val="24"/>
          <w:highlight w:val="none"/>
        </w:rPr>
        <w:t xml:space="preserve"> direta por inexigibilidade de licitação, </w:t>
      </w:r>
      <w:r>
        <w:rPr>
          <w:rFonts w:ascii="Times New Roman" w:hAnsi="Times New Roman" w:cs="Times New Roman"/>
          <w:color w:val="000000"/>
          <w:sz w:val="24"/>
          <w:szCs w:val="24"/>
          <w:highlight w:val="none"/>
        </w:rPr>
        <w:t>foram realizados</w:t>
      </w:r>
      <w:r>
        <w:rPr>
          <w:rFonts w:hint="default" w:ascii="Times New Roman" w:hAnsi="Times New Roman" w:cs="Times New Roman"/>
          <w:color w:val="000000"/>
          <w:sz w:val="24"/>
          <w:szCs w:val="24"/>
          <w:highlight w:val="none"/>
          <w:lang w:val="pt-BR"/>
        </w:rPr>
        <w:t xml:space="preserve"> no Estudo Técnico Preliminar (ETP) que encontra-se em fase final que servirá de base para todos os eventos previstos pela Secretaria Municipal de Turismo, Cultura, Esporte e Lazer para o final de 2024 e o ano de 2025</w:t>
      </w:r>
      <w:r>
        <w:rPr>
          <w:rFonts w:ascii="Times New Roman" w:hAnsi="Times New Roman" w:cs="Times New Roman"/>
          <w:color w:val="000000"/>
          <w:sz w:val="24"/>
          <w:szCs w:val="24"/>
          <w:highlight w:val="none"/>
        </w:rPr>
        <w:t xml:space="preserve">. Na ocasião a inexigibilidade foi apontada como uma solução especifica para esses tipos de contratação, tendo em vista que </w:t>
      </w:r>
      <w:r>
        <w:rPr>
          <w:rFonts w:ascii="Times New Roman" w:hAnsi="Times New Roman" w:cs="Times New Roman"/>
          <w:sz w:val="24"/>
          <w:szCs w:val="24"/>
          <w:highlight w:val="none"/>
        </w:rPr>
        <w:t>a competição entre fornecedores é inviável e bem como há singularidade do serviço prestado.</w:t>
      </w:r>
    </w:p>
    <w:p w14:paraId="0C39A29B">
      <w:pPr>
        <w:spacing w:before="120" w:after="120" w:line="240" w:lineRule="auto"/>
        <w:jc w:val="both"/>
        <w:rPr>
          <w:rFonts w:hint="default" w:ascii="Times New Roman" w:hAnsi="Times New Roman" w:cs="Times New Roman"/>
          <w:color w:val="000000"/>
          <w:sz w:val="24"/>
          <w:szCs w:val="24"/>
          <w:lang w:val="pt-BR" w:eastAsia="ar-SA"/>
        </w:rPr>
      </w:pPr>
      <w:r>
        <w:rPr>
          <w:rFonts w:ascii="Times New Roman" w:hAnsi="Times New Roman" w:cs="Times New Roman"/>
          <w:color w:val="000000"/>
          <w:sz w:val="24"/>
          <w:szCs w:val="24"/>
          <w:lang w:eastAsia="ar-SA"/>
        </w:rPr>
        <w:t>1.2. Especificações:</w:t>
      </w:r>
      <w:r>
        <w:rPr>
          <w:rFonts w:hint="default" w:ascii="Times New Roman" w:hAnsi="Times New Roman" w:cs="Times New Roman"/>
          <w:color w:val="000000"/>
          <w:sz w:val="24"/>
          <w:szCs w:val="24"/>
          <w:lang w:val="pt-BR" w:eastAsia="ar-SA"/>
        </w:rPr>
        <w:t xml:space="preserve">                                              </w:t>
      </w:r>
    </w:p>
    <w:tbl>
      <w:tblPr>
        <w:tblStyle w:val="1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1247"/>
        <w:gridCol w:w="3687"/>
        <w:gridCol w:w="1445"/>
        <w:gridCol w:w="1857"/>
      </w:tblGrid>
      <w:tr w14:paraId="0F94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7" w:type="dxa"/>
            <w:shd w:val="clear" w:color="auto" w:fill="D9D9D9"/>
            <w:vAlign w:val="center"/>
          </w:tcPr>
          <w:p w14:paraId="1A1FBEDF">
            <w:pPr>
              <w:spacing w:before="280" w:after="0" w:line="240" w:lineRule="auto"/>
              <w:jc w:val="center"/>
              <w:rPr>
                <w:rFonts w:ascii="Times New Roman" w:hAnsi="Times New Roman" w:cs="Times New Roman"/>
                <w:b/>
                <w:bCs/>
                <w:color w:val="000000"/>
                <w:sz w:val="24"/>
                <w:szCs w:val="24"/>
                <w:lang w:eastAsia="ar-SA"/>
              </w:rPr>
            </w:pPr>
            <w:r>
              <w:rPr>
                <w:rFonts w:ascii="Times New Roman" w:hAnsi="Times New Roman" w:cs="Times New Roman"/>
                <w:b/>
                <w:bCs/>
                <w:color w:val="000000"/>
                <w:sz w:val="24"/>
                <w:szCs w:val="24"/>
                <w:lang w:eastAsia="ar-SA"/>
              </w:rPr>
              <w:t>ITEM</w:t>
            </w:r>
          </w:p>
        </w:tc>
        <w:tc>
          <w:tcPr>
            <w:tcW w:w="1247" w:type="dxa"/>
            <w:shd w:val="clear" w:color="auto" w:fill="D9D9D9"/>
            <w:vAlign w:val="center"/>
          </w:tcPr>
          <w:p w14:paraId="4EEA2B15">
            <w:pPr>
              <w:spacing w:before="280" w:after="0" w:line="240" w:lineRule="auto"/>
              <w:jc w:val="center"/>
              <w:rPr>
                <w:rFonts w:ascii="Times New Roman" w:hAnsi="Times New Roman" w:cs="Times New Roman"/>
                <w:b/>
                <w:bCs/>
                <w:color w:val="000000"/>
                <w:sz w:val="24"/>
                <w:szCs w:val="24"/>
                <w:lang w:eastAsia="ar-SA"/>
              </w:rPr>
            </w:pPr>
            <w:r>
              <w:rPr>
                <w:rFonts w:ascii="Times New Roman" w:hAnsi="Times New Roman" w:cs="Times New Roman"/>
                <w:b/>
                <w:bCs/>
                <w:color w:val="000000"/>
                <w:sz w:val="24"/>
                <w:szCs w:val="24"/>
                <w:lang w:eastAsia="ar-SA"/>
              </w:rPr>
              <w:t>CÓDIGO</w:t>
            </w:r>
          </w:p>
        </w:tc>
        <w:tc>
          <w:tcPr>
            <w:tcW w:w="3687" w:type="dxa"/>
            <w:shd w:val="clear" w:color="auto" w:fill="D9D9D9"/>
            <w:vAlign w:val="center"/>
          </w:tcPr>
          <w:p w14:paraId="088395B4">
            <w:pPr>
              <w:spacing w:before="280" w:after="0" w:line="240" w:lineRule="auto"/>
              <w:jc w:val="center"/>
              <w:rPr>
                <w:rFonts w:ascii="Times New Roman" w:hAnsi="Times New Roman" w:cs="Times New Roman"/>
                <w:b/>
                <w:bCs/>
                <w:color w:val="000000"/>
                <w:sz w:val="24"/>
                <w:szCs w:val="24"/>
                <w:lang w:eastAsia="ar-SA"/>
              </w:rPr>
            </w:pPr>
            <w:r>
              <w:rPr>
                <w:rFonts w:ascii="Times New Roman" w:hAnsi="Times New Roman" w:cs="Times New Roman"/>
                <w:b/>
                <w:bCs/>
                <w:color w:val="000000"/>
                <w:sz w:val="24"/>
                <w:szCs w:val="24"/>
                <w:lang w:eastAsia="ar-SA"/>
              </w:rPr>
              <w:t>DESCRIÇÃO</w:t>
            </w:r>
          </w:p>
        </w:tc>
        <w:tc>
          <w:tcPr>
            <w:tcW w:w="1445" w:type="dxa"/>
            <w:shd w:val="clear" w:color="auto" w:fill="D9D9D9"/>
            <w:vAlign w:val="center"/>
          </w:tcPr>
          <w:p w14:paraId="3B12E266">
            <w:pPr>
              <w:spacing w:before="280" w:after="0" w:line="240" w:lineRule="auto"/>
              <w:jc w:val="center"/>
              <w:rPr>
                <w:rFonts w:ascii="Times New Roman" w:hAnsi="Times New Roman" w:cs="Times New Roman"/>
                <w:b/>
                <w:bCs/>
                <w:color w:val="000000"/>
                <w:sz w:val="24"/>
                <w:szCs w:val="24"/>
                <w:lang w:eastAsia="ar-SA"/>
              </w:rPr>
            </w:pPr>
            <w:r>
              <w:rPr>
                <w:rFonts w:ascii="Times New Roman" w:hAnsi="Times New Roman" w:cs="Times New Roman"/>
                <w:b/>
                <w:bCs/>
                <w:color w:val="000000"/>
                <w:sz w:val="24"/>
                <w:szCs w:val="24"/>
                <w:lang w:eastAsia="ar-SA"/>
              </w:rPr>
              <w:t>UNIDADE</w:t>
            </w:r>
          </w:p>
        </w:tc>
        <w:tc>
          <w:tcPr>
            <w:tcW w:w="1857" w:type="dxa"/>
            <w:shd w:val="clear" w:color="auto" w:fill="D9D9D9"/>
            <w:vAlign w:val="center"/>
          </w:tcPr>
          <w:p w14:paraId="5E842BE2">
            <w:pPr>
              <w:spacing w:before="280" w:after="0" w:line="240" w:lineRule="auto"/>
              <w:jc w:val="center"/>
              <w:rPr>
                <w:rFonts w:ascii="Times New Roman" w:hAnsi="Times New Roman" w:cs="Times New Roman"/>
                <w:b/>
                <w:bCs/>
                <w:color w:val="000000"/>
                <w:sz w:val="24"/>
                <w:szCs w:val="24"/>
                <w:lang w:eastAsia="ar-SA"/>
              </w:rPr>
            </w:pPr>
            <w:r>
              <w:rPr>
                <w:rFonts w:ascii="Times New Roman" w:hAnsi="Times New Roman" w:cs="Times New Roman"/>
                <w:b/>
                <w:bCs/>
                <w:color w:val="000000"/>
                <w:sz w:val="24"/>
                <w:szCs w:val="24"/>
                <w:lang w:eastAsia="ar-SA"/>
              </w:rPr>
              <w:t>QUANTIDADE</w:t>
            </w:r>
          </w:p>
        </w:tc>
      </w:tr>
      <w:tr w14:paraId="7A2D8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7" w:type="dxa"/>
            <w:shd w:val="clear" w:color="auto" w:fill="auto"/>
            <w:vAlign w:val="center"/>
          </w:tcPr>
          <w:p w14:paraId="4C08887E">
            <w:pPr>
              <w:spacing w:after="0" w:line="240" w:lineRule="auto"/>
              <w:jc w:val="center"/>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01</w:t>
            </w:r>
          </w:p>
        </w:tc>
        <w:tc>
          <w:tcPr>
            <w:tcW w:w="1247" w:type="dxa"/>
            <w:shd w:val="clear" w:color="auto" w:fill="auto"/>
            <w:vAlign w:val="center"/>
          </w:tcPr>
          <w:p w14:paraId="7E69360B">
            <w:pPr>
              <w:spacing w:after="0" w:line="240" w:lineRule="auto"/>
              <w:jc w:val="center"/>
              <w:rPr>
                <w:rFonts w:ascii="Times New Roman" w:hAnsi="Times New Roman" w:cs="Times New Roman"/>
                <w:color w:val="000000"/>
                <w:sz w:val="24"/>
                <w:szCs w:val="24"/>
                <w:lang w:eastAsia="ar-SA"/>
              </w:rPr>
            </w:pPr>
          </w:p>
        </w:tc>
        <w:tc>
          <w:tcPr>
            <w:tcW w:w="3687" w:type="dxa"/>
            <w:shd w:val="clear" w:color="auto" w:fill="auto"/>
            <w:vAlign w:val="center"/>
          </w:tcPr>
          <w:p w14:paraId="254B2FE5">
            <w:pPr>
              <w:spacing w:after="0" w:line="240" w:lineRule="auto"/>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Contratação de show/apresentação musical</w:t>
            </w:r>
            <w:r>
              <w:rPr>
                <w:rFonts w:hint="default" w:ascii="Times New Roman" w:hAnsi="Times New Roman" w:cs="Times New Roman"/>
                <w:color w:val="000000"/>
                <w:sz w:val="24"/>
                <w:szCs w:val="24"/>
                <w:lang w:val="pt-BR" w:eastAsia="ar-SA"/>
              </w:rPr>
              <w:t xml:space="preserve"> regional</w:t>
            </w:r>
            <w:r>
              <w:rPr>
                <w:rFonts w:ascii="Times New Roman" w:hAnsi="Times New Roman" w:cs="Times New Roman"/>
                <w:color w:val="000000"/>
                <w:sz w:val="24"/>
                <w:szCs w:val="24"/>
                <w:lang w:eastAsia="ar-SA"/>
              </w:rPr>
              <w:t xml:space="preserve"> </w:t>
            </w:r>
            <w:r>
              <w:rPr>
                <w:rFonts w:hint="default" w:ascii="Times New Roman" w:hAnsi="Times New Roman" w:cs="Times New Roman"/>
                <w:color w:val="000000"/>
                <w:sz w:val="24"/>
                <w:szCs w:val="24"/>
                <w:lang w:val="pt-BR" w:eastAsia="ar-SA"/>
              </w:rPr>
              <w:t xml:space="preserve">da Banda </w:t>
            </w:r>
            <w:r>
              <w:rPr>
                <w:rFonts w:hint="default" w:ascii="Times New Roman" w:hAnsi="Times New Roman" w:cs="Times New Roman"/>
                <w:b/>
                <w:bCs/>
                <w:color w:val="000000"/>
                <w:sz w:val="24"/>
                <w:szCs w:val="24"/>
                <w:lang w:val="pt-BR" w:eastAsia="ar-SA"/>
              </w:rPr>
              <w:t>Eduardo &amp; Muriel</w:t>
            </w:r>
            <w:r>
              <w:rPr>
                <w:rFonts w:ascii="Times New Roman" w:hAnsi="Times New Roman" w:cs="Times New Roman"/>
                <w:b/>
                <w:bCs/>
                <w:color w:val="000000"/>
                <w:sz w:val="24"/>
                <w:szCs w:val="24"/>
                <w:lang w:eastAsia="ar-SA"/>
              </w:rPr>
              <w:t xml:space="preserve"> </w:t>
            </w:r>
            <w:r>
              <w:rPr>
                <w:rFonts w:ascii="Times New Roman" w:hAnsi="Times New Roman" w:cs="Times New Roman"/>
                <w:color w:val="000000"/>
                <w:sz w:val="24"/>
                <w:szCs w:val="24"/>
                <w:lang w:eastAsia="ar-SA"/>
              </w:rPr>
              <w:t xml:space="preserve">para o dia </w:t>
            </w:r>
            <w:r>
              <w:rPr>
                <w:rFonts w:hint="default" w:ascii="Times New Roman" w:hAnsi="Times New Roman" w:cs="Times New Roman"/>
                <w:color w:val="000000"/>
                <w:sz w:val="24"/>
                <w:szCs w:val="24"/>
                <w:lang w:val="pt-BR" w:eastAsia="ar-SA"/>
              </w:rPr>
              <w:t>31</w:t>
            </w:r>
            <w:r>
              <w:rPr>
                <w:rFonts w:ascii="Times New Roman" w:hAnsi="Times New Roman" w:cs="Times New Roman"/>
                <w:color w:val="000000"/>
                <w:sz w:val="24"/>
                <w:szCs w:val="24"/>
                <w:lang w:eastAsia="ar-SA"/>
              </w:rPr>
              <w:t xml:space="preserve"> de </w:t>
            </w:r>
            <w:r>
              <w:rPr>
                <w:rFonts w:hint="default" w:ascii="Times New Roman" w:hAnsi="Times New Roman" w:cs="Times New Roman"/>
                <w:color w:val="000000"/>
                <w:sz w:val="24"/>
                <w:szCs w:val="24"/>
                <w:lang w:val="pt-BR" w:eastAsia="ar-SA"/>
              </w:rPr>
              <w:t>dezembro</w:t>
            </w:r>
            <w:r>
              <w:rPr>
                <w:rFonts w:ascii="Times New Roman" w:hAnsi="Times New Roman" w:cs="Times New Roman"/>
                <w:color w:val="000000"/>
                <w:sz w:val="24"/>
                <w:szCs w:val="24"/>
                <w:lang w:eastAsia="ar-SA"/>
              </w:rPr>
              <w:t xml:space="preserve"> de 2024.</w:t>
            </w:r>
          </w:p>
        </w:tc>
        <w:tc>
          <w:tcPr>
            <w:tcW w:w="1445" w:type="dxa"/>
            <w:shd w:val="clear" w:color="auto" w:fill="auto"/>
            <w:vAlign w:val="center"/>
          </w:tcPr>
          <w:p w14:paraId="50792D3F">
            <w:pPr>
              <w:spacing w:after="0" w:line="240" w:lineRule="auto"/>
              <w:jc w:val="center"/>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SERVIÇO</w:t>
            </w:r>
          </w:p>
        </w:tc>
        <w:tc>
          <w:tcPr>
            <w:tcW w:w="1857" w:type="dxa"/>
            <w:shd w:val="clear" w:color="auto" w:fill="auto"/>
            <w:vAlign w:val="center"/>
          </w:tcPr>
          <w:p w14:paraId="53C9A78C">
            <w:pPr>
              <w:spacing w:after="0" w:line="240" w:lineRule="auto"/>
              <w:jc w:val="center"/>
              <w:rPr>
                <w:rFonts w:ascii="Times New Roman" w:hAnsi="Times New Roman" w:cs="Times New Roman"/>
                <w:color w:val="000000"/>
                <w:sz w:val="24"/>
                <w:szCs w:val="24"/>
                <w:lang w:eastAsia="ar-SA"/>
              </w:rPr>
            </w:pPr>
            <w:r>
              <w:rPr>
                <w:rFonts w:hint="default" w:ascii="Times New Roman" w:hAnsi="Times New Roman" w:cs="Times New Roman"/>
                <w:color w:val="000000"/>
                <w:sz w:val="24"/>
                <w:szCs w:val="24"/>
                <w:lang w:val="pt-BR" w:eastAsia="ar-SA"/>
              </w:rPr>
              <w:t>0</w:t>
            </w:r>
            <w:r>
              <w:rPr>
                <w:rFonts w:ascii="Times New Roman" w:hAnsi="Times New Roman" w:cs="Times New Roman"/>
                <w:color w:val="000000"/>
                <w:sz w:val="24"/>
                <w:szCs w:val="24"/>
                <w:lang w:eastAsia="ar-SA"/>
              </w:rPr>
              <w:t>1</w:t>
            </w:r>
          </w:p>
        </w:tc>
      </w:tr>
      <w:tr w14:paraId="0E207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7" w:type="dxa"/>
            <w:shd w:val="clear" w:color="auto" w:fill="auto"/>
            <w:vAlign w:val="center"/>
          </w:tcPr>
          <w:p w14:paraId="3ED38456">
            <w:pPr>
              <w:spacing w:after="0" w:line="240" w:lineRule="auto"/>
              <w:jc w:val="center"/>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02</w:t>
            </w:r>
          </w:p>
        </w:tc>
        <w:tc>
          <w:tcPr>
            <w:tcW w:w="1247" w:type="dxa"/>
            <w:shd w:val="clear" w:color="auto" w:fill="auto"/>
            <w:vAlign w:val="center"/>
          </w:tcPr>
          <w:p w14:paraId="5388B893">
            <w:pPr>
              <w:spacing w:after="0" w:line="240" w:lineRule="auto"/>
              <w:jc w:val="center"/>
              <w:rPr>
                <w:rFonts w:ascii="Times New Roman" w:hAnsi="Times New Roman" w:cs="Times New Roman"/>
                <w:color w:val="000000"/>
                <w:sz w:val="24"/>
                <w:szCs w:val="24"/>
                <w:lang w:eastAsia="ar-SA"/>
              </w:rPr>
            </w:pPr>
          </w:p>
        </w:tc>
        <w:tc>
          <w:tcPr>
            <w:tcW w:w="3687" w:type="dxa"/>
            <w:shd w:val="clear" w:color="auto" w:fill="auto"/>
            <w:vAlign w:val="center"/>
          </w:tcPr>
          <w:p w14:paraId="3F1DB75E">
            <w:pPr>
              <w:spacing w:after="0" w:line="240" w:lineRule="auto"/>
              <w:jc w:val="both"/>
              <w:rPr>
                <w:rFonts w:hint="default" w:ascii="Times New Roman" w:hAnsi="Times New Roman" w:cs="Times New Roman"/>
                <w:b/>
                <w:bCs/>
                <w:color w:val="000000"/>
                <w:sz w:val="24"/>
                <w:szCs w:val="24"/>
                <w:lang w:val="pt-BR" w:eastAsia="ar-SA"/>
              </w:rPr>
            </w:pPr>
            <w:r>
              <w:rPr>
                <w:rFonts w:ascii="Times New Roman" w:hAnsi="Times New Roman" w:cs="Times New Roman"/>
                <w:color w:val="000000"/>
                <w:sz w:val="24"/>
                <w:szCs w:val="24"/>
                <w:lang w:eastAsia="ar-SA"/>
              </w:rPr>
              <w:t>Contratação de show/apresentação musical</w:t>
            </w:r>
            <w:r>
              <w:rPr>
                <w:rFonts w:hint="default" w:ascii="Times New Roman" w:hAnsi="Times New Roman" w:cs="Times New Roman"/>
                <w:color w:val="000000"/>
                <w:sz w:val="24"/>
                <w:szCs w:val="24"/>
                <w:lang w:val="pt-BR" w:eastAsia="ar-SA"/>
              </w:rPr>
              <w:t xml:space="preserve"> regional do</w:t>
            </w:r>
            <w:r>
              <w:rPr>
                <w:rFonts w:ascii="Times New Roman" w:hAnsi="Times New Roman" w:cs="Times New Roman"/>
                <w:color w:val="000000"/>
                <w:sz w:val="24"/>
                <w:szCs w:val="24"/>
                <w:lang w:eastAsia="ar-SA"/>
              </w:rPr>
              <w:t xml:space="preserve"> </w:t>
            </w:r>
            <w:r>
              <w:rPr>
                <w:rFonts w:hint="default" w:ascii="Times New Roman" w:hAnsi="Times New Roman" w:cs="Times New Roman"/>
                <w:color w:val="000000"/>
                <w:sz w:val="24"/>
                <w:szCs w:val="24"/>
                <w:lang w:val="pt-BR" w:eastAsia="ar-SA"/>
              </w:rPr>
              <w:t xml:space="preserve">cantor </w:t>
            </w:r>
            <w:r>
              <w:rPr>
                <w:rFonts w:hint="default" w:ascii="Times New Roman" w:hAnsi="Times New Roman" w:cs="Times New Roman"/>
                <w:b/>
                <w:bCs/>
                <w:color w:val="000000"/>
                <w:sz w:val="24"/>
                <w:szCs w:val="24"/>
                <w:lang w:val="pt-BR" w:eastAsia="ar-SA"/>
              </w:rPr>
              <w:t>Juliano Couto</w:t>
            </w:r>
            <w:r>
              <w:rPr>
                <w:rFonts w:hint="default" w:ascii="Times New Roman" w:hAnsi="Times New Roman" w:cs="Times New Roman"/>
                <w:color w:val="000000"/>
                <w:sz w:val="24"/>
                <w:szCs w:val="24"/>
                <w:lang w:val="pt-BR" w:eastAsia="ar-SA"/>
              </w:rPr>
              <w:t xml:space="preserve"> </w:t>
            </w:r>
            <w:r>
              <w:rPr>
                <w:rFonts w:ascii="Times New Roman" w:hAnsi="Times New Roman" w:cs="Times New Roman"/>
                <w:color w:val="000000"/>
                <w:sz w:val="24"/>
                <w:szCs w:val="24"/>
                <w:lang w:eastAsia="ar-SA"/>
              </w:rPr>
              <w:t xml:space="preserve">para o dia </w:t>
            </w:r>
            <w:r>
              <w:rPr>
                <w:rFonts w:hint="default" w:ascii="Times New Roman" w:hAnsi="Times New Roman" w:cs="Times New Roman"/>
                <w:color w:val="000000"/>
                <w:sz w:val="24"/>
                <w:szCs w:val="24"/>
                <w:lang w:val="pt-BR" w:eastAsia="ar-SA"/>
              </w:rPr>
              <w:t>31</w:t>
            </w:r>
            <w:r>
              <w:rPr>
                <w:rFonts w:ascii="Times New Roman" w:hAnsi="Times New Roman" w:cs="Times New Roman"/>
                <w:color w:val="000000"/>
                <w:sz w:val="24"/>
                <w:szCs w:val="24"/>
                <w:lang w:eastAsia="ar-SA"/>
              </w:rPr>
              <w:t xml:space="preserve"> de </w:t>
            </w:r>
            <w:r>
              <w:rPr>
                <w:rFonts w:hint="default" w:ascii="Times New Roman" w:hAnsi="Times New Roman" w:cs="Times New Roman"/>
                <w:color w:val="000000"/>
                <w:sz w:val="24"/>
                <w:szCs w:val="24"/>
                <w:lang w:val="pt-BR" w:eastAsia="ar-SA"/>
              </w:rPr>
              <w:t>dezembro</w:t>
            </w:r>
            <w:r>
              <w:rPr>
                <w:rFonts w:ascii="Times New Roman" w:hAnsi="Times New Roman" w:cs="Times New Roman"/>
                <w:color w:val="000000"/>
                <w:sz w:val="24"/>
                <w:szCs w:val="24"/>
                <w:lang w:eastAsia="ar-SA"/>
              </w:rPr>
              <w:t xml:space="preserve"> de 2024.</w:t>
            </w:r>
          </w:p>
        </w:tc>
        <w:tc>
          <w:tcPr>
            <w:tcW w:w="1445" w:type="dxa"/>
            <w:shd w:val="clear" w:color="auto" w:fill="auto"/>
            <w:vAlign w:val="center"/>
          </w:tcPr>
          <w:p w14:paraId="7210746D">
            <w:pPr>
              <w:spacing w:after="0" w:line="240" w:lineRule="auto"/>
              <w:jc w:val="center"/>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SERVIÇO</w:t>
            </w:r>
          </w:p>
        </w:tc>
        <w:tc>
          <w:tcPr>
            <w:tcW w:w="1857" w:type="dxa"/>
            <w:shd w:val="clear" w:color="auto" w:fill="auto"/>
            <w:vAlign w:val="center"/>
          </w:tcPr>
          <w:p w14:paraId="7C4F6D49">
            <w:pPr>
              <w:spacing w:after="0" w:line="240" w:lineRule="auto"/>
              <w:jc w:val="center"/>
              <w:rPr>
                <w:rFonts w:ascii="Times New Roman" w:hAnsi="Times New Roman" w:cs="Times New Roman"/>
                <w:color w:val="000000"/>
                <w:sz w:val="24"/>
                <w:szCs w:val="24"/>
                <w:lang w:eastAsia="ar-SA"/>
              </w:rPr>
            </w:pPr>
            <w:r>
              <w:rPr>
                <w:rFonts w:hint="default" w:ascii="Times New Roman" w:hAnsi="Times New Roman" w:cs="Times New Roman"/>
                <w:color w:val="000000"/>
                <w:sz w:val="24"/>
                <w:szCs w:val="24"/>
                <w:lang w:val="pt-BR" w:eastAsia="ar-SA"/>
              </w:rPr>
              <w:t>0</w:t>
            </w:r>
            <w:r>
              <w:rPr>
                <w:rFonts w:ascii="Times New Roman" w:hAnsi="Times New Roman" w:cs="Times New Roman"/>
                <w:color w:val="000000"/>
                <w:sz w:val="24"/>
                <w:szCs w:val="24"/>
                <w:lang w:eastAsia="ar-SA"/>
              </w:rPr>
              <w:t>1</w:t>
            </w:r>
          </w:p>
        </w:tc>
      </w:tr>
      <w:tr w14:paraId="1FB7E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7" w:type="dxa"/>
            <w:shd w:val="clear" w:color="auto" w:fill="auto"/>
            <w:vAlign w:val="center"/>
          </w:tcPr>
          <w:p w14:paraId="0E2B742B">
            <w:pPr>
              <w:spacing w:after="0" w:line="240" w:lineRule="auto"/>
              <w:jc w:val="center"/>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03</w:t>
            </w:r>
          </w:p>
        </w:tc>
        <w:tc>
          <w:tcPr>
            <w:tcW w:w="1247" w:type="dxa"/>
            <w:shd w:val="clear" w:color="auto" w:fill="auto"/>
            <w:vAlign w:val="center"/>
          </w:tcPr>
          <w:p w14:paraId="3414529D">
            <w:pPr>
              <w:spacing w:after="0" w:line="240" w:lineRule="auto"/>
              <w:jc w:val="center"/>
              <w:rPr>
                <w:rFonts w:ascii="Times New Roman" w:hAnsi="Times New Roman" w:cs="Times New Roman"/>
                <w:color w:val="000000"/>
                <w:sz w:val="24"/>
                <w:szCs w:val="24"/>
                <w:lang w:eastAsia="ar-SA"/>
              </w:rPr>
            </w:pPr>
          </w:p>
        </w:tc>
        <w:tc>
          <w:tcPr>
            <w:tcW w:w="3687" w:type="dxa"/>
            <w:shd w:val="clear" w:color="auto" w:fill="auto"/>
            <w:vAlign w:val="center"/>
          </w:tcPr>
          <w:p w14:paraId="0AB22555">
            <w:pPr>
              <w:spacing w:after="0" w:line="240" w:lineRule="auto"/>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Contratação de show/apresentação musical</w:t>
            </w:r>
            <w:r>
              <w:rPr>
                <w:rFonts w:hint="default" w:ascii="Times New Roman" w:hAnsi="Times New Roman" w:cs="Times New Roman"/>
                <w:color w:val="000000"/>
                <w:sz w:val="24"/>
                <w:szCs w:val="24"/>
                <w:lang w:val="pt-BR" w:eastAsia="ar-SA"/>
              </w:rPr>
              <w:t xml:space="preserve"> nacional</w:t>
            </w:r>
            <w:r>
              <w:rPr>
                <w:rFonts w:ascii="Times New Roman" w:hAnsi="Times New Roman" w:cs="Times New Roman"/>
                <w:color w:val="000000"/>
                <w:sz w:val="24"/>
                <w:szCs w:val="24"/>
                <w:lang w:eastAsia="ar-SA"/>
              </w:rPr>
              <w:t xml:space="preserve"> do </w:t>
            </w:r>
            <w:r>
              <w:rPr>
                <w:rFonts w:hint="default" w:ascii="Times New Roman" w:hAnsi="Times New Roman" w:cs="Times New Roman"/>
                <w:color w:val="000000"/>
                <w:sz w:val="24"/>
                <w:szCs w:val="24"/>
                <w:lang w:val="pt-BR" w:eastAsia="ar-SA"/>
              </w:rPr>
              <w:t xml:space="preserve">cantor </w:t>
            </w:r>
            <w:r>
              <w:rPr>
                <w:rFonts w:hint="default" w:ascii="Times New Roman" w:hAnsi="Times New Roman" w:cs="Times New Roman"/>
                <w:b/>
                <w:bCs/>
                <w:color w:val="000000"/>
                <w:sz w:val="24"/>
                <w:szCs w:val="24"/>
                <w:lang w:val="pt-BR" w:eastAsia="ar-SA"/>
              </w:rPr>
              <w:t>Gabriel Gava</w:t>
            </w:r>
            <w:r>
              <w:rPr>
                <w:rFonts w:ascii="Times New Roman" w:hAnsi="Times New Roman" w:cs="Times New Roman"/>
                <w:color w:val="000000"/>
                <w:sz w:val="24"/>
                <w:szCs w:val="24"/>
                <w:lang w:eastAsia="ar-SA"/>
              </w:rPr>
              <w:t xml:space="preserve"> para o dia </w:t>
            </w:r>
            <w:r>
              <w:rPr>
                <w:rFonts w:hint="default" w:ascii="Times New Roman" w:hAnsi="Times New Roman" w:cs="Times New Roman"/>
                <w:color w:val="000000"/>
                <w:sz w:val="24"/>
                <w:szCs w:val="24"/>
                <w:lang w:val="pt-BR" w:eastAsia="ar-SA"/>
              </w:rPr>
              <w:t>31</w:t>
            </w:r>
            <w:r>
              <w:rPr>
                <w:rFonts w:ascii="Times New Roman" w:hAnsi="Times New Roman" w:cs="Times New Roman"/>
                <w:color w:val="000000"/>
                <w:sz w:val="24"/>
                <w:szCs w:val="24"/>
                <w:lang w:eastAsia="ar-SA"/>
              </w:rPr>
              <w:t xml:space="preserve"> de </w:t>
            </w:r>
            <w:r>
              <w:rPr>
                <w:rFonts w:hint="default" w:ascii="Times New Roman" w:hAnsi="Times New Roman" w:cs="Times New Roman"/>
                <w:color w:val="000000"/>
                <w:sz w:val="24"/>
                <w:szCs w:val="24"/>
                <w:lang w:val="pt-BR" w:eastAsia="ar-SA"/>
              </w:rPr>
              <w:t>dezembro</w:t>
            </w:r>
            <w:r>
              <w:rPr>
                <w:rFonts w:ascii="Times New Roman" w:hAnsi="Times New Roman" w:cs="Times New Roman"/>
                <w:color w:val="000000"/>
                <w:sz w:val="24"/>
                <w:szCs w:val="24"/>
                <w:lang w:eastAsia="ar-SA"/>
              </w:rPr>
              <w:t xml:space="preserve"> de 2024.</w:t>
            </w:r>
          </w:p>
        </w:tc>
        <w:tc>
          <w:tcPr>
            <w:tcW w:w="1445" w:type="dxa"/>
            <w:shd w:val="clear" w:color="auto" w:fill="auto"/>
            <w:vAlign w:val="center"/>
          </w:tcPr>
          <w:p w14:paraId="6F4EEE9D">
            <w:pPr>
              <w:spacing w:after="0" w:line="240" w:lineRule="auto"/>
              <w:jc w:val="center"/>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SERVIÇO</w:t>
            </w:r>
          </w:p>
        </w:tc>
        <w:tc>
          <w:tcPr>
            <w:tcW w:w="1857" w:type="dxa"/>
            <w:shd w:val="clear" w:color="auto" w:fill="auto"/>
            <w:vAlign w:val="center"/>
          </w:tcPr>
          <w:p w14:paraId="4224FAD7">
            <w:pPr>
              <w:spacing w:after="0" w:line="240" w:lineRule="auto"/>
              <w:jc w:val="center"/>
              <w:rPr>
                <w:rFonts w:ascii="Times New Roman" w:hAnsi="Times New Roman" w:cs="Times New Roman"/>
                <w:color w:val="000000"/>
                <w:sz w:val="24"/>
                <w:szCs w:val="24"/>
                <w:lang w:eastAsia="ar-SA"/>
              </w:rPr>
            </w:pPr>
            <w:r>
              <w:rPr>
                <w:rFonts w:hint="default" w:ascii="Times New Roman" w:hAnsi="Times New Roman" w:cs="Times New Roman"/>
                <w:color w:val="000000"/>
                <w:sz w:val="24"/>
                <w:szCs w:val="24"/>
                <w:lang w:val="pt-BR" w:eastAsia="ar-SA"/>
              </w:rPr>
              <w:t>0</w:t>
            </w:r>
            <w:bookmarkStart w:id="1" w:name="_GoBack"/>
            <w:bookmarkEnd w:id="1"/>
            <w:r>
              <w:rPr>
                <w:rFonts w:ascii="Times New Roman" w:hAnsi="Times New Roman" w:cs="Times New Roman"/>
                <w:color w:val="000000"/>
                <w:sz w:val="24"/>
                <w:szCs w:val="24"/>
                <w:lang w:eastAsia="ar-SA"/>
              </w:rPr>
              <w:t>1</w:t>
            </w:r>
          </w:p>
        </w:tc>
      </w:tr>
    </w:tbl>
    <w:p w14:paraId="22F012D8">
      <w:pPr>
        <w:spacing w:before="120" w:after="12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1.3. Os serviços objeto desta contratação são caracterizados como serviços especializados, dada a singularidade das contratações, atendendo ao disposto do art. 6º, XIV, da Lei Federal nº 14.133/2021.</w:t>
      </w:r>
    </w:p>
    <w:p w14:paraId="6F0FA528">
      <w:pPr>
        <w:spacing w:before="120" w:after="120" w:line="240" w:lineRule="auto"/>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1.4.O objeto da presente contratação não se enquadra, ainda, como sendo bem de luxo, atendendo ao disposto no art. 20, da Lei Federal nº 14.133/2021.</w:t>
      </w:r>
    </w:p>
    <w:p w14:paraId="463FF4AE">
      <w:pPr>
        <w:spacing w:before="120" w:after="120" w:line="240" w:lineRule="auto"/>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 xml:space="preserve">1.5. O prazo de vigência da contratação é de </w:t>
      </w:r>
      <w:r>
        <w:rPr>
          <w:rFonts w:ascii="Times New Roman" w:hAnsi="Times New Roman" w:cs="Times New Roman"/>
          <w:b/>
          <w:bCs/>
          <w:color w:val="000000"/>
          <w:sz w:val="24"/>
          <w:szCs w:val="24"/>
          <w:lang w:eastAsia="ar-SA"/>
        </w:rPr>
        <w:t>60 (sessenta) dias</w:t>
      </w:r>
      <w:r>
        <w:rPr>
          <w:rFonts w:ascii="Times New Roman" w:hAnsi="Times New Roman" w:cs="Times New Roman"/>
          <w:color w:val="000000"/>
          <w:sz w:val="24"/>
          <w:szCs w:val="24"/>
          <w:lang w:eastAsia="ar-SA"/>
        </w:rPr>
        <w:t xml:space="preserve">, contado do dia posterior à data de sua publicação na Imprensa Oficial do Município (Diário Oficial dos Municípios – DOM ES), na forma do art. 105, da Lei Federal nº 14.133/2021. </w:t>
      </w:r>
    </w:p>
    <w:p w14:paraId="1E9A8883">
      <w:pPr>
        <w:spacing w:before="120" w:after="0" w:line="240" w:lineRule="auto"/>
        <w:jc w:val="both"/>
        <w:rPr>
          <w:rFonts w:ascii="Times New Roman" w:hAnsi="Times New Roman" w:cs="Times New Roman"/>
          <w:color w:val="000000"/>
          <w:sz w:val="24"/>
          <w:szCs w:val="24"/>
          <w:lang w:eastAsia="ar-SA"/>
        </w:rPr>
      </w:pPr>
      <w:r>
        <w:rPr>
          <w:rFonts w:ascii="Times New Roman" w:hAnsi="Times New Roman" w:cs="Times New Roman"/>
          <w:color w:val="000000"/>
          <w:sz w:val="24"/>
          <w:szCs w:val="24"/>
          <w:lang w:eastAsia="ar-SA"/>
        </w:rPr>
        <w:t>1.6. O contrato oferece maior detalhamento das regras que serão aplicadas em relação à vigência da Contratação.</w:t>
      </w:r>
    </w:p>
    <w:p w14:paraId="2973C024">
      <w:pPr>
        <w:spacing w:after="0" w:line="240" w:lineRule="auto"/>
        <w:jc w:val="both"/>
        <w:rPr>
          <w:rFonts w:ascii="Arial" w:hAnsi="Arial" w:cs="Arial"/>
          <w:color w:val="000000"/>
          <w:sz w:val="24"/>
          <w:szCs w:val="24"/>
          <w:lang w:eastAsia="ar-SA"/>
        </w:rPr>
      </w:pPr>
    </w:p>
    <w:p w14:paraId="589EE18B">
      <w:pPr>
        <w:pStyle w:val="393"/>
        <w:shd w:val="clear" w:color="auto" w:fill="D9D9D9"/>
        <w:jc w:val="both"/>
      </w:pPr>
      <w:r>
        <w:rPr>
          <w:b/>
          <w:color w:val="000000"/>
        </w:rPr>
        <w:t>2. DO OBJETIVO E DA JUSTIFICATIVA GERAL</w:t>
      </w:r>
    </w:p>
    <w:p w14:paraId="623F81BD">
      <w:pPr>
        <w:autoSpaceDE w:val="0"/>
        <w:spacing w:before="120" w:after="12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2.1. Contratação direta por inexigibilidade é o procedimento administrativo em que a Administração contrata, sem a necessidade de realizar licitação, fornecedores ou prestadores de serviços quando há inviabilidade de competição, conforme estabelecido em ato próprio. O ordenamento brasileiro, em sua Carta Magna (art. 37, inciso XXI), prevê a possibilidade de contratação direta em situações específicas, onde a licitação se mostra inviável. A Lei Federal nº 14.133/2021 estabelece as normas gerais sobre licitações e contratos, incluindo as condições em que a contratação direta por inexigibilidade pode ser aplicada</w:t>
      </w:r>
    </w:p>
    <w:p w14:paraId="39610D3F">
      <w:pPr>
        <w:spacing w:before="120" w:after="120" w:line="240" w:lineRule="auto"/>
        <w:jc w:val="both"/>
        <w:rPr>
          <w:rFonts w:ascii="Times New Roman" w:hAnsi="Times New Roman" w:cs="Times New Roman"/>
          <w:bCs/>
          <w:color w:val="000000"/>
          <w:sz w:val="24"/>
          <w:szCs w:val="24"/>
          <w:highlight w:val="none"/>
        </w:rPr>
      </w:pPr>
      <w:r>
        <w:rPr>
          <w:rFonts w:ascii="Times New Roman" w:hAnsi="Times New Roman" w:cs="Times New Roman"/>
          <w:color w:val="000000"/>
          <w:sz w:val="24"/>
          <w:szCs w:val="24"/>
          <w:highlight w:val="none"/>
        </w:rPr>
        <w:t xml:space="preserve">2.2. Os </w:t>
      </w:r>
      <w:r>
        <w:rPr>
          <w:rFonts w:ascii="Times New Roman" w:hAnsi="Times New Roman" w:cs="Times New Roman"/>
          <w:bCs/>
          <w:color w:val="000000"/>
          <w:sz w:val="24"/>
          <w:szCs w:val="24"/>
          <w:highlight w:val="none"/>
        </w:rPr>
        <w:t>estudos preliminares foram realizados e contém elementos capazes de propiciar a avaliação do custo pela Administração, para a contratação solicitada, diante de orçamento, considerando os preços praticados no mercado, a definição de métodos, a estratégia de suprimento e o prazo de execução.</w:t>
      </w:r>
    </w:p>
    <w:p w14:paraId="5B45FEB4">
      <w:pPr>
        <w:spacing w:before="120" w:after="120" w:line="240" w:lineRule="auto"/>
        <w:jc w:val="both"/>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 xml:space="preserve">2.3. A fundamentação pormenorizada quanto à necessidade da aquisição é encontrada em tópico específico do Estudo Técnico Preliminar. Do mesmo modo, o objeto da presente contratação </w:t>
      </w:r>
      <w:r>
        <w:rPr>
          <w:rFonts w:hint="default" w:ascii="Times New Roman" w:hAnsi="Times New Roman" w:cs="Times New Roman"/>
          <w:bCs/>
          <w:color w:val="000000"/>
          <w:sz w:val="24"/>
          <w:szCs w:val="24"/>
          <w:highlight w:val="none"/>
          <w:lang w:val="pt-BR"/>
        </w:rPr>
        <w:t xml:space="preserve">deverá ser </w:t>
      </w:r>
      <w:r>
        <w:rPr>
          <w:rFonts w:ascii="Times New Roman" w:hAnsi="Times New Roman" w:cs="Times New Roman"/>
          <w:bCs/>
          <w:color w:val="000000"/>
          <w:sz w:val="24"/>
          <w:szCs w:val="24"/>
          <w:highlight w:val="none"/>
        </w:rPr>
        <w:t>previsto no Plano Anual de Contratação - PAC do ano de 2024.</w:t>
      </w:r>
    </w:p>
    <w:p w14:paraId="274930E9">
      <w:pPr>
        <w:spacing w:before="120" w:after="120" w:line="240" w:lineRule="auto"/>
        <w:jc w:val="both"/>
        <w:rPr>
          <w:rFonts w:ascii="Times New Roman" w:hAnsi="Times New Roman" w:cs="Times New Roman"/>
          <w:sz w:val="24"/>
          <w:szCs w:val="24"/>
        </w:rPr>
      </w:pPr>
      <w:r>
        <w:rPr>
          <w:rFonts w:ascii="Times New Roman" w:hAnsi="Times New Roman" w:cs="Times New Roman"/>
          <w:bCs/>
          <w:color w:val="000000"/>
          <w:sz w:val="24"/>
          <w:szCs w:val="24"/>
        </w:rPr>
        <w:t>2.4. Priorizamos pela realização de contratação direta por inexigibilidade de licitação, haja vista que a contratação solicitada se enquadra c</w:t>
      </w:r>
      <w:r>
        <w:rPr>
          <w:rFonts w:ascii="Times New Roman" w:hAnsi="Times New Roman" w:cs="Times New Roman"/>
          <w:sz w:val="24"/>
          <w:szCs w:val="24"/>
        </w:rPr>
        <w:t>onforme disposto no art. 74, caput, inciso II, da Lei Federal nº 14.133/2021.</w:t>
      </w:r>
    </w:p>
    <w:p w14:paraId="2CEC4A76">
      <w:pPr>
        <w:spacing w:before="120" w:after="120" w:line="240" w:lineRule="auto"/>
        <w:jc w:val="both"/>
        <w:rPr>
          <w:rFonts w:hint="default" w:ascii="Times New Roman" w:hAnsi="Times New Roman" w:cs="Times New Roman"/>
          <w:bCs/>
          <w:color w:val="000000"/>
          <w:sz w:val="24"/>
          <w:szCs w:val="24"/>
          <w:highlight w:val="yellow"/>
          <w:lang w:val="pt-BR"/>
        </w:rPr>
      </w:pPr>
      <w:r>
        <w:rPr>
          <w:rFonts w:ascii="Times New Roman" w:hAnsi="Times New Roman" w:cs="Times New Roman"/>
          <w:bCs/>
          <w:color w:val="000000"/>
          <w:sz w:val="24"/>
          <w:szCs w:val="24"/>
        </w:rPr>
        <w:t>2.5.</w:t>
      </w:r>
      <w:r>
        <w:rPr>
          <w:rFonts w:ascii="Times New Roman" w:hAnsi="Times New Roman" w:cs="Times New Roman"/>
          <w:bCs/>
          <w:color w:val="000000"/>
          <w:sz w:val="24"/>
          <w:szCs w:val="24"/>
          <w:highlight w:val="none"/>
        </w:rPr>
        <w:t xml:space="preserve"> Os quantitativos previstos nesse Termo de Referência levaram em consideração a demanda necessária para a programação realizada pela Secretaria Municipal Requisitante no atendimento</w:t>
      </w:r>
      <w:r>
        <w:rPr>
          <w:rFonts w:hint="default" w:ascii="Times New Roman" w:hAnsi="Times New Roman" w:cs="Times New Roman"/>
          <w:bCs/>
          <w:color w:val="000000"/>
          <w:sz w:val="24"/>
          <w:szCs w:val="24"/>
          <w:highlight w:val="none"/>
          <w:lang w:val="pt-BR"/>
        </w:rPr>
        <w:t xml:space="preserve"> do Réveillon de Rua 2024/2025</w:t>
      </w:r>
      <w:r>
        <w:rPr>
          <w:rFonts w:ascii="Times New Roman" w:hAnsi="Times New Roman" w:cs="Times New Roman"/>
          <w:bCs/>
          <w:color w:val="000000"/>
          <w:sz w:val="24"/>
          <w:szCs w:val="24"/>
          <w:highlight w:val="none"/>
        </w:rPr>
        <w:t>. Assim, a presente contratação tem como finalidade o suprimento da demanda apresentada pela Secretaria Municipal</w:t>
      </w:r>
      <w:r>
        <w:rPr>
          <w:rFonts w:hint="default" w:ascii="Times New Roman" w:hAnsi="Times New Roman" w:cs="Times New Roman"/>
          <w:bCs/>
          <w:color w:val="000000"/>
          <w:sz w:val="24"/>
          <w:szCs w:val="24"/>
          <w:highlight w:val="none"/>
          <w:lang w:val="pt-BR"/>
        </w:rPr>
        <w:t>.</w:t>
      </w:r>
    </w:p>
    <w:p w14:paraId="3EC9A0A6">
      <w:pPr>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2.6. A descrição técnica do serviço a ser contratado, conforme necessidade da Secretaria Municipal Requerente consta, na tabela do anexo único deste instrumento.</w:t>
      </w:r>
    </w:p>
    <w:p w14:paraId="5824D1D3">
      <w:pPr>
        <w:spacing w:before="120" w:after="12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2.7. Justificando, o presente Termo de Referência visa esclarecer e direcionar os procedimentos essenciais para a formalização do Processo Administrativo de Licitação. No Termo de Referência, o solicitante apresenta sugestões básicas sobre os procedimentos administrativos mais comuns nas licitações públicas municipais. O atendimento aos requisitos estabelecidos no termo de Referência evitará equívocos nas compras e contrações.</w:t>
      </w:r>
    </w:p>
    <w:p w14:paraId="17927D79">
      <w:pPr>
        <w:spacing w:after="0" w:line="240" w:lineRule="auto"/>
        <w:jc w:val="both"/>
        <w:rPr>
          <w:rFonts w:ascii="Times New Roman" w:hAnsi="Times New Roman" w:cs="Times New Roman"/>
          <w:bCs/>
          <w:color w:val="000000"/>
          <w:sz w:val="24"/>
          <w:szCs w:val="24"/>
        </w:rPr>
      </w:pPr>
    </w:p>
    <w:p w14:paraId="69E43B0F">
      <w:pPr>
        <w:shd w:val="clear" w:color="auto" w:fill="D9D9D9"/>
        <w:spacing w:after="0" w:line="240" w:lineRule="auto"/>
        <w:jc w:val="both"/>
        <w:rPr>
          <w:rFonts w:ascii="Arial" w:hAnsi="Arial" w:cs="Arial"/>
          <w:b/>
          <w:color w:val="000000"/>
          <w:sz w:val="24"/>
          <w:szCs w:val="24"/>
        </w:rPr>
      </w:pPr>
      <w:r>
        <w:rPr>
          <w:rFonts w:ascii="Arial" w:hAnsi="Arial" w:cs="Arial"/>
          <w:b/>
          <w:color w:val="000000"/>
          <w:sz w:val="24"/>
          <w:szCs w:val="24"/>
        </w:rPr>
        <w:t xml:space="preserve">3. </w:t>
      </w:r>
      <w:r>
        <w:rPr>
          <w:rFonts w:ascii="Times New Roman" w:hAnsi="Times New Roman" w:cs="Times New Roman"/>
          <w:b/>
          <w:color w:val="000000"/>
          <w:sz w:val="24"/>
          <w:szCs w:val="24"/>
        </w:rPr>
        <w:t>JUSTIFICATIVA DA ESCOLHA DA MODALIDADE DE CONTRATAÇÃO</w:t>
      </w:r>
    </w:p>
    <w:p w14:paraId="73BA9FD0">
      <w:pPr>
        <w:pStyle w:val="23"/>
        <w:spacing w:before="120" w:after="120"/>
        <w:jc w:val="both"/>
        <w:rPr>
          <w:rStyle w:val="13"/>
        </w:rPr>
      </w:pPr>
      <w:r>
        <w:rPr>
          <w:color w:val="000000"/>
        </w:rPr>
        <w:t xml:space="preserve">3.1. </w:t>
      </w:r>
      <w:r>
        <w:rPr>
          <w:rStyle w:val="13"/>
        </w:rPr>
        <w:t>IDENTIFICAÇÃO DA NECESSIDADE.</w:t>
      </w:r>
    </w:p>
    <w:p w14:paraId="4D7C12A5">
      <w:pPr>
        <w:pStyle w:val="23"/>
        <w:spacing w:before="120" w:after="120"/>
        <w:jc w:val="both"/>
        <w:rPr>
          <w:lang w:eastAsia="pt-BR"/>
        </w:rPr>
      </w:pPr>
      <w:r>
        <w:rPr>
          <w:lang w:eastAsia="pt-BR"/>
        </w:rPr>
        <w:t>No contexto da nossa tradicional festa cultural, a inclusão de shows é de fundamental importância para o sucesso do evento. Os shows não apenas enriquecem a programação cultural, mas também desempenham um papel crucial em diversos aspectos que beneficiam a comunidade e o município.</w:t>
      </w:r>
    </w:p>
    <w:p w14:paraId="2BE414B7">
      <w:pPr>
        <w:pStyle w:val="23"/>
        <w:spacing w:before="120" w:after="120"/>
        <w:ind w:left="16" w:leftChars="0" w:hanging="16" w:hangingChars="7"/>
        <w:jc w:val="both"/>
        <w:rPr>
          <w:lang w:eastAsia="pt-BR"/>
        </w:rPr>
      </w:pPr>
      <w:r>
        <w:rPr>
          <w:lang w:eastAsia="pt-BR"/>
        </w:rPr>
        <w:t>Primeiramente, os shows são uma poderosa ferramenta para atrair um público diversificado. Apresentações musicais de diferentes gêneros</w:t>
      </w:r>
      <w:r>
        <w:rPr>
          <w:rFonts w:hint="default"/>
          <w:lang w:val="en-US" w:eastAsia="pt-BR"/>
        </w:rPr>
        <w:t xml:space="preserve">, com </w:t>
      </w:r>
      <w:r>
        <w:rPr>
          <w:lang w:eastAsia="pt-BR"/>
        </w:rPr>
        <w:t>artistas locais, nacionais e regionais – garantem que haja algo para todos os gostos, promovendo a inclusão e a participação de um amplo espectro de pessoas. Isso, por sua vez, aumenta significativamente a visibilidade e a atratividade do evento.</w:t>
      </w:r>
    </w:p>
    <w:p w14:paraId="67FB82F9">
      <w:pPr>
        <w:pStyle w:val="23"/>
        <w:spacing w:before="120" w:after="120"/>
        <w:jc w:val="both"/>
        <w:rPr>
          <w:lang w:eastAsia="pt-BR"/>
        </w:rPr>
      </w:pPr>
      <w:r>
        <w:rPr>
          <w:lang w:eastAsia="pt-BR"/>
        </w:rPr>
        <w:t>Além disso, os shows fomentam a economia local. A presença de artistas e a realização de grandes espetáculos atraem visitantes de outras regiões, impulsionando o turismo. Este aumento no fluxo de pessoas gera uma demanda maior por serviços de hospedagem, alimentação e comércio local, resultando em benefícios econômicos diretos para os empresários e comerciantes da cidade.</w:t>
      </w:r>
    </w:p>
    <w:p w14:paraId="36DC8A23">
      <w:pPr>
        <w:pStyle w:val="23"/>
        <w:spacing w:before="120" w:after="120"/>
        <w:jc w:val="both"/>
        <w:rPr>
          <w:lang w:eastAsia="pt-BR"/>
        </w:rPr>
      </w:pPr>
      <w:r>
        <w:rPr>
          <w:lang w:eastAsia="pt-BR"/>
        </w:rPr>
        <w:t>Os shows também desempenham um papel vital na promoção da cultura e identidade local. Ao incluir artistas regionais e apresentações que refletem as tradições culturais do município, a festa fortalece o senso de comunidade e de pertencimento entre os moradores. Essas apresentações são uma forma de valorizar e preservar a herança cultural, transmitindo-a para as futuras gerações.</w:t>
      </w:r>
    </w:p>
    <w:p w14:paraId="45AC27F9">
      <w:pPr>
        <w:pStyle w:val="23"/>
        <w:spacing w:before="120" w:after="120"/>
        <w:jc w:val="both"/>
        <w:rPr>
          <w:lang w:eastAsia="pt-BR"/>
        </w:rPr>
      </w:pPr>
      <w:r>
        <w:rPr>
          <w:lang w:eastAsia="pt-BR"/>
        </w:rPr>
        <w:t>Ademais, os shows são uma fonte de entretenimento e lazer, proporcionando momentos de alegria e descontração para todos os participantes. Em um mundo cada vez mais acelerado, eventos como estes oferecem uma pausa necessária, onde as pessoas podem se reunir, socializar e celebrar juntos.</w:t>
      </w:r>
    </w:p>
    <w:p w14:paraId="78864B54">
      <w:pPr>
        <w:pStyle w:val="23"/>
        <w:spacing w:before="120" w:after="120"/>
        <w:jc w:val="both"/>
        <w:rPr>
          <w:lang w:eastAsia="pt-BR"/>
        </w:rPr>
      </w:pPr>
      <w:r>
        <w:rPr>
          <w:lang w:eastAsia="pt-BR"/>
        </w:rPr>
        <w:t>Por fim, a realização de shows contribui para a criação de memórias duradouras. As experiências vividas durante esses momentos especiais ficam marcadas na memória coletiva da comunidade, reforçando os laços sociais e culturais que nos unem.</w:t>
      </w:r>
    </w:p>
    <w:p w14:paraId="5304C77B">
      <w:pPr>
        <w:pStyle w:val="23"/>
        <w:spacing w:before="120" w:after="120"/>
        <w:jc w:val="both"/>
        <w:rPr>
          <w:lang w:eastAsia="pt-BR"/>
        </w:rPr>
      </w:pPr>
      <w:r>
        <w:rPr>
          <w:lang w:eastAsia="pt-BR"/>
        </w:rPr>
        <w:t xml:space="preserve">Portanto, a inclusão de shows na nossa festa cultural não é apenas uma questão de entretenimento, mas uma estratégia essencial para garantir o sucesso, a inclusão, a valorização cultural e o desenvolvimento econômico do nosso município. </w:t>
      </w:r>
    </w:p>
    <w:p w14:paraId="79659E29">
      <w:pPr>
        <w:pStyle w:val="23"/>
        <w:spacing w:before="120" w:after="120"/>
        <w:jc w:val="both"/>
        <w:rPr>
          <w:lang w:eastAsia="pt-BR"/>
        </w:rPr>
      </w:pPr>
      <w:r>
        <w:rPr>
          <w:lang w:eastAsia="pt-BR"/>
        </w:rPr>
        <w:t xml:space="preserve">Restam, assim, caracterizados o interesse da Administração Pública quanto à contratação, bem como as hipóteses de contratação direta por Inexigibilidade antevistas no </w:t>
      </w:r>
      <w:r>
        <w:rPr>
          <w:b/>
          <w:bCs/>
          <w:lang w:eastAsia="pt-BR"/>
        </w:rPr>
        <w:t>art. 74, da Lei n. 14.133/21</w:t>
      </w:r>
      <w:r>
        <w:rPr>
          <w:lang w:eastAsia="pt-BR"/>
        </w:rPr>
        <w:t>.</w:t>
      </w:r>
    </w:p>
    <w:p w14:paraId="4A717AFD">
      <w:pPr>
        <w:pStyle w:val="23"/>
        <w:spacing w:before="120" w:after="120"/>
        <w:ind w:left="2268"/>
        <w:rPr>
          <w:i/>
          <w:iCs/>
          <w:lang w:eastAsia="pt-BR"/>
        </w:rPr>
      </w:pPr>
      <w:r>
        <w:rPr>
          <w:i/>
          <w:iCs/>
          <w:lang w:eastAsia="pt-BR"/>
        </w:rPr>
        <w:t>Art. 74. É inexigível a licitação quando inviável a competição, em especial nos casos de:</w:t>
      </w:r>
    </w:p>
    <w:p w14:paraId="7E880B8E">
      <w:pPr>
        <w:pStyle w:val="23"/>
        <w:spacing w:before="120" w:after="120"/>
        <w:ind w:left="2268"/>
        <w:rPr>
          <w:i/>
          <w:iCs/>
          <w:lang w:eastAsia="pt-BR"/>
        </w:rPr>
      </w:pPr>
      <w:r>
        <w:rPr>
          <w:i/>
          <w:iCs/>
          <w:lang w:eastAsia="pt-BR"/>
        </w:rPr>
        <w:t>(...)</w:t>
      </w:r>
    </w:p>
    <w:p w14:paraId="44304A03">
      <w:pPr>
        <w:pStyle w:val="23"/>
        <w:spacing w:before="120" w:after="120"/>
        <w:ind w:left="2268"/>
        <w:jc w:val="both"/>
        <w:rPr>
          <w:lang w:eastAsia="pt-BR"/>
        </w:rPr>
      </w:pPr>
      <w:r>
        <w:rPr>
          <w:lang w:eastAsia="pt-BR"/>
        </w:rPr>
        <w:t>II - Contratação de profissional do setor artístico, diretamente ou por meio de empresário exclusivo, desde que consagrado pela crítica especializada ou pela opinião pública;</w:t>
      </w:r>
    </w:p>
    <w:p w14:paraId="0B941FA6">
      <w:pPr>
        <w:pStyle w:val="23"/>
        <w:spacing w:before="120" w:after="120"/>
        <w:jc w:val="both"/>
        <w:rPr>
          <w:lang w:eastAsia="pt-BR"/>
        </w:rPr>
      </w:pPr>
      <w:r>
        <w:rPr>
          <w:lang w:eastAsia="pt-BR"/>
        </w:rPr>
        <w:t>Sendo incontestável a exclusividade do objeto aqui descrito, não há outra forma que não a presente para a contratação.</w:t>
      </w:r>
    </w:p>
    <w:p w14:paraId="4C8ECC84">
      <w:pPr>
        <w:pStyle w:val="23"/>
        <w:spacing w:before="0" w:after="0"/>
        <w:jc w:val="both"/>
        <w:rPr>
          <w:lang w:eastAsia="pt-BR"/>
        </w:rPr>
      </w:pPr>
      <w:r>
        <w:rPr>
          <w:lang w:eastAsia="pt-BR"/>
        </w:rPr>
        <w:t>A solicitação desta Secretaria acerca da contratação da banda</w:t>
      </w:r>
      <w:r>
        <w:rPr>
          <w:rFonts w:hint="default"/>
          <w:lang w:val="en-US" w:eastAsia="pt-BR"/>
        </w:rPr>
        <w:t xml:space="preserve"> EDUARDO &amp; MURIEL; os cantores JULIANO COUTO e GABRIEL GAVA,</w:t>
      </w:r>
      <w:r>
        <w:rPr>
          <w:lang w:eastAsia="pt-BR"/>
        </w:rPr>
        <w:t xml:space="preserve"> destinad</w:t>
      </w:r>
      <w:r>
        <w:rPr>
          <w:rFonts w:hint="default"/>
          <w:lang w:val="en-US" w:eastAsia="pt-BR"/>
        </w:rPr>
        <w:t>a</w:t>
      </w:r>
      <w:r>
        <w:rPr>
          <w:lang w:eastAsia="pt-BR"/>
        </w:rPr>
        <w:t xml:space="preserve"> </w:t>
      </w:r>
      <w:r>
        <w:rPr>
          <w:rFonts w:hint="default"/>
          <w:lang w:val="en-US" w:eastAsia="pt-BR"/>
        </w:rPr>
        <w:t>ao Evento Réveillon de Rua 2024/2025</w:t>
      </w:r>
      <w:r>
        <w:rPr>
          <w:lang w:eastAsia="pt-BR"/>
        </w:rPr>
        <w:t>. Para realização d</w:t>
      </w:r>
      <w:r>
        <w:rPr>
          <w:rFonts w:hint="default"/>
          <w:lang w:val="en-US" w:eastAsia="pt-BR"/>
        </w:rPr>
        <w:t>o</w:t>
      </w:r>
      <w:r>
        <w:rPr>
          <w:lang w:eastAsia="pt-BR"/>
        </w:rPr>
        <w:t xml:space="preserve"> mesm</w:t>
      </w:r>
      <w:r>
        <w:rPr>
          <w:rFonts w:hint="default"/>
          <w:lang w:val="en-US" w:eastAsia="pt-BR"/>
        </w:rPr>
        <w:t>o</w:t>
      </w:r>
      <w:r>
        <w:rPr>
          <w:lang w:eastAsia="pt-BR"/>
        </w:rPr>
        <w:t xml:space="preserve"> neste Município, fundamentalmente, por ser</w:t>
      </w:r>
      <w:r>
        <w:rPr>
          <w:rFonts w:hint="default"/>
          <w:lang w:val="en-US" w:eastAsia="pt-BR"/>
        </w:rPr>
        <w:t>em</w:t>
      </w:r>
      <w:r>
        <w:rPr>
          <w:lang w:eastAsia="pt-BR"/>
        </w:rPr>
        <w:t xml:space="preserve"> consagrado</w:t>
      </w:r>
      <w:r>
        <w:rPr>
          <w:rFonts w:hint="default"/>
          <w:lang w:val="en-US" w:eastAsia="pt-BR"/>
        </w:rPr>
        <w:t>s</w:t>
      </w:r>
      <w:r>
        <w:rPr>
          <w:lang w:eastAsia="pt-BR"/>
        </w:rPr>
        <w:t xml:space="preserve"> em nível regional e nacional, sendo muito conhecido</w:t>
      </w:r>
      <w:r>
        <w:rPr>
          <w:rFonts w:hint="default"/>
          <w:lang w:val="en-US" w:eastAsia="pt-BR"/>
        </w:rPr>
        <w:t>s</w:t>
      </w:r>
      <w:r>
        <w:rPr>
          <w:lang w:eastAsia="pt-BR"/>
        </w:rPr>
        <w:t xml:space="preserve"> pelos shows que realiza</w:t>
      </w:r>
      <w:r>
        <w:rPr>
          <w:rFonts w:hint="default"/>
          <w:lang w:val="en-US" w:eastAsia="pt-BR"/>
        </w:rPr>
        <w:t>m</w:t>
      </w:r>
      <w:r>
        <w:rPr>
          <w:lang w:eastAsia="pt-BR"/>
        </w:rPr>
        <w:t>, gozando de excelente conceito e aceitação popular:</w:t>
      </w:r>
    </w:p>
    <w:p w14:paraId="1D48BA0C">
      <w:pPr>
        <w:pStyle w:val="23"/>
        <w:spacing w:before="0" w:after="0"/>
        <w:jc w:val="both"/>
        <w:rPr>
          <w:lang w:eastAsia="pt-BR"/>
        </w:rPr>
      </w:pPr>
    </w:p>
    <w:p w14:paraId="32B57260">
      <w:pPr>
        <w:pStyle w:val="23"/>
        <w:spacing w:before="0" w:after="0"/>
        <w:jc w:val="both"/>
        <w:rPr>
          <w:lang w:eastAsia="pt-BR"/>
        </w:rPr>
      </w:pPr>
    </w:p>
    <w:p w14:paraId="67720623">
      <w:pPr>
        <w:pStyle w:val="23"/>
        <w:spacing w:before="0" w:after="0"/>
        <w:jc w:val="both"/>
        <w:rPr>
          <w:rFonts w:hint="default"/>
          <w:b w:val="0"/>
          <w:bCs w:val="0"/>
          <w:highlight w:val="none"/>
          <w:lang w:val="en-US"/>
        </w:rPr>
      </w:pPr>
      <w:r>
        <w:rPr>
          <w:rFonts w:hint="default"/>
          <w:b/>
          <w:bCs/>
          <w:highlight w:val="none"/>
          <w:lang w:val="en-US" w:eastAsia="pt-BR"/>
        </w:rPr>
        <w:t>BANDA EDUARDO &amp; MURIEL</w:t>
      </w:r>
      <w:r>
        <w:rPr>
          <w:b/>
          <w:bCs/>
          <w:highlight w:val="none"/>
          <w:lang w:eastAsia="pt-BR"/>
        </w:rPr>
        <w:t xml:space="preserve">: </w:t>
      </w:r>
      <w:r>
        <w:rPr>
          <w:rFonts w:hint="default"/>
          <w:b w:val="0"/>
          <w:bCs w:val="0"/>
          <w:highlight w:val="none"/>
          <w:lang w:val="en-US" w:eastAsia="pt-BR"/>
        </w:rPr>
        <w:t>R</w:t>
      </w:r>
      <w:r>
        <w:rPr>
          <w:b w:val="0"/>
          <w:bCs w:val="0"/>
          <w:highlight w:val="none"/>
          <w:lang w:eastAsia="pt-BR"/>
        </w:rPr>
        <w:t>epresentad</w:t>
      </w:r>
      <w:r>
        <w:rPr>
          <w:rFonts w:hint="default"/>
          <w:b w:val="0"/>
          <w:bCs w:val="0"/>
          <w:highlight w:val="none"/>
          <w:lang w:val="en-US" w:eastAsia="pt-BR"/>
        </w:rPr>
        <w:t>o</w:t>
      </w:r>
      <w:r>
        <w:rPr>
          <w:b w:val="0"/>
          <w:bCs w:val="0"/>
          <w:highlight w:val="none"/>
          <w:lang w:eastAsia="pt-BR"/>
        </w:rPr>
        <w:t xml:space="preserve"> pela empres</w:t>
      </w:r>
      <w:r>
        <w:rPr>
          <w:rFonts w:hint="default"/>
          <w:b w:val="0"/>
          <w:bCs w:val="0"/>
          <w:highlight w:val="none"/>
          <w:lang w:val="en-US" w:eastAsia="pt-BR"/>
        </w:rPr>
        <w:t>a JOAQUIM RODRIGUES SARDINHA</w:t>
      </w:r>
      <w:r>
        <w:rPr>
          <w:b w:val="0"/>
          <w:bCs w:val="0"/>
          <w:highlight w:val="none"/>
          <w:lang w:eastAsia="pt-BR"/>
        </w:rPr>
        <w:t xml:space="preserve">, </w:t>
      </w:r>
      <w:r>
        <w:rPr>
          <w:rFonts w:hint="default"/>
          <w:b w:val="0"/>
          <w:bCs w:val="0"/>
          <w:highlight w:val="none"/>
          <w:lang w:val="en-US" w:eastAsia="pt-BR"/>
        </w:rPr>
        <w:t>inscrito sob</w:t>
      </w:r>
      <w:r>
        <w:rPr>
          <w:b w:val="0"/>
          <w:bCs w:val="0"/>
          <w:highlight w:val="none"/>
          <w:lang w:eastAsia="pt-BR"/>
        </w:rPr>
        <w:t xml:space="preserve"> o CNPJ </w:t>
      </w:r>
      <w:r>
        <w:rPr>
          <w:rFonts w:hint="default"/>
          <w:b w:val="0"/>
          <w:bCs w:val="0"/>
          <w:highlight w:val="none"/>
          <w:lang w:val="en-US" w:eastAsia="pt-BR"/>
        </w:rPr>
        <w:t>Nº. 53.251.988/0001-28.</w:t>
      </w:r>
    </w:p>
    <w:p w14:paraId="7801C6D4">
      <w:pPr>
        <w:pStyle w:val="23"/>
        <w:spacing w:before="0" w:after="0"/>
        <w:jc w:val="both"/>
        <w:rPr>
          <w:rFonts w:hint="default"/>
          <w:b w:val="0"/>
          <w:bCs w:val="0"/>
          <w:highlight w:val="yellow"/>
          <w:lang w:val="pt-BR"/>
        </w:rPr>
      </w:pPr>
    </w:p>
    <w:p w14:paraId="5663F579">
      <w:pPr>
        <w:pStyle w:val="23"/>
        <w:spacing w:before="0" w:after="0"/>
        <w:jc w:val="both"/>
        <w:rPr>
          <w:rFonts w:hint="default"/>
          <w:b w:val="0"/>
          <w:bCs w:val="0"/>
          <w:highlight w:val="yellow"/>
          <w:lang w:val="pt-BR"/>
        </w:rPr>
      </w:pPr>
    </w:p>
    <w:p w14:paraId="678938DD">
      <w:pPr>
        <w:pStyle w:val="23"/>
        <w:spacing w:before="0" w:after="0"/>
        <w:jc w:val="both"/>
        <w:rPr>
          <w:rFonts w:hint="default" w:ascii="Times New Roman" w:hAnsi="Times New Roman"/>
          <w:sz w:val="24"/>
          <w:szCs w:val="24"/>
        </w:rPr>
      </w:pPr>
      <w:r>
        <w:rPr>
          <w:rFonts w:hint="default" w:ascii="Times New Roman" w:hAnsi="Times New Roman"/>
          <w:sz w:val="24"/>
          <w:szCs w:val="24"/>
        </w:rPr>
        <w:t>Eduardo &amp; Muriel são a nova sensação da música capixaba, conquistando o Brasil com uma mistura de ritmos envolventes e um estilo energético que contagia por onde passam. Com um repertório que mistura sucessos de sertanejo, forró, balada e até influências de TikTok, a dupla vem ganhando cada vez mais destaque, se apresentando em eventos de todos os tipos, de casamentos e formaturas a grandes rodeios e shows de fim de ano.</w:t>
      </w:r>
    </w:p>
    <w:p w14:paraId="5F2F04E5">
      <w:pPr>
        <w:pStyle w:val="23"/>
        <w:spacing w:before="0" w:after="0"/>
        <w:jc w:val="both"/>
        <w:rPr>
          <w:rFonts w:hint="default" w:ascii="Times New Roman" w:hAnsi="Times New Roman"/>
          <w:sz w:val="24"/>
          <w:szCs w:val="24"/>
        </w:rPr>
      </w:pPr>
    </w:p>
    <w:p w14:paraId="3CF78E56">
      <w:pPr>
        <w:pStyle w:val="23"/>
        <w:spacing w:before="0" w:after="0"/>
        <w:jc w:val="both"/>
        <w:rPr>
          <w:rFonts w:hint="default" w:ascii="Times New Roman" w:hAnsi="Times New Roman"/>
          <w:sz w:val="24"/>
          <w:szCs w:val="24"/>
        </w:rPr>
      </w:pPr>
      <w:r>
        <w:rPr>
          <w:rFonts w:hint="default" w:ascii="Times New Roman" w:hAnsi="Times New Roman"/>
          <w:sz w:val="24"/>
          <w:szCs w:val="24"/>
        </w:rPr>
        <w:t>Formada durante a pandemia, quando os shows estavam suspensos, a dupla se destacou nas redes sociais com vídeos caseiros que rapidamente ganharam popularidade. Com muito talento e determinação, Eduardo &amp; Muriel lançaram em 2022 sua primeira música de trabalho, Tiro de Doze, em parceria com o cantor Filipe Fantin. A canção se tornou um sucesso regional, recebendo elogios pela qualidade de sua produção e pela energia contagiante da dupla. A música foi finalista do Prêmio Super da Música Capixaba de 2022, na categoria Melhor Música do Ano, e já acumula mais de 350 mil acessos nas plataformas digitais.</w:t>
      </w:r>
    </w:p>
    <w:p w14:paraId="774ECB60">
      <w:pPr>
        <w:pStyle w:val="23"/>
        <w:spacing w:before="0" w:after="0"/>
        <w:jc w:val="both"/>
        <w:rPr>
          <w:rFonts w:hint="default" w:ascii="Times New Roman" w:hAnsi="Times New Roman"/>
          <w:sz w:val="24"/>
          <w:szCs w:val="24"/>
        </w:rPr>
      </w:pPr>
    </w:p>
    <w:p w14:paraId="318015AD">
      <w:pPr>
        <w:pStyle w:val="23"/>
        <w:spacing w:before="0" w:after="0"/>
        <w:jc w:val="both"/>
        <w:rPr>
          <w:rFonts w:hint="default" w:ascii="Times New Roman" w:hAnsi="Times New Roman"/>
          <w:sz w:val="24"/>
          <w:szCs w:val="24"/>
          <w:lang w:val="pt-BR"/>
        </w:rPr>
      </w:pPr>
      <w:r>
        <w:rPr>
          <w:rFonts w:hint="default" w:ascii="Times New Roman" w:hAnsi="Times New Roman"/>
          <w:sz w:val="24"/>
          <w:szCs w:val="24"/>
          <w:lang w:val="pt-BR"/>
        </w:rPr>
        <w:t>Além disso, Eduardo &amp; Muriel foram finalistas do mesmo prêmio na categoria “Evidência”, o que mostra a força e o reconhecimento que a dupla vêm recebendo no cenário musical capixaba e brasileiro. A experiência da dupla em eventos de todos os portes, somada a sua crescente popularidade, faz com que eles se tornem uma escolha certa para quem busca animação e qualidade musical em seu evento.</w:t>
      </w:r>
    </w:p>
    <w:p w14:paraId="59B3C55B">
      <w:pPr>
        <w:pStyle w:val="23"/>
        <w:spacing w:before="0" w:after="0"/>
        <w:jc w:val="both"/>
        <w:rPr>
          <w:rFonts w:hint="default" w:ascii="Times New Roman" w:hAnsi="Times New Roman"/>
          <w:sz w:val="24"/>
          <w:szCs w:val="24"/>
        </w:rPr>
      </w:pPr>
    </w:p>
    <w:p w14:paraId="3683C183">
      <w:pPr>
        <w:pStyle w:val="23"/>
        <w:spacing w:before="0" w:after="0"/>
        <w:jc w:val="both"/>
        <w:rPr>
          <w:rFonts w:hint="default" w:ascii="Times New Roman" w:hAnsi="Times New Roman"/>
          <w:sz w:val="24"/>
          <w:szCs w:val="24"/>
        </w:rPr>
      </w:pPr>
      <w:r>
        <w:rPr>
          <w:rFonts w:hint="default" w:ascii="Times New Roman" w:hAnsi="Times New Roman"/>
          <w:sz w:val="24"/>
          <w:szCs w:val="24"/>
        </w:rPr>
        <w:t>Além de Tiro de Doze, a dupla se destacou com a música Pega Eu, uma parceria com os renomados Humberto &amp; Ronaldo, gravada em Goiânia com produção de Dudu Oliveira, famoso produtor de Zé Neto &amp; Cristiano. A qualidade da produção e o talento da dupla garantiram ainda mais reconhecimento no cenário musical.</w:t>
      </w:r>
    </w:p>
    <w:p w14:paraId="536ABA78">
      <w:pPr>
        <w:pStyle w:val="23"/>
        <w:spacing w:before="0" w:after="0"/>
        <w:jc w:val="both"/>
        <w:rPr>
          <w:rFonts w:hint="default" w:ascii="Times New Roman" w:hAnsi="Times New Roman"/>
          <w:sz w:val="24"/>
          <w:szCs w:val="24"/>
        </w:rPr>
      </w:pPr>
    </w:p>
    <w:p w14:paraId="2E4BBA66">
      <w:pPr>
        <w:pStyle w:val="23"/>
        <w:spacing w:before="0" w:after="0"/>
        <w:jc w:val="both"/>
        <w:rPr>
          <w:rFonts w:hint="default" w:ascii="Times New Roman" w:hAnsi="Times New Roman"/>
          <w:sz w:val="24"/>
          <w:szCs w:val="24"/>
        </w:rPr>
      </w:pPr>
      <w:r>
        <w:rPr>
          <w:rFonts w:hint="default" w:ascii="Times New Roman" w:hAnsi="Times New Roman"/>
          <w:sz w:val="24"/>
          <w:szCs w:val="24"/>
        </w:rPr>
        <w:t>Recentemente, Eduardo &amp; Muriel foram destaque em uma matéria da TV Gazeta, afiliada da Globo no Espírito Santo, onde foram apontados como a grande promessa do sertanejo capixaba. O sucesso repentino e crescente da dupla é um reflexo do seu carisma, da sua energia e da dedicação que colocam em cada apresentação.</w:t>
      </w:r>
    </w:p>
    <w:p w14:paraId="785B43EB">
      <w:pPr>
        <w:pStyle w:val="23"/>
        <w:spacing w:before="0" w:after="0"/>
        <w:jc w:val="both"/>
        <w:rPr>
          <w:rFonts w:hint="default" w:ascii="Times New Roman" w:hAnsi="Times New Roman"/>
          <w:sz w:val="24"/>
          <w:szCs w:val="24"/>
        </w:rPr>
      </w:pPr>
    </w:p>
    <w:p w14:paraId="24932386">
      <w:pPr>
        <w:pStyle w:val="23"/>
        <w:spacing w:before="0" w:after="0"/>
        <w:jc w:val="both"/>
        <w:rPr>
          <w:rFonts w:hint="default"/>
          <w:highlight w:val="yellow"/>
          <w:lang w:val="pt-BR" w:eastAsia="pt-BR"/>
        </w:rPr>
      </w:pPr>
      <w:r>
        <w:rPr>
          <w:rFonts w:hint="default" w:ascii="Times New Roman" w:hAnsi="Times New Roman"/>
          <w:sz w:val="24"/>
          <w:szCs w:val="24"/>
        </w:rPr>
        <w:t>Inspirados por grandes nomes da música brasileira como Nattanzinho, Wesley Safadão, Jonas Esticado e Xand Avião, Eduardo &amp; Muriel oferecem um show único, que promete animar e agitar qualquer evento. Com uma presença de palco marcante e um repertório que conquista de imediato, eles são a escolha perfeita para quem busca qualidade musical e muita diversão.</w:t>
      </w:r>
    </w:p>
    <w:p w14:paraId="4C910384">
      <w:pPr>
        <w:pStyle w:val="23"/>
        <w:spacing w:before="0" w:after="0"/>
        <w:jc w:val="both"/>
        <w:rPr>
          <w:rFonts w:hint="default"/>
          <w:highlight w:val="yellow"/>
          <w:lang w:val="en-US" w:eastAsia="pt-BR"/>
        </w:rPr>
      </w:pPr>
    </w:p>
    <w:p w14:paraId="2AE42A9C">
      <w:pPr>
        <w:pStyle w:val="23"/>
        <w:spacing w:before="0" w:after="0"/>
        <w:jc w:val="both"/>
        <w:rPr>
          <w:rFonts w:hint="default"/>
          <w:highlight w:val="yellow"/>
          <w:lang w:val="en-US" w:eastAsia="pt-BR"/>
        </w:rPr>
      </w:pPr>
    </w:p>
    <w:p w14:paraId="0A162CE3">
      <w:pPr>
        <w:pStyle w:val="23"/>
        <w:spacing w:before="0" w:after="0"/>
        <w:jc w:val="both"/>
        <w:rPr>
          <w:rFonts w:hint="default"/>
          <w:b w:val="0"/>
          <w:bCs w:val="0"/>
          <w:highlight w:val="none"/>
          <w:lang w:val="pt-BR"/>
        </w:rPr>
      </w:pPr>
      <w:r>
        <w:rPr>
          <w:rFonts w:hint="default"/>
          <w:b/>
          <w:bCs/>
          <w:highlight w:val="none"/>
          <w:lang w:val="en-US" w:eastAsia="pt-BR"/>
        </w:rPr>
        <w:t>CANTOR JULIANO COUTO</w:t>
      </w:r>
      <w:r>
        <w:rPr>
          <w:b/>
          <w:bCs/>
          <w:highlight w:val="none"/>
          <w:lang w:eastAsia="pt-BR"/>
        </w:rPr>
        <w:t xml:space="preserve">: </w:t>
      </w:r>
      <w:r>
        <w:rPr>
          <w:rFonts w:hint="default"/>
          <w:b w:val="0"/>
          <w:bCs w:val="0"/>
          <w:highlight w:val="none"/>
          <w:lang w:val="en-US" w:eastAsia="pt-BR"/>
        </w:rPr>
        <w:t>R</w:t>
      </w:r>
      <w:r>
        <w:rPr>
          <w:b w:val="0"/>
          <w:bCs w:val="0"/>
          <w:highlight w:val="none"/>
          <w:lang w:eastAsia="pt-BR"/>
        </w:rPr>
        <w:t>epresentad</w:t>
      </w:r>
      <w:r>
        <w:rPr>
          <w:rFonts w:hint="default"/>
          <w:b w:val="0"/>
          <w:bCs w:val="0"/>
          <w:highlight w:val="none"/>
          <w:lang w:val="en-US" w:eastAsia="pt-BR"/>
        </w:rPr>
        <w:t>o</w:t>
      </w:r>
      <w:r>
        <w:rPr>
          <w:b w:val="0"/>
          <w:bCs w:val="0"/>
          <w:highlight w:val="none"/>
          <w:lang w:eastAsia="pt-BR"/>
        </w:rPr>
        <w:t xml:space="preserve"> pela empres</w:t>
      </w:r>
      <w:r>
        <w:rPr>
          <w:rFonts w:hint="default"/>
          <w:b w:val="0"/>
          <w:bCs w:val="0"/>
          <w:highlight w:val="none"/>
          <w:lang w:val="en-US" w:eastAsia="pt-BR"/>
        </w:rPr>
        <w:t>a JC  EVENTOS LTDA</w:t>
      </w:r>
      <w:r>
        <w:rPr>
          <w:b w:val="0"/>
          <w:bCs w:val="0"/>
          <w:highlight w:val="none"/>
          <w:lang w:eastAsia="pt-BR"/>
        </w:rPr>
        <w:t xml:space="preserve">, </w:t>
      </w:r>
      <w:r>
        <w:rPr>
          <w:rFonts w:hint="default"/>
          <w:b w:val="0"/>
          <w:bCs w:val="0"/>
          <w:highlight w:val="none"/>
          <w:lang w:val="en-US" w:eastAsia="pt-BR"/>
        </w:rPr>
        <w:t>inscrito sob</w:t>
      </w:r>
      <w:r>
        <w:rPr>
          <w:b w:val="0"/>
          <w:bCs w:val="0"/>
          <w:highlight w:val="none"/>
          <w:lang w:eastAsia="pt-BR"/>
        </w:rPr>
        <w:t xml:space="preserve"> o CNPJ</w:t>
      </w:r>
      <w:r>
        <w:rPr>
          <w:rFonts w:hint="default"/>
          <w:b w:val="0"/>
          <w:bCs w:val="0"/>
          <w:highlight w:val="none"/>
          <w:lang w:val="en-US" w:eastAsia="pt-BR"/>
        </w:rPr>
        <w:t xml:space="preserve"> Nº</w:t>
      </w:r>
      <w:r>
        <w:rPr>
          <w:rFonts w:hint="default"/>
          <w:b w:val="0"/>
          <w:bCs w:val="0"/>
          <w:highlight w:val="none"/>
          <w:lang w:val="pt-BR"/>
        </w:rPr>
        <w:t>. 27.735.882/0001-90.</w:t>
      </w:r>
    </w:p>
    <w:p w14:paraId="4168020E">
      <w:pPr>
        <w:pStyle w:val="23"/>
        <w:spacing w:before="0" w:after="0"/>
        <w:jc w:val="both"/>
        <w:rPr>
          <w:rFonts w:hint="default"/>
          <w:b w:val="0"/>
          <w:bCs w:val="0"/>
          <w:highlight w:val="yellow"/>
          <w:lang w:val="pt-BR"/>
        </w:rPr>
      </w:pPr>
    </w:p>
    <w:p w14:paraId="0DBC1D82">
      <w:pPr>
        <w:pStyle w:val="23"/>
        <w:spacing w:before="0" w:after="0"/>
        <w:jc w:val="both"/>
        <w:rPr>
          <w:rFonts w:hint="default"/>
          <w:b w:val="0"/>
          <w:bCs w:val="0"/>
          <w:highlight w:val="none"/>
          <w:lang w:val="pt-BR"/>
        </w:rPr>
      </w:pPr>
      <w:r>
        <w:rPr>
          <w:rFonts w:hint="default"/>
          <w:b w:val="0"/>
          <w:bCs w:val="0"/>
          <w:highlight w:val="none"/>
          <w:lang w:val="pt-BR"/>
        </w:rPr>
        <w:t>Juliano Suave Couto da Rosa, conhecido artisticamente como Juliano Couto, nasceu em 12 de agosto de 1994. Iniciou sua carreira musical aos 17 anos, de forma descompromissada, apenas por hobby. No entanto, foi aos 22 anos, incentivado por amigos e familiares, que decidiu se lançar profissionalmente no cenário musical. Desde então, Juliano tem conquistado um público fiel em todo o Espírito Santo, com apresentações marcantes nas principais festas e eventos do estado.</w:t>
      </w:r>
    </w:p>
    <w:p w14:paraId="53432901">
      <w:pPr>
        <w:pStyle w:val="23"/>
        <w:spacing w:before="0" w:after="0"/>
        <w:jc w:val="both"/>
        <w:rPr>
          <w:rFonts w:hint="default"/>
          <w:b w:val="0"/>
          <w:bCs w:val="0"/>
          <w:highlight w:val="none"/>
          <w:lang w:val="pt-BR"/>
        </w:rPr>
      </w:pPr>
    </w:p>
    <w:p w14:paraId="47DC8103">
      <w:pPr>
        <w:pStyle w:val="23"/>
        <w:spacing w:before="0" w:after="0"/>
        <w:jc w:val="both"/>
        <w:rPr>
          <w:rFonts w:hint="default"/>
          <w:b w:val="0"/>
          <w:bCs w:val="0"/>
          <w:highlight w:val="none"/>
          <w:lang w:val="pt-BR"/>
        </w:rPr>
      </w:pPr>
      <w:r>
        <w:rPr>
          <w:rFonts w:hint="default"/>
          <w:b w:val="0"/>
          <w:bCs w:val="0"/>
          <w:highlight w:val="none"/>
          <w:lang w:val="pt-BR"/>
        </w:rPr>
        <w:t>Com um estilo único e energético, Juliano Couto oferece um show "ligado no 220V", garantindo diversão e animação do início ao fim. Sua mistura de forró, piseiro estilizado e trapseiro traz a essência do diferente, sem cair na monotonia. Influenciado por grandes nomes da música brasileira, como Wesley Safadão, Xand Avião, Felipe Amorim e Matheus Fernandes, Juliano não se limita a um único estilo, sempre ajustando seu repertório conforme a energia do público, surpreendendo e garantindo uma experiência inesquecível.</w:t>
      </w:r>
    </w:p>
    <w:p w14:paraId="2460A9B2">
      <w:pPr>
        <w:pStyle w:val="23"/>
        <w:spacing w:before="0" w:after="0"/>
        <w:jc w:val="both"/>
        <w:rPr>
          <w:rFonts w:hint="default"/>
          <w:b w:val="0"/>
          <w:bCs w:val="0"/>
          <w:highlight w:val="none"/>
          <w:lang w:val="pt-BR"/>
        </w:rPr>
      </w:pPr>
    </w:p>
    <w:p w14:paraId="1A7153E1">
      <w:pPr>
        <w:pStyle w:val="23"/>
        <w:spacing w:before="0" w:after="0"/>
        <w:jc w:val="both"/>
        <w:rPr>
          <w:rFonts w:hint="default"/>
          <w:b w:val="0"/>
          <w:bCs w:val="0"/>
          <w:highlight w:val="none"/>
          <w:lang w:val="pt-BR"/>
        </w:rPr>
      </w:pPr>
      <w:r>
        <w:rPr>
          <w:rFonts w:hint="default"/>
          <w:b w:val="0"/>
          <w:bCs w:val="0"/>
          <w:highlight w:val="none"/>
          <w:lang w:val="pt-BR"/>
        </w:rPr>
        <w:t xml:space="preserve">Atualmente, Juliano Couto faz parte do casting de renomadas casas de shows do Espírito Santo, como Wood’s Vitória, Let's (Linhares/Colatina/Guriri), Embrazado, Casa Hitz, Mex Guarapari, Laguna Lounge, Barril Bear, entre outras. Já se apresentou para mais de 30 mil pessoas em aniversários municipais, sempre com o objetivo de levar alegria, agitar as pistas e proporcionar shows memoráveis. Seu principal compromisso é garantir a satisfação total dos contratantes e proporcionar uma experiência única ao público. Surpreender e encantar é a sua especialidade. </w:t>
      </w:r>
    </w:p>
    <w:p w14:paraId="22FD265C">
      <w:pPr>
        <w:pStyle w:val="23"/>
        <w:spacing w:before="0" w:after="0"/>
        <w:jc w:val="both"/>
        <w:rPr>
          <w:rFonts w:hint="default"/>
          <w:b w:val="0"/>
          <w:bCs w:val="0"/>
          <w:highlight w:val="none"/>
          <w:lang w:val="pt-BR"/>
        </w:rPr>
      </w:pPr>
    </w:p>
    <w:p w14:paraId="2A47B9BF">
      <w:pPr>
        <w:pStyle w:val="23"/>
        <w:spacing w:before="0" w:after="0"/>
        <w:jc w:val="both"/>
        <w:rPr>
          <w:rFonts w:hint="default"/>
          <w:b w:val="0"/>
          <w:bCs w:val="0"/>
          <w:highlight w:val="none"/>
          <w:lang w:val="pt-BR"/>
        </w:rPr>
      </w:pPr>
    </w:p>
    <w:p w14:paraId="50B2ED48">
      <w:pPr>
        <w:pStyle w:val="23"/>
        <w:spacing w:before="0" w:after="0"/>
        <w:jc w:val="both"/>
        <w:rPr>
          <w:rFonts w:hint="default"/>
          <w:b w:val="0"/>
          <w:bCs w:val="0"/>
          <w:highlight w:val="none"/>
          <w:lang w:val="pt-BR"/>
        </w:rPr>
      </w:pPr>
      <w:r>
        <w:rPr>
          <w:rFonts w:hint="default"/>
          <w:b/>
          <w:bCs/>
          <w:highlight w:val="none"/>
          <w:lang w:val="en-US" w:eastAsia="pt-BR"/>
        </w:rPr>
        <w:t>CANTOR GABRIEL GAVA</w:t>
      </w:r>
      <w:r>
        <w:rPr>
          <w:b/>
          <w:bCs/>
          <w:highlight w:val="none"/>
          <w:lang w:eastAsia="pt-BR"/>
        </w:rPr>
        <w:t xml:space="preserve">: </w:t>
      </w:r>
      <w:r>
        <w:rPr>
          <w:rFonts w:hint="default"/>
          <w:b w:val="0"/>
          <w:bCs w:val="0"/>
          <w:highlight w:val="none"/>
          <w:lang w:val="en-US" w:eastAsia="pt-BR"/>
        </w:rPr>
        <w:t>R</w:t>
      </w:r>
      <w:r>
        <w:rPr>
          <w:b w:val="0"/>
          <w:bCs w:val="0"/>
          <w:highlight w:val="none"/>
          <w:lang w:eastAsia="pt-BR"/>
        </w:rPr>
        <w:t>epresentad</w:t>
      </w:r>
      <w:r>
        <w:rPr>
          <w:rFonts w:hint="default"/>
          <w:b w:val="0"/>
          <w:bCs w:val="0"/>
          <w:highlight w:val="none"/>
          <w:lang w:val="en-US" w:eastAsia="pt-BR"/>
        </w:rPr>
        <w:t>o</w:t>
      </w:r>
      <w:r>
        <w:rPr>
          <w:b w:val="0"/>
          <w:bCs w:val="0"/>
          <w:highlight w:val="none"/>
          <w:lang w:eastAsia="pt-BR"/>
        </w:rPr>
        <w:t xml:space="preserve"> pela empres</w:t>
      </w:r>
      <w:r>
        <w:rPr>
          <w:rFonts w:hint="default"/>
          <w:b w:val="0"/>
          <w:bCs w:val="0"/>
          <w:highlight w:val="none"/>
          <w:lang w:val="en-US" w:eastAsia="pt-BR"/>
        </w:rPr>
        <w:t>a FS GAVA PRODUÇÃO ARTÍSTICA EIRELI</w:t>
      </w:r>
      <w:r>
        <w:rPr>
          <w:b w:val="0"/>
          <w:bCs w:val="0"/>
          <w:highlight w:val="none"/>
          <w:lang w:eastAsia="pt-BR"/>
        </w:rPr>
        <w:t xml:space="preserve">, </w:t>
      </w:r>
      <w:r>
        <w:rPr>
          <w:rFonts w:hint="default"/>
          <w:b w:val="0"/>
          <w:bCs w:val="0"/>
          <w:highlight w:val="none"/>
          <w:lang w:val="en-US" w:eastAsia="pt-BR"/>
        </w:rPr>
        <w:t>inscrito sob</w:t>
      </w:r>
      <w:r>
        <w:rPr>
          <w:b w:val="0"/>
          <w:bCs w:val="0"/>
          <w:highlight w:val="none"/>
          <w:lang w:eastAsia="pt-BR"/>
        </w:rPr>
        <w:t xml:space="preserve"> o CNPJ</w:t>
      </w:r>
      <w:r>
        <w:rPr>
          <w:rFonts w:hint="default"/>
          <w:b w:val="0"/>
          <w:bCs w:val="0"/>
          <w:highlight w:val="none"/>
          <w:lang w:val="en-US" w:eastAsia="pt-BR"/>
        </w:rPr>
        <w:t xml:space="preserve"> Nº.</w:t>
      </w:r>
      <w:r>
        <w:rPr>
          <w:b w:val="0"/>
          <w:bCs w:val="0"/>
          <w:highlight w:val="none"/>
          <w:lang w:eastAsia="pt-BR"/>
        </w:rPr>
        <w:t xml:space="preserve"> </w:t>
      </w:r>
      <w:r>
        <w:rPr>
          <w:rFonts w:hint="default"/>
          <w:b w:val="0"/>
          <w:bCs w:val="0"/>
          <w:highlight w:val="none"/>
          <w:lang w:val="pt-BR"/>
        </w:rPr>
        <w:t>32.523.135/0001-28.</w:t>
      </w:r>
    </w:p>
    <w:p w14:paraId="041572F7">
      <w:pPr>
        <w:pStyle w:val="23"/>
        <w:spacing w:before="0" w:after="0"/>
        <w:jc w:val="both"/>
        <w:rPr>
          <w:rFonts w:hint="default"/>
          <w:b w:val="0"/>
          <w:bCs w:val="0"/>
          <w:highlight w:val="none"/>
          <w:lang w:val="pt-BR"/>
        </w:rPr>
      </w:pPr>
    </w:p>
    <w:p w14:paraId="2B917C60">
      <w:pPr>
        <w:pStyle w:val="23"/>
        <w:spacing w:before="0" w:after="0"/>
        <w:jc w:val="both"/>
        <w:rPr>
          <w:rFonts w:hint="default"/>
          <w:b w:val="0"/>
          <w:bCs w:val="0"/>
          <w:highlight w:val="none"/>
          <w:lang w:val="pt-BR"/>
        </w:rPr>
      </w:pPr>
    </w:p>
    <w:p w14:paraId="3EF37B58">
      <w:pPr>
        <w:pStyle w:val="23"/>
        <w:spacing w:before="0" w:after="0"/>
        <w:jc w:val="both"/>
        <w:rPr>
          <w:rFonts w:hint="default"/>
          <w:b w:val="0"/>
          <w:bCs w:val="0"/>
          <w:highlight w:val="none"/>
          <w:lang w:val="pt-BR"/>
        </w:rPr>
      </w:pPr>
      <w:r>
        <w:rPr>
          <w:rFonts w:hint="default"/>
          <w:b w:val="0"/>
          <w:bCs w:val="0"/>
          <w:highlight w:val="none"/>
          <w:lang w:val="pt-BR"/>
        </w:rPr>
        <w:t>Gabriel Gava, um dos maiores nomes da nova geração do sertanejo, ficou conhecido por sua pegada de arrocha, especialmente com o hit Fiorino, que conquistou o Brasil e o colocou no topo das paradas em 2012. Com mais de 20 milhões de visualizações e a música tocando em mais de 80 países, a canção transformou Gabriel Gava em um dos artistas mais buscados na internet. A partir desse sucesso, ele se consolidou como uma das grandes promessas do sertanejo, com uma agenda de shows lotados e mais de 80 mil pessoas em suas apresentações.</w:t>
      </w:r>
    </w:p>
    <w:p w14:paraId="01757777">
      <w:pPr>
        <w:pStyle w:val="23"/>
        <w:spacing w:before="0" w:after="0"/>
        <w:jc w:val="both"/>
        <w:rPr>
          <w:rFonts w:hint="default"/>
          <w:b w:val="0"/>
          <w:bCs w:val="0"/>
          <w:highlight w:val="none"/>
          <w:lang w:val="pt-BR"/>
        </w:rPr>
      </w:pPr>
    </w:p>
    <w:p w14:paraId="7DA31EAD">
      <w:pPr>
        <w:pStyle w:val="23"/>
        <w:spacing w:before="0" w:after="0"/>
        <w:jc w:val="both"/>
        <w:rPr>
          <w:rFonts w:hint="default"/>
          <w:b w:val="0"/>
          <w:bCs w:val="0"/>
          <w:highlight w:val="none"/>
          <w:lang w:val="pt-BR"/>
        </w:rPr>
      </w:pPr>
      <w:r>
        <w:rPr>
          <w:rFonts w:hint="default"/>
          <w:b w:val="0"/>
          <w:bCs w:val="0"/>
          <w:highlight w:val="none"/>
          <w:lang w:val="pt-BR"/>
        </w:rPr>
        <w:t>Mas Gabriel Gava não para por aí. Com o intuito de expandir ainda mais sua sonoridade e alcançar novos públicos, o cantor capixaba aposta agora no brega, um estilo que mescla ritmos dançantes com uma linguagem mais popular. Seu novo EP, Na Boca do Povo, lançado recentemente, traz quatro faixas que exploram essa nova fase da carreira do artista, mantendo sua identidade marcante e ainda mais conectado com o coração do público.</w:t>
      </w:r>
    </w:p>
    <w:p w14:paraId="14D200C1">
      <w:pPr>
        <w:pStyle w:val="23"/>
        <w:spacing w:before="0" w:after="0"/>
        <w:jc w:val="both"/>
        <w:rPr>
          <w:rFonts w:hint="default"/>
          <w:b w:val="0"/>
          <w:bCs w:val="0"/>
          <w:highlight w:val="none"/>
          <w:lang w:val="pt-BR"/>
        </w:rPr>
      </w:pPr>
    </w:p>
    <w:p w14:paraId="1D4D2475">
      <w:pPr>
        <w:pStyle w:val="23"/>
        <w:spacing w:before="0" w:after="0"/>
        <w:jc w:val="both"/>
        <w:rPr>
          <w:rFonts w:hint="default"/>
          <w:b w:val="0"/>
          <w:bCs w:val="0"/>
          <w:highlight w:val="none"/>
          <w:lang w:val="pt-BR"/>
        </w:rPr>
      </w:pPr>
      <w:r>
        <w:rPr>
          <w:rFonts w:hint="default"/>
          <w:b w:val="0"/>
          <w:bCs w:val="0"/>
          <w:highlight w:val="none"/>
          <w:lang w:val="pt-BR"/>
        </w:rPr>
        <w:t>Desde o lançamento de sua carreira solo em 2010, Gabriel vem conquistando cada vez mais fãs, mostrando seu talento em composições próprias e parcerias com grandes nomes da música brasileira, como Zé Neto &amp; Cristiano, Fernando &amp; Sorocaba e Léo Santana. Em 2013, ele já havia se consagrado com o DVD Bala na Boquinha, que seguiu o sucesso de Fiorino, e continuou a emplacar hits como Vou Sair de Kombi. Em 2016, Gabriel lançou o álbum Esse Sou Eu, com faixas que exploram seu lado romântico e amadurecido como artista.</w:t>
      </w:r>
    </w:p>
    <w:p w14:paraId="5ACDB965">
      <w:pPr>
        <w:pStyle w:val="23"/>
        <w:spacing w:before="0" w:after="0"/>
        <w:jc w:val="both"/>
        <w:rPr>
          <w:rFonts w:hint="default"/>
          <w:b w:val="0"/>
          <w:bCs w:val="0"/>
          <w:highlight w:val="none"/>
          <w:lang w:val="pt-BR"/>
        </w:rPr>
      </w:pPr>
    </w:p>
    <w:p w14:paraId="2AFE1720">
      <w:pPr>
        <w:pStyle w:val="23"/>
        <w:spacing w:before="0" w:after="0"/>
        <w:jc w:val="both"/>
        <w:rPr>
          <w:rFonts w:hint="default"/>
          <w:b w:val="0"/>
          <w:bCs w:val="0"/>
          <w:highlight w:val="none"/>
          <w:lang w:val="pt-BR"/>
        </w:rPr>
      </w:pPr>
      <w:r>
        <w:rPr>
          <w:rFonts w:hint="default"/>
          <w:b w:val="0"/>
          <w:bCs w:val="0"/>
          <w:highlight w:val="none"/>
          <w:lang w:val="pt-BR"/>
        </w:rPr>
        <w:t>Com a chegada de seu novo EP e a música Delicinha como carro-chefe, Gabriel Gava mostra que está em constante evolução, abraçando novas influências e consolidando-se como um artista completo, capaz de emocionar e agitar o público com suas apresentações cheias de energia e carisma. Além disso, o cantor surpreende com um novo visual, que marca a fase mais madura de sua carreira e tem encantado suas fãs, conhecidas como "gavétes".</w:t>
      </w:r>
    </w:p>
    <w:p w14:paraId="10966FF5">
      <w:pPr>
        <w:pStyle w:val="23"/>
        <w:spacing w:before="0" w:after="0"/>
        <w:jc w:val="both"/>
        <w:rPr>
          <w:rFonts w:hint="default"/>
          <w:b w:val="0"/>
          <w:bCs w:val="0"/>
          <w:highlight w:val="none"/>
          <w:lang w:val="pt-BR"/>
        </w:rPr>
      </w:pPr>
    </w:p>
    <w:p w14:paraId="606E3E89">
      <w:pPr>
        <w:pStyle w:val="23"/>
        <w:spacing w:before="0" w:after="0"/>
        <w:jc w:val="both"/>
        <w:rPr>
          <w:rFonts w:hint="default"/>
          <w:b w:val="0"/>
          <w:bCs w:val="0"/>
          <w:highlight w:val="none"/>
          <w:lang w:val="pt-BR"/>
        </w:rPr>
      </w:pPr>
      <w:r>
        <w:rPr>
          <w:rFonts w:hint="default"/>
          <w:b w:val="0"/>
          <w:bCs w:val="0"/>
          <w:highlight w:val="none"/>
          <w:lang w:val="pt-BR"/>
        </w:rPr>
        <w:t>Hoje, Gabriel Gava integra o casting da NA Produções Artísticas, escritório da cantora Naiara Azevedo, e continua a trilhar um caminho de sucesso no cenário musical brasileiro. Se você ainda não conhece essa nova fase de Gabriel Gava, não perca tempo e descubra o talento e a energia desse fenômeno do sertanejo!</w:t>
      </w:r>
    </w:p>
    <w:p w14:paraId="6E8E2F0A">
      <w:pPr>
        <w:pStyle w:val="23"/>
        <w:spacing w:before="0" w:after="0"/>
        <w:jc w:val="both"/>
        <w:rPr>
          <w:rFonts w:hint="default"/>
          <w:b w:val="0"/>
          <w:bCs w:val="0"/>
          <w:highlight w:val="none"/>
          <w:lang w:val="en-US" w:eastAsia="pt-BR"/>
        </w:rPr>
      </w:pPr>
    </w:p>
    <w:p w14:paraId="768EC745">
      <w:pPr>
        <w:pStyle w:val="23"/>
        <w:spacing w:before="0" w:after="0"/>
        <w:rPr>
          <w:lang w:eastAsia="pt-BR"/>
        </w:rPr>
      </w:pPr>
    </w:p>
    <w:p w14:paraId="5E7F9F6B">
      <w:pPr>
        <w:pStyle w:val="23"/>
        <w:spacing w:before="0" w:after="0"/>
      </w:pPr>
      <w:r>
        <w:rPr>
          <w:rStyle w:val="13"/>
        </w:rPr>
        <w:t>3.2. BASE LEGAL:</w:t>
      </w:r>
    </w:p>
    <w:p w14:paraId="6113C7BA">
      <w:pPr>
        <w:pStyle w:val="23"/>
        <w:spacing w:before="120" w:after="120"/>
        <w:jc w:val="both"/>
        <w:rPr>
          <w:highlight w:val="none"/>
        </w:rPr>
      </w:pPr>
      <w:r>
        <w:rPr>
          <w:highlight w:val="none"/>
        </w:rPr>
        <w:t>O Estudo Técnico Preliminar apresenta de forma detalhada os fundamentos técnicos que embasam a escolha da modalidade de inexigibilidade com base no art. 74 da Lei nº 14.133/2021, que prevê que a inexigibilidade de licitação é justificada quando houver inviabilidade de competição em razão da singularidade do objeto ou notória especialização do fornecedor, o que se aplica ao caso em questão.</w:t>
      </w:r>
    </w:p>
    <w:p w14:paraId="3F7F3E36">
      <w:pPr>
        <w:pStyle w:val="23"/>
        <w:spacing w:before="120" w:after="120"/>
        <w:jc w:val="both"/>
      </w:pPr>
      <w:r>
        <w:t>Em específico quanto aos requisitos legais das contratações do objeto deste Termo de Referência, que trata da solicitação desta Secretaria acerca das contratações                                                                                                           das Bandas/duplas/cantores/artistas, para realização do evento neste Município, fundamentalmente, ocorre por serem consagrado</w:t>
      </w:r>
      <w:r>
        <w:rPr>
          <w:rFonts w:hint="default"/>
          <w:lang w:val="pt-BR"/>
        </w:rPr>
        <w:t>s</w:t>
      </w:r>
      <w:r>
        <w:t xml:space="preserve"> em nível regional</w:t>
      </w:r>
      <w:r>
        <w:rPr>
          <w:rFonts w:hint="default"/>
          <w:lang w:val="pt-BR"/>
        </w:rPr>
        <w:t xml:space="preserve"> e nacional</w:t>
      </w:r>
      <w:r>
        <w:t>, sendo muito conhecidos pelos shows que realizam, gozando de excelente conceito e aceitação popular.</w:t>
      </w:r>
    </w:p>
    <w:p w14:paraId="1CD4222B">
      <w:pPr>
        <w:pStyle w:val="23"/>
        <w:spacing w:before="120" w:after="120"/>
        <w:jc w:val="both"/>
      </w:pPr>
      <w:r>
        <w:t xml:space="preserve">Não paira nenhuma dúvida que Bandas/duplas/cantores/artistas a serem contratados possuem reputação, experiência e conhecimento compatíveis com a dimensão do evento que a Administração Municipal se propõe a realizar para os munícipes de </w:t>
      </w:r>
      <w:r>
        <w:rPr>
          <w:rFonts w:hint="default"/>
          <w:lang w:val="pt-BR"/>
        </w:rPr>
        <w:t>São Roque do Canaã</w:t>
      </w:r>
      <w:r>
        <w:t xml:space="preserve"> e até mesmo da região.</w:t>
      </w:r>
    </w:p>
    <w:p w14:paraId="674E06B1">
      <w:pPr>
        <w:pStyle w:val="23"/>
        <w:spacing w:before="120" w:after="120"/>
        <w:jc w:val="both"/>
      </w:pPr>
      <w:r>
        <w:t xml:space="preserve">Diante disso e considerando que a Constituição Federal impõe ao Estado o dever de promover a cultura e lazer, o Município através desta Secretaria, tem buscado, dentro de sua realidade e do gosto popular e o estilo musical que </w:t>
      </w:r>
      <w:r>
        <w:rPr>
          <w:rFonts w:hint="default"/>
          <w:lang w:val="pt-BR"/>
        </w:rPr>
        <w:t>o Réveillon de Rua 2024/2025</w:t>
      </w:r>
      <w:r>
        <w:t xml:space="preserve"> </w:t>
      </w:r>
      <w:r>
        <w:rPr>
          <w:rFonts w:hint="default"/>
          <w:lang w:val="pt-BR"/>
        </w:rPr>
        <w:t>necessita</w:t>
      </w:r>
      <w:r>
        <w:t xml:space="preserve">, definir a contratação desta tipologia de serviços/show </w:t>
      </w:r>
      <w:r>
        <w:rPr>
          <w:rFonts w:hint="default"/>
          <w:lang w:val="pt-BR"/>
        </w:rPr>
        <w:t>regional e nacional</w:t>
      </w:r>
      <w:r>
        <w:t>.</w:t>
      </w:r>
    </w:p>
    <w:p w14:paraId="021CE392">
      <w:pPr>
        <w:pStyle w:val="23"/>
        <w:spacing w:before="120" w:after="120"/>
        <w:jc w:val="both"/>
      </w:pPr>
      <w:r>
        <w:t xml:space="preserve">Dada a incompatibilidade comparativa (especialmente no âmbito do preço) e em virtude da potencialidade criativa e características intrínsecas e principalmente peculiares/pontuais/específicas do trabalho/show </w:t>
      </w:r>
      <w:r>
        <w:rPr>
          <w:rFonts w:hint="default"/>
          <w:lang w:val="pt-BR"/>
        </w:rPr>
        <w:t xml:space="preserve">regional e nacional </w:t>
      </w:r>
      <w:r>
        <w:t>que se pretende contratar, não há como estabelecer critério de competição objetivo (tal como o preço), tornado assim inviável.</w:t>
      </w:r>
    </w:p>
    <w:p w14:paraId="740160B3">
      <w:pPr>
        <w:pStyle w:val="23"/>
        <w:spacing w:before="120" w:after="120"/>
        <w:jc w:val="both"/>
      </w:pPr>
      <w:r>
        <w:t>Ora, tal hipótese demonstra a inviabilidade de competição. Seria mesmo impossível haver comparação entre as performances artísticas de diversos profissionais do setor de forma a tornar viável a abertura de eventual procedimento licitatório.</w:t>
      </w:r>
    </w:p>
    <w:p w14:paraId="19300311">
      <w:pPr>
        <w:pStyle w:val="23"/>
        <w:spacing w:before="120" w:after="120"/>
        <w:jc w:val="both"/>
      </w:pPr>
      <w:r>
        <w:t xml:space="preserve">Dada a potencialidade criativa ou características intrínsecas do trabalho, não há como estabelecer pontos mensuradores para estabelecer uma competição que seja julgada através de critérios objetivos, o que não afasta a possibilidade de haver uma contratação com observância da seleção da proposta mais vantajosa, dentre outros princípios a ela atrelados. </w:t>
      </w:r>
    </w:p>
    <w:p w14:paraId="281E5FE9">
      <w:pPr>
        <w:pStyle w:val="23"/>
        <w:spacing w:before="120" w:after="120"/>
        <w:jc w:val="both"/>
      </w:pPr>
      <w:r>
        <w:t>Sabido que mesmo cabendo certa discricionariedade na escolha do executante, nos cercamos de informações que demonstrem a consagração dos artistas, bem como o mínimo exigido para uma contratação segura e a razoabilidade de um preço justo, visto que a ausência de licitação não equivale a contratação informal, realizada com quem a Administração bem entender, sem cautelas e nem documentações acostadas.</w:t>
      </w:r>
    </w:p>
    <w:p w14:paraId="5F3135DB">
      <w:pPr>
        <w:pStyle w:val="23"/>
        <w:spacing w:before="120" w:after="120"/>
        <w:jc w:val="both"/>
      </w:pPr>
      <w:r>
        <w:t>Ao contrário, para a contratação de forma inexigível deve haver um procedimento prévio, em que a observância de etapas e formalidades é imprescindível. Atentando para o princípio da economicidade necessário nos remeter à pesquisa de mercado, o que demonstra ser uma contratação compatível do ponto de vista custo-benefício, dentro do contexto do objeto almejado, comprovando a garantia de resultados eficientes e econômicos, de forma que efetivamente se caracterize a gestão de recursos públicos de maneira justa e compatível ao interesse público.</w:t>
      </w:r>
    </w:p>
    <w:p w14:paraId="614B7A88">
      <w:pPr>
        <w:pStyle w:val="23"/>
        <w:spacing w:before="120" w:after="120"/>
        <w:jc w:val="both"/>
      </w:pPr>
      <w:r>
        <w:t>Desse modo, é preciso levar em consideração que as contratações serão realizadas diretamente com os respectivos empresários exclusivos, tudo devidamente comprovado através das documentações acostadas a este Termo de Referência, especialmente os Contratos e Cartas de Exclusividade, ora firmados pelos artistas concedendo às respectivas empresas a exclusividade de seus shows artísticos.</w:t>
      </w:r>
    </w:p>
    <w:p w14:paraId="0B86D5CD">
      <w:pPr>
        <w:pStyle w:val="23"/>
        <w:spacing w:before="120" w:after="120"/>
        <w:jc w:val="both"/>
      </w:pPr>
      <w:r>
        <w:t>Por se tratar de empresas que já detém a exclusividade das Bandas/duplas/cantores/artistas de modo contínuo e regular, fica evidente que os preços praticados pelos empresários são vantajosos para a Administração, porque acompanham a média dos preços praticados no mercado, já que não diz respeito a empresários classificados como meros “atravessadores”.</w:t>
      </w:r>
    </w:p>
    <w:p w14:paraId="6CC9B109">
      <w:pPr>
        <w:pStyle w:val="23"/>
        <w:spacing w:before="120" w:after="120"/>
        <w:jc w:val="both"/>
      </w:pPr>
      <w:r>
        <w:t>Para fins de comprovação, apresentamos em anexo avisos de inexigibilidade, anteriormente efetivados por outras administrações públicas e ainda notas fiscais de shows realizados, de forma a demonstrar a razoabilidade dos valores das contratações a serem realizadas.</w:t>
      </w:r>
    </w:p>
    <w:p w14:paraId="70974D15">
      <w:pPr>
        <w:pStyle w:val="23"/>
        <w:spacing w:before="120" w:after="120"/>
        <w:jc w:val="both"/>
      </w:pPr>
      <w:r>
        <w:t xml:space="preserve">Assim, ao compararmos os valores das propostas apresentadas para realizar os shows em </w:t>
      </w:r>
      <w:r>
        <w:rPr>
          <w:rFonts w:hint="default"/>
          <w:lang w:val="pt-BR"/>
        </w:rPr>
        <w:t>São Roque do Canaã</w:t>
      </w:r>
      <w:r>
        <w:t xml:space="preserve"> – ES e aqueles já praticados em outros lugares, quer seja de forma regional ou nacional, os valores mostrando-se compatíveis e razoáveis.</w:t>
      </w:r>
    </w:p>
    <w:p w14:paraId="6101DC29">
      <w:pPr>
        <w:pStyle w:val="23"/>
        <w:spacing w:before="120" w:after="120"/>
        <w:jc w:val="both"/>
      </w:pPr>
      <w:r>
        <w:t>Portanto, é possível concluir que dentro das características e performances desejadas, sem qualquer escolha arbitrária, a inexigibilidade é o meio mais adequado para a contratação, tendo em vista a inviabilidade de competição, dentro de critérios objetivos, entre as Bandas/duplas/cantores/artistas, estas consagradas pela crítica especializada e ainda assim obtendo um preço justo a ser desembolsado pela Administração Municipal.</w:t>
      </w:r>
    </w:p>
    <w:p w14:paraId="129EDF05">
      <w:pPr>
        <w:pStyle w:val="23"/>
        <w:spacing w:before="120" w:after="120"/>
        <w:jc w:val="both"/>
      </w:pPr>
      <w:r>
        <w:t>Por fim, verifica-se que esse dispositivo apresenta certo limite discricionário, autorizando o administrador a optar pela escolha que melhor atenda ao interesse público em razão das próprias características da performance artística desejada. E sendo assim, entendemos ser inexigível a licitação, tendo em vista que as Bandas/duplas/cantores/artistas atendem aos requisitos do evento que se pretende realizar.</w:t>
      </w:r>
    </w:p>
    <w:p w14:paraId="472713AF">
      <w:pPr>
        <w:pStyle w:val="23"/>
        <w:spacing w:before="120" w:after="120"/>
        <w:jc w:val="both"/>
      </w:pPr>
    </w:p>
    <w:p w14:paraId="4EE20E13">
      <w:pPr>
        <w:pStyle w:val="23"/>
        <w:spacing w:before="0" w:after="0"/>
        <w:rPr>
          <w:b/>
        </w:rPr>
      </w:pPr>
    </w:p>
    <w:p w14:paraId="5142D122">
      <w:pPr>
        <w:pStyle w:val="23"/>
        <w:spacing w:before="0" w:after="0"/>
      </w:pPr>
      <w:r>
        <w:rPr>
          <w:b/>
        </w:rPr>
        <w:t xml:space="preserve">3.3. </w:t>
      </w:r>
      <w:r>
        <w:rPr>
          <w:b/>
          <w:bCs/>
          <w:lang w:eastAsia="pt-BR"/>
        </w:rPr>
        <w:t>JUSTIFICATIVA PARA A CONTRATAÇÃO.</w:t>
      </w:r>
    </w:p>
    <w:p w14:paraId="4E287283">
      <w:pPr>
        <w:pStyle w:val="23"/>
        <w:numPr>
          <w:ilvl w:val="0"/>
          <w:numId w:val="0"/>
        </w:numPr>
        <w:spacing w:before="0" w:beforeAutospacing="0" w:after="0" w:afterAutospacing="0"/>
        <w:jc w:val="both"/>
        <w:rPr>
          <w:rFonts w:hint="default" w:ascii="Times New Roman" w:hAnsi="Times New Roman" w:cs="Times New Roman"/>
          <w:color w:val="auto"/>
          <w:sz w:val="24"/>
          <w:szCs w:val="24"/>
          <w:highlight w:val="none"/>
        </w:rPr>
      </w:pPr>
    </w:p>
    <w:p w14:paraId="1447150F">
      <w:pPr>
        <w:pStyle w:val="23"/>
        <w:numPr>
          <w:ilvl w:val="0"/>
          <w:numId w:val="0"/>
        </w:numPr>
        <w:spacing w:before="0" w:beforeAutospacing="0" w:after="0" w:afterAutospacing="0"/>
        <w:jc w:val="both"/>
        <w:rPr>
          <w:rFonts w:hint="default" w:ascii="Times New Roman" w:hAnsi="Times New Roman" w:cs="Times New Roman"/>
          <w:color w:val="auto"/>
          <w:sz w:val="24"/>
          <w:szCs w:val="24"/>
          <w:highlight w:val="none"/>
          <w:lang w:val="pt-BR"/>
        </w:rPr>
      </w:pPr>
      <w:r>
        <w:rPr>
          <w:rFonts w:hint="default" w:ascii="Times New Roman" w:hAnsi="Times New Roman" w:cs="Times New Roman"/>
          <w:color w:val="auto"/>
          <w:sz w:val="24"/>
          <w:szCs w:val="24"/>
          <w:highlight w:val="none"/>
        </w:rPr>
        <w:t>O Réveillon de Rua, tradicionalmente celebrado em São Roque do Canaã, transcende a mera celebração da passagem de ano. Trata-se de um evento que, ao longo dos anos, consolidou-se como um marco cultural e social, capaz de gerar impactos positivos em diversos âmbitos da vida comunitária.</w:t>
      </w:r>
    </w:p>
    <w:p w14:paraId="6D7299AD">
      <w:pPr>
        <w:pStyle w:val="23"/>
        <w:keepNext w:val="0"/>
        <w:keepLines w:val="0"/>
        <w:widowControl/>
        <w:suppressLineNumbers w:val="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A realização deste evento reside em sua capacidade de promover a identidade cultural local. Ao reunir a comunidade em torno de uma celebração que valoriza as tradições e os costumes da região, o Réveillon fortalece o sentimento de pertencimento e contribui para a construção de uma memória coletiva. A emocionante queima de fogos, que envolve a todos os cidadãos a se unirem e vibrarem juntos para com a contagem regressiva, é um dos momentos mais aguardados, trazendo consigo um entusiasmo contagiante e a sensação de renovação.</w:t>
      </w:r>
    </w:p>
    <w:p w14:paraId="6E2E5FE4">
      <w:pPr>
        <w:pStyle w:val="23"/>
        <w:keepNext w:val="0"/>
        <w:keepLines w:val="0"/>
        <w:widowControl/>
        <w:suppressLineNumbers w:val="0"/>
        <w:jc w:val="both"/>
        <w:rPr>
          <w:rFonts w:hint="default" w:ascii="Times New Roman" w:hAnsi="Times New Roman" w:eastAsia="SimSun" w:cs="Times New Roman"/>
          <w:color w:val="auto"/>
          <w:sz w:val="24"/>
          <w:szCs w:val="24"/>
          <w:highlight w:val="none"/>
        </w:rPr>
      </w:pPr>
      <w:r>
        <w:rPr>
          <w:rFonts w:hint="default" w:ascii="Times New Roman" w:hAnsi="Times New Roman" w:eastAsia="SimSun" w:cs="Times New Roman"/>
          <w:color w:val="auto"/>
          <w:sz w:val="24"/>
          <w:szCs w:val="24"/>
          <w:highlight w:val="none"/>
        </w:rPr>
        <w:t>Sob a ótica econômica, o Réveillon de Rua é um importante motor para o desenvolvimento local. O evento gera uma série de empregos diretos e indiretos, aquecendo o comércio e estimulando a prestação de serviços.</w:t>
      </w:r>
      <w:r>
        <w:rPr>
          <w:rFonts w:hint="default" w:ascii="Times New Roman" w:hAnsi="Times New Roman" w:eastAsia="SimSun" w:cs="Times New Roman"/>
          <w:color w:val="auto"/>
          <w:sz w:val="24"/>
          <w:szCs w:val="24"/>
          <w:highlight w:val="none"/>
          <w:lang w:val="pt-BR"/>
        </w:rPr>
        <w:t xml:space="preserve"> </w:t>
      </w:r>
      <w:r>
        <w:rPr>
          <w:rFonts w:hint="default" w:ascii="Times New Roman" w:hAnsi="Times New Roman" w:eastAsia="SimSun" w:cs="Times New Roman"/>
          <w:color w:val="auto"/>
          <w:sz w:val="24"/>
          <w:szCs w:val="24"/>
          <w:highlight w:val="none"/>
        </w:rPr>
        <w:t xml:space="preserve">O grande fluxo de visitantes, atraídos pelas atrações musicais </w:t>
      </w:r>
      <w:r>
        <w:rPr>
          <w:rFonts w:hint="default" w:ascii="Times New Roman" w:hAnsi="Times New Roman" w:eastAsia="SimSun" w:cs="Times New Roman"/>
          <w:color w:val="auto"/>
          <w:sz w:val="24"/>
          <w:szCs w:val="24"/>
          <w:highlight w:val="none"/>
          <w:lang w:val="pt-BR"/>
        </w:rPr>
        <w:t xml:space="preserve">nacionais e regionais </w:t>
      </w:r>
      <w:r>
        <w:rPr>
          <w:rFonts w:hint="default" w:ascii="Times New Roman" w:hAnsi="Times New Roman" w:eastAsia="SimSun" w:cs="Times New Roman"/>
          <w:color w:val="auto"/>
          <w:sz w:val="24"/>
          <w:szCs w:val="24"/>
          <w:highlight w:val="none"/>
        </w:rPr>
        <w:t>e pela fama da festividade, impulsiona</w:t>
      </w:r>
      <w:r>
        <w:rPr>
          <w:rFonts w:hint="default" w:ascii="Times New Roman" w:hAnsi="Times New Roman" w:eastAsia="SimSun" w:cs="Times New Roman"/>
          <w:color w:val="auto"/>
          <w:sz w:val="24"/>
          <w:szCs w:val="24"/>
          <w:highlight w:val="none"/>
          <w:lang w:val="pt-BR"/>
        </w:rPr>
        <w:t>m</w:t>
      </w:r>
      <w:r>
        <w:rPr>
          <w:rFonts w:hint="default" w:ascii="Times New Roman" w:hAnsi="Times New Roman" w:eastAsia="SimSun" w:cs="Times New Roman"/>
          <w:color w:val="auto"/>
          <w:sz w:val="24"/>
          <w:szCs w:val="24"/>
          <w:highlight w:val="none"/>
        </w:rPr>
        <w:t xml:space="preserve"> diversos setores da economia local, como o comércio de alimentos, serviços de hospedagem, transporte e lazer.</w:t>
      </w:r>
      <w:r>
        <w:rPr>
          <w:rFonts w:hint="default" w:ascii="Times New Roman" w:hAnsi="Times New Roman" w:eastAsia="SimSun" w:cs="Times New Roman"/>
          <w:color w:val="auto"/>
          <w:sz w:val="24"/>
          <w:szCs w:val="24"/>
          <w:highlight w:val="none"/>
          <w:lang w:val="pt-BR"/>
        </w:rPr>
        <w:t xml:space="preserve"> </w:t>
      </w:r>
      <w:r>
        <w:rPr>
          <w:rFonts w:hint="default" w:ascii="Times New Roman" w:hAnsi="Times New Roman" w:eastAsia="SimSun" w:cs="Times New Roman"/>
          <w:color w:val="auto"/>
          <w:sz w:val="24"/>
          <w:szCs w:val="24"/>
          <w:highlight w:val="none"/>
        </w:rPr>
        <w:t>O aumento na procura por esses serviços traz benefícios financeiros diretos para os comerciantes, empresários e prestadores de serviços da cidade, além de promover a divulgação do município como um destino turístico, atraindo não apenas moradores, mas também visitantes de outras localidades.</w:t>
      </w:r>
    </w:p>
    <w:p w14:paraId="6A85A2A6">
      <w:pPr>
        <w:pStyle w:val="23"/>
        <w:keepNext w:val="0"/>
        <w:keepLines w:val="0"/>
        <w:widowControl/>
        <w:suppressLineNumbers w:val="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pt-BR"/>
        </w:rPr>
        <w:t>O</w:t>
      </w:r>
      <w:r>
        <w:rPr>
          <w:rFonts w:hint="default" w:ascii="Times New Roman" w:hAnsi="Times New Roman" w:cs="Times New Roman"/>
          <w:color w:val="auto"/>
          <w:sz w:val="24"/>
          <w:szCs w:val="24"/>
          <w:highlight w:val="none"/>
        </w:rPr>
        <w:t xml:space="preserve"> Réveillon de Rua de São Roque do Canaã é muito mais do que uma simples festa. Trata-se de um investimento em cultura, desenvolvimento e qualidade de vida. Ao fortalecer a identidade local, gerar empregos, impulsionar o turismo e promover a integração social, o evento demonstra sua relevância para a comunidade e justifica os recursos investidos em sua realização.</w:t>
      </w:r>
    </w:p>
    <w:p w14:paraId="322C2F00">
      <w:pPr>
        <w:pStyle w:val="23"/>
        <w:spacing w:before="0" w:beforeAutospacing="0" w:after="0" w:afterAutospacing="0"/>
        <w:jc w:val="both"/>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Por fim, sua realização, enriquecida por shows musicais e pela queima de fogos, contribui para a criação de memórias duradouras. Esses momentos especiais ficam gravados na memória coletiva da comunidade, fortalecendo os laços sociais e culturais que nos conectam.</w:t>
      </w:r>
    </w:p>
    <w:p w14:paraId="62820778">
      <w:pPr>
        <w:pStyle w:val="23"/>
        <w:spacing w:before="0" w:beforeAutospacing="0" w:after="0" w:afterAutospacing="0"/>
        <w:jc w:val="both"/>
        <w:rPr>
          <w:rFonts w:hint="default" w:ascii="Times New Roman" w:hAnsi="Times New Roman" w:cs="Times New Roman"/>
          <w:color w:val="auto"/>
          <w:sz w:val="24"/>
          <w:szCs w:val="24"/>
          <w:highlight w:val="none"/>
        </w:rPr>
      </w:pPr>
    </w:p>
    <w:p w14:paraId="47B32831">
      <w:pPr>
        <w:pStyle w:val="23"/>
        <w:spacing w:before="0" w:beforeAutospacing="0" w:after="0" w:afterAutospacing="0"/>
        <w:jc w:val="both"/>
        <w:rPr>
          <w:rFonts w:hint="default" w:ascii="Times New Roman" w:hAnsi="Times New Roman" w:cs="Times New Roman"/>
          <w:color w:val="auto"/>
          <w:sz w:val="24"/>
          <w:szCs w:val="24"/>
          <w:highlight w:val="none"/>
          <w:lang w:val="pt-BR"/>
        </w:rPr>
      </w:pPr>
      <w:r>
        <w:rPr>
          <w:rFonts w:hint="default" w:ascii="Times New Roman" w:hAnsi="Times New Roman" w:cs="Times New Roman"/>
          <w:color w:val="auto"/>
          <w:sz w:val="24"/>
          <w:szCs w:val="24"/>
          <w:highlight w:val="none"/>
        </w:rPr>
        <w:t xml:space="preserve">Portanto, </w:t>
      </w:r>
      <w:r>
        <w:rPr>
          <w:rFonts w:hint="default" w:ascii="Times New Roman" w:hAnsi="Times New Roman" w:cs="Times New Roman"/>
          <w:color w:val="auto"/>
          <w:sz w:val="24"/>
          <w:szCs w:val="24"/>
          <w:highlight w:val="none"/>
          <w:lang w:val="pt-BR"/>
        </w:rPr>
        <w:t>os</w:t>
      </w:r>
      <w:r>
        <w:rPr>
          <w:rFonts w:hint="default" w:ascii="Times New Roman" w:hAnsi="Times New Roman" w:cs="Times New Roman"/>
          <w:color w:val="auto"/>
          <w:sz w:val="24"/>
          <w:szCs w:val="24"/>
          <w:highlight w:val="none"/>
        </w:rPr>
        <w:t xml:space="preserve"> shows </w:t>
      </w:r>
      <w:r>
        <w:rPr>
          <w:rFonts w:hint="default" w:ascii="Times New Roman" w:hAnsi="Times New Roman" w:cs="Times New Roman"/>
          <w:color w:val="auto"/>
          <w:sz w:val="24"/>
          <w:szCs w:val="24"/>
          <w:highlight w:val="none"/>
          <w:lang w:val="pt-BR"/>
        </w:rPr>
        <w:t>musicais para o evento</w:t>
      </w:r>
      <w:r>
        <w:rPr>
          <w:rFonts w:hint="default" w:ascii="Times New Roman" w:hAnsi="Times New Roman" w:cs="Times New Roman"/>
          <w:color w:val="auto"/>
          <w:sz w:val="24"/>
          <w:szCs w:val="24"/>
          <w:highlight w:val="none"/>
        </w:rPr>
        <w:t xml:space="preserve"> não é apenas uma questão de entretenimento, mas uma estratégia essencial para garantir o sucesso, a inclusão, a valorização cultur</w:t>
      </w:r>
      <w:r>
        <w:rPr>
          <w:rFonts w:hint="default" w:ascii="Times New Roman" w:hAnsi="Times New Roman" w:cs="Times New Roman"/>
          <w:color w:val="auto"/>
          <w:sz w:val="24"/>
          <w:szCs w:val="24"/>
          <w:highlight w:val="none"/>
          <w:lang w:val="pt-BR"/>
        </w:rPr>
        <w:t xml:space="preserve">al, </w:t>
      </w:r>
      <w:r>
        <w:rPr>
          <w:rFonts w:hint="default" w:ascii="Times New Roman" w:hAnsi="Times New Roman" w:cs="Times New Roman"/>
          <w:color w:val="auto"/>
          <w:sz w:val="24"/>
          <w:szCs w:val="24"/>
          <w:highlight w:val="none"/>
        </w:rPr>
        <w:t>desenvolvimento econômico do nosso município</w:t>
      </w:r>
      <w:r>
        <w:rPr>
          <w:rFonts w:hint="default" w:ascii="Times New Roman" w:hAnsi="Times New Roman" w:cs="Times New Roman"/>
          <w:color w:val="auto"/>
          <w:sz w:val="24"/>
          <w:szCs w:val="24"/>
          <w:highlight w:val="none"/>
          <w:lang w:val="pt-BR"/>
        </w:rPr>
        <w:t xml:space="preserve"> e o fortalecimento dos laços entre a comunidade.</w:t>
      </w:r>
    </w:p>
    <w:p w14:paraId="3EC9821F">
      <w:pPr>
        <w:pStyle w:val="23"/>
        <w:shd w:val="clear"/>
        <w:spacing w:before="0" w:beforeAutospacing="0" w:after="0" w:afterAutospacing="0"/>
        <w:jc w:val="both"/>
        <w:rPr>
          <w:rFonts w:hint="default" w:ascii="Times New Roman" w:hAnsi="Times New Roman" w:cs="Times New Roman"/>
          <w:sz w:val="24"/>
          <w:szCs w:val="24"/>
          <w:highlight w:val="none"/>
        </w:rPr>
      </w:pPr>
    </w:p>
    <w:p w14:paraId="06FDD685">
      <w:pPr>
        <w:pStyle w:val="23"/>
        <w:shd w:val="clear"/>
        <w:spacing w:before="0" w:beforeAutospacing="0" w:after="0" w:afterAutospacing="0"/>
        <w:jc w:val="both"/>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Os shows também desempenham um papel vital na promoção da cultura e identidade local. Ao incluir artistas regionais</w:t>
      </w:r>
      <w:r>
        <w:rPr>
          <w:rFonts w:hint="default" w:ascii="Times New Roman" w:hAnsi="Times New Roman" w:cs="Times New Roman"/>
          <w:sz w:val="24"/>
          <w:szCs w:val="24"/>
          <w:highlight w:val="none"/>
          <w:lang w:val="pt-BR"/>
        </w:rPr>
        <w:t>/nacionais</w:t>
      </w:r>
      <w:r>
        <w:rPr>
          <w:rFonts w:hint="default" w:ascii="Times New Roman" w:hAnsi="Times New Roman" w:cs="Times New Roman"/>
          <w:sz w:val="24"/>
          <w:szCs w:val="24"/>
          <w:highlight w:val="none"/>
        </w:rPr>
        <w:t xml:space="preserve"> e apresentações que refletem as tradições culturais do município, </w:t>
      </w:r>
      <w:r>
        <w:rPr>
          <w:rFonts w:hint="default" w:ascii="Times New Roman" w:hAnsi="Times New Roman" w:cs="Times New Roman"/>
          <w:sz w:val="24"/>
          <w:szCs w:val="24"/>
          <w:highlight w:val="none"/>
          <w:lang w:val="pt-BR"/>
        </w:rPr>
        <w:t>o evento</w:t>
      </w:r>
      <w:r>
        <w:rPr>
          <w:rFonts w:hint="default" w:ascii="Times New Roman" w:hAnsi="Times New Roman" w:cs="Times New Roman"/>
          <w:sz w:val="24"/>
          <w:szCs w:val="24"/>
          <w:highlight w:val="none"/>
        </w:rPr>
        <w:t xml:space="preserve"> fortalece</w:t>
      </w:r>
      <w:r>
        <w:rPr>
          <w:rFonts w:hint="default" w:ascii="Times New Roman" w:hAnsi="Times New Roman" w:cs="Times New Roman"/>
          <w:sz w:val="24"/>
          <w:szCs w:val="24"/>
          <w:highlight w:val="none"/>
          <w:lang w:val="pt-BR"/>
        </w:rPr>
        <w:t>rá</w:t>
      </w:r>
      <w:r>
        <w:rPr>
          <w:rFonts w:hint="default" w:ascii="Times New Roman" w:hAnsi="Times New Roman" w:cs="Times New Roman"/>
          <w:sz w:val="24"/>
          <w:szCs w:val="24"/>
          <w:highlight w:val="none"/>
        </w:rPr>
        <w:t xml:space="preserve"> o senso de comunidade e de pertencimento entre os moradores. Essas apresentações são uma forma de valorizar e preservar a herança cultural, transmitindo-a para as futuras gerações.</w:t>
      </w:r>
    </w:p>
    <w:p w14:paraId="531B50E1">
      <w:pPr>
        <w:pStyle w:val="23"/>
        <w:shd w:val="clear"/>
        <w:spacing w:before="0" w:beforeAutospacing="0" w:after="0" w:afterAutospacing="0"/>
        <w:jc w:val="both"/>
        <w:rPr>
          <w:rFonts w:hint="default" w:ascii="Times New Roman" w:hAnsi="Times New Roman" w:cs="Times New Roman"/>
          <w:sz w:val="24"/>
          <w:szCs w:val="24"/>
          <w:highlight w:val="none"/>
          <w:u w:val="single"/>
        </w:rPr>
      </w:pPr>
    </w:p>
    <w:p w14:paraId="59FABA27">
      <w:pPr>
        <w:pStyle w:val="23"/>
        <w:shd w:val="clear"/>
        <w:spacing w:before="0" w:beforeAutospacing="0" w:after="0" w:afterAutospacing="0"/>
        <w:jc w:val="both"/>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u w:val="single"/>
        </w:rPr>
        <w:t>Adem</w:t>
      </w:r>
      <w:r>
        <w:rPr>
          <w:rFonts w:hint="default" w:ascii="Times New Roman" w:hAnsi="Times New Roman" w:cs="Times New Roman"/>
          <w:sz w:val="24"/>
          <w:szCs w:val="24"/>
          <w:highlight w:val="none"/>
        </w:rPr>
        <w:t>ais, os shows são uma fonte de entretenimento e lazer, proporcionando momentos de alegria e descontração para todos os participantes. Em um mundo cada vez mais acelerado, eventos como estes oferecem uma pausa necessária, onde as pessoas podem se reunir, socializar e celebrar juntos.</w:t>
      </w:r>
    </w:p>
    <w:p w14:paraId="02C45206">
      <w:pPr>
        <w:pStyle w:val="23"/>
        <w:shd w:val="clear"/>
        <w:spacing w:before="0" w:beforeAutospacing="0" w:after="0" w:afterAutospacing="0"/>
        <w:jc w:val="both"/>
        <w:rPr>
          <w:rFonts w:hint="default" w:ascii="Times New Roman" w:hAnsi="Times New Roman" w:cs="Times New Roman"/>
          <w:sz w:val="24"/>
          <w:szCs w:val="24"/>
          <w:highlight w:val="none"/>
        </w:rPr>
      </w:pPr>
    </w:p>
    <w:p w14:paraId="408B5A37">
      <w:pPr>
        <w:pStyle w:val="23"/>
        <w:shd w:val="clear"/>
        <w:spacing w:before="0" w:beforeAutospacing="0" w:after="0" w:afterAutospacing="0"/>
        <w:jc w:val="both"/>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Por fim, a realização d</w:t>
      </w:r>
      <w:r>
        <w:rPr>
          <w:rFonts w:hint="default" w:ascii="Times New Roman" w:hAnsi="Times New Roman" w:cs="Times New Roman"/>
          <w:sz w:val="24"/>
          <w:szCs w:val="24"/>
          <w:highlight w:val="none"/>
          <w:lang w:val="pt-BR"/>
        </w:rPr>
        <w:t>o evento com</w:t>
      </w:r>
      <w:r>
        <w:rPr>
          <w:rFonts w:hint="default" w:ascii="Times New Roman" w:hAnsi="Times New Roman" w:cs="Times New Roman"/>
          <w:sz w:val="24"/>
          <w:szCs w:val="24"/>
          <w:highlight w:val="none"/>
        </w:rPr>
        <w:t xml:space="preserve"> shows contribui para a criação de memórias duradouras. As experiências vividas durante esses</w:t>
      </w:r>
      <w:r>
        <w:rPr>
          <w:rFonts w:hint="default" w:cs="Times New Roman"/>
          <w:sz w:val="24"/>
          <w:szCs w:val="24"/>
          <w:highlight w:val="none"/>
          <w:lang w:val="pt-BR"/>
        </w:rPr>
        <w:t xml:space="preserve"> </w:t>
      </w:r>
      <w:r>
        <w:rPr>
          <w:rFonts w:hint="default" w:cs="Times New Roman"/>
          <w:sz w:val="24"/>
          <w:szCs w:val="24"/>
          <w:highlight w:val="none"/>
          <w:lang w:val="pt-BR"/>
        </w:rPr>
        <w:tab/>
      </w:r>
      <w:r>
        <w:rPr>
          <w:rFonts w:hint="default" w:ascii="Times New Roman" w:hAnsi="Times New Roman" w:cs="Times New Roman"/>
          <w:sz w:val="24"/>
          <w:szCs w:val="24"/>
          <w:highlight w:val="none"/>
        </w:rPr>
        <w:t>momentos especiais ficam marcadas na memória coletiva da comunidade, reforçando os laços sociais e culturais que nos unem.</w:t>
      </w:r>
    </w:p>
    <w:p w14:paraId="52DBBEF5">
      <w:pPr>
        <w:pStyle w:val="23"/>
        <w:shd w:val="clear"/>
        <w:spacing w:before="0" w:beforeAutospacing="0" w:after="0" w:afterAutospacing="0"/>
        <w:jc w:val="both"/>
        <w:rPr>
          <w:rFonts w:hint="default" w:ascii="Times New Roman" w:hAnsi="Times New Roman" w:cs="Times New Roman"/>
          <w:sz w:val="24"/>
          <w:szCs w:val="24"/>
          <w:highlight w:val="none"/>
        </w:rPr>
      </w:pPr>
    </w:p>
    <w:p w14:paraId="32704DBC">
      <w:pPr>
        <w:pStyle w:val="23"/>
        <w:shd w:val="clear"/>
        <w:spacing w:before="0" w:beforeAutospacing="0" w:after="0" w:afterAutospacing="0"/>
        <w:jc w:val="both"/>
        <w:rPr>
          <w:rFonts w:eastAsia="SimSun"/>
          <w:color w:val="000000"/>
          <w:highlight w:val="none"/>
        </w:rPr>
      </w:pPr>
      <w:r>
        <w:rPr>
          <w:rFonts w:hint="default" w:ascii="Times New Roman" w:hAnsi="Times New Roman" w:cs="Times New Roman"/>
          <w:sz w:val="24"/>
          <w:szCs w:val="24"/>
          <w:highlight w:val="none"/>
        </w:rPr>
        <w:t xml:space="preserve">Portanto, a inclusão de shows </w:t>
      </w:r>
      <w:r>
        <w:rPr>
          <w:rFonts w:hint="default" w:ascii="Times New Roman" w:hAnsi="Times New Roman" w:cs="Times New Roman"/>
          <w:sz w:val="24"/>
          <w:szCs w:val="24"/>
          <w:highlight w:val="none"/>
          <w:lang w:val="pt-BR"/>
        </w:rPr>
        <w:t>no evento</w:t>
      </w:r>
      <w:r>
        <w:rPr>
          <w:rFonts w:hint="default" w:ascii="Times New Roman" w:hAnsi="Times New Roman" w:cs="Times New Roman"/>
          <w:sz w:val="24"/>
          <w:szCs w:val="24"/>
          <w:highlight w:val="none"/>
        </w:rPr>
        <w:t xml:space="preserve"> não é apenas uma questão de entretenimento, mas uma estratégia essencial para garantir o sucesso, a inclusão, a valorização cultur</w:t>
      </w:r>
      <w:r>
        <w:rPr>
          <w:rFonts w:hint="default" w:ascii="Times New Roman" w:hAnsi="Times New Roman" w:cs="Times New Roman"/>
          <w:sz w:val="24"/>
          <w:szCs w:val="24"/>
          <w:highlight w:val="none"/>
          <w:lang w:val="pt-BR"/>
        </w:rPr>
        <w:t xml:space="preserve">al, </w:t>
      </w:r>
      <w:r>
        <w:rPr>
          <w:rFonts w:hint="default" w:ascii="Times New Roman" w:hAnsi="Times New Roman" w:cs="Times New Roman"/>
          <w:sz w:val="24"/>
          <w:szCs w:val="24"/>
          <w:highlight w:val="none"/>
        </w:rPr>
        <w:t>desenvolvimento econômico do nosso município</w:t>
      </w:r>
      <w:r>
        <w:rPr>
          <w:rFonts w:hint="default" w:ascii="Times New Roman" w:hAnsi="Times New Roman" w:cs="Times New Roman"/>
          <w:sz w:val="24"/>
          <w:szCs w:val="24"/>
          <w:highlight w:val="none"/>
          <w:lang w:val="pt-BR"/>
        </w:rPr>
        <w:t xml:space="preserve"> e o fortalecimento da religiosidade.</w:t>
      </w:r>
    </w:p>
    <w:p w14:paraId="76287BB6">
      <w:pPr>
        <w:pStyle w:val="23"/>
        <w:shd w:val="clear" w:color="auto" w:fill="FFFFFF"/>
        <w:spacing w:before="0" w:after="0"/>
        <w:jc w:val="both"/>
        <w:rPr>
          <w:rFonts w:ascii="Arial" w:hAnsi="Arial" w:cs="Arial"/>
          <w:color w:val="000000"/>
        </w:rPr>
      </w:pPr>
    </w:p>
    <w:p w14:paraId="0A1EF39A">
      <w:pPr>
        <w:shd w:val="clear" w:color="auto" w:fill="D9D9D9"/>
        <w:spacing w:after="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4. DO OBJETO LICITADO OU </w:t>
      </w:r>
      <w:r>
        <w:rPr>
          <w:rFonts w:ascii="Times New Roman" w:hAnsi="Times New Roman" w:cs="Times New Roman"/>
          <w:b/>
          <w:sz w:val="24"/>
          <w:szCs w:val="24"/>
        </w:rPr>
        <w:t>DO SERVIÇO CONTRATADO</w:t>
      </w:r>
    </w:p>
    <w:p w14:paraId="6073FF6F">
      <w:pPr>
        <w:pStyle w:val="23"/>
        <w:shd w:val="clear" w:color="auto" w:fill="FFFFFF"/>
        <w:spacing w:before="120" w:after="120"/>
        <w:jc w:val="both"/>
        <w:rPr>
          <w:b/>
          <w:color w:val="000000"/>
          <w:u w:val="single"/>
        </w:rPr>
      </w:pPr>
      <w:r>
        <w:rPr>
          <w:b/>
          <w:color w:val="000000"/>
          <w:u w:val="single"/>
        </w:rPr>
        <w:t>4.1. DA SOLUÇÃO E DO CICLO DE VIDA DO OBJETO</w:t>
      </w:r>
    </w:p>
    <w:p w14:paraId="5D1B30C5">
      <w:pPr>
        <w:pStyle w:val="23"/>
        <w:shd w:val="clear" w:color="auto" w:fill="FFFFFF"/>
        <w:spacing w:before="120" w:after="120"/>
        <w:jc w:val="both"/>
        <w:rPr>
          <w:rFonts w:ascii="Arial" w:hAnsi="Arial" w:cs="Arial"/>
          <w:color w:val="000000"/>
          <w:highlight w:val="none"/>
        </w:rPr>
      </w:pPr>
      <w:r>
        <w:rPr>
          <w:color w:val="000000"/>
          <w:highlight w:val="none"/>
        </w:rPr>
        <w:t>4.1.1. A descrição da solução como um todo se encontra pormenorizada em tópico específico do ETP. Na presente contratação será admitida a oferta do objeto em consonância com as características e justificativas contidas no ETP.</w:t>
      </w:r>
    </w:p>
    <w:p w14:paraId="772AE189">
      <w:pPr>
        <w:pStyle w:val="23"/>
        <w:spacing w:before="120" w:after="120"/>
        <w:jc w:val="both"/>
        <w:rPr>
          <w:highlight w:val="none"/>
        </w:rPr>
      </w:pPr>
      <w:r>
        <w:rPr>
          <w:color w:val="000000"/>
          <w:highlight w:val="none"/>
        </w:rPr>
        <w:t xml:space="preserve">4.1.2. </w:t>
      </w:r>
      <w:r>
        <w:rPr>
          <w:highlight w:val="none"/>
        </w:rPr>
        <w:t xml:space="preserve">Ao considerar o objeto de contratação bem como sua finalidade, entende-se que a opção pela inexigibilidade de licitação é a mais viável, alinhando-se com as necessidades específicas da Secretaria </w:t>
      </w:r>
      <w:r>
        <w:rPr>
          <w:rFonts w:hint="default"/>
          <w:highlight w:val="none"/>
          <w:lang w:val="pt-BR"/>
        </w:rPr>
        <w:t>Municipal de Turismo, Cultura, Esporte e Lazer</w:t>
      </w:r>
      <w:r>
        <w:rPr>
          <w:highlight w:val="none"/>
        </w:rPr>
        <w:t>. Segundo D’Avila (1998), a inexigibilidade de licitação é caracterizada pela impossibilidade de licitar quando não existem produtos ou bens com características aproximadas, ou quando não há pluralidade de particulares que possam satisfazer o fornecimento de bens e serviços.</w:t>
      </w:r>
    </w:p>
    <w:p w14:paraId="431B3B28">
      <w:pPr>
        <w:pStyle w:val="23"/>
        <w:spacing w:before="120" w:after="120"/>
        <w:jc w:val="both"/>
        <w:rPr>
          <w:highlight w:val="none"/>
        </w:rPr>
      </w:pPr>
      <w:r>
        <w:rPr>
          <w:highlight w:val="none"/>
        </w:rPr>
        <w:t>4.1.3 Essa decisão pela contratação externa é respaldada pela necessidade de atender a uma demanda pontual e específica, assegurando que os objetivos propostos sejam alcançados de maneira eficaz. Esta abordagem visa preencher a lacuna existente em nosso corpo funcional, garantindo a qualidade e a especialização necessárias para o atendimento da demanda identificada.</w:t>
      </w:r>
    </w:p>
    <w:p w14:paraId="06B94713">
      <w:pPr>
        <w:pStyle w:val="23"/>
        <w:shd w:val="clear" w:color="auto" w:fill="FFFFFF"/>
        <w:spacing w:before="0" w:after="0"/>
        <w:jc w:val="both"/>
        <w:rPr>
          <w:rFonts w:ascii="Arial" w:hAnsi="Arial" w:cs="Arial"/>
          <w:color w:val="000000"/>
        </w:rPr>
      </w:pPr>
    </w:p>
    <w:p w14:paraId="0CE859B4">
      <w:pPr>
        <w:pStyle w:val="23"/>
        <w:shd w:val="clear" w:color="auto" w:fill="FFFFFF"/>
        <w:spacing w:before="0" w:after="0"/>
        <w:jc w:val="both"/>
        <w:rPr>
          <w:b/>
          <w:bCs/>
          <w:color w:val="000000"/>
          <w:u w:val="single"/>
        </w:rPr>
      </w:pPr>
      <w:r>
        <w:rPr>
          <w:b/>
          <w:bCs/>
          <w:color w:val="000000"/>
          <w:u w:val="single"/>
        </w:rPr>
        <w:t>4.2. DOS REQUISITOS DA CONTRATAÇÃO</w:t>
      </w:r>
    </w:p>
    <w:p w14:paraId="48C611E7">
      <w:pPr>
        <w:pStyle w:val="23"/>
        <w:shd w:val="clear" w:color="auto" w:fill="FFFFFF"/>
        <w:spacing w:before="120" w:after="120"/>
        <w:jc w:val="both"/>
        <w:rPr>
          <w:color w:val="000000"/>
        </w:rPr>
      </w:pPr>
      <w:r>
        <w:rPr>
          <w:color w:val="000000"/>
        </w:rPr>
        <w:t>4.2.1. A contratação será realizada em razão da necessidade de suprimento de bandas qualificadas, atendendo às demandas da Secretaria Requerente.</w:t>
      </w:r>
    </w:p>
    <w:p w14:paraId="71A997A4">
      <w:pPr>
        <w:pStyle w:val="23"/>
        <w:shd w:val="clear" w:color="auto" w:fill="FFFFFF"/>
        <w:spacing w:before="120" w:after="120"/>
        <w:jc w:val="both"/>
        <w:rPr>
          <w:color w:val="000000"/>
        </w:rPr>
      </w:pPr>
      <w:r>
        <w:rPr>
          <w:color w:val="000000"/>
        </w:rPr>
        <w:t>4.2.2. A contratação em comento leva em conta a necessidade de oferecer apresentações musicais de qualidade, sendo que tal contratação faz parte do planejamento estabelecido pela equipe técnica do setor, estando contemplado, ainda, no Plano Anual de Contratações de 2024. Assim, demonstra-se que a pretensão se encontra plenamente alinhada com o planejamento realizado pela requerente.</w:t>
      </w:r>
    </w:p>
    <w:p w14:paraId="122B6EC9">
      <w:pPr>
        <w:pStyle w:val="23"/>
        <w:shd w:val="clear" w:color="auto" w:fill="FFFFFF"/>
        <w:spacing w:before="120" w:after="120"/>
        <w:jc w:val="both"/>
      </w:pPr>
      <w:r>
        <w:t>4.2.3. Para a contratação, será aferida a verificação da habilitação social, fiscal, trabalhista e técnica do profissional a ser contratado, de acordo com as premissas da Lei Federal nº 14.133/2021, em seu Capítulo VI.</w:t>
      </w:r>
    </w:p>
    <w:p w14:paraId="2745C068">
      <w:pPr>
        <w:pStyle w:val="23"/>
        <w:shd w:val="clear" w:color="auto" w:fill="FFFFFF"/>
        <w:spacing w:before="120" w:after="120"/>
        <w:jc w:val="both"/>
      </w:pPr>
      <w:r>
        <w:t>4.2.4. A verificação dos documentos de que trata o item 4.2.3 deverá ser realizada junto ao Cadastro de Fornecedores ou apresentados no momento do julgamento das propostas pelos interessados, assegurando aos demais participantes o direito de acesso aos dados constantes dos sistemas. Tal disposto neste item deve constar expressamente no aviso da contratação.</w:t>
      </w:r>
    </w:p>
    <w:p w14:paraId="39F30FC7">
      <w:pPr>
        <w:pStyle w:val="23"/>
        <w:shd w:val="clear" w:color="auto" w:fill="FFFFFF"/>
        <w:spacing w:before="120" w:after="120"/>
        <w:jc w:val="both"/>
      </w:pPr>
      <w:r>
        <w:t>4.2.5. Na hipótese da necessidade de envio de documentos complementares aos já apresentados quando da habilitação, o pregoeiro deverá solicitar ao licitante vencedor, o seu envio no prazo definido em Edital.</w:t>
      </w:r>
    </w:p>
    <w:p w14:paraId="3CB10F66">
      <w:pPr>
        <w:spacing w:after="0" w:line="240" w:lineRule="auto"/>
        <w:jc w:val="both"/>
        <w:rPr>
          <w:rFonts w:ascii="Times New Roman" w:hAnsi="Times New Roman" w:cs="Times New Roman"/>
          <w:b/>
          <w:sz w:val="24"/>
          <w:szCs w:val="24"/>
          <w:u w:val="single"/>
        </w:rPr>
      </w:pPr>
    </w:p>
    <w:p w14:paraId="6FA8882E">
      <w:pPr>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4.3. DO FORNECIMENTO E RECEBIMENTO</w:t>
      </w:r>
    </w:p>
    <w:p w14:paraId="2F7D3B88">
      <w:pPr>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4.3.1 A contratação das bandas/cantores/artistas dar-se-á da seguinte forma:</w:t>
      </w:r>
    </w:p>
    <w:p w14:paraId="72619CC1">
      <w:pPr>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4.3.1.1. De acordo com a carta proposta encaminhada a municipalidade seguindo o cronograma </w:t>
      </w:r>
      <w:r>
        <w:rPr>
          <w:rFonts w:hint="default" w:ascii="Times New Roman" w:hAnsi="Times New Roman" w:cs="Times New Roman"/>
          <w:bCs/>
          <w:sz w:val="24"/>
          <w:szCs w:val="24"/>
          <w:lang w:val="pt-BR"/>
        </w:rPr>
        <w:t>do Evento</w:t>
      </w:r>
      <w:r>
        <w:rPr>
          <w:rFonts w:ascii="Times New Roman" w:hAnsi="Times New Roman" w:cs="Times New Roman"/>
          <w:bCs/>
          <w:sz w:val="24"/>
          <w:szCs w:val="24"/>
        </w:rPr>
        <w:t xml:space="preserve"> que acontecerá </w:t>
      </w:r>
      <w:r>
        <w:rPr>
          <w:rFonts w:hint="default" w:ascii="Times New Roman" w:hAnsi="Times New Roman" w:cs="Times New Roman"/>
          <w:bCs/>
          <w:sz w:val="24"/>
          <w:szCs w:val="24"/>
          <w:lang w:val="pt-BR"/>
        </w:rPr>
        <w:t xml:space="preserve">no dia 31 de dezembro </w:t>
      </w:r>
      <w:r>
        <w:rPr>
          <w:rFonts w:ascii="Times New Roman" w:hAnsi="Times New Roman" w:cs="Times New Roman"/>
          <w:bCs/>
          <w:sz w:val="24"/>
          <w:szCs w:val="24"/>
        </w:rPr>
        <w:t>de 2024.</w:t>
      </w:r>
    </w:p>
    <w:p w14:paraId="75B2472B">
      <w:pPr>
        <w:spacing w:before="120" w:after="120" w:line="240" w:lineRule="auto"/>
        <w:jc w:val="both"/>
        <w:rPr>
          <w:rFonts w:hint="default" w:ascii="Times New Roman" w:hAnsi="Times New Roman" w:eastAsia="Times New Roman" w:cs="Times New Roman"/>
          <w:sz w:val="24"/>
          <w:szCs w:val="24"/>
          <w:lang w:val="pt-BR" w:eastAsia="pt-BR"/>
        </w:rPr>
      </w:pPr>
      <w:r>
        <w:rPr>
          <w:rFonts w:ascii="Times New Roman" w:hAnsi="Times New Roman" w:cs="Times New Roman"/>
          <w:bCs/>
          <w:sz w:val="24"/>
          <w:szCs w:val="24"/>
        </w:rPr>
        <w:t>4.1.2.  As contratações e realizações dos shows das Bandas/cantores/artistas dar-se-ão da seguinte forma</w:t>
      </w:r>
      <w:r>
        <w:rPr>
          <w:rFonts w:hint="default" w:ascii="Times New Roman" w:hAnsi="Times New Roman" w:cs="Times New Roman"/>
          <w:bCs/>
          <w:sz w:val="24"/>
          <w:szCs w:val="24"/>
          <w:lang w:val="pt-BR"/>
        </w:rPr>
        <w:t>:</w:t>
      </w:r>
    </w:p>
    <w:p w14:paraId="3109BBB4">
      <w:pPr>
        <w:tabs>
          <w:tab w:val="left" w:pos="142"/>
        </w:tabs>
        <w:suppressAutoHyphens w:val="0"/>
        <w:spacing w:after="0" w:line="240" w:lineRule="auto"/>
        <w:jc w:val="both"/>
        <w:rPr>
          <w:rFonts w:ascii="Times New Roman" w:hAnsi="Times New Roman" w:eastAsia="Times New Roman" w:cs="Times New Roman"/>
          <w:sz w:val="24"/>
          <w:szCs w:val="24"/>
          <w:highlight w:val="none"/>
          <w:lang w:eastAsia="pt-BR"/>
        </w:rPr>
      </w:pPr>
    </w:p>
    <w:p w14:paraId="5931ACF3">
      <w:pPr>
        <w:tabs>
          <w:tab w:val="left" w:pos="142"/>
        </w:tabs>
        <w:suppressAutoHyphens w:val="0"/>
        <w:spacing w:after="0" w:line="240" w:lineRule="auto"/>
        <w:jc w:val="both"/>
        <w:rPr>
          <w:rFonts w:ascii="Times New Roman" w:hAnsi="Times New Roman" w:eastAsia="Times New Roman" w:cs="Times New Roman"/>
          <w:sz w:val="24"/>
          <w:szCs w:val="24"/>
          <w:highlight w:val="none"/>
          <w:lang w:eastAsia="pt-BR"/>
        </w:rPr>
      </w:pPr>
    </w:p>
    <w:p w14:paraId="695A4838">
      <w:pPr>
        <w:tabs>
          <w:tab w:val="left" w:pos="142"/>
        </w:tabs>
        <w:suppressAutoHyphens w:val="0"/>
        <w:spacing w:after="0" w:line="240" w:lineRule="auto"/>
        <w:jc w:val="both"/>
        <w:rPr>
          <w:rFonts w:ascii="Times New Roman" w:hAnsi="Times New Roman" w:eastAsia="Times New Roman" w:cs="Times New Roman"/>
          <w:sz w:val="24"/>
          <w:szCs w:val="24"/>
          <w:highlight w:val="none"/>
          <w:lang w:eastAsia="pt-BR"/>
        </w:rPr>
      </w:pPr>
    </w:p>
    <w:p w14:paraId="427AA58A">
      <w:pPr>
        <w:numPr>
          <w:ilvl w:val="0"/>
          <w:numId w:val="2"/>
        </w:numPr>
        <w:tabs>
          <w:tab w:val="left" w:pos="142"/>
        </w:tabs>
        <w:suppressAutoHyphens w:val="0"/>
        <w:spacing w:after="0" w:line="240" w:lineRule="auto"/>
        <w:jc w:val="both"/>
        <w:rPr>
          <w:rFonts w:ascii="Times New Roman" w:hAnsi="Times New Roman" w:eastAsia="Times New Roman" w:cs="Times New Roman"/>
          <w:bCs/>
          <w:sz w:val="24"/>
          <w:szCs w:val="24"/>
          <w:highlight w:val="none"/>
          <w:lang w:eastAsia="pt-BR"/>
        </w:rPr>
      </w:pPr>
      <w:r>
        <w:rPr>
          <w:rFonts w:ascii="Times New Roman" w:hAnsi="Times New Roman" w:eastAsia="Times New Roman" w:cs="Times New Roman"/>
          <w:bCs/>
          <w:sz w:val="24"/>
          <w:szCs w:val="24"/>
          <w:highlight w:val="none"/>
          <w:lang w:eastAsia="pt-BR"/>
        </w:rPr>
        <w:t>A contratação da empresa</w:t>
      </w:r>
      <w:r>
        <w:rPr>
          <w:rFonts w:ascii="Times New Roman" w:hAnsi="Times New Roman" w:eastAsia="Times New Roman" w:cs="Times New Roman"/>
          <w:b/>
          <w:bCs/>
          <w:sz w:val="24"/>
          <w:szCs w:val="24"/>
          <w:highlight w:val="none"/>
          <w:lang w:eastAsia="pt-BR"/>
        </w:rPr>
        <w:t xml:space="preserve"> </w:t>
      </w:r>
      <w:r>
        <w:rPr>
          <w:rFonts w:hint="default" w:ascii="Times New Roman" w:hAnsi="Times New Roman" w:cs="Times New Roman"/>
          <w:b/>
          <w:bCs/>
          <w:sz w:val="24"/>
          <w:szCs w:val="24"/>
          <w:highlight w:val="none"/>
          <w:lang w:val="en-US" w:eastAsia="pt-BR"/>
        </w:rPr>
        <w:t>JOAQUIM RODRIGUES SARDINHA</w:t>
      </w:r>
      <w:r>
        <w:rPr>
          <w:rFonts w:ascii="Times New Roman" w:hAnsi="Times New Roman" w:eastAsia="Times New Roman" w:cs="Times New Roman"/>
          <w:b/>
          <w:bCs/>
          <w:sz w:val="24"/>
          <w:szCs w:val="24"/>
          <w:highlight w:val="none"/>
          <w:lang w:eastAsia="pt-BR"/>
        </w:rPr>
        <w:t xml:space="preserve">, </w:t>
      </w:r>
      <w:r>
        <w:rPr>
          <w:rFonts w:ascii="Times New Roman" w:hAnsi="Times New Roman" w:eastAsia="Times New Roman" w:cs="Times New Roman"/>
          <w:bCs/>
          <w:sz w:val="24"/>
          <w:szCs w:val="24"/>
          <w:highlight w:val="none"/>
          <w:lang w:eastAsia="pt-BR"/>
        </w:rPr>
        <w:t>terá como seguintes características:</w:t>
      </w:r>
    </w:p>
    <w:p w14:paraId="0F084D8A">
      <w:pPr>
        <w:numPr>
          <w:ilvl w:val="0"/>
          <w:numId w:val="0"/>
        </w:numPr>
        <w:tabs>
          <w:tab w:val="left" w:pos="142"/>
        </w:tabs>
        <w:suppressAutoHyphens w:val="0"/>
        <w:spacing w:after="0" w:line="240" w:lineRule="auto"/>
        <w:jc w:val="both"/>
        <w:rPr>
          <w:rFonts w:ascii="Times New Roman" w:hAnsi="Times New Roman" w:eastAsia="Times New Roman" w:cs="Times New Roman"/>
          <w:bCs/>
          <w:sz w:val="24"/>
          <w:szCs w:val="24"/>
          <w:highlight w:val="none"/>
          <w:lang w:eastAsia="pt-BR"/>
        </w:rPr>
      </w:pPr>
    </w:p>
    <w:p w14:paraId="6360778E">
      <w:pPr>
        <w:numPr>
          <w:ilvl w:val="0"/>
          <w:numId w:val="3"/>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 xml:space="preserve">Apresentação de 01 (um) show musical com </w:t>
      </w:r>
      <w:r>
        <w:rPr>
          <w:rFonts w:hint="default" w:ascii="Times New Roman" w:hAnsi="Times New Roman" w:eastAsia="Times New Roman" w:cs="Times New Roman"/>
          <w:sz w:val="24"/>
          <w:szCs w:val="24"/>
          <w:highlight w:val="none"/>
          <w:lang w:val="en-US" w:eastAsia="pt-BR"/>
        </w:rPr>
        <w:t xml:space="preserve">a </w:t>
      </w:r>
      <w:r>
        <w:rPr>
          <w:rFonts w:hint="default" w:ascii="Times New Roman" w:hAnsi="Times New Roman" w:cs="Times New Roman"/>
          <w:b w:val="0"/>
          <w:bCs w:val="0"/>
          <w:sz w:val="24"/>
          <w:szCs w:val="24"/>
          <w:highlight w:val="none"/>
          <w:lang w:val="en-US" w:eastAsia="pt-BR"/>
        </w:rPr>
        <w:t>banda</w:t>
      </w:r>
      <w:r>
        <w:rPr>
          <w:rFonts w:hint="default" w:ascii="Times New Roman" w:hAnsi="Times New Roman" w:cs="Times New Roman"/>
          <w:b/>
          <w:bCs/>
          <w:sz w:val="24"/>
          <w:szCs w:val="24"/>
          <w:highlight w:val="none"/>
          <w:lang w:val="en-US" w:eastAsia="pt-BR"/>
        </w:rPr>
        <w:t xml:space="preserve"> EDUARDO &amp; MURIEL</w:t>
      </w:r>
      <w:r>
        <w:rPr>
          <w:rFonts w:hint="default" w:ascii="Times New Roman" w:hAnsi="Times New Roman" w:eastAsia="Times New Roman" w:cs="Times New Roman"/>
          <w:sz w:val="24"/>
          <w:szCs w:val="24"/>
          <w:highlight w:val="none"/>
          <w:lang w:val="en-US" w:eastAsia="pt-BR"/>
        </w:rPr>
        <w:t xml:space="preserve"> </w:t>
      </w:r>
      <w:r>
        <w:rPr>
          <w:rFonts w:ascii="Times New Roman" w:hAnsi="Times New Roman" w:eastAsia="Times New Roman" w:cs="Times New Roman"/>
          <w:sz w:val="24"/>
          <w:szCs w:val="24"/>
          <w:highlight w:val="none"/>
          <w:lang w:eastAsia="pt-BR"/>
        </w:rPr>
        <w:t xml:space="preserve"> n</w:t>
      </w:r>
      <w:r>
        <w:rPr>
          <w:rFonts w:hint="default" w:ascii="Times New Roman" w:hAnsi="Times New Roman" w:eastAsia="Times New Roman" w:cs="Times New Roman"/>
          <w:sz w:val="24"/>
          <w:szCs w:val="24"/>
          <w:highlight w:val="none"/>
          <w:lang w:val="en-US" w:eastAsia="pt-BR"/>
        </w:rPr>
        <w:t>a noite de</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31/12/2024</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terça</w:t>
      </w:r>
      <w:r>
        <w:rPr>
          <w:rFonts w:ascii="Times New Roman" w:hAnsi="Times New Roman" w:eastAsia="Times New Roman" w:cs="Times New Roman"/>
          <w:sz w:val="24"/>
          <w:szCs w:val="24"/>
          <w:highlight w:val="none"/>
          <w:lang w:eastAsia="pt-BR"/>
        </w:rPr>
        <w:t>-feira)</w:t>
      </w:r>
      <w:r>
        <w:rPr>
          <w:rFonts w:hint="default" w:ascii="Times New Roman" w:hAnsi="Times New Roman" w:eastAsia="Times New Roman" w:cs="Times New Roman"/>
          <w:sz w:val="24"/>
          <w:szCs w:val="24"/>
          <w:highlight w:val="none"/>
          <w:lang w:val="en-US" w:eastAsia="pt-BR"/>
        </w:rPr>
        <w:t>, às 21h00min</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no Parque de Exposições do Município, localizado no Bairro Vila Verde.</w:t>
      </w:r>
    </w:p>
    <w:p w14:paraId="0C8711AE">
      <w:pPr>
        <w:numPr>
          <w:ilvl w:val="0"/>
          <w:numId w:val="3"/>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 xml:space="preserve">O show musical aberto ao público deverá ter duração de </w:t>
      </w:r>
      <w:r>
        <w:rPr>
          <w:rFonts w:hint="default" w:ascii="Times New Roman" w:hAnsi="Times New Roman" w:eastAsia="Times New Roman" w:cs="Times New Roman"/>
          <w:sz w:val="24"/>
          <w:szCs w:val="24"/>
          <w:highlight w:val="none"/>
          <w:lang w:val="en-US" w:eastAsia="pt-BR"/>
        </w:rPr>
        <w:t>120</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cento e vinte</w:t>
      </w:r>
      <w:r>
        <w:rPr>
          <w:rFonts w:ascii="Times New Roman" w:hAnsi="Times New Roman" w:eastAsia="Times New Roman" w:cs="Times New Roman"/>
          <w:sz w:val="24"/>
          <w:szCs w:val="24"/>
          <w:highlight w:val="none"/>
          <w:lang w:eastAsia="pt-BR"/>
        </w:rPr>
        <w:t xml:space="preserve">) minutos consecutivos, no valor total de R$ </w:t>
      </w:r>
      <w:r>
        <w:rPr>
          <w:rFonts w:hint="default" w:ascii="Times New Roman" w:hAnsi="Times New Roman" w:eastAsia="Times New Roman" w:cs="Times New Roman"/>
          <w:sz w:val="24"/>
          <w:szCs w:val="24"/>
          <w:highlight w:val="none"/>
          <w:lang w:val="en-US" w:eastAsia="pt-BR"/>
        </w:rPr>
        <w:t>12.500,00</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doze mil e quinhentos reais</w:t>
      </w:r>
      <w:r>
        <w:rPr>
          <w:rFonts w:ascii="Times New Roman" w:hAnsi="Times New Roman" w:eastAsia="Times New Roman" w:cs="Times New Roman"/>
          <w:sz w:val="24"/>
          <w:szCs w:val="24"/>
          <w:highlight w:val="none"/>
          <w:lang w:eastAsia="pt-BR"/>
        </w:rPr>
        <w:t>), sendo 100% (R$</w:t>
      </w:r>
      <w:r>
        <w:rPr>
          <w:rFonts w:hint="default" w:ascii="Times New Roman" w:hAnsi="Times New Roman" w:eastAsia="Times New Roman" w:cs="Times New Roman"/>
          <w:sz w:val="24"/>
          <w:szCs w:val="24"/>
          <w:highlight w:val="none"/>
          <w:lang w:val="en-US" w:eastAsia="pt-BR"/>
        </w:rPr>
        <w:t>12.500,00</w:t>
      </w:r>
      <w:r>
        <w:rPr>
          <w:rFonts w:ascii="Times New Roman" w:hAnsi="Times New Roman" w:eastAsia="Times New Roman" w:cs="Times New Roman"/>
          <w:sz w:val="24"/>
          <w:szCs w:val="24"/>
          <w:highlight w:val="none"/>
          <w:lang w:eastAsia="pt-BR"/>
        </w:rPr>
        <w:t xml:space="preserve">) até 07 dias após a data da efetiva realização do show, contra apresentação de Nota Fiscal e das provas de regularidade fiscal; </w:t>
      </w:r>
    </w:p>
    <w:p w14:paraId="6C2630CB">
      <w:pPr>
        <w:numPr>
          <w:ilvl w:val="0"/>
          <w:numId w:val="3"/>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Correrão à conta da empresa todas as despesas com emissão de passagens aéreas, despesas de translado terrestre do aeroporto até o hotel, alimentação da equipe e do artista e encargos fiscais e tributários.</w:t>
      </w:r>
    </w:p>
    <w:p w14:paraId="1AC0B417">
      <w:pPr>
        <w:numPr>
          <w:ilvl w:val="0"/>
          <w:numId w:val="3"/>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 xml:space="preserve">Correrão à conta do MUNICÍPIO </w:t>
      </w:r>
      <w:r>
        <w:rPr>
          <w:rFonts w:ascii="Times New Roman" w:hAnsi="Times New Roman" w:cs="Times New Roman"/>
          <w:sz w:val="24"/>
          <w:szCs w:val="24"/>
          <w:highlight w:val="none"/>
        </w:rPr>
        <w:t>somente</w:t>
      </w:r>
      <w:r>
        <w:rPr>
          <w:rFonts w:ascii="Times New Roman" w:hAnsi="Times New Roman" w:eastAsia="Times New Roman" w:cs="Times New Roman"/>
          <w:sz w:val="24"/>
          <w:szCs w:val="24"/>
          <w:highlight w:val="none"/>
          <w:lang w:eastAsia="pt-BR"/>
        </w:rPr>
        <w:t xml:space="preserve"> todas as despesas de estrutura física.</w:t>
      </w:r>
    </w:p>
    <w:p w14:paraId="3595733E">
      <w:pPr>
        <w:numPr>
          <w:ilvl w:val="0"/>
          <w:numId w:val="0"/>
        </w:numPr>
        <w:suppressAutoHyphens w:val="0"/>
        <w:spacing w:after="0" w:line="240" w:lineRule="auto"/>
        <w:contextualSpacing/>
        <w:jc w:val="both"/>
        <w:rPr>
          <w:rFonts w:ascii="Times New Roman" w:hAnsi="Times New Roman" w:eastAsia="Times New Roman" w:cs="Times New Roman"/>
          <w:sz w:val="24"/>
          <w:szCs w:val="24"/>
          <w:highlight w:val="yellow"/>
          <w:lang w:eastAsia="pt-BR"/>
        </w:rPr>
      </w:pPr>
    </w:p>
    <w:p w14:paraId="3BEB1CDB">
      <w:pPr>
        <w:numPr>
          <w:ilvl w:val="0"/>
          <w:numId w:val="0"/>
        </w:numPr>
        <w:suppressAutoHyphens w:val="0"/>
        <w:spacing w:after="0" w:line="240" w:lineRule="auto"/>
        <w:ind w:left="360" w:leftChars="0"/>
        <w:contextualSpacing/>
        <w:jc w:val="both"/>
        <w:rPr>
          <w:rFonts w:ascii="Times New Roman" w:hAnsi="Times New Roman" w:eastAsia="Times New Roman" w:cs="Times New Roman"/>
          <w:sz w:val="24"/>
          <w:szCs w:val="24"/>
          <w:highlight w:val="yellow"/>
          <w:lang w:eastAsia="pt-BR"/>
        </w:rPr>
      </w:pPr>
    </w:p>
    <w:p w14:paraId="0E80D33A">
      <w:pPr>
        <w:numPr>
          <w:ilvl w:val="0"/>
          <w:numId w:val="2"/>
        </w:numPr>
        <w:tabs>
          <w:tab w:val="left" w:pos="142"/>
        </w:tabs>
        <w:suppressAutoHyphens w:val="0"/>
        <w:spacing w:after="0" w:line="240" w:lineRule="auto"/>
        <w:ind w:left="0" w:leftChars="0" w:firstLine="0" w:firstLineChars="0"/>
        <w:jc w:val="both"/>
        <w:rPr>
          <w:rFonts w:ascii="Times New Roman" w:hAnsi="Times New Roman" w:eastAsia="Times New Roman" w:cs="Times New Roman"/>
          <w:bCs/>
          <w:sz w:val="24"/>
          <w:szCs w:val="24"/>
          <w:highlight w:val="none"/>
          <w:lang w:eastAsia="pt-BR"/>
        </w:rPr>
      </w:pPr>
      <w:r>
        <w:rPr>
          <w:rFonts w:ascii="Times New Roman" w:hAnsi="Times New Roman" w:eastAsia="Times New Roman" w:cs="Times New Roman"/>
          <w:bCs/>
          <w:sz w:val="24"/>
          <w:szCs w:val="24"/>
          <w:highlight w:val="none"/>
          <w:lang w:eastAsia="pt-BR"/>
        </w:rPr>
        <w:t>A contratação da empresa</w:t>
      </w:r>
      <w:r>
        <w:rPr>
          <w:rFonts w:ascii="Times New Roman" w:hAnsi="Times New Roman" w:eastAsia="Times New Roman" w:cs="Times New Roman"/>
          <w:b/>
          <w:bCs/>
          <w:sz w:val="24"/>
          <w:szCs w:val="24"/>
          <w:highlight w:val="none"/>
          <w:lang w:eastAsia="pt-BR"/>
        </w:rPr>
        <w:t xml:space="preserve"> </w:t>
      </w:r>
      <w:r>
        <w:rPr>
          <w:rFonts w:hint="default" w:ascii="Times New Roman" w:hAnsi="Times New Roman" w:cs="Times New Roman"/>
          <w:b/>
          <w:bCs/>
          <w:sz w:val="24"/>
          <w:szCs w:val="24"/>
          <w:highlight w:val="none"/>
          <w:lang w:val="en-US" w:eastAsia="pt-BR"/>
        </w:rPr>
        <w:t>JC  EVENTOS LTDA</w:t>
      </w:r>
      <w:r>
        <w:rPr>
          <w:rFonts w:hint="default"/>
          <w:b w:val="0"/>
          <w:bCs w:val="0"/>
          <w:highlight w:val="none"/>
          <w:lang w:val="en-US" w:eastAsia="pt-BR"/>
        </w:rPr>
        <w:t>,</w:t>
      </w:r>
      <w:r>
        <w:rPr>
          <w:rFonts w:ascii="Times New Roman" w:hAnsi="Times New Roman" w:eastAsia="Times New Roman" w:cs="Times New Roman"/>
          <w:b/>
          <w:bCs/>
          <w:sz w:val="24"/>
          <w:szCs w:val="24"/>
          <w:highlight w:val="none"/>
          <w:lang w:eastAsia="pt-BR"/>
        </w:rPr>
        <w:t xml:space="preserve"> </w:t>
      </w:r>
      <w:r>
        <w:rPr>
          <w:rFonts w:ascii="Times New Roman" w:hAnsi="Times New Roman" w:eastAsia="Times New Roman" w:cs="Times New Roman"/>
          <w:bCs/>
          <w:sz w:val="24"/>
          <w:szCs w:val="24"/>
          <w:highlight w:val="none"/>
          <w:lang w:eastAsia="pt-BR"/>
        </w:rPr>
        <w:t>terá como seguintes características:</w:t>
      </w:r>
    </w:p>
    <w:p w14:paraId="5717DFC4">
      <w:pPr>
        <w:numPr>
          <w:ilvl w:val="0"/>
          <w:numId w:val="0"/>
        </w:numPr>
        <w:tabs>
          <w:tab w:val="left" w:pos="142"/>
        </w:tabs>
        <w:suppressAutoHyphens w:val="0"/>
        <w:spacing w:after="0" w:line="240" w:lineRule="auto"/>
        <w:ind w:leftChars="0"/>
        <w:jc w:val="both"/>
        <w:rPr>
          <w:rFonts w:ascii="Times New Roman" w:hAnsi="Times New Roman" w:eastAsia="Times New Roman" w:cs="Times New Roman"/>
          <w:bCs/>
          <w:sz w:val="24"/>
          <w:szCs w:val="24"/>
          <w:highlight w:val="none"/>
          <w:lang w:eastAsia="pt-BR"/>
        </w:rPr>
      </w:pPr>
    </w:p>
    <w:p w14:paraId="1E28E551">
      <w:pPr>
        <w:numPr>
          <w:ilvl w:val="0"/>
          <w:numId w:val="3"/>
        </w:numPr>
        <w:suppressAutoHyphens w:val="0"/>
        <w:spacing w:after="0" w:line="240" w:lineRule="auto"/>
        <w:contextualSpacing/>
        <w:jc w:val="both"/>
        <w:rPr>
          <w:rFonts w:hint="default" w:ascii="Times New Roman" w:hAnsi="Times New Roman" w:eastAsia="Times New Roman" w:cs="Times New Roman"/>
          <w:sz w:val="24"/>
          <w:szCs w:val="24"/>
          <w:highlight w:val="none"/>
          <w:lang w:val="en-US" w:eastAsia="pt-BR"/>
        </w:rPr>
      </w:pPr>
      <w:r>
        <w:rPr>
          <w:rFonts w:ascii="Times New Roman" w:hAnsi="Times New Roman" w:eastAsia="Times New Roman" w:cs="Times New Roman"/>
          <w:sz w:val="24"/>
          <w:szCs w:val="24"/>
          <w:highlight w:val="none"/>
          <w:lang w:eastAsia="pt-BR"/>
        </w:rPr>
        <w:t xml:space="preserve">Apresentação de 01 (um) show musical com </w:t>
      </w:r>
      <w:r>
        <w:rPr>
          <w:rFonts w:hint="default" w:ascii="Times New Roman" w:hAnsi="Times New Roman" w:eastAsia="Times New Roman" w:cs="Times New Roman"/>
          <w:sz w:val="24"/>
          <w:szCs w:val="24"/>
          <w:highlight w:val="none"/>
          <w:lang w:val="en-US" w:eastAsia="pt-BR"/>
        </w:rPr>
        <w:t>o cantor JULIANO COUTO</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na madrugada da virada de</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31/12/2024</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terça</w:t>
      </w:r>
      <w:r>
        <w:rPr>
          <w:rFonts w:ascii="Times New Roman" w:hAnsi="Times New Roman" w:eastAsia="Times New Roman" w:cs="Times New Roman"/>
          <w:sz w:val="24"/>
          <w:szCs w:val="24"/>
          <w:highlight w:val="none"/>
          <w:lang w:eastAsia="pt-BR"/>
        </w:rPr>
        <w:t>-feira)</w:t>
      </w:r>
      <w:r>
        <w:rPr>
          <w:rFonts w:hint="default" w:ascii="Times New Roman" w:hAnsi="Times New Roman" w:eastAsia="Times New Roman" w:cs="Times New Roman"/>
          <w:sz w:val="24"/>
          <w:szCs w:val="24"/>
          <w:highlight w:val="none"/>
          <w:lang w:val="en-US" w:eastAsia="pt-BR"/>
        </w:rPr>
        <w:t xml:space="preserve"> para o dia 01/01/2025 (quarta-feira),</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Às 01h00min</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no Parque de Exposições do Município, localizado no Bairro Vila Verde.</w:t>
      </w:r>
    </w:p>
    <w:p w14:paraId="14D2D560">
      <w:pPr>
        <w:numPr>
          <w:ilvl w:val="0"/>
          <w:numId w:val="4"/>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 xml:space="preserve">O show musical aberto ao público deverá ter duração de </w:t>
      </w:r>
      <w:r>
        <w:rPr>
          <w:rFonts w:hint="default" w:ascii="Times New Roman" w:hAnsi="Times New Roman" w:eastAsia="Times New Roman" w:cs="Times New Roman"/>
          <w:sz w:val="24"/>
          <w:szCs w:val="24"/>
          <w:highlight w:val="none"/>
          <w:lang w:val="en-US" w:eastAsia="pt-BR"/>
        </w:rPr>
        <w:t>120</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cento e vinte</w:t>
      </w:r>
      <w:r>
        <w:rPr>
          <w:rFonts w:ascii="Times New Roman" w:hAnsi="Times New Roman" w:eastAsia="Times New Roman" w:cs="Times New Roman"/>
          <w:sz w:val="24"/>
          <w:szCs w:val="24"/>
          <w:highlight w:val="none"/>
          <w:lang w:eastAsia="pt-BR"/>
        </w:rPr>
        <w:t xml:space="preserve">) minutos consecutivos, no valor total de R$ </w:t>
      </w:r>
      <w:r>
        <w:rPr>
          <w:rFonts w:hint="default" w:ascii="Times New Roman" w:hAnsi="Times New Roman" w:eastAsia="Times New Roman" w:cs="Times New Roman"/>
          <w:sz w:val="24"/>
          <w:szCs w:val="24"/>
          <w:highlight w:val="none"/>
          <w:lang w:val="en-US" w:eastAsia="pt-BR"/>
        </w:rPr>
        <w:t>30.000,00</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trinta mil reais</w:t>
      </w:r>
      <w:r>
        <w:rPr>
          <w:rFonts w:ascii="Times New Roman" w:hAnsi="Times New Roman" w:eastAsia="Times New Roman" w:cs="Times New Roman"/>
          <w:sz w:val="24"/>
          <w:szCs w:val="24"/>
          <w:highlight w:val="none"/>
          <w:lang w:eastAsia="pt-BR"/>
        </w:rPr>
        <w:t>), sendo 100% (R$</w:t>
      </w:r>
      <w:r>
        <w:rPr>
          <w:rFonts w:hint="default" w:ascii="Times New Roman" w:hAnsi="Times New Roman" w:eastAsia="Times New Roman" w:cs="Times New Roman"/>
          <w:sz w:val="24"/>
          <w:szCs w:val="24"/>
          <w:highlight w:val="none"/>
          <w:lang w:val="en-US" w:eastAsia="pt-BR"/>
        </w:rPr>
        <w:t>30.000,00</w:t>
      </w:r>
      <w:r>
        <w:rPr>
          <w:rFonts w:ascii="Times New Roman" w:hAnsi="Times New Roman" w:eastAsia="Times New Roman" w:cs="Times New Roman"/>
          <w:sz w:val="24"/>
          <w:szCs w:val="24"/>
          <w:highlight w:val="none"/>
          <w:lang w:eastAsia="pt-BR"/>
        </w:rPr>
        <w:t xml:space="preserve">) até 07 dias após a data da efetiva realização do show, contra apresentação de Nota Fiscal e das provas de regularidade fiscal; </w:t>
      </w:r>
    </w:p>
    <w:p w14:paraId="2FB10A6D">
      <w:pPr>
        <w:numPr>
          <w:ilvl w:val="0"/>
          <w:numId w:val="4"/>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Correrão à conta da empresa todas as despesas com emissão de passagens aéreas, despesas de translado terrestre do aeroporto até o hotel, alimentação da equipe e do artista e encargos fiscais e tributários.</w:t>
      </w:r>
    </w:p>
    <w:p w14:paraId="63578806">
      <w:pPr>
        <w:numPr>
          <w:ilvl w:val="0"/>
          <w:numId w:val="4"/>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 xml:space="preserve">Correrão à conta do MUNICÍPIO </w:t>
      </w:r>
      <w:r>
        <w:rPr>
          <w:rFonts w:ascii="Times New Roman" w:hAnsi="Times New Roman" w:cs="Times New Roman"/>
          <w:sz w:val="24"/>
          <w:szCs w:val="24"/>
          <w:highlight w:val="none"/>
        </w:rPr>
        <w:t>somente</w:t>
      </w:r>
      <w:r>
        <w:rPr>
          <w:rFonts w:ascii="Times New Roman" w:hAnsi="Times New Roman" w:eastAsia="Times New Roman" w:cs="Times New Roman"/>
          <w:sz w:val="24"/>
          <w:szCs w:val="24"/>
          <w:highlight w:val="none"/>
          <w:lang w:eastAsia="pt-BR"/>
        </w:rPr>
        <w:t xml:space="preserve"> todas as despesas de estrutura física.</w:t>
      </w:r>
    </w:p>
    <w:p w14:paraId="7D547AFB">
      <w:pPr>
        <w:numPr>
          <w:ilvl w:val="0"/>
          <w:numId w:val="0"/>
        </w:numPr>
        <w:suppressAutoHyphens w:val="0"/>
        <w:spacing w:after="0" w:line="240" w:lineRule="auto"/>
        <w:contextualSpacing/>
        <w:jc w:val="both"/>
        <w:rPr>
          <w:rFonts w:ascii="Times New Roman" w:hAnsi="Times New Roman" w:eastAsia="Times New Roman" w:cs="Times New Roman"/>
          <w:sz w:val="24"/>
          <w:szCs w:val="24"/>
          <w:highlight w:val="yellow"/>
          <w:lang w:eastAsia="pt-BR"/>
        </w:rPr>
      </w:pPr>
    </w:p>
    <w:p w14:paraId="7C51B4C1">
      <w:pPr>
        <w:numPr>
          <w:ilvl w:val="0"/>
          <w:numId w:val="0"/>
        </w:numPr>
        <w:tabs>
          <w:tab w:val="left" w:pos="142"/>
        </w:tabs>
        <w:suppressAutoHyphens w:val="0"/>
        <w:spacing w:after="0" w:line="240" w:lineRule="auto"/>
        <w:ind w:leftChars="0"/>
        <w:jc w:val="both"/>
        <w:rPr>
          <w:rFonts w:ascii="Times New Roman" w:hAnsi="Times New Roman" w:eastAsia="Times New Roman" w:cs="Times New Roman"/>
          <w:bCs/>
          <w:sz w:val="24"/>
          <w:szCs w:val="24"/>
          <w:highlight w:val="none"/>
          <w:lang w:eastAsia="pt-BR"/>
        </w:rPr>
      </w:pPr>
      <w:r>
        <w:rPr>
          <w:rFonts w:hint="default" w:ascii="Times New Roman" w:hAnsi="Times New Roman" w:eastAsia="Times New Roman" w:cs="Times New Roman"/>
          <w:b/>
          <w:bCs w:val="0"/>
          <w:sz w:val="24"/>
          <w:szCs w:val="24"/>
          <w:highlight w:val="none"/>
          <w:lang w:val="en-US" w:eastAsia="pt-BR"/>
        </w:rPr>
        <w:t xml:space="preserve">III) </w:t>
      </w:r>
      <w:r>
        <w:rPr>
          <w:rFonts w:ascii="Times New Roman" w:hAnsi="Times New Roman" w:eastAsia="Times New Roman" w:cs="Times New Roman"/>
          <w:bCs/>
          <w:sz w:val="24"/>
          <w:szCs w:val="24"/>
          <w:highlight w:val="none"/>
          <w:lang w:eastAsia="pt-BR"/>
        </w:rPr>
        <w:t>A contratação da empresa</w:t>
      </w:r>
      <w:r>
        <w:rPr>
          <w:rFonts w:ascii="Times New Roman" w:hAnsi="Times New Roman" w:eastAsia="Times New Roman" w:cs="Times New Roman"/>
          <w:b/>
          <w:bCs/>
          <w:sz w:val="24"/>
          <w:szCs w:val="24"/>
          <w:highlight w:val="none"/>
          <w:lang w:eastAsia="pt-BR"/>
        </w:rPr>
        <w:t xml:space="preserve"> </w:t>
      </w:r>
      <w:r>
        <w:rPr>
          <w:rFonts w:hint="default" w:ascii="Times New Roman" w:hAnsi="Times New Roman" w:cs="Times New Roman"/>
          <w:b/>
          <w:bCs/>
          <w:sz w:val="24"/>
          <w:szCs w:val="24"/>
          <w:highlight w:val="none"/>
          <w:lang w:val="en-US" w:eastAsia="pt-BR"/>
        </w:rPr>
        <w:t>FS GAVA PRODUÇÃO ARTÍSTICA EIRELI</w:t>
      </w:r>
      <w:r>
        <w:rPr>
          <w:rFonts w:ascii="Times New Roman" w:hAnsi="Times New Roman" w:eastAsia="Times New Roman" w:cs="Times New Roman"/>
          <w:b/>
          <w:bCs/>
          <w:sz w:val="24"/>
          <w:szCs w:val="24"/>
          <w:highlight w:val="none"/>
          <w:lang w:eastAsia="pt-BR"/>
        </w:rPr>
        <w:t xml:space="preserve">, </w:t>
      </w:r>
      <w:r>
        <w:rPr>
          <w:rFonts w:ascii="Times New Roman" w:hAnsi="Times New Roman" w:eastAsia="Times New Roman" w:cs="Times New Roman"/>
          <w:bCs/>
          <w:sz w:val="24"/>
          <w:szCs w:val="24"/>
          <w:highlight w:val="none"/>
          <w:lang w:eastAsia="pt-BR"/>
        </w:rPr>
        <w:t>terá como seguintes características:</w:t>
      </w:r>
    </w:p>
    <w:p w14:paraId="1A280BEF">
      <w:pPr>
        <w:numPr>
          <w:ilvl w:val="0"/>
          <w:numId w:val="0"/>
        </w:numPr>
        <w:tabs>
          <w:tab w:val="left" w:pos="142"/>
        </w:tabs>
        <w:suppressAutoHyphens w:val="0"/>
        <w:spacing w:after="0" w:line="240" w:lineRule="auto"/>
        <w:jc w:val="both"/>
        <w:rPr>
          <w:rFonts w:ascii="Times New Roman" w:hAnsi="Times New Roman" w:eastAsia="Times New Roman" w:cs="Times New Roman"/>
          <w:bCs/>
          <w:sz w:val="24"/>
          <w:szCs w:val="24"/>
          <w:highlight w:val="yellow"/>
          <w:lang w:eastAsia="pt-BR"/>
        </w:rPr>
      </w:pPr>
    </w:p>
    <w:p w14:paraId="4A79450A">
      <w:pPr>
        <w:numPr>
          <w:ilvl w:val="0"/>
          <w:numId w:val="5"/>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 xml:space="preserve">Apresentação de 01 (um) show musical com </w:t>
      </w:r>
      <w:r>
        <w:rPr>
          <w:rFonts w:hint="default" w:ascii="Times New Roman" w:hAnsi="Times New Roman" w:eastAsia="Times New Roman" w:cs="Times New Roman"/>
          <w:sz w:val="24"/>
          <w:szCs w:val="24"/>
          <w:highlight w:val="none"/>
          <w:lang w:val="en-US" w:eastAsia="pt-BR"/>
        </w:rPr>
        <w:t>o cantor GABRIEL GAVA</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na noite de 31/12/2024 (terça-feira), às 23h00min</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no Parque de Exposições do Município, localizado no Bairro Vila Verde</w:t>
      </w:r>
      <w:r>
        <w:rPr>
          <w:rFonts w:ascii="Times New Roman" w:hAnsi="Times New Roman" w:eastAsia="Times New Roman" w:cs="Times New Roman"/>
          <w:sz w:val="24"/>
          <w:szCs w:val="24"/>
          <w:highlight w:val="none"/>
          <w:lang w:eastAsia="pt-BR"/>
        </w:rPr>
        <w:t>;</w:t>
      </w:r>
    </w:p>
    <w:p w14:paraId="2497F0CD">
      <w:pPr>
        <w:numPr>
          <w:ilvl w:val="0"/>
          <w:numId w:val="5"/>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 xml:space="preserve">O show musical aberto ao público deverá ter duração de </w:t>
      </w:r>
      <w:r>
        <w:rPr>
          <w:rFonts w:hint="default" w:ascii="Times New Roman" w:hAnsi="Times New Roman" w:eastAsia="Times New Roman" w:cs="Times New Roman"/>
          <w:sz w:val="24"/>
          <w:szCs w:val="24"/>
          <w:highlight w:val="none"/>
          <w:lang w:val="en-US" w:eastAsia="pt-BR"/>
        </w:rPr>
        <w:t>90</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noventa</w:t>
      </w:r>
      <w:r>
        <w:rPr>
          <w:rFonts w:ascii="Times New Roman" w:hAnsi="Times New Roman" w:eastAsia="Times New Roman" w:cs="Times New Roman"/>
          <w:sz w:val="24"/>
          <w:szCs w:val="24"/>
          <w:highlight w:val="none"/>
          <w:lang w:eastAsia="pt-BR"/>
        </w:rPr>
        <w:t>) minutos consecutivos, no valor total de R$ 1</w:t>
      </w:r>
      <w:r>
        <w:rPr>
          <w:rFonts w:hint="default" w:ascii="Times New Roman" w:hAnsi="Times New Roman" w:eastAsia="Times New Roman" w:cs="Times New Roman"/>
          <w:sz w:val="24"/>
          <w:szCs w:val="24"/>
          <w:highlight w:val="none"/>
          <w:lang w:val="en-US" w:eastAsia="pt-BR"/>
        </w:rPr>
        <w:t>60.000,00</w:t>
      </w:r>
      <w:r>
        <w:rPr>
          <w:rFonts w:ascii="Times New Roman" w:hAnsi="Times New Roman" w:eastAsia="Times New Roman" w:cs="Times New Roman"/>
          <w:sz w:val="24"/>
          <w:szCs w:val="24"/>
          <w:highlight w:val="none"/>
          <w:lang w:eastAsia="pt-BR"/>
        </w:rPr>
        <w:t xml:space="preserve"> (</w:t>
      </w:r>
      <w:r>
        <w:rPr>
          <w:rFonts w:hint="default" w:ascii="Times New Roman" w:hAnsi="Times New Roman" w:eastAsia="Times New Roman" w:cs="Times New Roman"/>
          <w:sz w:val="24"/>
          <w:szCs w:val="24"/>
          <w:highlight w:val="none"/>
          <w:lang w:val="en-US" w:eastAsia="pt-BR"/>
        </w:rPr>
        <w:t>cento e sessenta mil reais</w:t>
      </w:r>
      <w:r>
        <w:rPr>
          <w:rFonts w:ascii="Times New Roman" w:hAnsi="Times New Roman" w:eastAsia="Times New Roman" w:cs="Times New Roman"/>
          <w:sz w:val="24"/>
          <w:szCs w:val="24"/>
          <w:highlight w:val="none"/>
          <w:lang w:eastAsia="pt-BR"/>
        </w:rPr>
        <w:t xml:space="preserve">), sendo 100% (R$ </w:t>
      </w:r>
      <w:r>
        <w:rPr>
          <w:rFonts w:hint="default" w:ascii="Times New Roman" w:hAnsi="Times New Roman" w:eastAsia="Times New Roman" w:cs="Times New Roman"/>
          <w:sz w:val="24"/>
          <w:szCs w:val="24"/>
          <w:highlight w:val="none"/>
          <w:lang w:val="en-US" w:eastAsia="pt-BR"/>
        </w:rPr>
        <w:t>160.000,00</w:t>
      </w:r>
      <w:r>
        <w:rPr>
          <w:rFonts w:ascii="Times New Roman" w:hAnsi="Times New Roman" w:eastAsia="Times New Roman" w:cs="Times New Roman"/>
          <w:sz w:val="24"/>
          <w:szCs w:val="24"/>
          <w:highlight w:val="none"/>
          <w:lang w:eastAsia="pt-BR"/>
        </w:rPr>
        <w:t xml:space="preserve">) até 07 dias após a data da efetiva realização do show, contra apresentação de Nota Fiscal e das provas de regularidade fiscal; </w:t>
      </w:r>
    </w:p>
    <w:p w14:paraId="2E1D0963">
      <w:pPr>
        <w:numPr>
          <w:ilvl w:val="0"/>
          <w:numId w:val="5"/>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Correrão à conta da empresa todas as despesas com emissão de passagens aéreas, despesas de translado terrestre do aeroporto até o hotel, alimentação da equipe e do artista e encargos fiscais e tributários.</w:t>
      </w:r>
    </w:p>
    <w:p w14:paraId="31B985E9">
      <w:pPr>
        <w:numPr>
          <w:ilvl w:val="0"/>
          <w:numId w:val="5"/>
        </w:numPr>
        <w:suppressAutoHyphens w:val="0"/>
        <w:spacing w:after="0" w:line="240" w:lineRule="auto"/>
        <w:contextualSpacing/>
        <w:jc w:val="both"/>
        <w:rPr>
          <w:rFonts w:ascii="Times New Roman" w:hAnsi="Times New Roman" w:eastAsia="Times New Roman" w:cs="Times New Roman"/>
          <w:sz w:val="24"/>
          <w:szCs w:val="24"/>
          <w:highlight w:val="none"/>
          <w:lang w:eastAsia="pt-BR"/>
        </w:rPr>
      </w:pPr>
      <w:r>
        <w:rPr>
          <w:rFonts w:ascii="Times New Roman" w:hAnsi="Times New Roman" w:eastAsia="Times New Roman" w:cs="Times New Roman"/>
          <w:sz w:val="24"/>
          <w:szCs w:val="24"/>
          <w:highlight w:val="none"/>
          <w:lang w:eastAsia="pt-BR"/>
        </w:rPr>
        <w:t xml:space="preserve">Correrão à conta do MUNICÍPIO </w:t>
      </w:r>
      <w:r>
        <w:rPr>
          <w:rFonts w:ascii="Times New Roman" w:hAnsi="Times New Roman" w:cs="Times New Roman"/>
          <w:sz w:val="24"/>
          <w:szCs w:val="24"/>
          <w:highlight w:val="none"/>
        </w:rPr>
        <w:t>somente</w:t>
      </w:r>
      <w:r>
        <w:rPr>
          <w:rFonts w:ascii="Times New Roman" w:hAnsi="Times New Roman" w:eastAsia="Times New Roman" w:cs="Times New Roman"/>
          <w:sz w:val="24"/>
          <w:szCs w:val="24"/>
          <w:highlight w:val="none"/>
          <w:lang w:eastAsia="pt-BR"/>
        </w:rPr>
        <w:t xml:space="preserve"> todas as despesas de estrutura física.</w:t>
      </w:r>
    </w:p>
    <w:p w14:paraId="7442662E">
      <w:pPr>
        <w:numPr>
          <w:ilvl w:val="0"/>
          <w:numId w:val="0"/>
        </w:numPr>
        <w:suppressAutoHyphens w:val="0"/>
        <w:spacing w:after="0" w:line="240" w:lineRule="auto"/>
        <w:contextualSpacing/>
        <w:jc w:val="both"/>
        <w:rPr>
          <w:rFonts w:ascii="Times New Roman" w:hAnsi="Times New Roman" w:eastAsia="Times New Roman" w:cs="Times New Roman"/>
          <w:sz w:val="24"/>
          <w:szCs w:val="24"/>
          <w:highlight w:val="yellow"/>
          <w:lang w:eastAsia="pt-BR"/>
        </w:rPr>
      </w:pPr>
    </w:p>
    <w:p w14:paraId="352B4464">
      <w:pPr>
        <w:suppressAutoHyphens w:val="0"/>
        <w:contextualSpacing/>
        <w:jc w:val="both"/>
        <w:rPr>
          <w:rFonts w:eastAsia="Times New Roman"/>
          <w:sz w:val="24"/>
          <w:szCs w:val="24"/>
          <w:lang w:eastAsia="pt-BR"/>
        </w:rPr>
      </w:pPr>
    </w:p>
    <w:p w14:paraId="72FCE0FA">
      <w:pPr>
        <w:pStyle w:val="392"/>
        <w:rPr>
          <w:b/>
          <w:bCs/>
          <w:color w:val="000000"/>
          <w:sz w:val="24"/>
          <w:szCs w:val="24"/>
          <w:u w:val="single"/>
        </w:rPr>
      </w:pPr>
      <w:r>
        <w:rPr>
          <w:b/>
          <w:bCs/>
          <w:color w:val="000000"/>
          <w:sz w:val="24"/>
          <w:szCs w:val="24"/>
          <w:u w:val="single"/>
        </w:rPr>
        <w:t>4.4. DAS OBRIGAÇÕES E RESPONSABILIDADES</w:t>
      </w:r>
    </w:p>
    <w:p w14:paraId="6A4FD84B">
      <w:pPr>
        <w:pStyle w:val="392"/>
        <w:spacing w:before="120" w:after="120"/>
        <w:rPr>
          <w:b/>
          <w:bCs/>
          <w:color w:val="000000"/>
          <w:sz w:val="24"/>
          <w:szCs w:val="24"/>
          <w:u w:val="single"/>
        </w:rPr>
      </w:pPr>
      <w:r>
        <w:rPr>
          <w:color w:val="000000"/>
          <w:sz w:val="24"/>
          <w:szCs w:val="24"/>
          <w:u w:val="single"/>
        </w:rPr>
        <w:t xml:space="preserve">4.4.1. DAS OBRIGAÇÕES E RESPONSABILIDADES DA </w:t>
      </w:r>
      <w:r>
        <w:rPr>
          <w:b/>
          <w:bCs/>
          <w:color w:val="000000"/>
          <w:sz w:val="24"/>
          <w:szCs w:val="24"/>
          <w:u w:val="single"/>
        </w:rPr>
        <w:t>CONTRATADA</w:t>
      </w:r>
    </w:p>
    <w:p w14:paraId="1429B0A8">
      <w:pPr>
        <w:pStyle w:val="388"/>
        <w:tabs>
          <w:tab w:val="left" w:pos="567"/>
        </w:tabs>
        <w:ind w:left="0"/>
        <w:jc w:val="both"/>
        <w:rPr>
          <w:rFonts w:eastAsia="Calibri"/>
          <w:color w:val="000000"/>
          <w:sz w:val="24"/>
          <w:szCs w:val="24"/>
        </w:rPr>
      </w:pPr>
      <w:r>
        <w:rPr>
          <w:color w:val="000000"/>
          <w:sz w:val="24"/>
          <w:szCs w:val="24"/>
        </w:rPr>
        <w:t xml:space="preserve">4.4.1.1. </w:t>
      </w:r>
      <w:r>
        <w:rPr>
          <w:rFonts w:eastAsia="Calibri"/>
          <w:color w:val="000000"/>
          <w:sz w:val="24"/>
          <w:szCs w:val="24"/>
        </w:rPr>
        <w:t xml:space="preserve">Além das obrigações resultantes da observância da Lei Federal nº 14.133/21, são obrigações da </w:t>
      </w:r>
      <w:r>
        <w:rPr>
          <w:rFonts w:eastAsia="Calibri"/>
          <w:b/>
          <w:bCs/>
          <w:color w:val="000000"/>
          <w:sz w:val="24"/>
          <w:szCs w:val="24"/>
        </w:rPr>
        <w:t>CONTRATADA:</w:t>
      </w:r>
    </w:p>
    <w:p w14:paraId="1E6AD6BA">
      <w:pPr>
        <w:pStyle w:val="388"/>
        <w:widowControl w:val="0"/>
        <w:numPr>
          <w:ilvl w:val="0"/>
          <w:numId w:val="6"/>
        </w:numPr>
        <w:suppressAutoHyphens w:val="0"/>
        <w:spacing w:line="276" w:lineRule="auto"/>
        <w:ind w:left="426" w:firstLine="0"/>
        <w:contextualSpacing/>
        <w:jc w:val="both"/>
        <w:textAlignment w:val="auto"/>
        <w:rPr>
          <w:sz w:val="24"/>
          <w:szCs w:val="24"/>
        </w:rPr>
      </w:pPr>
      <w:r>
        <w:rPr>
          <w:sz w:val="24"/>
          <w:szCs w:val="24"/>
        </w:rPr>
        <w:t>Executar a contratação conforme especificações apresentadas em sua proposta, com os recursos necessários ao perfeito cumprimento das cláusulas contratuais.</w:t>
      </w:r>
    </w:p>
    <w:p w14:paraId="03BC722B">
      <w:pPr>
        <w:pStyle w:val="388"/>
        <w:widowControl w:val="0"/>
        <w:numPr>
          <w:ilvl w:val="0"/>
          <w:numId w:val="6"/>
        </w:numPr>
        <w:suppressAutoHyphens w:val="0"/>
        <w:spacing w:line="276" w:lineRule="auto"/>
        <w:ind w:left="426" w:firstLine="0"/>
        <w:contextualSpacing/>
        <w:jc w:val="both"/>
        <w:textAlignment w:val="auto"/>
        <w:rPr>
          <w:sz w:val="24"/>
          <w:szCs w:val="24"/>
        </w:rPr>
      </w:pPr>
      <w:r>
        <w:rPr>
          <w:sz w:val="24"/>
          <w:szCs w:val="24"/>
        </w:rPr>
        <w:t xml:space="preserve">Entregar e dar garantia que o Show será realizado pelo respectivo artista contratado, sem a substituição da equipe, no dia e local pré-determinado para o evento e de acordo com os prazos estabelecidos pelo </w:t>
      </w:r>
      <w:r>
        <w:rPr>
          <w:b/>
          <w:bCs/>
          <w:sz w:val="24"/>
          <w:szCs w:val="24"/>
        </w:rPr>
        <w:t>CONTRATANTE</w:t>
      </w:r>
      <w:r>
        <w:rPr>
          <w:sz w:val="24"/>
          <w:szCs w:val="24"/>
        </w:rPr>
        <w:t>.</w:t>
      </w:r>
    </w:p>
    <w:p w14:paraId="6F7491DE">
      <w:pPr>
        <w:pStyle w:val="388"/>
        <w:widowControl w:val="0"/>
        <w:numPr>
          <w:ilvl w:val="0"/>
          <w:numId w:val="6"/>
        </w:numPr>
        <w:suppressAutoHyphens w:val="0"/>
        <w:spacing w:line="276" w:lineRule="auto"/>
        <w:ind w:left="426" w:firstLine="0"/>
        <w:contextualSpacing/>
        <w:jc w:val="both"/>
        <w:textAlignment w:val="auto"/>
        <w:rPr>
          <w:sz w:val="24"/>
          <w:szCs w:val="24"/>
        </w:rPr>
      </w:pPr>
      <w:r>
        <w:rPr>
          <w:sz w:val="24"/>
          <w:szCs w:val="24"/>
        </w:rPr>
        <w:t xml:space="preserve">Cumprir rigorosamente com os horários estabelecidos para a apresentação do show e em caso de ocorrer atrasos para a entrada ou saída antecipada do palco, sem justificativa aceita pela organização do evento, será descontado proporcionalmente da </w:t>
      </w:r>
      <w:r>
        <w:rPr>
          <w:b/>
          <w:bCs/>
          <w:sz w:val="24"/>
          <w:szCs w:val="24"/>
        </w:rPr>
        <w:t xml:space="preserve">CONTRATADA </w:t>
      </w:r>
      <w:r>
        <w:rPr>
          <w:sz w:val="24"/>
          <w:szCs w:val="24"/>
        </w:rPr>
        <w:t>dos valores a serem pagos.</w:t>
      </w:r>
    </w:p>
    <w:p w14:paraId="660CDEF8">
      <w:pPr>
        <w:pStyle w:val="388"/>
        <w:widowControl w:val="0"/>
        <w:numPr>
          <w:ilvl w:val="0"/>
          <w:numId w:val="6"/>
        </w:numPr>
        <w:suppressAutoHyphens w:val="0"/>
        <w:spacing w:line="276" w:lineRule="auto"/>
        <w:ind w:left="426" w:firstLine="0"/>
        <w:contextualSpacing/>
        <w:jc w:val="both"/>
        <w:textAlignment w:val="auto"/>
        <w:rPr>
          <w:sz w:val="24"/>
          <w:szCs w:val="24"/>
        </w:rPr>
      </w:pPr>
      <w:r>
        <w:rPr>
          <w:sz w:val="24"/>
          <w:szCs w:val="24"/>
        </w:rPr>
        <w:t>Arcar com a responsabilidade civil por todos e quaisquer danos materiais e morais causados pela ação ou omissão de seus empregados, trabalhadores, prepostos ou representantes, dolosa ou culposamente, ao Município ou a terceiros.</w:t>
      </w:r>
    </w:p>
    <w:p w14:paraId="16D2AA89">
      <w:pPr>
        <w:pStyle w:val="388"/>
        <w:widowControl w:val="0"/>
        <w:numPr>
          <w:ilvl w:val="0"/>
          <w:numId w:val="6"/>
        </w:numPr>
        <w:suppressAutoHyphens w:val="0"/>
        <w:spacing w:line="276" w:lineRule="auto"/>
        <w:ind w:left="426" w:firstLine="0"/>
        <w:contextualSpacing/>
        <w:jc w:val="both"/>
        <w:textAlignment w:val="auto"/>
        <w:rPr>
          <w:sz w:val="24"/>
          <w:szCs w:val="24"/>
        </w:rPr>
      </w:pPr>
      <w:r>
        <w:rPr>
          <w:sz w:val="24"/>
          <w:szCs w:val="24"/>
        </w:rPr>
        <w:t>Relatar à Administração toda e qualquer irregularidade verificada no decorrer dos serviços.</w:t>
      </w:r>
    </w:p>
    <w:p w14:paraId="2AE50677">
      <w:pPr>
        <w:pStyle w:val="388"/>
        <w:widowControl w:val="0"/>
        <w:numPr>
          <w:ilvl w:val="0"/>
          <w:numId w:val="6"/>
        </w:numPr>
        <w:suppressAutoHyphens w:val="0"/>
        <w:spacing w:line="276" w:lineRule="auto"/>
        <w:ind w:left="426" w:firstLine="0"/>
        <w:contextualSpacing/>
        <w:jc w:val="both"/>
        <w:textAlignment w:val="auto"/>
        <w:rPr>
          <w:sz w:val="24"/>
          <w:szCs w:val="24"/>
        </w:rPr>
      </w:pPr>
      <w:r>
        <w:rPr>
          <w:sz w:val="24"/>
          <w:szCs w:val="24"/>
        </w:rPr>
        <w:t>Não transferir a terceiros, por qualquer forma, nem mesmo parcialmente, as obrigações assumidas, nem subcontratar, total ou parcialmente, quaisquer a execução dos serviços a que está obrigada.</w:t>
      </w:r>
    </w:p>
    <w:p w14:paraId="2F35BBA7">
      <w:pPr>
        <w:pStyle w:val="388"/>
        <w:widowControl w:val="0"/>
        <w:numPr>
          <w:ilvl w:val="0"/>
          <w:numId w:val="6"/>
        </w:numPr>
        <w:suppressAutoHyphens w:val="0"/>
        <w:spacing w:line="276" w:lineRule="auto"/>
        <w:ind w:left="426" w:firstLine="0"/>
        <w:contextualSpacing/>
        <w:jc w:val="both"/>
        <w:textAlignment w:val="auto"/>
        <w:rPr>
          <w:sz w:val="24"/>
          <w:szCs w:val="24"/>
        </w:rPr>
      </w:pPr>
      <w:r>
        <w:rPr>
          <w:sz w:val="24"/>
          <w:szCs w:val="24"/>
        </w:rPr>
        <w:t>A Equipe e artistas deverão conhecer e dominar as condições de contratação.</w:t>
      </w:r>
    </w:p>
    <w:p w14:paraId="3B6CC6E4">
      <w:pPr>
        <w:pStyle w:val="388"/>
        <w:widowControl w:val="0"/>
        <w:numPr>
          <w:ilvl w:val="0"/>
          <w:numId w:val="6"/>
        </w:numPr>
        <w:suppressAutoHyphens w:val="0"/>
        <w:spacing w:line="276" w:lineRule="auto"/>
        <w:ind w:left="426" w:firstLine="0"/>
        <w:contextualSpacing/>
        <w:jc w:val="both"/>
        <w:textAlignment w:val="auto"/>
        <w:rPr>
          <w:sz w:val="24"/>
          <w:szCs w:val="24"/>
        </w:rPr>
      </w:pPr>
      <w:r>
        <w:rPr>
          <w:sz w:val="24"/>
          <w:szCs w:val="24"/>
        </w:rPr>
        <w:t xml:space="preserve">A </w:t>
      </w:r>
      <w:r>
        <w:rPr>
          <w:b/>
          <w:bCs/>
          <w:sz w:val="24"/>
          <w:szCs w:val="24"/>
        </w:rPr>
        <w:t>CONTRATADA</w:t>
      </w:r>
      <w:r>
        <w:rPr>
          <w:sz w:val="24"/>
          <w:szCs w:val="24"/>
        </w:rPr>
        <w:t xml:space="preserve"> arcará com todas as despesas necessárias à execução do objeto, inclusive despesas com pessoal, encargos sociais, fiscais, trabalhistas, previdenciários, fretes, impostos, taxas, tributos e quaisquer outros tributos que venham incidir sobre a execução.</w:t>
      </w:r>
    </w:p>
    <w:p w14:paraId="5716EEC5">
      <w:pPr>
        <w:pStyle w:val="388"/>
        <w:widowControl w:val="0"/>
        <w:numPr>
          <w:ilvl w:val="0"/>
          <w:numId w:val="6"/>
        </w:numPr>
        <w:suppressAutoHyphens w:val="0"/>
        <w:spacing w:line="276" w:lineRule="auto"/>
        <w:ind w:left="426" w:firstLine="0"/>
        <w:contextualSpacing/>
        <w:jc w:val="both"/>
        <w:textAlignment w:val="auto"/>
        <w:rPr>
          <w:sz w:val="24"/>
          <w:szCs w:val="24"/>
        </w:rPr>
      </w:pPr>
      <w:r>
        <w:rPr>
          <w:sz w:val="24"/>
          <w:szCs w:val="24"/>
        </w:rPr>
        <w:t xml:space="preserve">Manter, durante a vigência da contratação, em compatibilidade com as obrigações assumidas, todas as condições de habilitação ou de qualificação exigidas pelo </w:t>
      </w:r>
      <w:r>
        <w:rPr>
          <w:b/>
          <w:bCs/>
          <w:sz w:val="24"/>
          <w:szCs w:val="24"/>
        </w:rPr>
        <w:t>MUNICÍPIO</w:t>
      </w:r>
      <w:r>
        <w:rPr>
          <w:sz w:val="24"/>
          <w:szCs w:val="24"/>
        </w:rPr>
        <w:t>, bem como substituir os documentos com prazo de validade expirada.</w:t>
      </w:r>
    </w:p>
    <w:p w14:paraId="25D2E285">
      <w:pPr>
        <w:pStyle w:val="392"/>
        <w:rPr>
          <w:rFonts w:eastAsia="Calibri"/>
          <w:bCs/>
          <w:color w:val="000000"/>
          <w:sz w:val="24"/>
          <w:szCs w:val="24"/>
        </w:rPr>
      </w:pPr>
    </w:p>
    <w:p w14:paraId="74C49DED">
      <w:pPr>
        <w:pStyle w:val="392"/>
        <w:rPr>
          <w:rFonts w:eastAsia="Calibri"/>
          <w:bCs/>
          <w:color w:val="000000"/>
          <w:sz w:val="24"/>
          <w:szCs w:val="24"/>
        </w:rPr>
      </w:pPr>
    </w:p>
    <w:p w14:paraId="2648D1D3">
      <w:pPr>
        <w:pStyle w:val="392"/>
        <w:rPr>
          <w:b/>
          <w:bCs/>
          <w:color w:val="000000"/>
          <w:sz w:val="24"/>
          <w:szCs w:val="24"/>
          <w:u w:val="single"/>
        </w:rPr>
      </w:pPr>
      <w:r>
        <w:rPr>
          <w:b/>
          <w:bCs/>
          <w:color w:val="000000"/>
          <w:sz w:val="24"/>
          <w:szCs w:val="24"/>
          <w:u w:val="single"/>
        </w:rPr>
        <w:t>4.4.2. DAS OBRIGAÇÕES E RESPONSABILIDADES DO MUNICÍPIO</w:t>
      </w:r>
    </w:p>
    <w:p w14:paraId="52A64665">
      <w:pPr>
        <w:pStyle w:val="392"/>
        <w:spacing w:before="120" w:after="120"/>
        <w:rPr>
          <w:rFonts w:ascii="Arial" w:hAnsi="Arial" w:cs="Arial"/>
          <w:color w:val="000000"/>
          <w:sz w:val="24"/>
          <w:szCs w:val="24"/>
        </w:rPr>
      </w:pPr>
      <w:r>
        <w:rPr>
          <w:color w:val="000000"/>
          <w:sz w:val="24"/>
          <w:szCs w:val="24"/>
        </w:rPr>
        <w:t>4.4.2.1. Além das obrigações resultantes da observância da Lei Federal nº 14.133/2021, em atendimento ao seu art. 89, §2º, são obrigações do MUNICÍPIO:</w:t>
      </w:r>
    </w:p>
    <w:p w14:paraId="4FE77A1D">
      <w:pPr>
        <w:pStyle w:val="388"/>
        <w:widowControl w:val="0"/>
        <w:numPr>
          <w:ilvl w:val="0"/>
          <w:numId w:val="7"/>
        </w:numPr>
        <w:suppressAutoHyphens w:val="0"/>
        <w:spacing w:line="276" w:lineRule="auto"/>
        <w:ind w:left="426" w:firstLine="0"/>
        <w:contextualSpacing/>
        <w:jc w:val="both"/>
        <w:textAlignment w:val="auto"/>
        <w:rPr>
          <w:sz w:val="24"/>
          <w:szCs w:val="24"/>
        </w:rPr>
      </w:pPr>
      <w:r>
        <w:rPr>
          <w:sz w:val="24"/>
          <w:szCs w:val="24"/>
        </w:rPr>
        <w:t>Emitir a autorização para a realização dos serviços.</w:t>
      </w:r>
    </w:p>
    <w:p w14:paraId="7E449A2D">
      <w:pPr>
        <w:pStyle w:val="388"/>
        <w:widowControl w:val="0"/>
        <w:numPr>
          <w:ilvl w:val="0"/>
          <w:numId w:val="7"/>
        </w:numPr>
        <w:suppressAutoHyphens w:val="0"/>
        <w:spacing w:line="276" w:lineRule="auto"/>
        <w:ind w:left="426" w:firstLine="0"/>
        <w:contextualSpacing/>
        <w:jc w:val="both"/>
        <w:textAlignment w:val="auto"/>
        <w:rPr>
          <w:sz w:val="24"/>
          <w:szCs w:val="24"/>
        </w:rPr>
      </w:pPr>
      <w:r>
        <w:rPr>
          <w:sz w:val="24"/>
          <w:szCs w:val="24"/>
        </w:rPr>
        <w:t>Efetuar os pagamentos devidos nas condições estabelecidas contratualmente, sendo que o pagamento da Nota Fiscal fica condicionado ao cumprimento dos critérios de recebimento dos serviços e os procedimentos burocráticos;</w:t>
      </w:r>
    </w:p>
    <w:p w14:paraId="28DBA2EA">
      <w:pPr>
        <w:pStyle w:val="388"/>
        <w:widowControl w:val="0"/>
        <w:numPr>
          <w:ilvl w:val="0"/>
          <w:numId w:val="7"/>
        </w:numPr>
        <w:suppressAutoHyphens w:val="0"/>
        <w:spacing w:line="276" w:lineRule="auto"/>
        <w:ind w:left="426" w:firstLine="0"/>
        <w:contextualSpacing/>
        <w:jc w:val="both"/>
        <w:textAlignment w:val="auto"/>
        <w:rPr>
          <w:sz w:val="24"/>
          <w:szCs w:val="24"/>
        </w:rPr>
      </w:pPr>
      <w:r>
        <w:rPr>
          <w:sz w:val="24"/>
          <w:szCs w:val="24"/>
        </w:rPr>
        <w:t xml:space="preserve">Fornecer a qualquer tempo e com presteza, mediante solicitação da </w:t>
      </w:r>
      <w:r>
        <w:rPr>
          <w:b/>
          <w:bCs/>
          <w:sz w:val="24"/>
          <w:szCs w:val="24"/>
        </w:rPr>
        <w:t>CONTRATADA,</w:t>
      </w:r>
      <w:r>
        <w:rPr>
          <w:sz w:val="24"/>
          <w:szCs w:val="24"/>
        </w:rPr>
        <w:t xml:space="preserve"> informações adicionais, dirimir dúvidas e orientá-la em todos os casos omissos.</w:t>
      </w:r>
    </w:p>
    <w:p w14:paraId="0D05BA83">
      <w:pPr>
        <w:pStyle w:val="388"/>
        <w:widowControl w:val="0"/>
        <w:numPr>
          <w:ilvl w:val="0"/>
          <w:numId w:val="7"/>
        </w:numPr>
        <w:suppressAutoHyphens w:val="0"/>
        <w:spacing w:line="276" w:lineRule="auto"/>
        <w:ind w:left="426" w:firstLine="0"/>
        <w:contextualSpacing/>
        <w:jc w:val="both"/>
        <w:textAlignment w:val="auto"/>
        <w:rPr>
          <w:sz w:val="24"/>
          <w:szCs w:val="24"/>
        </w:rPr>
      </w:pPr>
      <w:r>
        <w:rPr>
          <w:sz w:val="24"/>
          <w:szCs w:val="24"/>
        </w:rPr>
        <w:t xml:space="preserve">Notificar, por escrito, a </w:t>
      </w:r>
      <w:r>
        <w:rPr>
          <w:b/>
          <w:bCs/>
          <w:sz w:val="24"/>
          <w:szCs w:val="24"/>
        </w:rPr>
        <w:t>CONTRATADA</w:t>
      </w:r>
      <w:r>
        <w:rPr>
          <w:sz w:val="24"/>
          <w:szCs w:val="24"/>
        </w:rPr>
        <w:t xml:space="preserve"> na ocorrência de eventuais falhas no curso de execução do contrato, aplicando, se for o caso, as penalidades previstas legalmente e contratualmente.</w:t>
      </w:r>
    </w:p>
    <w:p w14:paraId="2FD0DC5A">
      <w:pPr>
        <w:pStyle w:val="388"/>
        <w:widowControl w:val="0"/>
        <w:numPr>
          <w:ilvl w:val="0"/>
          <w:numId w:val="7"/>
        </w:numPr>
        <w:suppressAutoHyphens w:val="0"/>
        <w:spacing w:line="276" w:lineRule="auto"/>
        <w:ind w:left="426" w:firstLine="0"/>
        <w:contextualSpacing/>
        <w:jc w:val="both"/>
        <w:textAlignment w:val="auto"/>
        <w:rPr>
          <w:sz w:val="24"/>
          <w:szCs w:val="24"/>
        </w:rPr>
      </w:pPr>
      <w:r>
        <w:rPr>
          <w:sz w:val="24"/>
          <w:szCs w:val="24"/>
        </w:rPr>
        <w:t>Providenciar a estrutura mínima do local para permitir a realização do evento, tais como: palco, disciplinador de público, som, iluminação, tendas, sanitários portáteis.</w:t>
      </w:r>
    </w:p>
    <w:p w14:paraId="7AA23B57">
      <w:pPr>
        <w:pStyle w:val="388"/>
        <w:widowControl w:val="0"/>
        <w:spacing w:line="276" w:lineRule="auto"/>
        <w:ind w:left="0"/>
        <w:jc w:val="both"/>
        <w:rPr>
          <w:sz w:val="24"/>
          <w:szCs w:val="24"/>
        </w:rPr>
      </w:pPr>
    </w:p>
    <w:p w14:paraId="3CCB5FDB">
      <w:pPr>
        <w:pStyle w:val="388"/>
        <w:widowControl w:val="0"/>
        <w:spacing w:line="276" w:lineRule="auto"/>
        <w:ind w:left="0"/>
        <w:jc w:val="both"/>
        <w:rPr>
          <w:sz w:val="24"/>
          <w:szCs w:val="24"/>
        </w:rPr>
      </w:pPr>
      <w:r>
        <w:rPr>
          <w:sz w:val="24"/>
          <w:szCs w:val="24"/>
        </w:rPr>
        <w:t xml:space="preserve">4.4.2.2. Os empregados e prepostos da </w:t>
      </w:r>
      <w:r>
        <w:rPr>
          <w:b/>
          <w:bCs/>
          <w:sz w:val="24"/>
          <w:szCs w:val="24"/>
        </w:rPr>
        <w:t>CONTRATADA</w:t>
      </w:r>
      <w:r>
        <w:rPr>
          <w:sz w:val="24"/>
          <w:szCs w:val="24"/>
        </w:rPr>
        <w:t xml:space="preserve"> não terão qualquer vínculo empregatício com o </w:t>
      </w:r>
      <w:r>
        <w:rPr>
          <w:b/>
          <w:bCs/>
          <w:sz w:val="24"/>
          <w:szCs w:val="24"/>
        </w:rPr>
        <w:t>CONTRATANTE</w:t>
      </w:r>
      <w:r>
        <w:rPr>
          <w:sz w:val="24"/>
          <w:szCs w:val="24"/>
        </w:rPr>
        <w:t>, correndo por conta exclusiva da primeira todas as obrigações decorrentes da legislação trabalhista, previdenciária, fiscal e comercial, a qual se obriga a saldar na época devida.</w:t>
      </w:r>
    </w:p>
    <w:p w14:paraId="61293A16">
      <w:pPr>
        <w:pStyle w:val="388"/>
        <w:widowControl w:val="0"/>
        <w:spacing w:line="276" w:lineRule="auto"/>
        <w:ind w:left="0"/>
        <w:jc w:val="both"/>
        <w:rPr>
          <w:sz w:val="24"/>
          <w:szCs w:val="24"/>
        </w:rPr>
      </w:pPr>
    </w:p>
    <w:p w14:paraId="05A63C8E">
      <w:pPr>
        <w:pStyle w:val="388"/>
        <w:widowControl w:val="0"/>
        <w:spacing w:line="276" w:lineRule="auto"/>
        <w:ind w:left="0"/>
        <w:jc w:val="both"/>
        <w:rPr>
          <w:sz w:val="24"/>
          <w:szCs w:val="24"/>
        </w:rPr>
      </w:pPr>
      <w:r>
        <w:rPr>
          <w:sz w:val="24"/>
          <w:szCs w:val="24"/>
        </w:rPr>
        <w:t xml:space="preserve">4.4.2.3. O </w:t>
      </w:r>
      <w:r>
        <w:rPr>
          <w:b/>
          <w:bCs/>
          <w:sz w:val="24"/>
          <w:szCs w:val="24"/>
        </w:rPr>
        <w:t>CONTRATANTE</w:t>
      </w:r>
      <w:r>
        <w:rPr>
          <w:sz w:val="24"/>
          <w:szCs w:val="24"/>
        </w:rPr>
        <w:t xml:space="preserve"> não responderá por quaisquer compromissos assumidos pela </w:t>
      </w:r>
      <w:r>
        <w:rPr>
          <w:b/>
          <w:bCs/>
          <w:sz w:val="24"/>
          <w:szCs w:val="24"/>
        </w:rPr>
        <w:t>CONTRATADA</w:t>
      </w:r>
      <w:r>
        <w:rPr>
          <w:sz w:val="24"/>
          <w:szCs w:val="24"/>
        </w:rPr>
        <w:t xml:space="preserve"> com terceiros, ainda que vinculados à execução do objeto, bem como por qualquer dano causado a terceiros em decorrência de ato da </w:t>
      </w:r>
      <w:r>
        <w:rPr>
          <w:b/>
          <w:bCs/>
          <w:sz w:val="24"/>
          <w:szCs w:val="24"/>
        </w:rPr>
        <w:t>CONTRATADA</w:t>
      </w:r>
      <w:r>
        <w:rPr>
          <w:sz w:val="24"/>
          <w:szCs w:val="24"/>
        </w:rPr>
        <w:t>, de seus empregados, prepostos ou subordinados.</w:t>
      </w:r>
    </w:p>
    <w:p w14:paraId="556DCFE7">
      <w:pPr>
        <w:pStyle w:val="392"/>
        <w:rPr>
          <w:color w:val="000000"/>
          <w:sz w:val="24"/>
          <w:szCs w:val="24"/>
        </w:rPr>
      </w:pPr>
    </w:p>
    <w:p w14:paraId="70CDB339">
      <w:pPr>
        <w:pStyle w:val="392"/>
        <w:shd w:val="clear" w:color="auto" w:fill="D9D9D9"/>
        <w:rPr>
          <w:b/>
          <w:bCs/>
          <w:color w:val="000000"/>
          <w:sz w:val="24"/>
          <w:szCs w:val="24"/>
        </w:rPr>
      </w:pPr>
      <w:r>
        <w:rPr>
          <w:b/>
          <w:bCs/>
          <w:color w:val="000000"/>
          <w:sz w:val="24"/>
          <w:szCs w:val="24"/>
        </w:rPr>
        <w:t>5. DA FISCALIZAÇÃO E ACOMPANHAMENTO</w:t>
      </w:r>
    </w:p>
    <w:p w14:paraId="1E617789">
      <w:pPr>
        <w:pStyle w:val="392"/>
        <w:spacing w:before="120" w:after="120"/>
        <w:rPr>
          <w:color w:val="000000"/>
          <w:sz w:val="24"/>
          <w:szCs w:val="24"/>
        </w:rPr>
      </w:pPr>
      <w:r>
        <w:rPr>
          <w:color w:val="000000"/>
          <w:sz w:val="24"/>
          <w:szCs w:val="24"/>
        </w:rPr>
        <w:t xml:space="preserve">5.1 A fiscalização de todas as fases, será feita pelo CONTRATANTE, por intermédio da(o) Gestor(a) Fiscal do Contrato, de acordo com o estabelecido no art. 117 da Lei Federal nº 14.133/2021, com autoridade para exercer em nome do CONTRATANTE, a fiscalização do objeto contratado e toda e qualquer ação de orientação geral, controle e fiscalização, obrigando-se a CONTRATADA a facilitar, de modo amplo e completo, a ação do fiscal. </w:t>
      </w:r>
    </w:p>
    <w:p w14:paraId="1C3396EB">
      <w:pPr>
        <w:pStyle w:val="392"/>
        <w:spacing w:before="120" w:after="120"/>
        <w:rPr>
          <w:color w:val="000000"/>
          <w:sz w:val="24"/>
          <w:szCs w:val="24"/>
        </w:rPr>
      </w:pPr>
      <w:r>
        <w:rPr>
          <w:color w:val="000000"/>
          <w:sz w:val="24"/>
          <w:szCs w:val="24"/>
        </w:rPr>
        <w:t>5.2 O gestor/fiscal deverá fiscalizar e acompanhar a execução da referida contratação, com poderes amplos e irrestritos para receber provisoriamente os serviços, e após o evento realizar o recebimento definitivo dos mesmos, e bem como propor penalidades e analisar documentos.</w:t>
      </w:r>
    </w:p>
    <w:p w14:paraId="0231682D">
      <w:pPr>
        <w:pStyle w:val="392"/>
        <w:spacing w:before="120" w:after="120"/>
        <w:rPr>
          <w:sz w:val="24"/>
          <w:szCs w:val="24"/>
        </w:rPr>
      </w:pPr>
      <w:r>
        <w:rPr>
          <w:sz w:val="24"/>
          <w:szCs w:val="24"/>
        </w:rPr>
        <w:t xml:space="preserve">5.2.1. A contratação terá como gestor/fiscal, </w:t>
      </w:r>
      <w:r>
        <w:rPr>
          <w:rFonts w:hint="default"/>
          <w:sz w:val="24"/>
          <w:szCs w:val="24"/>
          <w:highlight w:val="none"/>
          <w:lang w:val="pt-BR"/>
        </w:rPr>
        <w:t xml:space="preserve">o </w:t>
      </w:r>
      <w:r>
        <w:rPr>
          <w:sz w:val="24"/>
          <w:szCs w:val="24"/>
          <w:highlight w:val="none"/>
        </w:rPr>
        <w:t xml:space="preserve">servidor </w:t>
      </w:r>
      <w:r>
        <w:rPr>
          <w:rFonts w:hint="default"/>
          <w:b/>
          <w:bCs/>
          <w:sz w:val="24"/>
          <w:szCs w:val="24"/>
          <w:highlight w:val="none"/>
          <w:lang w:val="pt-BR"/>
        </w:rPr>
        <w:t>JORDANIO FARDIN</w:t>
      </w:r>
      <w:r>
        <w:rPr>
          <w:sz w:val="24"/>
          <w:szCs w:val="24"/>
          <w:highlight w:val="none"/>
        </w:rPr>
        <w:t>,</w:t>
      </w:r>
      <w:r>
        <w:rPr>
          <w:sz w:val="24"/>
          <w:szCs w:val="24"/>
        </w:rPr>
        <w:t xml:space="preserve"> a qual será designado, oficialmente, por meio de ato próprio da Secretaria Municipal de </w:t>
      </w:r>
      <w:r>
        <w:rPr>
          <w:rFonts w:hint="default"/>
          <w:sz w:val="24"/>
          <w:szCs w:val="24"/>
          <w:lang w:val="pt-BR"/>
        </w:rPr>
        <w:t>Turiso, Cultura, Esporte e Lazer</w:t>
      </w:r>
      <w:r>
        <w:rPr>
          <w:sz w:val="24"/>
          <w:szCs w:val="24"/>
        </w:rPr>
        <w:t>, numerado, datado e publicado no Diário Oficial dos Municípios do Estado do Espírito Santo – DOM/ES.</w:t>
      </w:r>
    </w:p>
    <w:p w14:paraId="3C763FAB">
      <w:pPr>
        <w:pStyle w:val="392"/>
        <w:spacing w:before="120" w:after="120"/>
        <w:rPr>
          <w:color w:val="000000"/>
          <w:sz w:val="24"/>
          <w:szCs w:val="24"/>
        </w:rPr>
      </w:pPr>
      <w:r>
        <w:rPr>
          <w:color w:val="000000"/>
          <w:sz w:val="24"/>
          <w:szCs w:val="24"/>
        </w:rPr>
        <w:t>5.3. A fiscalização será exercida no interesse do MUNICÍPIO, e não exclui e nem reduz a responsabilidade do CONTRATADO, inclusive perante terceiros, por quaisquer irregularidades, e, na sua ocorrência, não implica corresponsabilidade do Poder Público ou de seus agentes e prepostos.</w:t>
      </w:r>
    </w:p>
    <w:p w14:paraId="1F755B3E">
      <w:pPr>
        <w:pStyle w:val="392"/>
        <w:spacing w:before="120" w:after="120"/>
        <w:rPr>
          <w:color w:val="000000"/>
          <w:sz w:val="24"/>
          <w:szCs w:val="24"/>
        </w:rPr>
      </w:pPr>
      <w:r>
        <w:rPr>
          <w:color w:val="000000"/>
          <w:sz w:val="24"/>
          <w:szCs w:val="24"/>
        </w:rPr>
        <w:t xml:space="preserve">5.4. A Fiscalização poderá determinar, a ônus do </w:t>
      </w:r>
      <w:bookmarkStart w:id="0" w:name="_Hlk157169325"/>
      <w:r>
        <w:rPr>
          <w:color w:val="000000"/>
          <w:sz w:val="24"/>
          <w:szCs w:val="24"/>
        </w:rPr>
        <w:t>CONTRATADO</w:t>
      </w:r>
      <w:bookmarkEnd w:id="0"/>
      <w:r>
        <w:rPr>
          <w:color w:val="000000"/>
          <w:sz w:val="24"/>
          <w:szCs w:val="24"/>
        </w:rPr>
        <w:t>, a substituição dos materiais julgados deficientes ou não-conformes com as especificações definidas, cabendo ao CONTRATADO, providenciar a troca dos mesmos no prazo máximo definido pela fiscalização, sem direito à extensão do prazo final de fornecimento.</w:t>
      </w:r>
    </w:p>
    <w:p w14:paraId="743A1503">
      <w:pPr>
        <w:pStyle w:val="392"/>
        <w:spacing w:before="120" w:after="120"/>
        <w:rPr>
          <w:color w:val="000000"/>
          <w:sz w:val="24"/>
          <w:szCs w:val="24"/>
        </w:rPr>
      </w:pPr>
      <w:r>
        <w:rPr>
          <w:color w:val="000000"/>
          <w:sz w:val="24"/>
          <w:szCs w:val="24"/>
        </w:rPr>
        <w:t>5.5. Caso o Secretário Municipal Requerente não designe nenhum servidor para acompanhar o fornecimento e fiscalização, o mesmo assumirá tal responsabilidade.</w:t>
      </w:r>
    </w:p>
    <w:p w14:paraId="73451CD5">
      <w:pPr>
        <w:pStyle w:val="392"/>
        <w:spacing w:before="120" w:after="120"/>
        <w:rPr>
          <w:color w:val="000000"/>
          <w:sz w:val="24"/>
          <w:szCs w:val="24"/>
        </w:rPr>
      </w:pPr>
      <w:r>
        <w:rPr>
          <w:color w:val="000000"/>
          <w:sz w:val="24"/>
          <w:szCs w:val="24"/>
        </w:rPr>
        <w:t>5.6. O MUNICÍPIO, através do fiscal do contrato comunicará ao CONTRATADO, por escrito, as deficiências porventura verificadas no fornecimento, para imediata correção.</w:t>
      </w:r>
    </w:p>
    <w:p w14:paraId="3D700440">
      <w:pPr>
        <w:pStyle w:val="392"/>
        <w:spacing w:before="120" w:after="120"/>
        <w:rPr>
          <w:color w:val="000000"/>
          <w:sz w:val="24"/>
          <w:szCs w:val="24"/>
        </w:rPr>
      </w:pPr>
      <w:r>
        <w:rPr>
          <w:color w:val="000000"/>
          <w:sz w:val="24"/>
          <w:szCs w:val="24"/>
        </w:rPr>
        <w:t>5.7. A presença da fiscalização do MUNICÍPIO, não elide nem diminui a responsabilidade do CONTRATADO.</w:t>
      </w:r>
    </w:p>
    <w:p w14:paraId="0D5FE23F">
      <w:pPr>
        <w:pStyle w:val="392"/>
        <w:spacing w:before="120" w:after="120"/>
        <w:rPr>
          <w:color w:val="000000"/>
          <w:sz w:val="24"/>
          <w:szCs w:val="24"/>
        </w:rPr>
      </w:pPr>
      <w:r>
        <w:rPr>
          <w:color w:val="000000"/>
          <w:sz w:val="24"/>
          <w:szCs w:val="24"/>
        </w:rPr>
        <w:t>5.8. O Gestor/Fiscal do Contrato indicado anotará em registro próprio todas as ocorrências relacionadas com o fornecimento, determinando o que for necessário à regularização das faltas ou defeitos observados.</w:t>
      </w:r>
    </w:p>
    <w:p w14:paraId="327739F1">
      <w:pPr>
        <w:pStyle w:val="392"/>
        <w:spacing w:before="120" w:after="120"/>
        <w:rPr>
          <w:color w:val="000000"/>
          <w:sz w:val="24"/>
          <w:szCs w:val="24"/>
        </w:rPr>
      </w:pPr>
      <w:r>
        <w:rPr>
          <w:color w:val="000000"/>
          <w:sz w:val="24"/>
          <w:szCs w:val="24"/>
        </w:rPr>
        <w:t>5.9. O CONTRATADO é obrigado a reparar ou corrigir, às suas expensas, no total ou em parte, o objeto em que se verificarem vícios, defeitos ou incorreções durante a execução, conforme solicitado pela fiscalização, e dependendo do caso, poderá ser até realizada glosa quando do pagamento final.</w:t>
      </w:r>
    </w:p>
    <w:p w14:paraId="22F6AF17">
      <w:pPr>
        <w:pStyle w:val="392"/>
        <w:spacing w:before="120" w:after="120"/>
        <w:rPr>
          <w:color w:val="000000"/>
          <w:sz w:val="24"/>
          <w:szCs w:val="24"/>
        </w:rPr>
      </w:pPr>
      <w:r>
        <w:rPr>
          <w:color w:val="000000"/>
          <w:sz w:val="24"/>
          <w:szCs w:val="24"/>
        </w:rPr>
        <w:t>5.10. As decisões e providências que ultrapassarem a competência do Gestor/Fiscal do Contrato deverão ser solicitadas ao Secretário Municipal Requisitante do MUNICÍPIO, em tempo hábil, para a adoção das medidas convenientes.</w:t>
      </w:r>
    </w:p>
    <w:p w14:paraId="3062F08B">
      <w:pPr>
        <w:pStyle w:val="392"/>
        <w:spacing w:before="120" w:after="120"/>
        <w:rPr>
          <w:color w:val="000000"/>
          <w:sz w:val="24"/>
          <w:szCs w:val="24"/>
        </w:rPr>
      </w:pPr>
    </w:p>
    <w:p w14:paraId="6CA7C558">
      <w:pPr>
        <w:pStyle w:val="392"/>
        <w:rPr>
          <w:rFonts w:ascii="Arial" w:hAnsi="Arial" w:cs="Arial"/>
          <w:color w:val="000000"/>
          <w:sz w:val="24"/>
          <w:szCs w:val="24"/>
        </w:rPr>
      </w:pPr>
    </w:p>
    <w:p w14:paraId="7B4A9F73">
      <w:pPr>
        <w:pStyle w:val="392"/>
        <w:shd w:val="clear" w:color="auto" w:fill="D9D9D9"/>
        <w:rPr>
          <w:b/>
          <w:bCs/>
          <w:color w:val="000000"/>
          <w:sz w:val="24"/>
          <w:szCs w:val="24"/>
        </w:rPr>
      </w:pPr>
      <w:r>
        <w:rPr>
          <w:b/>
          <w:bCs/>
          <w:color w:val="000000"/>
          <w:sz w:val="24"/>
          <w:szCs w:val="24"/>
        </w:rPr>
        <w:t>6. DA GESTÃO DO CONTRATO</w:t>
      </w:r>
    </w:p>
    <w:p w14:paraId="78D400ED">
      <w:pPr>
        <w:pStyle w:val="392"/>
        <w:spacing w:before="120" w:after="120"/>
        <w:rPr>
          <w:color w:val="000000"/>
          <w:sz w:val="24"/>
          <w:szCs w:val="24"/>
        </w:rPr>
      </w:pPr>
      <w:r>
        <w:rPr>
          <w:color w:val="000000"/>
          <w:sz w:val="24"/>
          <w:szCs w:val="24"/>
        </w:rPr>
        <w:t>6.1. O contrato deverá ser executado fielmente pelas partes, de acordo com as cláusulas avençadas e as normas da Lei Federal nº 14.133, de 2021, e cada parte responderá pelas consequências de sua inexecução total ou parcial.</w:t>
      </w:r>
    </w:p>
    <w:p w14:paraId="0EF5B00E">
      <w:pPr>
        <w:pStyle w:val="392"/>
        <w:spacing w:before="120" w:after="120"/>
        <w:rPr>
          <w:color w:val="000000"/>
          <w:sz w:val="24"/>
          <w:szCs w:val="24"/>
        </w:rPr>
      </w:pPr>
      <w:r>
        <w:rPr>
          <w:color w:val="000000"/>
          <w:sz w:val="24"/>
          <w:szCs w:val="24"/>
        </w:rPr>
        <w:t>6.2. As comunicações entre o órgão ou entidade e a contratada devem ser realizadas por escrito sempre que o ato exigir tal formalidade, admitindo-se o uso de mensagem eletrônica para esse fim.</w:t>
      </w:r>
    </w:p>
    <w:p w14:paraId="026FBD9D">
      <w:pPr>
        <w:pStyle w:val="392"/>
        <w:spacing w:before="120" w:after="120"/>
        <w:rPr>
          <w:color w:val="000000"/>
          <w:sz w:val="24"/>
          <w:szCs w:val="24"/>
        </w:rPr>
      </w:pPr>
      <w:r>
        <w:rPr>
          <w:color w:val="000000"/>
          <w:sz w:val="24"/>
          <w:szCs w:val="24"/>
        </w:rPr>
        <w:t>6.3. Após a assinatura do contrato ou instrumento equivalente, o CONTRATANTE poderá convocar o CONTRATADO para reunião inicial, visando alinhamento quanto aos detalhes da apresentação artística para evitar equívocos quando de sua execução. O órgão ou entidade poderá, ainda, convocar representante da empresa para adoção de providências que devam ser cumpridas de imediato.</w:t>
      </w:r>
    </w:p>
    <w:p w14:paraId="13C9F02D">
      <w:pPr>
        <w:pStyle w:val="392"/>
        <w:spacing w:before="120" w:after="120"/>
        <w:rPr>
          <w:color w:val="000000"/>
          <w:sz w:val="24"/>
          <w:szCs w:val="24"/>
        </w:rPr>
      </w:pPr>
      <w:r>
        <w:rPr>
          <w:color w:val="000000"/>
          <w:sz w:val="24"/>
          <w:szCs w:val="24"/>
        </w:rPr>
        <w:t xml:space="preserve">6.4. A execução do contrato deverá ser acompanhada e fiscalizada pelo(s) fiscal(is) do contrato, ou pelos respectivos substitutos (Lei Federal nº 14.133/2021, art. 117, </w:t>
      </w:r>
      <w:r>
        <w:rPr>
          <w:i/>
          <w:iCs/>
          <w:color w:val="000000"/>
          <w:sz w:val="24"/>
          <w:szCs w:val="24"/>
        </w:rPr>
        <w:t>capu</w:t>
      </w:r>
      <w:r>
        <w:rPr>
          <w:color w:val="000000"/>
          <w:sz w:val="24"/>
          <w:szCs w:val="24"/>
        </w:rPr>
        <w:t>t).</w:t>
      </w:r>
    </w:p>
    <w:p w14:paraId="3F2B622E">
      <w:pPr>
        <w:pStyle w:val="392"/>
        <w:spacing w:before="120" w:after="120"/>
        <w:rPr>
          <w:color w:val="000000"/>
          <w:sz w:val="24"/>
          <w:szCs w:val="24"/>
        </w:rPr>
      </w:pPr>
      <w:r>
        <w:rPr>
          <w:color w:val="000000"/>
          <w:sz w:val="24"/>
          <w:szCs w:val="24"/>
        </w:rPr>
        <w:t>6.5. A contratação não demanda a necessidade de fiscal técnico para seu acompanhamento.</w:t>
      </w:r>
    </w:p>
    <w:p w14:paraId="6330A86F">
      <w:pPr>
        <w:pStyle w:val="392"/>
        <w:spacing w:before="120" w:after="120"/>
        <w:rPr>
          <w:color w:val="000000"/>
          <w:sz w:val="24"/>
          <w:szCs w:val="24"/>
        </w:rPr>
      </w:pPr>
      <w:r>
        <w:rPr>
          <w:color w:val="000000"/>
          <w:sz w:val="24"/>
          <w:szCs w:val="24"/>
        </w:rPr>
        <w:t>6.6.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w:t>
      </w:r>
    </w:p>
    <w:p w14:paraId="5CBA8510">
      <w:pPr>
        <w:pStyle w:val="392"/>
        <w:spacing w:before="120" w:after="120"/>
        <w:rPr>
          <w:color w:val="000000"/>
          <w:sz w:val="24"/>
          <w:szCs w:val="24"/>
        </w:rPr>
      </w:pPr>
      <w:r>
        <w:rPr>
          <w:color w:val="000000"/>
          <w:sz w:val="24"/>
          <w:szCs w:val="24"/>
        </w:rPr>
        <w:t>6.7. Caso ocorram descumprimento das obrigações contratuais, o fiscal administrativo do contrato atuará tempestivamente na solução do problema, reportando ao gestor do contrato para que tome as providências cabíveis, quando ultrapassar a sua competência.</w:t>
      </w:r>
    </w:p>
    <w:p w14:paraId="7A8F8F60">
      <w:pPr>
        <w:pStyle w:val="392"/>
        <w:spacing w:before="120" w:after="120"/>
        <w:rPr>
          <w:color w:val="000000"/>
          <w:sz w:val="24"/>
          <w:szCs w:val="24"/>
        </w:rPr>
      </w:pPr>
      <w:r>
        <w:rPr>
          <w:color w:val="000000"/>
          <w:sz w:val="24"/>
          <w:szCs w:val="24"/>
        </w:rPr>
        <w:t xml:space="preserve">6.8.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07C4A89">
      <w:pPr>
        <w:pStyle w:val="392"/>
        <w:spacing w:before="120" w:after="120"/>
        <w:rPr>
          <w:color w:val="000000"/>
          <w:sz w:val="24"/>
          <w:szCs w:val="24"/>
        </w:rPr>
      </w:pPr>
      <w:r>
        <w:rPr>
          <w:color w:val="000000"/>
          <w:sz w:val="24"/>
          <w:szCs w:val="24"/>
        </w:rPr>
        <w:t>6.9. Caso ocorram descumprimento das obrigações contratuais, o fiscal administrativo do contrato atuará tempestivamente na solução do problema, reportando ao gestor do contrato para que tome as providências cabíveis, quando ultrapassar a sua competência.</w:t>
      </w:r>
    </w:p>
    <w:p w14:paraId="6B4462ED">
      <w:pPr>
        <w:pStyle w:val="392"/>
        <w:spacing w:before="120" w:after="120"/>
        <w:rPr>
          <w:color w:val="000000"/>
          <w:sz w:val="24"/>
          <w:szCs w:val="24"/>
        </w:rPr>
      </w:pPr>
      <w:r>
        <w:rPr>
          <w:color w:val="000000"/>
          <w:sz w:val="24"/>
          <w:szCs w:val="24"/>
        </w:rPr>
        <w:t>6.10.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994135C">
      <w:pPr>
        <w:pStyle w:val="392"/>
        <w:spacing w:before="120" w:after="120"/>
        <w:rPr>
          <w:color w:val="000000"/>
          <w:sz w:val="24"/>
          <w:szCs w:val="24"/>
        </w:rPr>
      </w:pPr>
      <w:r>
        <w:rPr>
          <w:color w:val="000000"/>
          <w:sz w:val="24"/>
          <w:szCs w:val="24"/>
        </w:rPr>
        <w:t xml:space="preserve">6.11.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0B7949B">
      <w:pPr>
        <w:pStyle w:val="392"/>
        <w:spacing w:before="120" w:after="120"/>
        <w:rPr>
          <w:color w:val="000000"/>
          <w:sz w:val="24"/>
          <w:szCs w:val="24"/>
        </w:rPr>
      </w:pPr>
      <w:r>
        <w:rPr>
          <w:color w:val="000000"/>
          <w:sz w:val="24"/>
          <w:szCs w:val="24"/>
        </w:rPr>
        <w:t>6.12. O gestor do contrato emitirá documento comprobatório da avaliação realizada pelos fiscais técnico, administrativo e setorial, conforme o caso,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DCCAC2B">
      <w:pPr>
        <w:pStyle w:val="392"/>
        <w:spacing w:before="120" w:after="120"/>
        <w:rPr>
          <w:color w:val="000000"/>
          <w:sz w:val="24"/>
          <w:szCs w:val="24"/>
        </w:rPr>
      </w:pPr>
      <w:r>
        <w:rPr>
          <w:color w:val="000000"/>
          <w:sz w:val="24"/>
          <w:szCs w:val="24"/>
        </w:rPr>
        <w:t>6.13.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F5A764">
      <w:pPr>
        <w:pStyle w:val="392"/>
        <w:spacing w:before="120" w:after="120"/>
        <w:rPr>
          <w:color w:val="000000"/>
          <w:sz w:val="24"/>
          <w:szCs w:val="24"/>
        </w:rPr>
      </w:pPr>
      <w:r>
        <w:rPr>
          <w:color w:val="000000"/>
          <w:sz w:val="24"/>
          <w:szCs w:val="24"/>
        </w:rPr>
        <w:t xml:space="preserve">6.14. O gestor do contrato deverá elaborará relatório final, quando julgar pertinente, com informações sobre a consecução dos objetivos que tenham justificado a contratação e eventuais condutas a serem adotadas para o aprimoramento das atividades da Administração. </w:t>
      </w:r>
    </w:p>
    <w:p w14:paraId="1E238E65">
      <w:pPr>
        <w:pStyle w:val="392"/>
        <w:rPr>
          <w:rFonts w:ascii="Arial" w:hAnsi="Arial" w:cs="Arial"/>
          <w:color w:val="000000"/>
          <w:sz w:val="24"/>
          <w:szCs w:val="24"/>
        </w:rPr>
      </w:pPr>
    </w:p>
    <w:p w14:paraId="551A796E">
      <w:pPr>
        <w:pStyle w:val="392"/>
        <w:shd w:val="clear" w:color="auto" w:fill="D9D9D9"/>
        <w:rPr>
          <w:b/>
          <w:bCs/>
          <w:color w:val="000000"/>
          <w:sz w:val="24"/>
          <w:szCs w:val="24"/>
        </w:rPr>
      </w:pPr>
      <w:r>
        <w:rPr>
          <w:b/>
          <w:bCs/>
          <w:color w:val="000000"/>
          <w:sz w:val="24"/>
          <w:szCs w:val="24"/>
        </w:rPr>
        <w:t>7. DO FATURAMENTO E DO PAGAMENTO</w:t>
      </w:r>
    </w:p>
    <w:p w14:paraId="73B14866">
      <w:pPr>
        <w:pStyle w:val="392"/>
        <w:spacing w:before="120" w:after="120"/>
        <w:rPr>
          <w:color w:val="000000"/>
          <w:sz w:val="24"/>
          <w:szCs w:val="24"/>
        </w:rPr>
      </w:pPr>
      <w:r>
        <w:rPr>
          <w:color w:val="000000"/>
          <w:sz w:val="24"/>
          <w:szCs w:val="24"/>
        </w:rPr>
        <w:t>7.1. O faturamento pela realização dos trabalhos ocorrerá após a efetiva realização do evento, conforme a Autorização de fornecimento e nota de empenho, mediante apresentação do(s) documento(s) fiscal(is) hábil(eis) de fornecimento, sem emendas ou rasuras, e dos documentos de regularidade fiscal exigidos pelo art. 68 da Lei Federal nº 14.133/2021.</w:t>
      </w:r>
    </w:p>
    <w:p w14:paraId="40226DD0">
      <w:pPr>
        <w:pStyle w:val="392"/>
        <w:spacing w:before="120" w:after="120"/>
        <w:rPr>
          <w:color w:val="000000"/>
          <w:sz w:val="24"/>
          <w:szCs w:val="24"/>
        </w:rPr>
      </w:pPr>
      <w:r>
        <w:rPr>
          <w:color w:val="000000"/>
          <w:sz w:val="24"/>
          <w:szCs w:val="24"/>
        </w:rPr>
        <w:t>7.1.2. Para fins de garantir a data agendada para a realização da apresentação artística, na presente contratação será permitida a antecipação de pagamento parcial, à título de sinal do contrato, conforme as regras previstas no art. 145, § 1º, da NLLC, sendo que os pagamentos referentes aos shows musicais serão efetuados em duas parcelas da seguinte forma:</w:t>
      </w:r>
    </w:p>
    <w:p w14:paraId="1A16B594">
      <w:pPr>
        <w:pStyle w:val="392"/>
        <w:spacing w:before="120" w:after="120"/>
        <w:rPr>
          <w:color w:val="000000"/>
          <w:sz w:val="24"/>
          <w:szCs w:val="24"/>
          <w:highlight w:val="none"/>
        </w:rPr>
      </w:pPr>
      <w:r>
        <w:rPr>
          <w:color w:val="000000"/>
          <w:sz w:val="24"/>
          <w:szCs w:val="24"/>
          <w:highlight w:val="none"/>
        </w:rPr>
        <w:t>7.1.2.1. Para os artistas contratados o pagamento deverá ser da seguinte forma:</w:t>
      </w:r>
    </w:p>
    <w:p w14:paraId="7440A2FD">
      <w:pPr>
        <w:pStyle w:val="392"/>
        <w:spacing w:before="120" w:after="120"/>
        <w:rPr>
          <w:rFonts w:hint="default"/>
          <w:color w:val="000000"/>
          <w:sz w:val="24"/>
          <w:szCs w:val="24"/>
          <w:highlight w:val="none"/>
          <w:lang w:val="pt-BR"/>
        </w:rPr>
      </w:pPr>
      <w:r>
        <w:rPr>
          <w:color w:val="000000"/>
          <w:sz w:val="24"/>
          <w:szCs w:val="24"/>
          <w:highlight w:val="none"/>
        </w:rPr>
        <w:t xml:space="preserve">a) O valor correspondente a 100% (R$ </w:t>
      </w:r>
      <w:r>
        <w:rPr>
          <w:rFonts w:hint="default"/>
          <w:color w:val="000000"/>
          <w:sz w:val="24"/>
          <w:szCs w:val="24"/>
          <w:highlight w:val="none"/>
          <w:lang w:val="pt-BR"/>
        </w:rPr>
        <w:t>12.500,00</w:t>
      </w:r>
      <w:r>
        <w:rPr>
          <w:color w:val="000000"/>
          <w:sz w:val="24"/>
          <w:szCs w:val="24"/>
          <w:highlight w:val="none"/>
        </w:rPr>
        <w:t>) do valor total contratado, que será pago através de depósito na conta corrente e agência da empresa CONTRATADA</w:t>
      </w:r>
      <w:r>
        <w:rPr>
          <w:rFonts w:hint="default"/>
          <w:color w:val="000000"/>
          <w:sz w:val="24"/>
          <w:szCs w:val="24"/>
          <w:highlight w:val="none"/>
          <w:lang w:val="pt-BR"/>
        </w:rPr>
        <w:t>:</w:t>
      </w:r>
      <w:r>
        <w:rPr>
          <w:color w:val="000000"/>
          <w:sz w:val="24"/>
          <w:szCs w:val="24"/>
          <w:highlight w:val="none"/>
        </w:rPr>
        <w:t xml:space="preserve"> </w:t>
      </w:r>
      <w:r>
        <w:rPr>
          <w:rFonts w:hint="default"/>
          <w:b w:val="0"/>
          <w:bCs w:val="0"/>
          <w:sz w:val="24"/>
          <w:szCs w:val="24"/>
          <w:highlight w:val="none"/>
          <w:lang w:val="en-US" w:eastAsia="pt-BR"/>
        </w:rPr>
        <w:t>JOAQUIM RODRIGUES SARDINHA</w:t>
      </w:r>
      <w:r>
        <w:rPr>
          <w:color w:val="000000"/>
          <w:sz w:val="24"/>
          <w:szCs w:val="24"/>
          <w:highlight w:val="none"/>
        </w:rPr>
        <w:t>, em até 07 (sete) dias posteriormente a apresentação do show, mediante apresentação de nota fiscal do valor total contratado, referente ao respectivo artista, com os descontos devidos, desde que não haja fator impeditivo provocado pela CONTRATADA</w:t>
      </w:r>
      <w:r>
        <w:rPr>
          <w:rFonts w:hint="default"/>
          <w:color w:val="000000"/>
          <w:sz w:val="24"/>
          <w:szCs w:val="24"/>
          <w:highlight w:val="none"/>
          <w:lang w:val="pt-BR"/>
        </w:rPr>
        <w:t>.</w:t>
      </w:r>
    </w:p>
    <w:p w14:paraId="7245CE9C">
      <w:pPr>
        <w:pStyle w:val="392"/>
        <w:spacing w:before="120" w:after="120"/>
        <w:rPr>
          <w:rFonts w:hint="default"/>
          <w:color w:val="000000"/>
          <w:sz w:val="24"/>
          <w:szCs w:val="24"/>
          <w:highlight w:val="none"/>
          <w:lang w:val="pt-BR"/>
        </w:rPr>
      </w:pPr>
      <w:r>
        <w:rPr>
          <w:rFonts w:hint="default"/>
          <w:color w:val="000000"/>
          <w:sz w:val="24"/>
          <w:szCs w:val="24"/>
          <w:highlight w:val="none"/>
          <w:lang w:val="pt-BR"/>
        </w:rPr>
        <w:t>b</w:t>
      </w:r>
      <w:r>
        <w:rPr>
          <w:color w:val="000000"/>
          <w:sz w:val="24"/>
          <w:szCs w:val="24"/>
          <w:highlight w:val="none"/>
        </w:rPr>
        <w:t xml:space="preserve">) O valor correspondente a 100% (R$ </w:t>
      </w:r>
      <w:r>
        <w:rPr>
          <w:rFonts w:hint="default"/>
          <w:color w:val="000000"/>
          <w:sz w:val="24"/>
          <w:szCs w:val="24"/>
          <w:highlight w:val="none"/>
          <w:lang w:val="pt-BR"/>
        </w:rPr>
        <w:t>30.000,00</w:t>
      </w:r>
      <w:r>
        <w:rPr>
          <w:color w:val="000000"/>
          <w:sz w:val="24"/>
          <w:szCs w:val="24"/>
          <w:highlight w:val="none"/>
        </w:rPr>
        <w:t>) do valor total contratado, que será pago através de depósito na conta corrente e agência da empresa CONTRATADA</w:t>
      </w:r>
      <w:r>
        <w:rPr>
          <w:rFonts w:hint="default"/>
          <w:color w:val="000000"/>
          <w:sz w:val="24"/>
          <w:szCs w:val="24"/>
          <w:highlight w:val="none"/>
          <w:lang w:val="pt-BR"/>
        </w:rPr>
        <w:t>:</w:t>
      </w:r>
      <w:r>
        <w:rPr>
          <w:color w:val="000000"/>
          <w:sz w:val="24"/>
          <w:szCs w:val="24"/>
          <w:highlight w:val="none"/>
        </w:rPr>
        <w:t xml:space="preserve"> </w:t>
      </w:r>
      <w:r>
        <w:rPr>
          <w:rFonts w:hint="default"/>
          <w:b w:val="0"/>
          <w:bCs w:val="0"/>
          <w:sz w:val="24"/>
          <w:szCs w:val="24"/>
          <w:highlight w:val="none"/>
          <w:lang w:val="en-US" w:eastAsia="pt-BR"/>
        </w:rPr>
        <w:t>JC  EVENTOS LTDA</w:t>
      </w:r>
      <w:r>
        <w:rPr>
          <w:color w:val="000000"/>
          <w:sz w:val="24"/>
          <w:szCs w:val="24"/>
          <w:highlight w:val="none"/>
        </w:rPr>
        <w:t>, em até 07 (sete) dias posteriormente a apresentação do show, mediante apresentação de nota fiscal do valor total contratado, referente ao respectivo artista, com os descontos devidos, desde que não haja fator impeditivo provocado pela CONTRATADA</w:t>
      </w:r>
      <w:r>
        <w:rPr>
          <w:rFonts w:hint="default"/>
          <w:color w:val="000000"/>
          <w:sz w:val="24"/>
          <w:szCs w:val="24"/>
          <w:highlight w:val="none"/>
          <w:lang w:val="pt-BR"/>
        </w:rPr>
        <w:t>.</w:t>
      </w:r>
    </w:p>
    <w:p w14:paraId="4EB23B84">
      <w:pPr>
        <w:pStyle w:val="392"/>
        <w:spacing w:before="120" w:after="120"/>
        <w:rPr>
          <w:color w:val="000000"/>
          <w:sz w:val="24"/>
          <w:szCs w:val="24"/>
          <w:highlight w:val="none"/>
        </w:rPr>
      </w:pPr>
      <w:r>
        <w:rPr>
          <w:rFonts w:hint="default"/>
          <w:color w:val="000000"/>
          <w:sz w:val="24"/>
          <w:szCs w:val="24"/>
          <w:highlight w:val="none"/>
          <w:lang w:val="pt-BR"/>
        </w:rPr>
        <w:t>c</w:t>
      </w:r>
      <w:r>
        <w:rPr>
          <w:color w:val="000000"/>
          <w:sz w:val="24"/>
          <w:szCs w:val="24"/>
          <w:highlight w:val="none"/>
        </w:rPr>
        <w:t xml:space="preserve">) O valor correspondente a 100% (R$ </w:t>
      </w:r>
      <w:r>
        <w:rPr>
          <w:rFonts w:hint="default"/>
          <w:color w:val="000000"/>
          <w:sz w:val="24"/>
          <w:szCs w:val="24"/>
          <w:highlight w:val="none"/>
          <w:lang w:val="pt-BR"/>
        </w:rPr>
        <w:t>160.000,00</w:t>
      </w:r>
      <w:r>
        <w:rPr>
          <w:color w:val="000000"/>
          <w:sz w:val="24"/>
          <w:szCs w:val="24"/>
          <w:highlight w:val="none"/>
        </w:rPr>
        <w:t>) do valor total contratado, que será pago através de depósito na conta corrente e agência da empresa CONTRATADA</w:t>
      </w:r>
      <w:r>
        <w:rPr>
          <w:rFonts w:hint="default"/>
          <w:color w:val="000000"/>
          <w:sz w:val="24"/>
          <w:szCs w:val="24"/>
          <w:highlight w:val="none"/>
          <w:lang w:val="pt-BR"/>
        </w:rPr>
        <w:t>:</w:t>
      </w:r>
      <w:r>
        <w:rPr>
          <w:color w:val="000000"/>
          <w:sz w:val="24"/>
          <w:szCs w:val="24"/>
          <w:highlight w:val="none"/>
        </w:rPr>
        <w:t xml:space="preserve"> </w:t>
      </w:r>
      <w:r>
        <w:rPr>
          <w:rFonts w:hint="default"/>
          <w:b w:val="0"/>
          <w:bCs w:val="0"/>
          <w:sz w:val="24"/>
          <w:szCs w:val="24"/>
          <w:highlight w:val="none"/>
          <w:lang w:val="en-US" w:eastAsia="pt-BR"/>
        </w:rPr>
        <w:t>FS GAVA PRODUÇÃO ARTÍSTICA EIRELI</w:t>
      </w:r>
      <w:r>
        <w:rPr>
          <w:color w:val="000000"/>
          <w:sz w:val="24"/>
          <w:szCs w:val="24"/>
          <w:highlight w:val="none"/>
        </w:rPr>
        <w:t>, em até 07 (sete) dias posteriormente a apresentação do show, mediante apresentação de nota fiscal do valor total contratado, referente ao respectivo artista, com os descontos devidos, desde que não haja fator impeditivo provocado pela CONTRATADA</w:t>
      </w:r>
      <w:r>
        <w:rPr>
          <w:rFonts w:hint="default"/>
          <w:color w:val="000000"/>
          <w:sz w:val="24"/>
          <w:szCs w:val="24"/>
          <w:highlight w:val="none"/>
          <w:lang w:val="pt-BR"/>
        </w:rPr>
        <w:t>.</w:t>
      </w:r>
    </w:p>
    <w:p w14:paraId="2BEE6707">
      <w:pPr>
        <w:pStyle w:val="392"/>
        <w:spacing w:before="120" w:after="120"/>
        <w:rPr>
          <w:color w:val="000000"/>
          <w:sz w:val="24"/>
          <w:szCs w:val="24"/>
        </w:rPr>
      </w:pPr>
      <w:r>
        <w:rPr>
          <w:color w:val="000000"/>
          <w:sz w:val="24"/>
          <w:szCs w:val="24"/>
        </w:rPr>
        <w:t>7.1.2.2. Fica a CONTRATADA obrigada a devolver, com correção monetária, a integralidade do valor antecipado na hipótese de inexecução do objeto.</w:t>
      </w:r>
    </w:p>
    <w:p w14:paraId="73F33AD3">
      <w:pPr>
        <w:pStyle w:val="392"/>
        <w:spacing w:before="120" w:after="120"/>
        <w:rPr>
          <w:color w:val="000000"/>
          <w:sz w:val="24"/>
          <w:szCs w:val="24"/>
        </w:rPr>
      </w:pPr>
      <w:r>
        <w:rPr>
          <w:color w:val="000000"/>
          <w:sz w:val="24"/>
          <w:szCs w:val="24"/>
        </w:rPr>
        <w:t>7.1.2.2.1. No caso de inexecução parcial, deverá haver a devolução do valor relativo à parcela não-executada do contrato.</w:t>
      </w:r>
    </w:p>
    <w:p w14:paraId="279FB966">
      <w:pPr>
        <w:pStyle w:val="392"/>
        <w:spacing w:before="120" w:after="120"/>
        <w:rPr>
          <w:color w:val="000000"/>
          <w:sz w:val="24"/>
          <w:szCs w:val="24"/>
        </w:rPr>
      </w:pPr>
      <w:r>
        <w:rPr>
          <w:color w:val="000000"/>
          <w:sz w:val="24"/>
          <w:szCs w:val="24"/>
        </w:rPr>
        <w:t>7.1.2.2.1.2. O valor relativo à parcela antecipada e não executada do contrato será atualizado monetariamente pela variação acumulada do INPC ou outro índice que venha a substituí-lo, desde a data do pagamento da antecipação até a data da devolução.</w:t>
      </w:r>
    </w:p>
    <w:p w14:paraId="79AD776B">
      <w:pPr>
        <w:pStyle w:val="392"/>
        <w:spacing w:before="120" w:after="120"/>
        <w:rPr>
          <w:color w:val="000000"/>
          <w:sz w:val="24"/>
          <w:szCs w:val="24"/>
        </w:rPr>
      </w:pPr>
      <w:r>
        <w:rPr>
          <w:color w:val="000000"/>
          <w:sz w:val="24"/>
          <w:szCs w:val="24"/>
        </w:rPr>
        <w:t xml:space="preserve">7.1.3. A Secretaria Municipal de </w:t>
      </w:r>
      <w:r>
        <w:rPr>
          <w:rFonts w:hint="default"/>
          <w:color w:val="000000"/>
          <w:sz w:val="24"/>
          <w:szCs w:val="24"/>
          <w:lang w:val="pt-BR"/>
        </w:rPr>
        <w:t>Turismo, Cultura, Esporte e Lazer</w:t>
      </w:r>
      <w:r>
        <w:rPr>
          <w:color w:val="000000"/>
          <w:sz w:val="24"/>
          <w:szCs w:val="24"/>
        </w:rPr>
        <w:t>, após a conferência e a certificação, fará um ATESTADO de que as apresentações foram efetivamente realizadas e de forma satisfatória, acompanhado de relatório fotográfico.</w:t>
      </w:r>
    </w:p>
    <w:p w14:paraId="73337048">
      <w:pPr>
        <w:pStyle w:val="392"/>
        <w:spacing w:before="120" w:after="120"/>
        <w:rPr>
          <w:color w:val="000000"/>
          <w:sz w:val="24"/>
          <w:szCs w:val="24"/>
        </w:rPr>
      </w:pPr>
      <w:r>
        <w:rPr>
          <w:color w:val="000000"/>
          <w:sz w:val="24"/>
          <w:szCs w:val="24"/>
        </w:rPr>
        <w:t>7.2. Recebida a Nota Fiscal ou documento de cobrança equivalente, correrá o prazo de 05 (cinco) dias úteis para fins de liquidação, prorrogáveis por igual período.</w:t>
      </w:r>
    </w:p>
    <w:p w14:paraId="1767647B">
      <w:pPr>
        <w:pStyle w:val="392"/>
        <w:spacing w:before="120" w:after="120"/>
        <w:rPr>
          <w:color w:val="000000"/>
          <w:sz w:val="24"/>
          <w:szCs w:val="24"/>
        </w:rPr>
      </w:pPr>
      <w:r>
        <w:rPr>
          <w:color w:val="000000"/>
          <w:sz w:val="24"/>
          <w:szCs w:val="24"/>
        </w:rPr>
        <w:t xml:space="preserve">7.2.1. Para fins de liquidação, o setor competente deverá verificar se a nota fiscal ou instrumento de cobrança equivalente apresentado expressa os elementos necessários e essenciais do documento, tais como: </w:t>
      </w:r>
    </w:p>
    <w:p w14:paraId="748692EE">
      <w:pPr>
        <w:pStyle w:val="392"/>
        <w:spacing w:before="120" w:after="120"/>
        <w:ind w:left="1134"/>
        <w:rPr>
          <w:color w:val="000000"/>
          <w:sz w:val="24"/>
          <w:szCs w:val="24"/>
        </w:rPr>
      </w:pPr>
      <w:r>
        <w:rPr>
          <w:color w:val="000000"/>
          <w:sz w:val="24"/>
          <w:szCs w:val="24"/>
        </w:rPr>
        <w:t>a)</w:t>
      </w:r>
      <w:r>
        <w:rPr>
          <w:color w:val="000000"/>
          <w:sz w:val="24"/>
          <w:szCs w:val="24"/>
        </w:rPr>
        <w:tab/>
      </w:r>
      <w:r>
        <w:rPr>
          <w:color w:val="000000"/>
          <w:sz w:val="24"/>
          <w:szCs w:val="24"/>
        </w:rPr>
        <w:t>o prazo de validade;</w:t>
      </w:r>
    </w:p>
    <w:p w14:paraId="69BFA2E7">
      <w:pPr>
        <w:pStyle w:val="392"/>
        <w:spacing w:before="120" w:after="120"/>
        <w:ind w:left="1134"/>
        <w:rPr>
          <w:color w:val="000000"/>
          <w:sz w:val="24"/>
          <w:szCs w:val="24"/>
        </w:rPr>
      </w:pPr>
      <w:r>
        <w:rPr>
          <w:color w:val="000000"/>
          <w:sz w:val="24"/>
          <w:szCs w:val="24"/>
        </w:rPr>
        <w:t>b)</w:t>
      </w:r>
      <w:r>
        <w:rPr>
          <w:color w:val="000000"/>
          <w:sz w:val="24"/>
          <w:szCs w:val="24"/>
        </w:rPr>
        <w:tab/>
      </w:r>
      <w:r>
        <w:rPr>
          <w:color w:val="000000"/>
          <w:sz w:val="24"/>
          <w:szCs w:val="24"/>
        </w:rPr>
        <w:t xml:space="preserve">a data da emissão; </w:t>
      </w:r>
    </w:p>
    <w:p w14:paraId="77D96E3A">
      <w:pPr>
        <w:pStyle w:val="392"/>
        <w:spacing w:before="120" w:after="120"/>
        <w:ind w:left="1134"/>
        <w:rPr>
          <w:color w:val="000000"/>
          <w:sz w:val="24"/>
          <w:szCs w:val="24"/>
        </w:rPr>
      </w:pPr>
      <w:r>
        <w:rPr>
          <w:color w:val="000000"/>
          <w:sz w:val="24"/>
          <w:szCs w:val="24"/>
        </w:rPr>
        <w:t>c)</w:t>
      </w:r>
      <w:r>
        <w:rPr>
          <w:color w:val="000000"/>
          <w:sz w:val="24"/>
          <w:szCs w:val="24"/>
        </w:rPr>
        <w:tab/>
      </w:r>
      <w:r>
        <w:rPr>
          <w:color w:val="000000"/>
          <w:sz w:val="24"/>
          <w:szCs w:val="24"/>
        </w:rPr>
        <w:t xml:space="preserve">os dados do contrato e do órgão contratante; </w:t>
      </w:r>
    </w:p>
    <w:p w14:paraId="6B66A001">
      <w:pPr>
        <w:pStyle w:val="392"/>
        <w:spacing w:before="120" w:after="120"/>
        <w:ind w:left="1134"/>
        <w:rPr>
          <w:color w:val="000000"/>
          <w:sz w:val="24"/>
          <w:szCs w:val="24"/>
        </w:rPr>
      </w:pPr>
      <w:r>
        <w:rPr>
          <w:color w:val="000000"/>
          <w:sz w:val="24"/>
          <w:szCs w:val="24"/>
        </w:rPr>
        <w:t>d)</w:t>
      </w:r>
      <w:r>
        <w:rPr>
          <w:color w:val="000000"/>
          <w:sz w:val="24"/>
          <w:szCs w:val="24"/>
        </w:rPr>
        <w:tab/>
      </w:r>
      <w:r>
        <w:rPr>
          <w:color w:val="000000"/>
          <w:sz w:val="24"/>
          <w:szCs w:val="24"/>
        </w:rPr>
        <w:t xml:space="preserve">o período respectivo de execução do contrato; </w:t>
      </w:r>
    </w:p>
    <w:p w14:paraId="5B1526CB">
      <w:pPr>
        <w:pStyle w:val="392"/>
        <w:spacing w:before="120" w:after="120"/>
        <w:ind w:left="1134"/>
        <w:rPr>
          <w:color w:val="000000"/>
          <w:sz w:val="24"/>
          <w:szCs w:val="24"/>
        </w:rPr>
      </w:pPr>
      <w:r>
        <w:rPr>
          <w:color w:val="000000"/>
          <w:sz w:val="24"/>
          <w:szCs w:val="24"/>
        </w:rPr>
        <w:t>e)</w:t>
      </w:r>
      <w:r>
        <w:rPr>
          <w:color w:val="000000"/>
          <w:sz w:val="24"/>
          <w:szCs w:val="24"/>
        </w:rPr>
        <w:tab/>
      </w:r>
      <w:r>
        <w:rPr>
          <w:color w:val="000000"/>
          <w:sz w:val="24"/>
          <w:szCs w:val="24"/>
        </w:rPr>
        <w:t xml:space="preserve">o valor a pagar; e </w:t>
      </w:r>
    </w:p>
    <w:p w14:paraId="557E3141">
      <w:pPr>
        <w:pStyle w:val="392"/>
        <w:spacing w:before="120" w:after="120"/>
        <w:ind w:left="1134"/>
        <w:rPr>
          <w:color w:val="000000"/>
          <w:sz w:val="24"/>
          <w:szCs w:val="24"/>
        </w:rPr>
      </w:pPr>
      <w:r>
        <w:rPr>
          <w:color w:val="000000"/>
          <w:sz w:val="24"/>
          <w:szCs w:val="24"/>
        </w:rPr>
        <w:t>f)</w:t>
      </w:r>
      <w:r>
        <w:rPr>
          <w:color w:val="000000"/>
          <w:sz w:val="24"/>
          <w:szCs w:val="24"/>
        </w:rPr>
        <w:tab/>
      </w:r>
      <w:r>
        <w:rPr>
          <w:color w:val="000000"/>
          <w:sz w:val="24"/>
          <w:szCs w:val="24"/>
        </w:rPr>
        <w:t>eventual destaque do valor de retenções tributárias cabíveis.</w:t>
      </w:r>
    </w:p>
    <w:p w14:paraId="65347FF3">
      <w:pPr>
        <w:pStyle w:val="392"/>
        <w:spacing w:before="120" w:after="120"/>
        <w:rPr>
          <w:color w:val="000000"/>
          <w:sz w:val="24"/>
          <w:szCs w:val="24"/>
        </w:rPr>
      </w:pPr>
      <w:r>
        <w:rPr>
          <w:color w:val="000000"/>
          <w:sz w:val="24"/>
          <w:szCs w:val="24"/>
        </w:rPr>
        <w:t>7.3.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A1D785A">
      <w:pPr>
        <w:pStyle w:val="392"/>
        <w:spacing w:before="120" w:after="120"/>
        <w:rPr>
          <w:color w:val="000000"/>
          <w:sz w:val="24"/>
          <w:szCs w:val="24"/>
        </w:rPr>
      </w:pPr>
      <w:r>
        <w:rPr>
          <w:color w:val="000000"/>
          <w:sz w:val="24"/>
          <w:szCs w:val="24"/>
        </w:rPr>
        <w:t>7.4. Os documentos fiscais, após conferidos e visados, serão encaminhados para processamento e pagamento após o recebimento dos mesmos.</w:t>
      </w:r>
    </w:p>
    <w:p w14:paraId="479EDDD3">
      <w:pPr>
        <w:pStyle w:val="392"/>
        <w:spacing w:before="120" w:after="120"/>
        <w:rPr>
          <w:color w:val="000000"/>
          <w:sz w:val="24"/>
          <w:szCs w:val="24"/>
        </w:rPr>
      </w:pPr>
      <w:r>
        <w:rPr>
          <w:color w:val="000000"/>
          <w:sz w:val="24"/>
          <w:szCs w:val="24"/>
        </w:rPr>
        <w:t>7.5. Constatando-se, junto ao SICAF ou cadastro próprio do Município,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4B0CC48">
      <w:pPr>
        <w:pStyle w:val="392"/>
        <w:spacing w:before="120" w:after="120"/>
        <w:rPr>
          <w:color w:val="000000"/>
          <w:sz w:val="24"/>
          <w:szCs w:val="24"/>
        </w:rPr>
      </w:pPr>
      <w:r>
        <w:rPr>
          <w:color w:val="000000"/>
          <w:sz w:val="24"/>
          <w:szCs w:val="24"/>
        </w:rPr>
        <w:t xml:space="preserve">7.5.1. Persistindo a irregularidade, o contratante deverá adotar as medidas necessárias à rescisão contratual nos autos do processo administrativo correspondente, assegurada ao contratado a ampla defesa. </w:t>
      </w:r>
    </w:p>
    <w:p w14:paraId="7D99BDD2">
      <w:pPr>
        <w:pStyle w:val="392"/>
        <w:spacing w:before="120" w:after="120"/>
        <w:rPr>
          <w:color w:val="000000"/>
          <w:sz w:val="24"/>
          <w:szCs w:val="24"/>
        </w:rPr>
      </w:pPr>
      <w:r>
        <w:rPr>
          <w:color w:val="000000"/>
          <w:sz w:val="24"/>
          <w:szCs w:val="24"/>
        </w:rPr>
        <w:t xml:space="preserve">7.6. Havendo a efetiva execução do objeto, os pagamentos serão realizados normalmente, até que se decida pela rescisão do contrato, caso o contratado não regularize sua situação junto ao junto ao SICAF ou cadastro próprio do Município.  </w:t>
      </w:r>
    </w:p>
    <w:p w14:paraId="0E140F10">
      <w:pPr>
        <w:pStyle w:val="392"/>
        <w:spacing w:before="120" w:after="120"/>
        <w:rPr>
          <w:color w:val="000000"/>
          <w:sz w:val="24"/>
          <w:szCs w:val="24"/>
        </w:rPr>
      </w:pPr>
      <w:r>
        <w:rPr>
          <w:color w:val="000000"/>
          <w:sz w:val="24"/>
          <w:szCs w:val="24"/>
        </w:rPr>
        <w:t>7.7. O pagamento dar-se-á à vista na forma do item 7.1.2, em favor do CONTRATADO, mediante ordem bancária em conta corrente em nome do mesmo, desde que não haja fator impeditivo provocado pelo CONTRATADO.</w:t>
      </w:r>
    </w:p>
    <w:p w14:paraId="32929056">
      <w:pPr>
        <w:pStyle w:val="392"/>
        <w:spacing w:before="120" w:after="120"/>
        <w:rPr>
          <w:color w:val="000000"/>
          <w:sz w:val="24"/>
          <w:szCs w:val="24"/>
        </w:rPr>
      </w:pPr>
      <w:r>
        <w:rPr>
          <w:color w:val="000000"/>
          <w:sz w:val="24"/>
          <w:szCs w:val="24"/>
        </w:rPr>
        <w:t>7.8. Após o prazo acima referenciado será paga multa financeira nos seguintes termos:</w:t>
      </w:r>
    </w:p>
    <w:p w14:paraId="3BB7FD92">
      <w:pPr>
        <w:pStyle w:val="392"/>
        <w:spacing w:before="120" w:after="120"/>
        <w:rPr>
          <w:color w:val="000000"/>
          <w:sz w:val="24"/>
          <w:szCs w:val="24"/>
        </w:rPr>
      </w:pPr>
      <w:r>
        <w:rPr>
          <w:color w:val="000000"/>
          <w:sz w:val="24"/>
          <w:szCs w:val="24"/>
        </w:rPr>
        <w:t xml:space="preserve">VM = </w:t>
      </w:r>
      <w:r>
        <w:rPr>
          <w:color w:val="000000"/>
          <w:sz w:val="24"/>
          <w:szCs w:val="24"/>
          <w:u w:val="thick"/>
        </w:rPr>
        <w:t>VF x 0,067 x ND</w:t>
      </w:r>
    </w:p>
    <w:p w14:paraId="1C87AB13">
      <w:pPr>
        <w:pStyle w:val="392"/>
        <w:spacing w:before="120" w:after="120"/>
        <w:rPr>
          <w:color w:val="000000"/>
          <w:sz w:val="24"/>
          <w:szCs w:val="24"/>
        </w:rPr>
      </w:pPr>
      <w:r>
        <w:rPr>
          <w:color w:val="000000"/>
          <w:sz w:val="24"/>
          <w:szCs w:val="24"/>
        </w:rPr>
        <w:t xml:space="preserve">                    100       </w:t>
      </w:r>
    </w:p>
    <w:p w14:paraId="1BBAB3FF">
      <w:pPr>
        <w:pStyle w:val="392"/>
        <w:spacing w:before="120" w:after="120"/>
        <w:rPr>
          <w:color w:val="000000"/>
          <w:sz w:val="24"/>
          <w:szCs w:val="24"/>
        </w:rPr>
      </w:pPr>
      <w:r>
        <w:rPr>
          <w:color w:val="000000"/>
          <w:sz w:val="24"/>
          <w:szCs w:val="24"/>
        </w:rPr>
        <w:t xml:space="preserve">VM = Valor da Multa Financeira. </w:t>
      </w:r>
    </w:p>
    <w:p w14:paraId="64980B09">
      <w:pPr>
        <w:pStyle w:val="392"/>
        <w:spacing w:before="120" w:after="120"/>
        <w:rPr>
          <w:color w:val="000000"/>
          <w:sz w:val="24"/>
          <w:szCs w:val="24"/>
        </w:rPr>
      </w:pPr>
      <w:r>
        <w:rPr>
          <w:color w:val="000000"/>
          <w:sz w:val="24"/>
          <w:szCs w:val="24"/>
        </w:rPr>
        <w:t xml:space="preserve">VF = Valor da Nota Fiscal referente ao mês em atraso. </w:t>
      </w:r>
    </w:p>
    <w:p w14:paraId="37EC4A76">
      <w:pPr>
        <w:pStyle w:val="392"/>
        <w:spacing w:before="120" w:after="120"/>
        <w:rPr>
          <w:color w:val="000000"/>
          <w:sz w:val="24"/>
          <w:szCs w:val="24"/>
        </w:rPr>
      </w:pPr>
      <w:r>
        <w:rPr>
          <w:color w:val="000000"/>
          <w:sz w:val="24"/>
          <w:szCs w:val="24"/>
        </w:rPr>
        <w:t>ND = Número de dias em atraso</w:t>
      </w:r>
    </w:p>
    <w:p w14:paraId="7EF163CF">
      <w:pPr>
        <w:pStyle w:val="392"/>
        <w:spacing w:before="120" w:after="120"/>
        <w:rPr>
          <w:color w:val="000000"/>
          <w:sz w:val="24"/>
          <w:szCs w:val="24"/>
        </w:rPr>
      </w:pPr>
      <w:r>
        <w:rPr>
          <w:color w:val="000000"/>
          <w:sz w:val="24"/>
          <w:szCs w:val="24"/>
        </w:rPr>
        <w:t>7.8.1. Incumbirá ao CONTRATADO a iniciativa e o encargo do cálculo minucioso de cada fatura devida, a ser revisto e aprovado pelo MUNICÍPIO, juntando-se à respectiva discriminação do fornecimento efetuado, e o memorial de cálculo da fatura.</w:t>
      </w:r>
    </w:p>
    <w:p w14:paraId="0D8EFF54">
      <w:pPr>
        <w:pStyle w:val="392"/>
        <w:spacing w:before="120" w:after="120"/>
        <w:rPr>
          <w:color w:val="000000"/>
          <w:sz w:val="24"/>
          <w:szCs w:val="24"/>
        </w:rPr>
      </w:pPr>
      <w:r>
        <w:rPr>
          <w:color w:val="000000"/>
          <w:sz w:val="24"/>
          <w:szCs w:val="24"/>
        </w:rPr>
        <w:t>7.9. Nenhum pagamento será efetuado enquanto pendente de liquidação qualquer obrigação financeira que lhe foi imposta, em virtude de penalidade ou inadimplência, sem que gere direito de acréscimos de qualquer natureza.</w:t>
      </w:r>
    </w:p>
    <w:p w14:paraId="41E5E832">
      <w:pPr>
        <w:pStyle w:val="392"/>
        <w:spacing w:before="120" w:after="120"/>
        <w:rPr>
          <w:color w:val="000000"/>
          <w:sz w:val="24"/>
          <w:szCs w:val="24"/>
        </w:rPr>
      </w:pPr>
      <w:r>
        <w:rPr>
          <w:color w:val="000000"/>
          <w:sz w:val="24"/>
          <w:szCs w:val="24"/>
        </w:rPr>
        <w:t>7.10. Serão retidos na fonte, os tributos e contribuições sobre os pagamentos mensalmente efetuados, utilizando-se as alíquotas previstas para cada tipo de serviço, exceto se o CONTRATADO for optante do SIMPLES NACIONAL, que obedecer a legislação específica.</w:t>
      </w:r>
    </w:p>
    <w:p w14:paraId="2C09A639">
      <w:pPr>
        <w:pStyle w:val="392"/>
        <w:spacing w:before="120" w:after="120"/>
        <w:rPr>
          <w:color w:val="000000"/>
          <w:sz w:val="24"/>
          <w:szCs w:val="24"/>
        </w:rPr>
      </w:pPr>
      <w:r>
        <w:rPr>
          <w:color w:val="000000"/>
          <w:sz w:val="24"/>
          <w:szCs w:val="24"/>
        </w:rPr>
        <w:t>7.10.1.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3AAD4E">
      <w:pPr>
        <w:pStyle w:val="392"/>
        <w:spacing w:before="120" w:after="120"/>
        <w:rPr>
          <w:color w:val="000000"/>
          <w:sz w:val="24"/>
          <w:szCs w:val="24"/>
        </w:rPr>
      </w:pPr>
      <w:r>
        <w:rPr>
          <w:color w:val="000000"/>
          <w:sz w:val="24"/>
          <w:szCs w:val="24"/>
        </w:rPr>
        <w:t>7.11. Fica o CONTRATADO obrigado a informar qualquer alteração de sua condição de optante pelo SIMPLES NACIONAL, sob pena de aplicação das sanções contratuais e legais cabíveis.</w:t>
      </w:r>
    </w:p>
    <w:p w14:paraId="2B173F96">
      <w:pPr>
        <w:pStyle w:val="392"/>
        <w:rPr>
          <w:rFonts w:ascii="Arial" w:hAnsi="Arial" w:cs="Arial"/>
          <w:color w:val="000000"/>
          <w:sz w:val="24"/>
          <w:szCs w:val="24"/>
        </w:rPr>
      </w:pPr>
    </w:p>
    <w:p w14:paraId="35EF2473">
      <w:pPr>
        <w:pStyle w:val="392"/>
        <w:shd w:val="clear" w:color="auto" w:fill="D9D9D9"/>
        <w:rPr>
          <w:b/>
          <w:bCs/>
          <w:color w:val="000000"/>
          <w:sz w:val="24"/>
          <w:szCs w:val="24"/>
        </w:rPr>
      </w:pPr>
      <w:r>
        <w:rPr>
          <w:b/>
          <w:bCs/>
          <w:color w:val="000000"/>
          <w:sz w:val="24"/>
          <w:szCs w:val="24"/>
        </w:rPr>
        <w:t>8. DA FORMA E CRITÉRIOS DE SELEÇÃO DO FORNECEDOR</w:t>
      </w:r>
    </w:p>
    <w:p w14:paraId="32562A24">
      <w:pPr>
        <w:pStyle w:val="392"/>
        <w:spacing w:before="120" w:after="120"/>
        <w:rPr>
          <w:rFonts w:eastAsia="Times New Roman"/>
          <w:sz w:val="24"/>
          <w:szCs w:val="24"/>
        </w:rPr>
      </w:pPr>
      <w:r>
        <w:rPr>
          <w:rFonts w:eastAsia="Times New Roman"/>
          <w:sz w:val="24"/>
          <w:szCs w:val="24"/>
        </w:rPr>
        <w:t>8.1. Os artistas/bandas serão selecionados através do cumprimento dos requisitos inexigibilidade, conforme documentação anexa e justificativas apresentadas neste termo de referência, em atendimento ao disposto no art. 74, caput, inciso II, da Lei Federal nº 14.133/2021.</w:t>
      </w:r>
    </w:p>
    <w:p w14:paraId="1F03C52A">
      <w:pPr>
        <w:pStyle w:val="392"/>
        <w:spacing w:before="120" w:after="120"/>
        <w:rPr>
          <w:sz w:val="24"/>
          <w:szCs w:val="24"/>
        </w:rPr>
      </w:pPr>
      <w:r>
        <w:rPr>
          <w:sz w:val="24"/>
          <w:szCs w:val="24"/>
        </w:rPr>
        <w:t>8.2. Para fins de habilitação jurídica, deverá o licitante comprovar os requisitos dispostos no art. 62 e seguintes da Lei Federal nº 14.133/2021.</w:t>
      </w:r>
    </w:p>
    <w:p w14:paraId="6EAFAD1A">
      <w:pPr>
        <w:pStyle w:val="392"/>
        <w:spacing w:before="120" w:after="120"/>
        <w:rPr>
          <w:sz w:val="24"/>
          <w:szCs w:val="24"/>
        </w:rPr>
      </w:pPr>
      <w:r>
        <w:rPr>
          <w:sz w:val="24"/>
          <w:szCs w:val="24"/>
        </w:rPr>
        <w:t>8.3. Para fins de habilitação fiscal, social e trabalhista, deverá o licitante comprovar os requisitos dispostos no art. 68 e seguintes da Lei Federal nº 14.133/2021.</w:t>
      </w:r>
    </w:p>
    <w:p w14:paraId="19A9CA3F">
      <w:pPr>
        <w:pStyle w:val="392"/>
        <w:spacing w:before="120" w:after="120"/>
        <w:rPr>
          <w:rFonts w:eastAsia="system-ui"/>
          <w:b/>
          <w:bCs/>
          <w:sz w:val="24"/>
          <w:szCs w:val="24"/>
        </w:rPr>
      </w:pPr>
      <w:r>
        <w:rPr>
          <w:sz w:val="24"/>
          <w:szCs w:val="24"/>
        </w:rPr>
        <w:t>8.3.1. A i</w:t>
      </w:r>
      <w:r>
        <w:rPr>
          <w:rFonts w:eastAsia="system-ui"/>
          <w:sz w:val="24"/>
          <w:szCs w:val="24"/>
        </w:rPr>
        <w:t>nviabilidade de competição; a contratação de profissional de setor artístico; a contratação direta ou através de empresário exclusivo, devidamente comprovada mediante Carta de Exclusividade ou Contrato, assinados por aquele ou pelo seu legítimo representante; a consagração dos profissionais/bandas pela crítica especializada ou pela opinião pública, com o anexo de matérias da internet, cartazes, folderes, release, que indiquem tratar-se de artista consagrado pela opinião pública local, regional ou nacional, foram todas devidamente comprovadas através da documentação anexa e as informações dispostas neste Termo de Referência.</w:t>
      </w:r>
    </w:p>
    <w:p w14:paraId="4E1FF81B">
      <w:pPr>
        <w:pStyle w:val="392"/>
        <w:rPr>
          <w:rFonts w:ascii="Arial" w:hAnsi="Arial" w:cs="Arial"/>
          <w:color w:val="000000"/>
          <w:sz w:val="24"/>
          <w:szCs w:val="24"/>
        </w:rPr>
      </w:pPr>
    </w:p>
    <w:p w14:paraId="6ECE5490">
      <w:pPr>
        <w:pStyle w:val="392"/>
        <w:rPr>
          <w:rFonts w:ascii="Arial" w:hAnsi="Arial" w:cs="Arial"/>
          <w:color w:val="000000"/>
          <w:sz w:val="24"/>
          <w:szCs w:val="24"/>
        </w:rPr>
      </w:pPr>
    </w:p>
    <w:p w14:paraId="2FCC7AEC">
      <w:pPr>
        <w:shd w:val="clear" w:color="auto" w:fill="D8D8D8" w:themeFill="background1" w:themeFillShade="D9"/>
        <w:tabs>
          <w:tab w:val="right" w:pos="9071"/>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9. DO VALOR MÁXIMO E DOS RECURSOS ORÇAMENTÁRIOS</w:t>
      </w:r>
      <w:r>
        <w:rPr>
          <w:rFonts w:ascii="Times New Roman" w:hAnsi="Times New Roman" w:cs="Times New Roman"/>
          <w:sz w:val="24"/>
          <w:szCs w:val="24"/>
        </w:rPr>
        <w:tab/>
      </w:r>
    </w:p>
    <w:p w14:paraId="52946F0C">
      <w:pPr>
        <w:spacing w:before="120" w:after="120" w:line="240" w:lineRule="auto"/>
        <w:jc w:val="both"/>
        <w:rPr>
          <w:rFonts w:ascii="Times New Roman" w:hAnsi="Times New Roman" w:cs="Times New Roman"/>
          <w:sz w:val="24"/>
          <w:szCs w:val="24"/>
        </w:rPr>
      </w:pPr>
      <w:r>
        <w:rPr>
          <w:rFonts w:ascii="Times New Roman" w:hAnsi="Times New Roman" w:cs="Times New Roman"/>
          <w:bCs/>
          <w:spacing w:val="-7"/>
          <w:sz w:val="24"/>
          <w:szCs w:val="24"/>
          <w:lang w:val="pt-PT"/>
        </w:rPr>
        <w:t xml:space="preserve">9.1. O valor </w:t>
      </w:r>
      <w:r>
        <w:rPr>
          <w:rFonts w:ascii="Times New Roman" w:hAnsi="Times New Roman" w:cs="Times New Roman"/>
          <w:sz w:val="24"/>
          <w:szCs w:val="24"/>
        </w:rPr>
        <w:t>máximo estimado para as presentes contratações foram provenientes dos valores apurados na pesquisa de mercado, resultante de um levantamento de preços realizado junto aos empresários que detém a exclusividade dos artistas/bandas, de modo que foi apurado contratações similares de outros órgãos públicos que apontaram que não há superfaturamento na contratação, de acordo com o praticado no mercado,</w:t>
      </w:r>
    </w:p>
    <w:p w14:paraId="23750BDC">
      <w:pPr>
        <w:spacing w:after="0" w:line="240" w:lineRule="auto"/>
        <w:jc w:val="both"/>
        <w:rPr>
          <w:rFonts w:ascii="Times New Roman" w:hAnsi="Times New Roman" w:cs="Times New Roman"/>
          <w:bCs/>
          <w:color w:val="000000"/>
          <w:sz w:val="24"/>
          <w:szCs w:val="24"/>
          <w:highlight w:val="none"/>
        </w:rPr>
      </w:pPr>
      <w:r>
        <w:rPr>
          <w:rFonts w:ascii="Times New Roman" w:hAnsi="Times New Roman" w:cs="Times New Roman"/>
          <w:bCs/>
          <w:color w:val="000000"/>
          <w:sz w:val="24"/>
          <w:szCs w:val="24"/>
          <w:highlight w:val="none"/>
        </w:rPr>
        <w:t>9.2. Para fins de cumprimento de arcar com as despesas oriundas das contratações, segue abaixo dotações orçamentárias:</w:t>
      </w:r>
    </w:p>
    <w:p w14:paraId="7F4C2320">
      <w:pPr>
        <w:spacing w:after="0" w:line="240" w:lineRule="auto"/>
        <w:jc w:val="both"/>
        <w:rPr>
          <w:rFonts w:ascii="Times New Roman" w:hAnsi="Times New Roman" w:cs="Times New Roman"/>
          <w:bCs/>
          <w:color w:val="000000"/>
          <w:sz w:val="24"/>
          <w:szCs w:val="24"/>
          <w:highlight w:val="yellow"/>
        </w:rPr>
      </w:pPr>
    </w:p>
    <w:p w14:paraId="53E0FC58">
      <w:pPr>
        <w:spacing w:after="0" w:line="240" w:lineRule="auto"/>
        <w:jc w:val="both"/>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 xml:space="preserve">LOA 2024: </w:t>
      </w:r>
      <w:r>
        <w:rPr>
          <w:rFonts w:hint="default" w:ascii="Times New Roman" w:hAnsi="Times New Roman" w:cs="Times New Roman"/>
          <w:b/>
          <w:bCs/>
          <w:sz w:val="24"/>
          <w:szCs w:val="24"/>
        </w:rPr>
        <w:t>Secretaria Municipal de Turismo, Cultura, Esporte e Lazer 0606.2781200092.018-33903900000 Ficha 0000157 Fonte 1500000000</w:t>
      </w:r>
      <w:r>
        <w:rPr>
          <w:rFonts w:hint="default" w:ascii="Times New Roman" w:hAnsi="Times New Roman" w:cs="Times New Roman"/>
          <w:b/>
          <w:bCs/>
          <w:sz w:val="24"/>
          <w:szCs w:val="24"/>
          <w:lang w:val="pt-BR"/>
        </w:rPr>
        <w:t>.</w:t>
      </w:r>
    </w:p>
    <w:p w14:paraId="472A33AD">
      <w:pPr>
        <w:spacing w:after="0" w:line="240" w:lineRule="auto"/>
        <w:jc w:val="both"/>
        <w:rPr>
          <w:rFonts w:hint="default" w:ascii="Times New Roman" w:hAnsi="Times New Roman" w:cs="Times New Roman"/>
          <w:b/>
          <w:bCs/>
          <w:sz w:val="24"/>
          <w:szCs w:val="24"/>
          <w:lang w:val="pt-BR"/>
        </w:rPr>
      </w:pPr>
    </w:p>
    <w:p w14:paraId="7F7DEE91">
      <w:pPr>
        <w:spacing w:after="0" w:line="240" w:lineRule="auto"/>
        <w:jc w:val="both"/>
        <w:rPr>
          <w:rFonts w:hint="default" w:ascii="Times New Roman" w:hAnsi="Times New Roman" w:cs="Times New Roman"/>
          <w:b/>
          <w:bCs/>
          <w:sz w:val="24"/>
          <w:szCs w:val="24"/>
        </w:rPr>
      </w:pPr>
    </w:p>
    <w:p w14:paraId="6EF5093B">
      <w:pPr>
        <w:pStyle w:val="393"/>
        <w:shd w:val="clear" w:color="auto" w:fill="D9D9D9"/>
      </w:pPr>
      <w:r>
        <w:rPr>
          <w:b/>
          <w:color w:val="000000"/>
        </w:rPr>
        <w:t>10. DAS SANÇÕES E PENALIDADES</w:t>
      </w:r>
    </w:p>
    <w:p w14:paraId="49700CD3">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10.1. Comete infração administrativa, nos termos do art. 155, da Lei Federal nº 14.133/2021, o Contratado que:</w:t>
      </w:r>
    </w:p>
    <w:p w14:paraId="6AA8E62C">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a) der causa à inexecução parcial do contrato;</w:t>
      </w:r>
    </w:p>
    <w:p w14:paraId="6C9318EC">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b) der causa à inexecução parcial do contrato que cause grave dano à Administração ou ao funcionamento dos serviços públicos ou ao interesse coletivo;</w:t>
      </w:r>
    </w:p>
    <w:p w14:paraId="62300800">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c) der causa à inexecução total do contrato;</w:t>
      </w:r>
    </w:p>
    <w:p w14:paraId="67AFC1FD">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d) deixar de entregar a documentação exigida para a contratação;</w:t>
      </w:r>
    </w:p>
    <w:p w14:paraId="5CB1E684">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e) não manter a proposta, salvo em decorrência de fato superveniente devidamente justificado;</w:t>
      </w:r>
    </w:p>
    <w:p w14:paraId="2FE54D77">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f) não celebrar o contrato ou não entregar a documentação exigida para a contratação, quando convocado dentro do prazo de validade de sua proposta;</w:t>
      </w:r>
    </w:p>
    <w:p w14:paraId="0AD99D35">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g) ensejar o retardamento da execução ou da entrega do objeto da contratação sem motivo justificado;</w:t>
      </w:r>
    </w:p>
    <w:p w14:paraId="5970BEF6">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h) apresentar declaração ou documentação falsa exigida para o certame ou prestar declaração falsa durante a dispensa eletrônica ou execução do contrato;</w:t>
      </w:r>
    </w:p>
    <w:p w14:paraId="555AD2DC">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i) fraudar a contratação ou praticar ato fraudulento na execução do contrato;</w:t>
      </w:r>
    </w:p>
    <w:p w14:paraId="1858268E">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j) comportar-se de modo inidôneo ou cometer fraude de qualquer natureza;</w:t>
      </w:r>
    </w:p>
    <w:p w14:paraId="08CBC6E4">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k) praticar atos ilícitos com vistas a frustrar os objetivos da contratação;</w:t>
      </w:r>
    </w:p>
    <w:p w14:paraId="0C99E03D">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l) praticar ato lesivo previsto no art. 5º da Lei nº 12.846, de 1º de agosto de 2013;</w:t>
      </w:r>
    </w:p>
    <w:p w14:paraId="063C3B9C">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m) praticar demais atos não previstos no presente tópico, mas apurados na execução do contrato.</w:t>
      </w:r>
    </w:p>
    <w:p w14:paraId="4FC79308">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10.2. Serão aplicadas ao responsável pelas infrações administrativas previstas no item 12.1, as seguintes sanções e penalidades:</w:t>
      </w:r>
    </w:p>
    <w:p w14:paraId="36607F0F">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a) </w:t>
      </w:r>
      <w:r>
        <w:rPr>
          <w:rFonts w:ascii="Times New Roman" w:hAnsi="Times New Roman" w:cs="Times New Roman"/>
          <w:b/>
          <w:sz w:val="24"/>
          <w:szCs w:val="24"/>
          <w:u w:val="single"/>
        </w:rPr>
        <w:t>Advertência:</w:t>
      </w:r>
      <w:r>
        <w:rPr>
          <w:rFonts w:ascii="Times New Roman" w:hAnsi="Times New Roman" w:cs="Times New Roman"/>
          <w:bCs/>
          <w:sz w:val="24"/>
          <w:szCs w:val="24"/>
        </w:rPr>
        <w:t xml:space="preserve"> quanto o Contratado der causa à inexecução parcial do contrato, sempre que não se justificar a imposição de penalidade mais grave, nos termos do art. 156, §2º, da NLLC;</w:t>
      </w:r>
    </w:p>
    <w:p w14:paraId="2EF74488">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b) </w:t>
      </w:r>
      <w:r>
        <w:rPr>
          <w:rFonts w:ascii="Times New Roman" w:hAnsi="Times New Roman" w:cs="Times New Roman"/>
          <w:b/>
          <w:sz w:val="24"/>
          <w:szCs w:val="24"/>
          <w:u w:val="single"/>
        </w:rPr>
        <w:t>Impedimento de licitar e contratar</w:t>
      </w:r>
      <w:r>
        <w:rPr>
          <w:rFonts w:ascii="Times New Roman" w:hAnsi="Times New Roman" w:cs="Times New Roman"/>
          <w:bCs/>
          <w:sz w:val="24"/>
          <w:szCs w:val="24"/>
        </w:rPr>
        <w:t>: quando praticadas as condutas descritas nas alíneas b, c, d, e, f e g do subitem 12.1, sempre que não se justificar a imposição de penalidade mais grave, nos termos do art. 156, §4º, da NLLC;</w:t>
      </w:r>
    </w:p>
    <w:p w14:paraId="5F0CE654">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c) </w:t>
      </w:r>
      <w:r>
        <w:rPr>
          <w:rFonts w:ascii="Times New Roman" w:hAnsi="Times New Roman" w:cs="Times New Roman"/>
          <w:b/>
          <w:sz w:val="24"/>
          <w:szCs w:val="24"/>
          <w:u w:val="single"/>
        </w:rPr>
        <w:t>Declaração de inidoneidade para licitar e contratar</w:t>
      </w:r>
      <w:r>
        <w:rPr>
          <w:rFonts w:ascii="Times New Roman" w:hAnsi="Times New Roman" w:cs="Times New Roman"/>
          <w:bCs/>
          <w:sz w:val="24"/>
          <w:szCs w:val="24"/>
        </w:rPr>
        <w:t>: quando praticadas as condutas descritas nas alíneas h, i, j, k e l do subitem 12.1, bem como nas alíneas b, c, d, e, f e g, que justifiquem a imposição de penalidade mais grave, nos termos do art. 156, §5º, da NLLC;</w:t>
      </w:r>
    </w:p>
    <w:p w14:paraId="0CED04F4">
      <w:pPr>
        <w:autoSpaceDE w:val="0"/>
        <w:spacing w:before="120" w:after="120" w:line="240" w:lineRule="auto"/>
        <w:jc w:val="both"/>
        <w:rPr>
          <w:rFonts w:ascii="Times New Roman" w:hAnsi="Times New Roman" w:cs="Times New Roman"/>
          <w:b/>
          <w:sz w:val="24"/>
          <w:szCs w:val="24"/>
          <w:u w:val="single"/>
        </w:rPr>
      </w:pPr>
      <w:r>
        <w:rPr>
          <w:rFonts w:ascii="Times New Roman" w:hAnsi="Times New Roman" w:cs="Times New Roman"/>
          <w:bCs/>
          <w:sz w:val="24"/>
          <w:szCs w:val="24"/>
        </w:rPr>
        <w:t xml:space="preserve">d) </w:t>
      </w:r>
      <w:r>
        <w:rPr>
          <w:rFonts w:ascii="Times New Roman" w:hAnsi="Times New Roman" w:cs="Times New Roman"/>
          <w:b/>
          <w:sz w:val="24"/>
          <w:szCs w:val="24"/>
          <w:u w:val="single"/>
        </w:rPr>
        <w:t>Multa:</w:t>
      </w:r>
    </w:p>
    <w:p w14:paraId="7BE3AF59">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I - Moratória de 1 % (um por cento) por dia de atraso injustificado sobre o valor da parcela</w:t>
      </w:r>
    </w:p>
    <w:p w14:paraId="68CAD7B3">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inadimplida, até o limite de 30 (trinta) dias;</w:t>
      </w:r>
    </w:p>
    <w:p w14:paraId="48C1DD4C">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II - Compensatória de 10% (trinta por cento) sobre o valor total do contrato, no caso de inexecução total do objeto ou sobre o valor da parcela inadimplida, no caso de inexecução parcial;</w:t>
      </w:r>
    </w:p>
    <w:p w14:paraId="50537C55">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10.3. A aplicação das sanções previstas neste Termo não exclui, em hipótese alguma, a obrigação de reparação integral do dano causado à Contratante, consoante o disposto no art. 156, §9º, da NLLC;</w:t>
      </w:r>
    </w:p>
    <w:p w14:paraId="2DD5ACE9">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10.4. Todas as sanções previstas neste tópico poderão ser aplicadas cumulativamente com a multa, consoante o disposto no art. 156, §7º, da NLLC;</w:t>
      </w:r>
    </w:p>
    <w:p w14:paraId="79572CED">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10.4.1. Antes da aplicação da multa será facultada a defesa do interessado no prazo de 15 (quinze) dias úteis, contado da data de sua intimação, nos termos do art. 157, da NLLC;</w:t>
      </w:r>
    </w:p>
    <w:p w14:paraId="2063687A">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10.4.2. Se a multa aplicada e as indenizações cabíveis forem superiores ao valor do pagamento eventualmente devido pela Contratante ao Contratado, além da perda desse valor, a diferença será descontada da garantia prestada ou será cobrada judicialmente, conforme o disposto no art. 156, §8º, da NLLC;</w:t>
      </w:r>
    </w:p>
    <w:p w14:paraId="20ABC4D9">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10.4.3. Previamente ao encaminhamento à cobrança judicial, a multa poderá ser recolhida administrativamente no prazo máximo de 30 (trinta) dias, a contar da data do recebimento da comunicação enviada pela autoridade competente.</w:t>
      </w:r>
    </w:p>
    <w:p w14:paraId="78AB78F8">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10.5.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654CAE83">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10.6. Na aplicação das sanções serão considerados:</w:t>
      </w:r>
    </w:p>
    <w:p w14:paraId="49CFD17F">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a) a natureza e a gravidade da infração cometida;</w:t>
      </w:r>
    </w:p>
    <w:p w14:paraId="44A4E348">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b) as peculiaridades do caso concreto;</w:t>
      </w:r>
    </w:p>
    <w:p w14:paraId="04B01B73">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c) as circunstâncias agravantes ou atenuantes;</w:t>
      </w:r>
    </w:p>
    <w:p w14:paraId="7319B988">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d) os danos que dela provierem para a Contratante;</w:t>
      </w:r>
    </w:p>
    <w:p w14:paraId="3CEF7D6F">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e) a implantação ou o aperfeiçoamento de programa de integridade, conforme normas e orientações dos órgãos de controle.</w:t>
      </w:r>
    </w:p>
    <w:p w14:paraId="4AABDBDF">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10.7.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Federal nº 14.133/2021, em seu art. 159;</w:t>
      </w:r>
    </w:p>
    <w:p w14:paraId="3E1EDDF7">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consoante o disposto no art. 160, da NLLC;</w:t>
      </w:r>
    </w:p>
    <w:p w14:paraId="41363269">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10.9. 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conforme disposição do art. 161, da NLLC;</w:t>
      </w:r>
    </w:p>
    <w:p w14:paraId="5738AC47">
      <w:pPr>
        <w:autoSpaceDE w:val="0"/>
        <w:spacing w:before="120" w:after="120" w:line="240" w:lineRule="auto"/>
        <w:jc w:val="both"/>
        <w:rPr>
          <w:rFonts w:ascii="Times New Roman" w:hAnsi="Times New Roman" w:cs="Times New Roman"/>
          <w:bCs/>
          <w:sz w:val="24"/>
          <w:szCs w:val="24"/>
        </w:rPr>
      </w:pPr>
      <w:r>
        <w:rPr>
          <w:rFonts w:ascii="Times New Roman" w:hAnsi="Times New Roman" w:cs="Times New Roman"/>
          <w:bCs/>
          <w:sz w:val="24"/>
          <w:szCs w:val="24"/>
        </w:rPr>
        <w:t>10.10. As sanções de impedimento de licitar e contratar e declaração de inidoneidade para licitar ou contratar são passíveis de reabilitação na forma do art. 163 da Lei Federal nº 14.133/21.</w:t>
      </w:r>
    </w:p>
    <w:p w14:paraId="3435FA3C">
      <w:pPr>
        <w:autoSpaceDE w:val="0"/>
        <w:spacing w:after="0" w:line="240" w:lineRule="auto"/>
        <w:jc w:val="both"/>
        <w:rPr>
          <w:rFonts w:ascii="Arial" w:hAnsi="Arial" w:cs="Arial"/>
          <w:bCs/>
          <w:color w:val="000000"/>
          <w:sz w:val="24"/>
          <w:szCs w:val="24"/>
        </w:rPr>
      </w:pPr>
    </w:p>
    <w:p w14:paraId="15CD8C7E">
      <w:pPr>
        <w:shd w:val="clear" w:color="auto" w:fill="D9D9D9"/>
        <w:spacing w:after="0" w:line="240" w:lineRule="auto"/>
        <w:jc w:val="both"/>
        <w:rPr>
          <w:rFonts w:ascii="Times New Roman" w:hAnsi="Times New Roman" w:cs="Times New Roman"/>
          <w:sz w:val="24"/>
          <w:szCs w:val="24"/>
        </w:rPr>
      </w:pPr>
      <w:r>
        <w:rPr>
          <w:rFonts w:ascii="Times New Roman" w:hAnsi="Times New Roman" w:cs="Times New Roman"/>
          <w:b/>
          <w:color w:val="000000"/>
          <w:sz w:val="24"/>
          <w:szCs w:val="24"/>
        </w:rPr>
        <w:t>11. UNIDADE REQUISITANTE</w:t>
      </w:r>
    </w:p>
    <w:p w14:paraId="09937633">
      <w:pPr>
        <w:pStyle w:val="348"/>
        <w:spacing w:before="120" w:after="120"/>
        <w:jc w:val="both"/>
        <w:rPr>
          <w:rFonts w:hint="default" w:ascii="Times New Roman" w:hAnsi="Times New Roman" w:cs="Times New Roman"/>
          <w:b w:val="0"/>
          <w:color w:val="000000"/>
          <w:sz w:val="24"/>
          <w:highlight w:val="yellow"/>
          <w:u w:val="none"/>
          <w:lang w:val="pt-BR"/>
        </w:rPr>
      </w:pPr>
      <w:r>
        <w:rPr>
          <w:rFonts w:ascii="Times New Roman" w:hAnsi="Times New Roman" w:cs="Times New Roman"/>
          <w:b w:val="0"/>
          <w:color w:val="000000"/>
          <w:sz w:val="24"/>
          <w:u w:val="none"/>
        </w:rPr>
        <w:t>1</w:t>
      </w:r>
      <w:r>
        <w:rPr>
          <w:rFonts w:ascii="Times New Roman" w:hAnsi="Times New Roman" w:cs="Times New Roman"/>
          <w:b w:val="0"/>
          <w:color w:val="000000"/>
          <w:sz w:val="24"/>
          <w:u w:val="none"/>
          <w:lang w:val="pt-BR"/>
        </w:rPr>
        <w:t>1</w:t>
      </w:r>
      <w:r>
        <w:rPr>
          <w:rFonts w:ascii="Times New Roman" w:hAnsi="Times New Roman" w:cs="Times New Roman"/>
          <w:b w:val="0"/>
          <w:color w:val="000000"/>
          <w:sz w:val="24"/>
          <w:u w:val="none"/>
        </w:rPr>
        <w:t>.1. Secretaria Municipal de</w:t>
      </w:r>
      <w:r>
        <w:rPr>
          <w:rFonts w:ascii="Times New Roman" w:hAnsi="Times New Roman" w:cs="Times New Roman"/>
          <w:b w:val="0"/>
          <w:color w:val="000000"/>
          <w:sz w:val="24"/>
          <w:u w:val="none"/>
          <w:lang w:val="pt-BR"/>
        </w:rPr>
        <w:t xml:space="preserve"> </w:t>
      </w:r>
      <w:r>
        <w:rPr>
          <w:rFonts w:hint="default" w:ascii="Times New Roman" w:hAnsi="Times New Roman" w:cs="Times New Roman"/>
          <w:b w:val="0"/>
          <w:color w:val="000000"/>
          <w:sz w:val="24"/>
          <w:u w:val="none"/>
          <w:lang w:val="pt-BR"/>
        </w:rPr>
        <w:t>Turismo, Cultura, Esporte e Lazer</w:t>
      </w:r>
    </w:p>
    <w:p w14:paraId="792A2D62">
      <w:pPr>
        <w:pStyle w:val="21"/>
        <w:jc w:val="both"/>
        <w:rPr>
          <w:rFonts w:ascii="Times New Roman" w:hAnsi="Times New Roman" w:cs="Times New Roman"/>
          <w:sz w:val="24"/>
          <w:szCs w:val="24"/>
          <w:highlight w:val="yellow"/>
          <w:lang w:val="pt-BR"/>
        </w:rPr>
      </w:pPr>
    </w:p>
    <w:p w14:paraId="621C04E8">
      <w:pPr>
        <w:pStyle w:val="21"/>
        <w:shd w:val="clear" w:color="auto" w:fill="D8D8D8" w:themeFill="background1" w:themeFillShade="D9"/>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12. DO RESPONSÁVEL PELA ELABORAÇÃO DO TERMO DE REFERÊNCIA</w:t>
      </w:r>
    </w:p>
    <w:p w14:paraId="7B19CC95">
      <w:pPr>
        <w:pStyle w:val="21"/>
        <w:spacing w:before="120" w:after="12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12.1. Responsáveis pela Elaboração: </w:t>
      </w:r>
    </w:p>
    <w:p w14:paraId="26A5F00A">
      <w:pPr>
        <w:pStyle w:val="21"/>
        <w:numPr>
          <w:ilvl w:val="0"/>
          <w:numId w:val="8"/>
        </w:numPr>
        <w:spacing w:before="120" w:after="120"/>
        <w:ind w:left="420" w:leftChars="0" w:hanging="42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Jordanio Fardin;</w:t>
      </w:r>
    </w:p>
    <w:p w14:paraId="5008A05B">
      <w:pPr>
        <w:pStyle w:val="21"/>
        <w:numPr>
          <w:ilvl w:val="0"/>
          <w:numId w:val="8"/>
        </w:numPr>
        <w:spacing w:before="120" w:after="120"/>
        <w:ind w:left="420" w:leftChars="0" w:hanging="42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Elivelton Aparecido de Sousa;</w:t>
      </w:r>
    </w:p>
    <w:p w14:paraId="1E08FFAA">
      <w:pPr>
        <w:pStyle w:val="21"/>
        <w:numPr>
          <w:ilvl w:val="0"/>
          <w:numId w:val="8"/>
        </w:numPr>
        <w:spacing w:before="120" w:after="120"/>
        <w:ind w:left="420" w:leftChars="0" w:hanging="420"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Amanda Mielke.</w:t>
      </w:r>
    </w:p>
    <w:p w14:paraId="66F51285">
      <w:pPr>
        <w:pStyle w:val="21"/>
        <w:numPr>
          <w:ilvl w:val="0"/>
          <w:numId w:val="0"/>
        </w:numPr>
        <w:spacing w:before="120" w:after="120"/>
        <w:ind w:leftChars="0"/>
        <w:jc w:val="both"/>
        <w:rPr>
          <w:rFonts w:hint="default" w:ascii="Times New Roman" w:hAnsi="Times New Roman" w:cs="Times New Roman"/>
          <w:sz w:val="24"/>
          <w:szCs w:val="24"/>
          <w:lang w:val="pt-BR"/>
        </w:rPr>
      </w:pPr>
    </w:p>
    <w:p w14:paraId="542A76F8">
      <w:pPr>
        <w:pStyle w:val="21"/>
        <w:spacing w:before="120" w:after="120"/>
        <w:jc w:val="both"/>
        <w:rPr>
          <w:rFonts w:hint="default" w:ascii="Times New Roman" w:hAnsi="Times New Roman" w:cs="Times New Roman"/>
          <w:sz w:val="24"/>
          <w:szCs w:val="24"/>
          <w:lang w:val="pt-BR"/>
        </w:rPr>
      </w:pPr>
      <w:r>
        <w:rPr>
          <w:rFonts w:ascii="Times New Roman" w:hAnsi="Times New Roman" w:cs="Times New Roman"/>
          <w:sz w:val="24"/>
          <w:szCs w:val="24"/>
          <w:lang w:val="pt-BR"/>
        </w:rPr>
        <w:t xml:space="preserve">12.2. Gestor da Unidade Requisitante: </w:t>
      </w:r>
      <w:r>
        <w:rPr>
          <w:rFonts w:hint="default" w:ascii="Times New Roman" w:hAnsi="Times New Roman" w:cs="Times New Roman"/>
          <w:sz w:val="24"/>
          <w:szCs w:val="24"/>
          <w:lang w:val="pt-BR"/>
        </w:rPr>
        <w:t xml:space="preserve">Jordanio Fardin </w:t>
      </w:r>
    </w:p>
    <w:p w14:paraId="40640249">
      <w:pPr>
        <w:pStyle w:val="21"/>
        <w:spacing w:before="120" w:after="120"/>
        <w:jc w:val="both"/>
        <w:rPr>
          <w:rFonts w:hint="default" w:ascii="Times New Roman" w:hAnsi="Times New Roman" w:cs="Times New Roman"/>
          <w:sz w:val="24"/>
          <w:szCs w:val="24"/>
          <w:highlight w:val="yellow"/>
          <w:lang w:val="pt-BR"/>
        </w:rPr>
      </w:pPr>
    </w:p>
    <w:p w14:paraId="7C22F1E4">
      <w:pPr>
        <w:pStyle w:val="21"/>
        <w:spacing w:before="120" w:after="120"/>
        <w:jc w:val="both"/>
        <w:rPr>
          <w:rFonts w:ascii="Times New Roman" w:hAnsi="Times New Roman" w:cs="Times New Roman"/>
          <w:sz w:val="24"/>
          <w:szCs w:val="24"/>
          <w:highlight w:val="none"/>
          <w:lang w:val="pt-BR"/>
        </w:rPr>
      </w:pPr>
      <w:r>
        <w:rPr>
          <w:rFonts w:hint="default" w:ascii="Times New Roman" w:hAnsi="Times New Roman" w:cs="Times New Roman"/>
          <w:sz w:val="24"/>
          <w:szCs w:val="24"/>
          <w:highlight w:val="none"/>
          <w:lang w:val="pt-BR"/>
        </w:rPr>
        <w:t>São Roque do Canaã</w:t>
      </w:r>
      <w:r>
        <w:rPr>
          <w:rFonts w:ascii="Times New Roman" w:hAnsi="Times New Roman" w:cs="Times New Roman"/>
          <w:sz w:val="24"/>
          <w:szCs w:val="24"/>
          <w:highlight w:val="none"/>
          <w:lang w:val="pt-BR"/>
        </w:rPr>
        <w:t xml:space="preserve"> – ES, </w:t>
      </w:r>
      <w:r>
        <w:rPr>
          <w:rFonts w:hint="default" w:ascii="Times New Roman" w:hAnsi="Times New Roman" w:cs="Times New Roman"/>
          <w:sz w:val="24"/>
          <w:szCs w:val="24"/>
          <w:highlight w:val="none"/>
          <w:lang w:val="pt-BR"/>
        </w:rPr>
        <w:t>13 de novembro</w:t>
      </w:r>
      <w:r>
        <w:rPr>
          <w:rFonts w:ascii="Times New Roman" w:hAnsi="Times New Roman" w:cs="Times New Roman"/>
          <w:sz w:val="24"/>
          <w:szCs w:val="24"/>
          <w:highlight w:val="none"/>
          <w:lang w:val="pt-BR"/>
        </w:rPr>
        <w:t xml:space="preserve"> de 2024.</w:t>
      </w:r>
    </w:p>
    <w:tbl>
      <w:tblPr>
        <w:tblStyle w:val="34"/>
        <w:tblpPr w:leftFromText="141" w:rightFromText="141" w:vertAnchor="text" w:horzAnchor="margin" w:tblpY="599"/>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077"/>
        <w:gridCol w:w="851"/>
        <w:gridCol w:w="4283"/>
      </w:tblGrid>
      <w:tr w14:paraId="112F8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tcBorders>
              <w:top w:val="single" w:color="auto" w:sz="4" w:space="0"/>
            </w:tcBorders>
          </w:tcPr>
          <w:p w14:paraId="63A6A3F3">
            <w:pPr>
              <w:pStyle w:val="23"/>
              <w:spacing w:before="0" w:after="0"/>
              <w:jc w:val="center"/>
              <w:rPr>
                <w:rFonts w:hint="default"/>
                <w:lang w:val="pt-BR"/>
              </w:rPr>
            </w:pPr>
            <w:r>
              <w:rPr>
                <w:rFonts w:hint="default"/>
                <w:lang w:val="pt-BR"/>
              </w:rPr>
              <w:t>Jordanio Fardin</w:t>
            </w:r>
          </w:p>
        </w:tc>
        <w:tc>
          <w:tcPr>
            <w:tcW w:w="851" w:type="dxa"/>
          </w:tcPr>
          <w:p w14:paraId="0AEC7F51">
            <w:pPr>
              <w:pStyle w:val="23"/>
              <w:spacing w:before="0" w:after="0"/>
              <w:jc w:val="center"/>
            </w:pPr>
          </w:p>
        </w:tc>
        <w:tc>
          <w:tcPr>
            <w:tcW w:w="4283" w:type="dxa"/>
            <w:tcBorders>
              <w:top w:val="single" w:color="auto" w:sz="4" w:space="0"/>
            </w:tcBorders>
          </w:tcPr>
          <w:p w14:paraId="2DDCF854">
            <w:pPr>
              <w:pStyle w:val="23"/>
              <w:spacing w:before="0" w:after="0"/>
              <w:jc w:val="center"/>
              <w:rPr>
                <w:rFonts w:hint="default"/>
                <w:lang w:val="pt-BR"/>
              </w:rPr>
            </w:pPr>
            <w:r>
              <w:rPr>
                <w:rFonts w:hint="default"/>
                <w:lang w:val="pt-BR"/>
              </w:rPr>
              <w:t>Elivelton Aparecido de Sousa</w:t>
            </w:r>
          </w:p>
        </w:tc>
      </w:tr>
      <w:tr w14:paraId="01C25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tcPr>
          <w:p w14:paraId="67669E8A">
            <w:pPr>
              <w:pStyle w:val="23"/>
              <w:spacing w:before="0" w:after="0"/>
              <w:jc w:val="center"/>
              <w:rPr>
                <w:rFonts w:hint="default"/>
                <w:lang w:val="pt-BR"/>
              </w:rPr>
            </w:pPr>
            <w:r>
              <w:t xml:space="preserve">Secretário Mun. de </w:t>
            </w:r>
            <w:r>
              <w:rPr>
                <w:rFonts w:hint="default"/>
                <w:lang w:val="pt-BR"/>
              </w:rPr>
              <w:t>Turismo, Cultura, Esporte e Lazer</w:t>
            </w:r>
          </w:p>
          <w:p w14:paraId="66DD00DA">
            <w:pPr>
              <w:pStyle w:val="23"/>
              <w:spacing w:before="0" w:after="0"/>
              <w:jc w:val="center"/>
            </w:pPr>
            <w:r>
              <w:t>Responsável</w:t>
            </w:r>
          </w:p>
        </w:tc>
        <w:tc>
          <w:tcPr>
            <w:tcW w:w="851" w:type="dxa"/>
          </w:tcPr>
          <w:p w14:paraId="47769A8A">
            <w:pPr>
              <w:pStyle w:val="23"/>
              <w:spacing w:before="0" w:after="0"/>
              <w:jc w:val="center"/>
            </w:pPr>
          </w:p>
        </w:tc>
        <w:tc>
          <w:tcPr>
            <w:tcW w:w="4283" w:type="dxa"/>
          </w:tcPr>
          <w:p w14:paraId="2C1376D4">
            <w:pPr>
              <w:pStyle w:val="23"/>
              <w:spacing w:before="0" w:after="0"/>
              <w:jc w:val="center"/>
            </w:pPr>
            <w:r>
              <w:t>Equipe de Planejamento</w:t>
            </w:r>
          </w:p>
        </w:tc>
      </w:tr>
      <w:tr w14:paraId="3BE03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tcPr>
          <w:p w14:paraId="1865C6F9">
            <w:pPr>
              <w:pStyle w:val="23"/>
              <w:spacing w:before="0" w:after="0"/>
              <w:jc w:val="center"/>
            </w:pPr>
          </w:p>
        </w:tc>
        <w:tc>
          <w:tcPr>
            <w:tcW w:w="851" w:type="dxa"/>
          </w:tcPr>
          <w:p w14:paraId="138EFCF4">
            <w:pPr>
              <w:pStyle w:val="23"/>
              <w:spacing w:before="0" w:after="0"/>
              <w:jc w:val="center"/>
            </w:pPr>
          </w:p>
        </w:tc>
        <w:tc>
          <w:tcPr>
            <w:tcW w:w="4283" w:type="dxa"/>
          </w:tcPr>
          <w:p w14:paraId="6F8AD37C">
            <w:pPr>
              <w:pStyle w:val="23"/>
              <w:spacing w:before="0" w:after="0"/>
              <w:jc w:val="center"/>
            </w:pPr>
          </w:p>
        </w:tc>
      </w:tr>
      <w:tr w14:paraId="615EB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tcBorders>
              <w:bottom w:val="single" w:color="auto" w:sz="4" w:space="0"/>
            </w:tcBorders>
          </w:tcPr>
          <w:p w14:paraId="243AB796">
            <w:pPr>
              <w:pStyle w:val="23"/>
              <w:spacing w:before="0" w:after="0"/>
              <w:jc w:val="center"/>
            </w:pPr>
          </w:p>
        </w:tc>
        <w:tc>
          <w:tcPr>
            <w:tcW w:w="851" w:type="dxa"/>
          </w:tcPr>
          <w:p w14:paraId="7BA1B52E">
            <w:pPr>
              <w:pStyle w:val="23"/>
              <w:spacing w:before="0" w:after="0"/>
              <w:jc w:val="center"/>
            </w:pPr>
          </w:p>
        </w:tc>
        <w:tc>
          <w:tcPr>
            <w:tcW w:w="4283" w:type="dxa"/>
            <w:tcBorders>
              <w:bottom w:val="single" w:color="auto" w:sz="4" w:space="0"/>
            </w:tcBorders>
          </w:tcPr>
          <w:p w14:paraId="05B08EB0">
            <w:pPr>
              <w:pStyle w:val="23"/>
              <w:spacing w:before="0" w:after="0"/>
              <w:jc w:val="center"/>
            </w:pPr>
          </w:p>
        </w:tc>
      </w:tr>
      <w:tr w14:paraId="59BD3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tcBorders>
              <w:top w:val="single" w:color="auto" w:sz="4" w:space="0"/>
            </w:tcBorders>
          </w:tcPr>
          <w:p w14:paraId="738B5478">
            <w:pPr>
              <w:pStyle w:val="23"/>
              <w:spacing w:before="0" w:after="0"/>
              <w:jc w:val="center"/>
              <w:rPr>
                <w:rFonts w:hint="default"/>
                <w:lang w:val="pt-BR"/>
              </w:rPr>
            </w:pPr>
            <w:r>
              <w:rPr>
                <w:rFonts w:hint="default"/>
                <w:lang w:val="pt-BR"/>
              </w:rPr>
              <w:t>Amanda Mielke</w:t>
            </w:r>
          </w:p>
          <w:p w14:paraId="1BFA9435">
            <w:pPr>
              <w:pStyle w:val="23"/>
              <w:spacing w:before="0" w:after="0"/>
              <w:jc w:val="center"/>
            </w:pPr>
            <w:r>
              <w:t>Equipe de Planejamento</w:t>
            </w:r>
          </w:p>
        </w:tc>
        <w:tc>
          <w:tcPr>
            <w:tcW w:w="851" w:type="dxa"/>
          </w:tcPr>
          <w:p w14:paraId="77146C8C">
            <w:pPr>
              <w:pStyle w:val="23"/>
              <w:spacing w:before="0" w:after="0"/>
              <w:jc w:val="center"/>
            </w:pPr>
          </w:p>
        </w:tc>
        <w:tc>
          <w:tcPr>
            <w:tcW w:w="4283" w:type="dxa"/>
            <w:tcBorders>
              <w:top w:val="single" w:color="auto" w:sz="4" w:space="0"/>
            </w:tcBorders>
          </w:tcPr>
          <w:p w14:paraId="28B8EF33">
            <w:pPr>
              <w:pStyle w:val="23"/>
              <w:spacing w:before="0" w:after="0"/>
              <w:jc w:val="center"/>
            </w:pPr>
          </w:p>
        </w:tc>
      </w:tr>
      <w:tr w14:paraId="77F42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 w:hRule="atLeast"/>
        </w:trPr>
        <w:tc>
          <w:tcPr>
            <w:tcW w:w="4077" w:type="dxa"/>
          </w:tcPr>
          <w:p w14:paraId="4B525E13">
            <w:pPr>
              <w:pStyle w:val="23"/>
              <w:spacing w:before="0" w:after="0"/>
              <w:jc w:val="center"/>
              <w:rPr>
                <w:sz w:val="18"/>
                <w:szCs w:val="18"/>
              </w:rPr>
            </w:pPr>
          </w:p>
        </w:tc>
        <w:tc>
          <w:tcPr>
            <w:tcW w:w="851" w:type="dxa"/>
          </w:tcPr>
          <w:p w14:paraId="31EFE28F">
            <w:pPr>
              <w:pStyle w:val="23"/>
              <w:spacing w:before="0" w:after="0"/>
              <w:jc w:val="center"/>
              <w:rPr>
                <w:sz w:val="18"/>
                <w:szCs w:val="18"/>
              </w:rPr>
            </w:pPr>
          </w:p>
        </w:tc>
        <w:tc>
          <w:tcPr>
            <w:tcW w:w="4283" w:type="dxa"/>
          </w:tcPr>
          <w:p w14:paraId="5AD351C1">
            <w:pPr>
              <w:pStyle w:val="23"/>
              <w:spacing w:before="0" w:after="0"/>
              <w:jc w:val="center"/>
              <w:rPr>
                <w:sz w:val="18"/>
                <w:szCs w:val="18"/>
              </w:rPr>
            </w:pPr>
          </w:p>
        </w:tc>
      </w:tr>
      <w:tr w14:paraId="58F73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tcBorders>
              <w:bottom w:val="single" w:color="auto" w:sz="4" w:space="0"/>
            </w:tcBorders>
          </w:tcPr>
          <w:p w14:paraId="6DD7F1DF">
            <w:pPr>
              <w:pStyle w:val="23"/>
              <w:spacing w:before="0" w:after="0"/>
              <w:jc w:val="center"/>
              <w:rPr>
                <w:sz w:val="18"/>
                <w:szCs w:val="18"/>
              </w:rPr>
            </w:pPr>
          </w:p>
        </w:tc>
        <w:tc>
          <w:tcPr>
            <w:tcW w:w="851" w:type="dxa"/>
          </w:tcPr>
          <w:p w14:paraId="1066E93B">
            <w:pPr>
              <w:pStyle w:val="23"/>
              <w:spacing w:before="0" w:after="0"/>
              <w:jc w:val="center"/>
              <w:rPr>
                <w:sz w:val="18"/>
                <w:szCs w:val="18"/>
              </w:rPr>
            </w:pPr>
          </w:p>
        </w:tc>
        <w:tc>
          <w:tcPr>
            <w:tcW w:w="4283" w:type="dxa"/>
            <w:tcBorders>
              <w:bottom w:val="single" w:color="auto" w:sz="4" w:space="0"/>
            </w:tcBorders>
          </w:tcPr>
          <w:p w14:paraId="570E4197">
            <w:pPr>
              <w:pStyle w:val="23"/>
              <w:spacing w:before="0" w:after="0"/>
              <w:jc w:val="center"/>
              <w:rPr>
                <w:sz w:val="18"/>
                <w:szCs w:val="18"/>
              </w:rPr>
            </w:pPr>
          </w:p>
        </w:tc>
      </w:tr>
      <w:tr w14:paraId="56D66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077" w:type="dxa"/>
            <w:tcBorders>
              <w:top w:val="single" w:color="auto" w:sz="4" w:space="0"/>
            </w:tcBorders>
          </w:tcPr>
          <w:p w14:paraId="12472302">
            <w:pPr>
              <w:pStyle w:val="23"/>
              <w:spacing w:before="0" w:after="0"/>
              <w:jc w:val="center"/>
            </w:pPr>
          </w:p>
        </w:tc>
        <w:tc>
          <w:tcPr>
            <w:tcW w:w="851" w:type="dxa"/>
          </w:tcPr>
          <w:p w14:paraId="4E16B601">
            <w:pPr>
              <w:pStyle w:val="23"/>
              <w:spacing w:before="0" w:after="0"/>
              <w:jc w:val="center"/>
            </w:pPr>
          </w:p>
        </w:tc>
        <w:tc>
          <w:tcPr>
            <w:tcW w:w="4283" w:type="dxa"/>
            <w:tcBorders>
              <w:top w:val="single" w:color="auto" w:sz="4" w:space="0"/>
            </w:tcBorders>
          </w:tcPr>
          <w:p w14:paraId="3A512A74">
            <w:pPr>
              <w:pStyle w:val="23"/>
              <w:spacing w:before="0" w:after="0"/>
              <w:jc w:val="center"/>
            </w:pPr>
          </w:p>
        </w:tc>
      </w:tr>
    </w:tbl>
    <w:p w14:paraId="7B08563E">
      <w:pPr>
        <w:pStyle w:val="23"/>
        <w:spacing w:before="120" w:after="120"/>
        <w:rPr>
          <w:rFonts w:ascii="Arial" w:hAnsi="Arial" w:cs="Arial"/>
        </w:rPr>
      </w:pPr>
    </w:p>
    <w:sectPr>
      <w:headerReference r:id="rId5" w:type="default"/>
      <w:footerReference r:id="rId6" w:type="default"/>
      <w:type w:val="continuous"/>
      <w:pgSz w:w="11906" w:h="16838"/>
      <w:pgMar w:top="1701" w:right="1134"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DengXian">
    <w:altName w:val="SimSun"/>
    <w:panose1 w:val="02010600030101010101"/>
    <w:charset w:val="86"/>
    <w:family w:val="auto"/>
    <w:pitch w:val="default"/>
    <w:sig w:usb0="00000000" w:usb1="00000000"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DengXian Light">
    <w:altName w:val="SimSun"/>
    <w:panose1 w:val="00000000000000000000"/>
    <w:charset w:val="86"/>
    <w:family w:val="auto"/>
    <w:pitch w:val="default"/>
    <w:sig w:usb0="00000000" w:usb1="00000000" w:usb2="00000016" w:usb3="00000000" w:csb0="0004000F" w:csb1="00000000"/>
  </w:font>
  <w:font w:name="Comic Sans MS">
    <w:panose1 w:val="030F0702030302020204"/>
    <w:charset w:val="00"/>
    <w:family w:val="script"/>
    <w:pitch w:val="default"/>
    <w:sig w:usb0="00000287" w:usb1="00000013" w:usb2="00000000" w:usb3="00000000" w:csb0="2000009F" w:csb1="00000000"/>
  </w:font>
  <w:font w:name="Arial Unicode MS">
    <w:altName w:val="Arial"/>
    <w:panose1 w:val="020B0604020202020204"/>
    <w:charset w:val="80"/>
    <w:family w:val="swiss"/>
    <w:pitch w:val="default"/>
    <w:sig w:usb0="00000000" w:usb1="00000000" w:usb2="0000003F" w:usb3="00000000" w:csb0="603F01FF" w:csb1="FFFF0000"/>
  </w:font>
  <w:font w:name="Lucida Sans">
    <w:altName w:val="Lucida Sans Unicode"/>
    <w:panose1 w:val="020B0602030504020204"/>
    <w:charset w:val="00"/>
    <w:family w:val="swiss"/>
    <w:pitch w:val="default"/>
    <w:sig w:usb0="00000000" w:usb1="00000000" w:usb2="00000000" w:usb3="00000000" w:csb0="20000001"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Verdana">
    <w:panose1 w:val="020B0604030504040204"/>
    <w:charset w:val="00"/>
    <w:family w:val="swiss"/>
    <w:pitch w:val="default"/>
    <w:sig w:usb0="A00006FF" w:usb1="4000205B" w:usb2="00000010" w:usb3="00000000" w:csb0="2000019F" w:csb1="00000000"/>
  </w:font>
  <w:font w:name="Liberation Sans">
    <w:altName w:val="Segoe Print"/>
    <w:panose1 w:val="020B0604020202020204"/>
    <w:charset w:val="00"/>
    <w:family w:val="swiss"/>
    <w:pitch w:val="default"/>
    <w:sig w:usb0="00000000" w:usb1="00000000"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Mangal">
    <w:altName w:val="Segoe Print"/>
    <w:panose1 w:val="000004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system-ui">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A80C3">
    <w:pPr>
      <w:pStyle w:val="28"/>
      <w:jc w:val="center"/>
      <w:rPr>
        <w:sz w:val="15"/>
        <w:szCs w:val="15"/>
      </w:rPr>
    </w:pPr>
    <w:r>
      <w:rPr>
        <w:rFonts w:ascii="Arial" w:hAnsi="Arial" w:cs="Arial"/>
        <w:sz w:val="15"/>
        <w:szCs w:val="15"/>
      </w:rPr>
      <w:t>Ru</w:t>
    </w:r>
    <w:r>
      <w:rPr>
        <w:rFonts w:ascii="Arial" w:hAnsi="Arial" w:cs="Arial"/>
        <w:sz w:val="15"/>
        <w:szCs w:val="15"/>
        <w:lang w:val="pt-BR"/>
      </w:rPr>
      <w:t>a João Vago</w:t>
    </w:r>
    <w:r>
      <w:rPr>
        <w:rFonts w:ascii="Arial" w:hAnsi="Arial" w:cs="Arial"/>
        <w:sz w:val="15"/>
        <w:szCs w:val="15"/>
      </w:rPr>
      <w:t xml:space="preserve">, nº </w:t>
    </w:r>
    <w:r>
      <w:rPr>
        <w:rFonts w:ascii="Arial" w:hAnsi="Arial" w:cs="Arial"/>
        <w:sz w:val="15"/>
        <w:szCs w:val="15"/>
        <w:lang w:val="pt-BR"/>
      </w:rPr>
      <w:t>137</w:t>
    </w:r>
    <w:r>
      <w:rPr>
        <w:rFonts w:ascii="Arial" w:hAnsi="Arial" w:cs="Arial"/>
        <w:sz w:val="15"/>
        <w:szCs w:val="15"/>
      </w:rPr>
      <w:t xml:space="preserve">, </w:t>
    </w:r>
    <w:r>
      <w:rPr>
        <w:rFonts w:ascii="Arial" w:hAnsi="Arial" w:cs="Arial"/>
        <w:sz w:val="15"/>
        <w:szCs w:val="15"/>
        <w:lang w:val="pt-BR"/>
      </w:rPr>
      <w:t>Centro</w:t>
    </w:r>
    <w:r>
      <w:rPr>
        <w:rFonts w:ascii="Arial" w:hAnsi="Arial" w:cs="Arial"/>
        <w:sz w:val="15"/>
        <w:szCs w:val="15"/>
      </w:rPr>
      <w:t>,</w:t>
    </w:r>
    <w:r>
      <w:rPr>
        <w:rFonts w:ascii="Arial" w:hAnsi="Arial" w:cs="Arial"/>
        <w:sz w:val="15"/>
        <w:szCs w:val="15"/>
        <w:lang w:val="pt-BR"/>
      </w:rPr>
      <w:t xml:space="preserve"> Prédio das Secretarias Municipais,</w:t>
    </w:r>
    <w:r>
      <w:rPr>
        <w:rFonts w:ascii="Arial" w:hAnsi="Arial" w:cs="Arial"/>
        <w:sz w:val="15"/>
        <w:szCs w:val="15"/>
      </w:rPr>
      <w:t xml:space="preserve"> São Roque do Canaã/ES,</w:t>
    </w:r>
    <w:r>
      <w:rPr>
        <w:rFonts w:hint="default" w:ascii="Arial" w:hAnsi="Arial" w:cs="Arial"/>
        <w:sz w:val="15"/>
        <w:szCs w:val="15"/>
        <w:lang w:val="pt-BR"/>
      </w:rPr>
      <w:t xml:space="preserve"> </w:t>
    </w:r>
    <w:r>
      <w:rPr>
        <w:rFonts w:ascii="Arial" w:hAnsi="Arial" w:cs="Arial"/>
        <w:sz w:val="15"/>
        <w:szCs w:val="15"/>
      </w:rPr>
      <w:t>CEP: 29665-000</w:t>
    </w:r>
  </w:p>
  <w:p w14:paraId="55DE6112">
    <w:pPr>
      <w:pStyle w:val="28"/>
      <w:jc w:val="center"/>
      <w:rPr>
        <w:sz w:val="15"/>
        <w:szCs w:val="15"/>
      </w:rPr>
    </w:pPr>
    <w:r>
      <w:rPr>
        <w:rFonts w:ascii="Arial" w:hAnsi="Arial" w:cs="Arial"/>
        <w:sz w:val="15"/>
        <w:szCs w:val="15"/>
      </w:rPr>
      <w:t>Telefone: (27) 3729-</w:t>
    </w:r>
    <w:r>
      <w:rPr>
        <w:rFonts w:ascii="Arial" w:hAnsi="Arial" w:cs="Arial"/>
        <w:sz w:val="15"/>
        <w:szCs w:val="15"/>
        <w:lang w:val="pt-BR"/>
      </w:rPr>
      <w:t xml:space="preserve">1997 </w:t>
    </w:r>
    <w:r>
      <w:rPr>
        <w:rFonts w:ascii="Arial" w:hAnsi="Arial" w:cs="Arial"/>
        <w:sz w:val="15"/>
        <w:szCs w:val="15"/>
      </w:rPr>
      <w:t xml:space="preserve">| E-mail: </w:t>
    </w:r>
    <w:r>
      <w:rPr>
        <w:rFonts w:ascii="Arial" w:hAnsi="Arial" w:cs="Arial"/>
        <w:sz w:val="15"/>
        <w:szCs w:val="15"/>
        <w:lang w:val="pt-BR"/>
      </w:rPr>
      <w:t>turismo</w:t>
    </w:r>
    <w:r>
      <w:rPr>
        <w:rFonts w:ascii="Arial" w:hAnsi="Arial" w:cs="Arial"/>
        <w:sz w:val="15"/>
        <w:szCs w:val="15"/>
      </w:rPr>
      <w:t>@saoroquedocanaa.es.gov.br</w:t>
    </w:r>
  </w:p>
  <w:p w14:paraId="160DB123">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2" w:lineRule="auto"/>
      </w:pPr>
      <w:r>
        <w:separator/>
      </w:r>
    </w:p>
  </w:footnote>
  <w:footnote w:type="continuationSeparator" w:id="1">
    <w:p>
      <w:pPr>
        <w:spacing w:before="0" w:after="0" w:line="25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0E51D">
    <w:pPr>
      <w:pStyle w:val="26"/>
      <w:tabs>
        <w:tab w:val="left" w:pos="2166"/>
      </w:tabs>
      <w:spacing w:line="276" w:lineRule="auto"/>
      <w:jc w:val="center"/>
      <w:rPr>
        <w:rFonts w:ascii="Arial" w:hAnsi="Arial" w:cs="Arial"/>
        <w:b/>
        <w:szCs w:val="16"/>
      </w:rPr>
    </w:pPr>
    <w:r>
      <w:drawing>
        <wp:inline distT="0" distB="0" distL="0" distR="0">
          <wp:extent cx="647700" cy="650240"/>
          <wp:effectExtent l="0" t="0" r="0" b="165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a:xfrm>
                    <a:off x="0" y="0"/>
                    <a:ext cx="647700" cy="650240"/>
                  </a:xfrm>
                  <a:prstGeom prst="rect">
                    <a:avLst/>
                  </a:prstGeom>
                </pic:spPr>
              </pic:pic>
            </a:graphicData>
          </a:graphic>
        </wp:inline>
      </w:drawing>
    </w:r>
  </w:p>
  <w:p w14:paraId="2E08AB7B">
    <w:pPr>
      <w:pStyle w:val="26"/>
      <w:tabs>
        <w:tab w:val="left" w:pos="2166"/>
      </w:tabs>
      <w:spacing w:line="276" w:lineRule="auto"/>
      <w:jc w:val="center"/>
      <w:rPr>
        <w:rFonts w:ascii="Arial" w:hAnsi="Arial" w:cs="Arial"/>
        <w:b/>
        <w:szCs w:val="16"/>
      </w:rPr>
    </w:pPr>
    <w:r>
      <w:rPr>
        <w:rFonts w:ascii="Arial" w:hAnsi="Arial" w:cs="Arial"/>
        <w:b/>
        <w:szCs w:val="16"/>
      </w:rPr>
      <w:t>PREFEITURA MUNICIPAL DE SÃO ROQUE DO CANAÃ</w:t>
    </w:r>
  </w:p>
  <w:p w14:paraId="6C8DB78A">
    <w:pPr>
      <w:pStyle w:val="31"/>
      <w:rPr>
        <w:sz w:val="18"/>
        <w:szCs w:val="18"/>
      </w:rPr>
    </w:pPr>
    <w:r>
      <w:rPr>
        <w:rFonts w:ascii="Arial" w:hAnsi="Arial" w:cs="Arial"/>
        <w:sz w:val="18"/>
        <w:szCs w:val="18"/>
      </w:rPr>
      <w:t>ESTADO DO ESPÍRITO SANTO</w:t>
    </w:r>
  </w:p>
  <w:p w14:paraId="735C477A">
    <w:pPr>
      <w:pStyle w:val="31"/>
      <w:rPr>
        <w:sz w:val="18"/>
        <w:szCs w:val="18"/>
      </w:rPr>
    </w:pPr>
    <w:r>
      <w:rPr>
        <w:rFonts w:ascii="Arial" w:hAnsi="Arial" w:cs="Arial"/>
        <w:sz w:val="18"/>
        <w:szCs w:val="18"/>
      </w:rPr>
      <w:t xml:space="preserve">SECRETARIA MUNICIPAL DE </w:t>
    </w:r>
    <w:r>
      <w:rPr>
        <w:rFonts w:ascii="Arial" w:hAnsi="Arial" w:cs="Arial"/>
        <w:sz w:val="18"/>
        <w:szCs w:val="18"/>
        <w:lang w:val="pt-BR"/>
      </w:rPr>
      <w:t>TURISMO, CULTURA, ESPORTE E LAZER</w:t>
    </w:r>
  </w:p>
  <w:p w14:paraId="566CC3D8">
    <w:pPr>
      <w:pStyle w:val="26"/>
      <w:spacing w:after="0" w:line="240" w:lineRule="aut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51B79B"/>
    <w:multiLevelType w:val="multilevel"/>
    <w:tmpl w:val="8251B79B"/>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CDF88080"/>
    <w:multiLevelType w:val="singleLevel"/>
    <w:tmpl w:val="CDF8808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FCDAEAFA"/>
    <w:multiLevelType w:val="singleLevel"/>
    <w:tmpl w:val="FCDAEAFA"/>
    <w:lvl w:ilvl="0" w:tentative="0">
      <w:start w:val="1"/>
      <w:numFmt w:val="upperRoman"/>
      <w:suff w:val="space"/>
      <w:lvlText w:val="%1)"/>
      <w:lvlJc w:val="left"/>
      <w:rPr>
        <w:rFonts w:hint="default"/>
        <w:b/>
        <w:bCs/>
      </w:rPr>
    </w:lvl>
  </w:abstractNum>
  <w:abstractNum w:abstractNumId="3">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pStyle w:val="4"/>
      <w:suff w:val="nothing"/>
      <w:lvlText w:val=""/>
      <w:lvlJc w:val="left"/>
      <w:pPr>
        <w:tabs>
          <w:tab w:val="left" w:pos="0"/>
        </w:tabs>
        <w:ind w:left="0" w:firstLine="0"/>
      </w:pPr>
    </w:lvl>
    <w:lvl w:ilvl="3" w:tentative="0">
      <w:start w:val="1"/>
      <w:numFmt w:val="none"/>
      <w:pStyle w:val="5"/>
      <w:suff w:val="nothing"/>
      <w:lvlText w:val=""/>
      <w:lvlJc w:val="left"/>
      <w:pPr>
        <w:tabs>
          <w:tab w:val="left" w:pos="0"/>
        </w:tabs>
        <w:ind w:left="0" w:firstLine="0"/>
      </w:pPr>
    </w:lvl>
    <w:lvl w:ilvl="4" w:tentative="0">
      <w:start w:val="1"/>
      <w:numFmt w:val="none"/>
      <w:pStyle w:val="6"/>
      <w:suff w:val="nothing"/>
      <w:lvlText w:val=""/>
      <w:lvlJc w:val="left"/>
      <w:pPr>
        <w:tabs>
          <w:tab w:val="left" w:pos="0"/>
        </w:tabs>
        <w:ind w:left="0" w:firstLine="0"/>
      </w:pPr>
    </w:lvl>
    <w:lvl w:ilvl="5" w:tentative="0">
      <w:start w:val="1"/>
      <w:numFmt w:val="none"/>
      <w:pStyle w:val="7"/>
      <w:suff w:val="nothing"/>
      <w:lvlText w:val=""/>
      <w:lvlJc w:val="left"/>
      <w:pPr>
        <w:tabs>
          <w:tab w:val="left" w:pos="0"/>
        </w:tabs>
        <w:ind w:left="0" w:firstLine="0"/>
      </w:pPr>
    </w:lvl>
    <w:lvl w:ilvl="6" w:tentative="0">
      <w:start w:val="1"/>
      <w:numFmt w:val="none"/>
      <w:pStyle w:val="8"/>
      <w:suff w:val="nothing"/>
      <w:lvlText w:val=""/>
      <w:lvlJc w:val="left"/>
      <w:pPr>
        <w:tabs>
          <w:tab w:val="left" w:pos="0"/>
        </w:tabs>
        <w:ind w:left="0" w:firstLine="0"/>
      </w:pPr>
    </w:lvl>
    <w:lvl w:ilvl="7" w:tentative="0">
      <w:start w:val="1"/>
      <w:numFmt w:val="none"/>
      <w:pStyle w:val="9"/>
      <w:suff w:val="nothing"/>
      <w:lvlText w:val=""/>
      <w:lvlJc w:val="left"/>
      <w:pPr>
        <w:tabs>
          <w:tab w:val="left" w:pos="0"/>
        </w:tabs>
        <w:ind w:left="0" w:firstLine="0"/>
      </w:pPr>
    </w:lvl>
    <w:lvl w:ilvl="8" w:tentative="0">
      <w:start w:val="1"/>
      <w:numFmt w:val="none"/>
      <w:pStyle w:val="10"/>
      <w:suff w:val="nothing"/>
      <w:lvlText w:val=""/>
      <w:lvlJc w:val="left"/>
      <w:pPr>
        <w:tabs>
          <w:tab w:val="left" w:pos="0"/>
        </w:tabs>
        <w:ind w:left="0" w:firstLine="0"/>
      </w:pPr>
    </w:lvl>
  </w:abstractNum>
  <w:abstractNum w:abstractNumId="4">
    <w:nsid w:val="28B67B13"/>
    <w:multiLevelType w:val="multilevel"/>
    <w:tmpl w:val="28B67B13"/>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3BAD1792"/>
    <w:multiLevelType w:val="multilevel"/>
    <w:tmpl w:val="3BAD1792"/>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45D415BE"/>
    <w:multiLevelType w:val="multilevel"/>
    <w:tmpl w:val="45D415B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76EB3A1C"/>
    <w:multiLevelType w:val="multilevel"/>
    <w:tmpl w:val="76EB3A1C"/>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7"/>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2A1"/>
    <w:rsid w:val="00001A06"/>
    <w:rsid w:val="00014719"/>
    <w:rsid w:val="00016984"/>
    <w:rsid w:val="00033889"/>
    <w:rsid w:val="00041D3B"/>
    <w:rsid w:val="00047FD5"/>
    <w:rsid w:val="00050702"/>
    <w:rsid w:val="00066FC4"/>
    <w:rsid w:val="0007630B"/>
    <w:rsid w:val="00076E8C"/>
    <w:rsid w:val="000A0EB7"/>
    <w:rsid w:val="000A109A"/>
    <w:rsid w:val="000B0323"/>
    <w:rsid w:val="000C1665"/>
    <w:rsid w:val="000C4519"/>
    <w:rsid w:val="000F045E"/>
    <w:rsid w:val="000F1A3F"/>
    <w:rsid w:val="000F2919"/>
    <w:rsid w:val="00106C63"/>
    <w:rsid w:val="0012191B"/>
    <w:rsid w:val="00132C33"/>
    <w:rsid w:val="0014048F"/>
    <w:rsid w:val="00143A42"/>
    <w:rsid w:val="00147CA6"/>
    <w:rsid w:val="0015045E"/>
    <w:rsid w:val="00157822"/>
    <w:rsid w:val="00162A81"/>
    <w:rsid w:val="00163D83"/>
    <w:rsid w:val="00164793"/>
    <w:rsid w:val="0017093E"/>
    <w:rsid w:val="0017337A"/>
    <w:rsid w:val="0019357E"/>
    <w:rsid w:val="001A3938"/>
    <w:rsid w:val="001B1B59"/>
    <w:rsid w:val="001B24F3"/>
    <w:rsid w:val="001B77D7"/>
    <w:rsid w:val="001E17DA"/>
    <w:rsid w:val="001E62CC"/>
    <w:rsid w:val="001F0438"/>
    <w:rsid w:val="00206057"/>
    <w:rsid w:val="00206B47"/>
    <w:rsid w:val="00207871"/>
    <w:rsid w:val="00233ED7"/>
    <w:rsid w:val="00237E22"/>
    <w:rsid w:val="00241DDF"/>
    <w:rsid w:val="0024365E"/>
    <w:rsid w:val="0024699D"/>
    <w:rsid w:val="0024726D"/>
    <w:rsid w:val="0025494A"/>
    <w:rsid w:val="00261A1D"/>
    <w:rsid w:val="002761ED"/>
    <w:rsid w:val="00281652"/>
    <w:rsid w:val="00285E27"/>
    <w:rsid w:val="00296331"/>
    <w:rsid w:val="00296984"/>
    <w:rsid w:val="002B0499"/>
    <w:rsid w:val="002C5A7C"/>
    <w:rsid w:val="002D637D"/>
    <w:rsid w:val="00344644"/>
    <w:rsid w:val="00373690"/>
    <w:rsid w:val="00395D85"/>
    <w:rsid w:val="003A0007"/>
    <w:rsid w:val="003B1C55"/>
    <w:rsid w:val="003B462D"/>
    <w:rsid w:val="003C7817"/>
    <w:rsid w:val="003D0CCF"/>
    <w:rsid w:val="003D17D2"/>
    <w:rsid w:val="003D3A5F"/>
    <w:rsid w:val="003E175A"/>
    <w:rsid w:val="003E3B5A"/>
    <w:rsid w:val="003E518C"/>
    <w:rsid w:val="003F7636"/>
    <w:rsid w:val="004070C3"/>
    <w:rsid w:val="004306F9"/>
    <w:rsid w:val="004715A9"/>
    <w:rsid w:val="00483D32"/>
    <w:rsid w:val="004A3CCE"/>
    <w:rsid w:val="004D153A"/>
    <w:rsid w:val="004F052F"/>
    <w:rsid w:val="004F7E55"/>
    <w:rsid w:val="00504449"/>
    <w:rsid w:val="00524BE2"/>
    <w:rsid w:val="005314BD"/>
    <w:rsid w:val="00545E7F"/>
    <w:rsid w:val="0056090B"/>
    <w:rsid w:val="00566A4B"/>
    <w:rsid w:val="00575BC3"/>
    <w:rsid w:val="00593854"/>
    <w:rsid w:val="0059766F"/>
    <w:rsid w:val="005A0BD7"/>
    <w:rsid w:val="005A214C"/>
    <w:rsid w:val="005A5A26"/>
    <w:rsid w:val="005B49B2"/>
    <w:rsid w:val="005C2204"/>
    <w:rsid w:val="005D756D"/>
    <w:rsid w:val="005E0C3F"/>
    <w:rsid w:val="005E4446"/>
    <w:rsid w:val="005F2518"/>
    <w:rsid w:val="005F3380"/>
    <w:rsid w:val="005F49C8"/>
    <w:rsid w:val="00610D8D"/>
    <w:rsid w:val="00615F1F"/>
    <w:rsid w:val="00634BF9"/>
    <w:rsid w:val="00642786"/>
    <w:rsid w:val="00653289"/>
    <w:rsid w:val="006712E7"/>
    <w:rsid w:val="00675EFB"/>
    <w:rsid w:val="0067630E"/>
    <w:rsid w:val="006A6CCA"/>
    <w:rsid w:val="006C48F1"/>
    <w:rsid w:val="006D029D"/>
    <w:rsid w:val="006D4FD0"/>
    <w:rsid w:val="006F0B58"/>
    <w:rsid w:val="0070002A"/>
    <w:rsid w:val="0072023F"/>
    <w:rsid w:val="00725853"/>
    <w:rsid w:val="0075298F"/>
    <w:rsid w:val="007578C4"/>
    <w:rsid w:val="00765E54"/>
    <w:rsid w:val="007773BD"/>
    <w:rsid w:val="00791C58"/>
    <w:rsid w:val="007935CC"/>
    <w:rsid w:val="007B231A"/>
    <w:rsid w:val="007B5AC6"/>
    <w:rsid w:val="007B5B94"/>
    <w:rsid w:val="007C487F"/>
    <w:rsid w:val="007C575E"/>
    <w:rsid w:val="007D57C0"/>
    <w:rsid w:val="007E7E97"/>
    <w:rsid w:val="007F1710"/>
    <w:rsid w:val="007F256E"/>
    <w:rsid w:val="007F788E"/>
    <w:rsid w:val="008003E2"/>
    <w:rsid w:val="00814847"/>
    <w:rsid w:val="00827206"/>
    <w:rsid w:val="00833FD3"/>
    <w:rsid w:val="00841A9D"/>
    <w:rsid w:val="008420A3"/>
    <w:rsid w:val="00847268"/>
    <w:rsid w:val="008511E0"/>
    <w:rsid w:val="008513EF"/>
    <w:rsid w:val="008A16E1"/>
    <w:rsid w:val="008A2D7A"/>
    <w:rsid w:val="008A5653"/>
    <w:rsid w:val="008A6977"/>
    <w:rsid w:val="008C0885"/>
    <w:rsid w:val="008C12A1"/>
    <w:rsid w:val="008C4512"/>
    <w:rsid w:val="008E5B81"/>
    <w:rsid w:val="008F2135"/>
    <w:rsid w:val="00903DAB"/>
    <w:rsid w:val="00907872"/>
    <w:rsid w:val="00910AB9"/>
    <w:rsid w:val="00916459"/>
    <w:rsid w:val="00941B15"/>
    <w:rsid w:val="00945DE1"/>
    <w:rsid w:val="009473B1"/>
    <w:rsid w:val="009A36D4"/>
    <w:rsid w:val="009A4B51"/>
    <w:rsid w:val="009B5179"/>
    <w:rsid w:val="009C289E"/>
    <w:rsid w:val="00A12A01"/>
    <w:rsid w:val="00A30524"/>
    <w:rsid w:val="00A46EDA"/>
    <w:rsid w:val="00A546F6"/>
    <w:rsid w:val="00A5481F"/>
    <w:rsid w:val="00A56A70"/>
    <w:rsid w:val="00A71582"/>
    <w:rsid w:val="00A84052"/>
    <w:rsid w:val="00A92E7E"/>
    <w:rsid w:val="00AA3375"/>
    <w:rsid w:val="00AA5BA8"/>
    <w:rsid w:val="00AA777C"/>
    <w:rsid w:val="00AB0B17"/>
    <w:rsid w:val="00AB27A6"/>
    <w:rsid w:val="00AC1933"/>
    <w:rsid w:val="00AC5AAA"/>
    <w:rsid w:val="00AC7C70"/>
    <w:rsid w:val="00AE21A3"/>
    <w:rsid w:val="00AE22B0"/>
    <w:rsid w:val="00AE6A8C"/>
    <w:rsid w:val="00AF6ADC"/>
    <w:rsid w:val="00B240DF"/>
    <w:rsid w:val="00B303F5"/>
    <w:rsid w:val="00B37D1A"/>
    <w:rsid w:val="00B40E73"/>
    <w:rsid w:val="00B55AE8"/>
    <w:rsid w:val="00B5605B"/>
    <w:rsid w:val="00B6076C"/>
    <w:rsid w:val="00B66C6F"/>
    <w:rsid w:val="00B73A9D"/>
    <w:rsid w:val="00B74478"/>
    <w:rsid w:val="00B809F8"/>
    <w:rsid w:val="00BC352E"/>
    <w:rsid w:val="00BD5834"/>
    <w:rsid w:val="00BD776A"/>
    <w:rsid w:val="00BF2E38"/>
    <w:rsid w:val="00C041C0"/>
    <w:rsid w:val="00C075D8"/>
    <w:rsid w:val="00C12CEE"/>
    <w:rsid w:val="00C16C8B"/>
    <w:rsid w:val="00C21BF8"/>
    <w:rsid w:val="00C32CCE"/>
    <w:rsid w:val="00C453DF"/>
    <w:rsid w:val="00C47CAB"/>
    <w:rsid w:val="00C47D6C"/>
    <w:rsid w:val="00C51750"/>
    <w:rsid w:val="00C528F3"/>
    <w:rsid w:val="00C6244E"/>
    <w:rsid w:val="00C66A71"/>
    <w:rsid w:val="00C835BF"/>
    <w:rsid w:val="00C9379D"/>
    <w:rsid w:val="00C958BB"/>
    <w:rsid w:val="00CA15A3"/>
    <w:rsid w:val="00CB5C88"/>
    <w:rsid w:val="00CC373E"/>
    <w:rsid w:val="00CE3272"/>
    <w:rsid w:val="00D12355"/>
    <w:rsid w:val="00D15687"/>
    <w:rsid w:val="00D15F11"/>
    <w:rsid w:val="00D27B8C"/>
    <w:rsid w:val="00D40DBF"/>
    <w:rsid w:val="00D4389E"/>
    <w:rsid w:val="00D4579B"/>
    <w:rsid w:val="00D53D4A"/>
    <w:rsid w:val="00D55B50"/>
    <w:rsid w:val="00D5666F"/>
    <w:rsid w:val="00D61D24"/>
    <w:rsid w:val="00D65134"/>
    <w:rsid w:val="00D67D21"/>
    <w:rsid w:val="00D70133"/>
    <w:rsid w:val="00D809CB"/>
    <w:rsid w:val="00D973F2"/>
    <w:rsid w:val="00DA17E2"/>
    <w:rsid w:val="00DE7F76"/>
    <w:rsid w:val="00E02DE6"/>
    <w:rsid w:val="00E3078A"/>
    <w:rsid w:val="00E34ABE"/>
    <w:rsid w:val="00E4260F"/>
    <w:rsid w:val="00E83559"/>
    <w:rsid w:val="00E847EA"/>
    <w:rsid w:val="00E84E4B"/>
    <w:rsid w:val="00EA3246"/>
    <w:rsid w:val="00EB4786"/>
    <w:rsid w:val="00EC41D4"/>
    <w:rsid w:val="00EC6A62"/>
    <w:rsid w:val="00ED20E0"/>
    <w:rsid w:val="00ED4D01"/>
    <w:rsid w:val="00EE5821"/>
    <w:rsid w:val="00EF600B"/>
    <w:rsid w:val="00EF7B97"/>
    <w:rsid w:val="00F02948"/>
    <w:rsid w:val="00F16957"/>
    <w:rsid w:val="00F222EA"/>
    <w:rsid w:val="00F23979"/>
    <w:rsid w:val="00F44EDE"/>
    <w:rsid w:val="00F52BC4"/>
    <w:rsid w:val="00F62D53"/>
    <w:rsid w:val="00F90942"/>
    <w:rsid w:val="00FA670C"/>
    <w:rsid w:val="00FB256D"/>
    <w:rsid w:val="00FB4610"/>
    <w:rsid w:val="00FB54DD"/>
    <w:rsid w:val="00FC7E09"/>
    <w:rsid w:val="00FE1808"/>
    <w:rsid w:val="00FF7AB8"/>
    <w:rsid w:val="02D71A18"/>
    <w:rsid w:val="03518059"/>
    <w:rsid w:val="03FC6B91"/>
    <w:rsid w:val="07330ECA"/>
    <w:rsid w:val="0D9EF64F"/>
    <w:rsid w:val="1556DFC1"/>
    <w:rsid w:val="15D51894"/>
    <w:rsid w:val="16332DAA"/>
    <w:rsid w:val="1965191B"/>
    <w:rsid w:val="1EB07773"/>
    <w:rsid w:val="21D59BEB"/>
    <w:rsid w:val="23454F83"/>
    <w:rsid w:val="245016B5"/>
    <w:rsid w:val="247B32B4"/>
    <w:rsid w:val="25FC33D9"/>
    <w:rsid w:val="260CAAD1"/>
    <w:rsid w:val="295EAD78"/>
    <w:rsid w:val="2BAC0B69"/>
    <w:rsid w:val="2C704124"/>
    <w:rsid w:val="2C746805"/>
    <w:rsid w:val="2F68DF44"/>
    <w:rsid w:val="31143002"/>
    <w:rsid w:val="38C7015D"/>
    <w:rsid w:val="38ED0357"/>
    <w:rsid w:val="39934A37"/>
    <w:rsid w:val="3EA9C54D"/>
    <w:rsid w:val="3F780D63"/>
    <w:rsid w:val="40670F3D"/>
    <w:rsid w:val="41DA3519"/>
    <w:rsid w:val="49C328C2"/>
    <w:rsid w:val="4C613EDC"/>
    <w:rsid w:val="4E6246A1"/>
    <w:rsid w:val="4F70E02A"/>
    <w:rsid w:val="4F78D6D7"/>
    <w:rsid w:val="50054EA5"/>
    <w:rsid w:val="51385F8C"/>
    <w:rsid w:val="52424244"/>
    <w:rsid w:val="53220740"/>
    <w:rsid w:val="5345112C"/>
    <w:rsid w:val="53DE12A5"/>
    <w:rsid w:val="594165F3"/>
    <w:rsid w:val="5B730234"/>
    <w:rsid w:val="5CA35CB2"/>
    <w:rsid w:val="5D313711"/>
    <w:rsid w:val="5D6CC9A8"/>
    <w:rsid w:val="5D7511A6"/>
    <w:rsid w:val="5F808A86"/>
    <w:rsid w:val="5F81CFBB"/>
    <w:rsid w:val="60B48468"/>
    <w:rsid w:val="6200C8EA"/>
    <w:rsid w:val="64474F33"/>
    <w:rsid w:val="67E1949C"/>
    <w:rsid w:val="6B0A8A3D"/>
    <w:rsid w:val="6EF04788"/>
    <w:rsid w:val="701C974D"/>
    <w:rsid w:val="72BF0BAC"/>
    <w:rsid w:val="74D2ABCA"/>
    <w:rsid w:val="760B7D7D"/>
    <w:rsid w:val="77E6760E"/>
    <w:rsid w:val="78E379D6"/>
    <w:rsid w:val="796BB549"/>
    <w:rsid w:val="7AC158C1"/>
    <w:rsid w:val="7BE15FD1"/>
    <w:rsid w:val="7BE8779E"/>
    <w:rsid w:val="7E1453F9"/>
    <w:rsid w:val="7E9FBF8A"/>
    <w:rsid w:val="7F7E3E75"/>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qFormat="1" w:unhideWhenUsed="0" w:uiPriority="0" w:semiHidden="0"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qFormat="1" w:unhideWhenUsed="0" w:uiPriority="34" w:semiHidden="0" w:name="List Paragraph"/>
  </w:latentStyles>
  <w:style w:type="paragraph" w:default="1" w:styleId="1">
    <w:name w:val="Normal"/>
    <w:qFormat/>
    <w:uiPriority w:val="0"/>
    <w:pPr>
      <w:suppressAutoHyphens/>
      <w:spacing w:after="160" w:line="252" w:lineRule="auto"/>
    </w:pPr>
    <w:rPr>
      <w:rFonts w:ascii="Calibri" w:hAnsi="Calibri" w:eastAsia="DengXian" w:cs="Calibri"/>
      <w:sz w:val="22"/>
      <w:szCs w:val="22"/>
      <w:lang w:val="pt-BR" w:eastAsia="zh-CN" w:bidi="ar-SA"/>
    </w:rPr>
  </w:style>
  <w:style w:type="paragraph" w:styleId="2">
    <w:name w:val="heading 1"/>
    <w:basedOn w:val="1"/>
    <w:next w:val="1"/>
    <w:link w:val="35"/>
    <w:qFormat/>
    <w:uiPriority w:val="0"/>
    <w:pPr>
      <w:keepNext/>
      <w:numPr>
        <w:ilvl w:val="0"/>
        <w:numId w:val="1"/>
      </w:numPr>
      <w:spacing w:before="240" w:after="60"/>
      <w:outlineLvl w:val="0"/>
    </w:pPr>
    <w:rPr>
      <w:rFonts w:ascii="Calibri Light" w:hAnsi="Calibri Light" w:eastAsia="DengXian Light" w:cs="Calibri Light"/>
      <w:b/>
      <w:bCs/>
      <w:kern w:val="2"/>
      <w:sz w:val="32"/>
      <w:szCs w:val="32"/>
    </w:rPr>
  </w:style>
  <w:style w:type="paragraph" w:styleId="3">
    <w:name w:val="heading 2"/>
    <w:basedOn w:val="1"/>
    <w:next w:val="1"/>
    <w:link w:val="36"/>
    <w:qFormat/>
    <w:uiPriority w:val="0"/>
    <w:pPr>
      <w:widowControl w:val="0"/>
      <w:numPr>
        <w:ilvl w:val="1"/>
        <w:numId w:val="1"/>
      </w:numPr>
      <w:spacing w:after="0" w:line="240" w:lineRule="auto"/>
      <w:ind w:left="196"/>
      <w:outlineLvl w:val="1"/>
    </w:pPr>
    <w:rPr>
      <w:rFonts w:ascii="Arial" w:hAnsi="Arial" w:eastAsia="Times New Roman" w:cs="Arial"/>
      <w:b/>
      <w:bCs/>
      <w:sz w:val="20"/>
      <w:szCs w:val="20"/>
      <w:lang w:val="pt-PT"/>
    </w:rPr>
  </w:style>
  <w:style w:type="paragraph" w:styleId="4">
    <w:name w:val="heading 3"/>
    <w:basedOn w:val="1"/>
    <w:next w:val="1"/>
    <w:link w:val="37"/>
    <w:qFormat/>
    <w:uiPriority w:val="0"/>
    <w:pPr>
      <w:keepNext/>
      <w:keepLines/>
      <w:numPr>
        <w:ilvl w:val="2"/>
        <w:numId w:val="1"/>
      </w:numPr>
      <w:spacing w:before="40" w:after="0"/>
      <w:outlineLvl w:val="2"/>
    </w:pPr>
    <w:rPr>
      <w:rFonts w:ascii="Calibri Light" w:hAnsi="Calibri Light" w:eastAsia="DengXian Light"/>
      <w:color w:val="1F3864"/>
      <w:sz w:val="24"/>
      <w:szCs w:val="24"/>
    </w:rPr>
  </w:style>
  <w:style w:type="paragraph" w:styleId="5">
    <w:name w:val="heading 4"/>
    <w:basedOn w:val="1"/>
    <w:next w:val="1"/>
    <w:link w:val="38"/>
    <w:qFormat/>
    <w:uiPriority w:val="0"/>
    <w:pPr>
      <w:keepNext/>
      <w:keepLines/>
      <w:widowControl w:val="0"/>
      <w:numPr>
        <w:ilvl w:val="3"/>
        <w:numId w:val="1"/>
      </w:numPr>
      <w:spacing w:before="40" w:after="0" w:line="240" w:lineRule="auto"/>
      <w:outlineLvl w:val="3"/>
    </w:pPr>
    <w:rPr>
      <w:rFonts w:ascii="Calibri Light" w:hAnsi="Calibri Light" w:eastAsia="DengXian Light"/>
      <w:i/>
      <w:iCs/>
      <w:color w:val="2F5496"/>
      <w:lang w:val="pt-PT" w:bidi="pt-PT"/>
    </w:rPr>
  </w:style>
  <w:style w:type="paragraph" w:styleId="6">
    <w:name w:val="heading 5"/>
    <w:basedOn w:val="1"/>
    <w:next w:val="1"/>
    <w:link w:val="39"/>
    <w:qFormat/>
    <w:uiPriority w:val="0"/>
    <w:pPr>
      <w:keepNext/>
      <w:numPr>
        <w:ilvl w:val="4"/>
        <w:numId w:val="1"/>
      </w:numPr>
      <w:tabs>
        <w:tab w:val="left" w:pos="1008"/>
      </w:tabs>
      <w:spacing w:after="0" w:line="240" w:lineRule="auto"/>
      <w:ind w:left="1008" w:hanging="1008"/>
      <w:jc w:val="center"/>
      <w:outlineLvl w:val="4"/>
    </w:pPr>
    <w:rPr>
      <w:rFonts w:ascii="Arial" w:hAnsi="Arial" w:eastAsia="Times New Roman" w:cs="Arial"/>
      <w:b/>
      <w:i/>
      <w:sz w:val="32"/>
      <w:szCs w:val="20"/>
    </w:rPr>
  </w:style>
  <w:style w:type="paragraph" w:styleId="7">
    <w:name w:val="heading 6"/>
    <w:basedOn w:val="1"/>
    <w:next w:val="1"/>
    <w:link w:val="40"/>
    <w:qFormat/>
    <w:uiPriority w:val="0"/>
    <w:pPr>
      <w:keepNext/>
      <w:numPr>
        <w:ilvl w:val="5"/>
        <w:numId w:val="1"/>
      </w:numPr>
      <w:tabs>
        <w:tab w:val="left" w:pos="1152"/>
      </w:tabs>
      <w:spacing w:after="0" w:line="240" w:lineRule="auto"/>
      <w:ind w:left="1152" w:hanging="1152"/>
      <w:jc w:val="both"/>
      <w:outlineLvl w:val="5"/>
    </w:pPr>
    <w:rPr>
      <w:rFonts w:ascii="Arial" w:hAnsi="Arial" w:eastAsia="Times New Roman" w:cs="Arial"/>
      <w:b/>
      <w:sz w:val="24"/>
      <w:szCs w:val="20"/>
    </w:rPr>
  </w:style>
  <w:style w:type="paragraph" w:styleId="8">
    <w:name w:val="heading 7"/>
    <w:basedOn w:val="1"/>
    <w:next w:val="1"/>
    <w:link w:val="41"/>
    <w:qFormat/>
    <w:uiPriority w:val="0"/>
    <w:pPr>
      <w:keepNext/>
      <w:numPr>
        <w:ilvl w:val="6"/>
        <w:numId w:val="1"/>
      </w:numPr>
      <w:tabs>
        <w:tab w:val="left" w:pos="1296"/>
      </w:tabs>
      <w:spacing w:after="0" w:line="240" w:lineRule="auto"/>
      <w:ind w:left="1296" w:hanging="1296"/>
      <w:jc w:val="center"/>
      <w:outlineLvl w:val="6"/>
    </w:pPr>
    <w:rPr>
      <w:rFonts w:ascii="Arial" w:hAnsi="Arial" w:eastAsia="Times New Roman" w:cs="Arial"/>
      <w:b/>
      <w:sz w:val="24"/>
      <w:szCs w:val="20"/>
    </w:rPr>
  </w:style>
  <w:style w:type="paragraph" w:styleId="9">
    <w:name w:val="heading 8"/>
    <w:basedOn w:val="1"/>
    <w:next w:val="1"/>
    <w:link w:val="42"/>
    <w:qFormat/>
    <w:uiPriority w:val="0"/>
    <w:pPr>
      <w:keepNext/>
      <w:numPr>
        <w:ilvl w:val="7"/>
        <w:numId w:val="1"/>
      </w:numPr>
      <w:tabs>
        <w:tab w:val="left" w:pos="1440"/>
      </w:tabs>
      <w:spacing w:after="0" w:line="240" w:lineRule="auto"/>
      <w:ind w:left="1440" w:hanging="1440"/>
      <w:outlineLvl w:val="7"/>
    </w:pPr>
    <w:rPr>
      <w:rFonts w:ascii="Arial" w:hAnsi="Arial" w:eastAsia="Times New Roman" w:cs="Arial"/>
      <w:b/>
      <w:sz w:val="24"/>
      <w:szCs w:val="20"/>
    </w:rPr>
  </w:style>
  <w:style w:type="paragraph" w:styleId="10">
    <w:name w:val="heading 9"/>
    <w:basedOn w:val="1"/>
    <w:next w:val="1"/>
    <w:link w:val="43"/>
    <w:qFormat/>
    <w:uiPriority w:val="0"/>
    <w:pPr>
      <w:keepNext/>
      <w:numPr>
        <w:ilvl w:val="8"/>
        <w:numId w:val="1"/>
      </w:numPr>
      <w:tabs>
        <w:tab w:val="left" w:pos="1584"/>
      </w:tabs>
      <w:spacing w:after="0" w:line="240" w:lineRule="auto"/>
      <w:ind w:left="1584" w:hanging="1584"/>
      <w:jc w:val="center"/>
      <w:outlineLvl w:val="8"/>
    </w:pPr>
    <w:rPr>
      <w:rFonts w:ascii="Arial" w:hAnsi="Arial" w:eastAsia="Times New Roman" w:cs="Arial"/>
      <w:b/>
      <w:i/>
      <w:sz w:val="28"/>
      <w:szCs w:val="20"/>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qFormat/>
    <w:uiPriority w:val="22"/>
    <w:rPr>
      <w:b/>
      <w:bCs/>
    </w:rPr>
  </w:style>
  <w:style w:type="character" w:styleId="14">
    <w:name w:val="annotation reference"/>
    <w:semiHidden/>
    <w:unhideWhenUsed/>
    <w:qFormat/>
    <w:uiPriority w:val="99"/>
    <w:rPr>
      <w:sz w:val="16"/>
      <w:szCs w:val="16"/>
    </w:rPr>
  </w:style>
  <w:style w:type="character" w:styleId="15">
    <w:name w:val="FollowedHyperlink"/>
    <w:qFormat/>
    <w:uiPriority w:val="0"/>
    <w:rPr>
      <w:color w:val="800080"/>
      <w:u w:val="single"/>
    </w:rPr>
  </w:style>
  <w:style w:type="character" w:styleId="16">
    <w:name w:val="Emphasis"/>
    <w:qFormat/>
    <w:uiPriority w:val="0"/>
    <w:rPr>
      <w:b/>
      <w:bCs/>
    </w:rPr>
  </w:style>
  <w:style w:type="character" w:styleId="17">
    <w:name w:val="Hyperlink"/>
    <w:qFormat/>
    <w:uiPriority w:val="0"/>
    <w:rPr>
      <w:color w:val="0563C1"/>
      <w:u w:val="single"/>
    </w:rPr>
  </w:style>
  <w:style w:type="character" w:styleId="18">
    <w:name w:val="page number"/>
    <w:qFormat/>
    <w:uiPriority w:val="0"/>
  </w:style>
  <w:style w:type="paragraph" w:styleId="19">
    <w:name w:val="toc 2"/>
    <w:basedOn w:val="1"/>
    <w:next w:val="1"/>
    <w:qFormat/>
    <w:uiPriority w:val="0"/>
    <w:pPr>
      <w:spacing w:after="100" w:line="276" w:lineRule="auto"/>
      <w:ind w:left="240"/>
    </w:pPr>
    <w:rPr>
      <w:rFonts w:ascii="Arial" w:hAnsi="Arial" w:eastAsia="Calibri" w:cs="Arial"/>
      <w:sz w:val="24"/>
    </w:rPr>
  </w:style>
  <w:style w:type="paragraph" w:styleId="20">
    <w:name w:val="List"/>
    <w:basedOn w:val="1"/>
    <w:qFormat/>
    <w:uiPriority w:val="0"/>
    <w:pPr>
      <w:spacing w:before="280" w:after="280" w:line="240" w:lineRule="auto"/>
      <w:ind w:hanging="283"/>
      <w:jc w:val="center"/>
    </w:pPr>
    <w:rPr>
      <w:rFonts w:ascii="Times New Roman" w:hAnsi="Times New Roman" w:eastAsia="Times New Roman" w:cs="Times New Roman"/>
      <w:sz w:val="28"/>
      <w:szCs w:val="20"/>
    </w:rPr>
  </w:style>
  <w:style w:type="paragraph" w:styleId="21">
    <w:name w:val="Body Text"/>
    <w:basedOn w:val="1"/>
    <w:link w:val="45"/>
    <w:qFormat/>
    <w:uiPriority w:val="0"/>
    <w:pPr>
      <w:widowControl w:val="0"/>
      <w:spacing w:after="0" w:line="240" w:lineRule="auto"/>
    </w:pPr>
    <w:rPr>
      <w:rFonts w:ascii="Arial" w:hAnsi="Arial" w:eastAsia="Times New Roman" w:cs="Arial"/>
      <w:sz w:val="20"/>
      <w:szCs w:val="20"/>
      <w:lang w:val="pt-PT"/>
    </w:rPr>
  </w:style>
  <w:style w:type="paragraph" w:styleId="22">
    <w:name w:val="annotation text"/>
    <w:basedOn w:val="1"/>
    <w:link w:val="395"/>
    <w:unhideWhenUsed/>
    <w:qFormat/>
    <w:uiPriority w:val="99"/>
    <w:rPr>
      <w:sz w:val="20"/>
      <w:szCs w:val="20"/>
    </w:rPr>
  </w:style>
  <w:style w:type="paragraph" w:styleId="23">
    <w:name w:val="Normal (Web)"/>
    <w:basedOn w:val="1"/>
    <w:qFormat/>
    <w:uiPriority w:val="99"/>
    <w:pPr>
      <w:spacing w:before="280" w:after="280" w:line="240" w:lineRule="auto"/>
    </w:pPr>
    <w:rPr>
      <w:rFonts w:ascii="Times New Roman" w:hAnsi="Times New Roman" w:eastAsia="Times New Roman" w:cs="Times New Roman"/>
      <w:sz w:val="24"/>
      <w:szCs w:val="24"/>
    </w:rPr>
  </w:style>
  <w:style w:type="paragraph" w:styleId="24">
    <w:name w:val="envelope address"/>
    <w:basedOn w:val="1"/>
    <w:qFormat/>
    <w:uiPriority w:val="0"/>
    <w:pPr>
      <w:suppressAutoHyphens w:val="0"/>
      <w:spacing w:after="200" w:line="276" w:lineRule="auto"/>
      <w:ind w:left="2835"/>
    </w:pPr>
    <w:rPr>
      <w:rFonts w:ascii="Comic Sans MS" w:hAnsi="Comic Sans MS" w:eastAsia="Times New Roman" w:cs="Times New Roman"/>
      <w:sz w:val="24"/>
    </w:rPr>
  </w:style>
  <w:style w:type="paragraph" w:styleId="25">
    <w:name w:val="HTML Preformatted"/>
    <w:basedOn w:val="1"/>
    <w:link w:val="46"/>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Arial Unicode MS" w:hAnsi="Arial Unicode MS" w:eastAsia="Arial Unicode MS" w:cs="Arial Unicode MS"/>
      <w:sz w:val="20"/>
      <w:szCs w:val="20"/>
    </w:rPr>
  </w:style>
  <w:style w:type="paragraph" w:styleId="26">
    <w:name w:val="header"/>
    <w:basedOn w:val="1"/>
    <w:link w:val="47"/>
    <w:qFormat/>
    <w:uiPriority w:val="0"/>
    <w:pPr>
      <w:tabs>
        <w:tab w:val="center" w:pos="4252"/>
        <w:tab w:val="right" w:pos="8504"/>
      </w:tabs>
    </w:pPr>
  </w:style>
  <w:style w:type="paragraph" w:styleId="27">
    <w:name w:val="annotation subject"/>
    <w:basedOn w:val="22"/>
    <w:next w:val="22"/>
    <w:link w:val="396"/>
    <w:semiHidden/>
    <w:unhideWhenUsed/>
    <w:qFormat/>
    <w:uiPriority w:val="99"/>
    <w:rPr>
      <w:b/>
      <w:bCs/>
    </w:rPr>
  </w:style>
  <w:style w:type="paragraph" w:styleId="28">
    <w:name w:val="footer"/>
    <w:basedOn w:val="1"/>
    <w:link w:val="48"/>
    <w:qFormat/>
    <w:uiPriority w:val="0"/>
    <w:pPr>
      <w:tabs>
        <w:tab w:val="center" w:pos="4252"/>
        <w:tab w:val="right" w:pos="8504"/>
      </w:tabs>
    </w:pPr>
  </w:style>
  <w:style w:type="paragraph" w:styleId="29">
    <w:name w:val="caption"/>
    <w:basedOn w:val="1"/>
    <w:next w:val="1"/>
    <w:qFormat/>
    <w:uiPriority w:val="0"/>
    <w:pPr>
      <w:suppressLineNumbers/>
      <w:spacing w:before="120" w:after="120"/>
    </w:pPr>
    <w:rPr>
      <w:rFonts w:cs="Lucida Sans"/>
      <w:i/>
      <w:iCs/>
      <w:sz w:val="24"/>
      <w:szCs w:val="24"/>
    </w:rPr>
  </w:style>
  <w:style w:type="paragraph" w:styleId="30">
    <w:name w:val="Balloon Text"/>
    <w:basedOn w:val="1"/>
    <w:link w:val="49"/>
    <w:qFormat/>
    <w:uiPriority w:val="0"/>
    <w:pPr>
      <w:spacing w:after="0" w:line="240" w:lineRule="auto"/>
    </w:pPr>
    <w:rPr>
      <w:rFonts w:ascii="Segoe UI" w:hAnsi="Segoe UI" w:cs="Segoe UI"/>
      <w:sz w:val="18"/>
      <w:szCs w:val="18"/>
    </w:rPr>
  </w:style>
  <w:style w:type="paragraph" w:styleId="31">
    <w:name w:val="Subtitle"/>
    <w:basedOn w:val="1"/>
    <w:link w:val="50"/>
    <w:qFormat/>
    <w:uiPriority w:val="0"/>
    <w:pPr>
      <w:spacing w:after="0" w:line="240" w:lineRule="auto"/>
      <w:jc w:val="center"/>
    </w:pPr>
    <w:rPr>
      <w:rFonts w:ascii="Times New Roman" w:hAnsi="Times New Roman" w:eastAsia="Times New Roman" w:cs="Times New Roman"/>
      <w:b/>
      <w:sz w:val="26"/>
      <w:szCs w:val="24"/>
    </w:rPr>
  </w:style>
  <w:style w:type="paragraph" w:styleId="32">
    <w:name w:val="toc 1"/>
    <w:basedOn w:val="1"/>
    <w:next w:val="1"/>
    <w:qFormat/>
    <w:uiPriority w:val="0"/>
    <w:pPr>
      <w:spacing w:after="0" w:line="240" w:lineRule="auto"/>
    </w:pPr>
    <w:rPr>
      <w:rFonts w:ascii="Times New Roman" w:hAnsi="Times New Roman" w:eastAsia="Times New Roman" w:cs="Times New Roman"/>
      <w:sz w:val="24"/>
      <w:szCs w:val="24"/>
    </w:rPr>
  </w:style>
  <w:style w:type="paragraph" w:styleId="33">
    <w:name w:val="Body Text Indent"/>
    <w:basedOn w:val="1"/>
    <w:link w:val="51"/>
    <w:qFormat/>
    <w:uiPriority w:val="0"/>
    <w:pPr>
      <w:widowControl w:val="0"/>
      <w:tabs>
        <w:tab w:val="left" w:pos="1703"/>
      </w:tabs>
      <w:spacing w:after="0" w:line="240" w:lineRule="auto"/>
      <w:ind w:left="2"/>
      <w:jc w:val="both"/>
    </w:pPr>
    <w:rPr>
      <w:rFonts w:ascii="Times New Roman" w:hAnsi="Times New Roman" w:eastAsia="Times New Roman" w:cs="Times New Roman"/>
      <w:sz w:val="24"/>
      <w:szCs w:val="24"/>
      <w:lang w:val="zh-CN"/>
    </w:rPr>
  </w:style>
  <w:style w:type="table" w:styleId="34">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5">
    <w:name w:val="Título 1 Char"/>
    <w:basedOn w:val="11"/>
    <w:link w:val="2"/>
    <w:qFormat/>
    <w:uiPriority w:val="0"/>
    <w:rPr>
      <w:rFonts w:ascii="Calibri Light" w:hAnsi="Calibri Light" w:eastAsia="DengXian Light" w:cs="Calibri Light"/>
      <w:b/>
      <w:bCs/>
      <w:kern w:val="2"/>
      <w:sz w:val="32"/>
      <w:szCs w:val="32"/>
      <w:lang w:eastAsia="zh-CN"/>
    </w:rPr>
  </w:style>
  <w:style w:type="character" w:customStyle="1" w:styleId="36">
    <w:name w:val="Título 2 Char"/>
    <w:basedOn w:val="11"/>
    <w:link w:val="3"/>
    <w:qFormat/>
    <w:uiPriority w:val="0"/>
    <w:rPr>
      <w:rFonts w:ascii="Arial" w:hAnsi="Arial" w:eastAsia="Times New Roman" w:cs="Arial"/>
      <w:b/>
      <w:bCs/>
      <w:sz w:val="20"/>
      <w:szCs w:val="20"/>
      <w:lang w:val="pt-PT" w:eastAsia="zh-CN"/>
    </w:rPr>
  </w:style>
  <w:style w:type="character" w:customStyle="1" w:styleId="37">
    <w:name w:val="Título 3 Char"/>
    <w:basedOn w:val="11"/>
    <w:link w:val="4"/>
    <w:qFormat/>
    <w:uiPriority w:val="0"/>
    <w:rPr>
      <w:rFonts w:ascii="Calibri Light" w:hAnsi="Calibri Light" w:eastAsia="DengXian Light" w:cs="Calibri"/>
      <w:color w:val="1F3864"/>
      <w:sz w:val="24"/>
      <w:szCs w:val="24"/>
      <w:lang w:eastAsia="zh-CN"/>
    </w:rPr>
  </w:style>
  <w:style w:type="character" w:customStyle="1" w:styleId="38">
    <w:name w:val="Título 4 Char"/>
    <w:basedOn w:val="11"/>
    <w:link w:val="5"/>
    <w:qFormat/>
    <w:uiPriority w:val="0"/>
    <w:rPr>
      <w:rFonts w:ascii="Calibri Light" w:hAnsi="Calibri Light" w:eastAsia="DengXian Light" w:cs="Calibri"/>
      <w:i/>
      <w:iCs/>
      <w:color w:val="2F5496"/>
      <w:lang w:val="pt-PT" w:eastAsia="zh-CN" w:bidi="pt-PT"/>
    </w:rPr>
  </w:style>
  <w:style w:type="character" w:customStyle="1" w:styleId="39">
    <w:name w:val="Título 5 Char"/>
    <w:basedOn w:val="11"/>
    <w:link w:val="6"/>
    <w:qFormat/>
    <w:uiPriority w:val="0"/>
    <w:rPr>
      <w:rFonts w:ascii="Arial" w:hAnsi="Arial" w:eastAsia="Times New Roman" w:cs="Arial"/>
      <w:b/>
      <w:i/>
      <w:sz w:val="32"/>
      <w:szCs w:val="20"/>
      <w:lang w:eastAsia="zh-CN"/>
    </w:rPr>
  </w:style>
  <w:style w:type="character" w:customStyle="1" w:styleId="40">
    <w:name w:val="Título 6 Char"/>
    <w:basedOn w:val="11"/>
    <w:link w:val="7"/>
    <w:qFormat/>
    <w:uiPriority w:val="0"/>
    <w:rPr>
      <w:rFonts w:ascii="Arial" w:hAnsi="Arial" w:eastAsia="Times New Roman" w:cs="Arial"/>
      <w:b/>
      <w:sz w:val="24"/>
      <w:szCs w:val="20"/>
      <w:lang w:eastAsia="zh-CN"/>
    </w:rPr>
  </w:style>
  <w:style w:type="character" w:customStyle="1" w:styleId="41">
    <w:name w:val="Título 7 Char"/>
    <w:basedOn w:val="11"/>
    <w:link w:val="8"/>
    <w:qFormat/>
    <w:uiPriority w:val="0"/>
    <w:rPr>
      <w:rFonts w:ascii="Arial" w:hAnsi="Arial" w:eastAsia="Times New Roman" w:cs="Arial"/>
      <w:b/>
      <w:sz w:val="24"/>
      <w:szCs w:val="20"/>
      <w:lang w:eastAsia="zh-CN"/>
    </w:rPr>
  </w:style>
  <w:style w:type="character" w:customStyle="1" w:styleId="42">
    <w:name w:val="Título 8 Char"/>
    <w:basedOn w:val="11"/>
    <w:link w:val="9"/>
    <w:qFormat/>
    <w:uiPriority w:val="0"/>
    <w:rPr>
      <w:rFonts w:ascii="Arial" w:hAnsi="Arial" w:eastAsia="Times New Roman" w:cs="Arial"/>
      <w:b/>
      <w:sz w:val="24"/>
      <w:szCs w:val="20"/>
      <w:lang w:eastAsia="zh-CN"/>
    </w:rPr>
  </w:style>
  <w:style w:type="character" w:customStyle="1" w:styleId="43">
    <w:name w:val="Título 9 Char"/>
    <w:basedOn w:val="11"/>
    <w:link w:val="10"/>
    <w:qFormat/>
    <w:uiPriority w:val="0"/>
    <w:rPr>
      <w:rFonts w:ascii="Arial" w:hAnsi="Arial" w:eastAsia="Times New Roman" w:cs="Arial"/>
      <w:b/>
      <w:i/>
      <w:sz w:val="28"/>
      <w:szCs w:val="20"/>
      <w:lang w:eastAsia="zh-CN"/>
    </w:rPr>
  </w:style>
  <w:style w:type="character" w:customStyle="1" w:styleId="44">
    <w:name w:val="Fonte parág. padrão4"/>
    <w:qFormat/>
    <w:uiPriority w:val="0"/>
  </w:style>
  <w:style w:type="character" w:customStyle="1" w:styleId="45">
    <w:name w:val="Corpo de texto Char"/>
    <w:basedOn w:val="11"/>
    <w:link w:val="21"/>
    <w:qFormat/>
    <w:uiPriority w:val="0"/>
    <w:rPr>
      <w:rFonts w:ascii="Arial" w:hAnsi="Arial" w:eastAsia="Times New Roman" w:cs="Arial"/>
      <w:sz w:val="20"/>
      <w:szCs w:val="20"/>
      <w:lang w:val="pt-PT" w:eastAsia="zh-CN"/>
    </w:rPr>
  </w:style>
  <w:style w:type="character" w:customStyle="1" w:styleId="46">
    <w:name w:val="Pré-formatação HTML Char"/>
    <w:basedOn w:val="11"/>
    <w:link w:val="25"/>
    <w:qFormat/>
    <w:uiPriority w:val="0"/>
    <w:rPr>
      <w:rFonts w:ascii="Arial Unicode MS" w:hAnsi="Arial Unicode MS" w:eastAsia="Arial Unicode MS" w:cs="Arial Unicode MS"/>
      <w:sz w:val="20"/>
      <w:szCs w:val="20"/>
      <w:lang w:eastAsia="zh-CN"/>
    </w:rPr>
  </w:style>
  <w:style w:type="character" w:customStyle="1" w:styleId="47">
    <w:name w:val="Cabeçalho Char"/>
    <w:basedOn w:val="11"/>
    <w:link w:val="26"/>
    <w:qFormat/>
    <w:uiPriority w:val="0"/>
    <w:rPr>
      <w:rFonts w:ascii="Calibri" w:hAnsi="Calibri" w:eastAsia="DengXian" w:cs="Calibri"/>
      <w:lang w:eastAsia="zh-CN"/>
    </w:rPr>
  </w:style>
  <w:style w:type="character" w:customStyle="1" w:styleId="48">
    <w:name w:val="Rodapé Char"/>
    <w:basedOn w:val="11"/>
    <w:link w:val="28"/>
    <w:qFormat/>
    <w:uiPriority w:val="0"/>
    <w:rPr>
      <w:rFonts w:ascii="Calibri" w:hAnsi="Calibri" w:eastAsia="DengXian" w:cs="Calibri"/>
      <w:lang w:eastAsia="zh-CN"/>
    </w:rPr>
  </w:style>
  <w:style w:type="character" w:customStyle="1" w:styleId="49">
    <w:name w:val="Texto de balão Char"/>
    <w:basedOn w:val="11"/>
    <w:link w:val="30"/>
    <w:qFormat/>
    <w:uiPriority w:val="0"/>
    <w:rPr>
      <w:rFonts w:ascii="Segoe UI" w:hAnsi="Segoe UI" w:eastAsia="DengXian" w:cs="Segoe UI"/>
      <w:sz w:val="18"/>
      <w:szCs w:val="18"/>
      <w:lang w:eastAsia="zh-CN"/>
    </w:rPr>
  </w:style>
  <w:style w:type="character" w:customStyle="1" w:styleId="50">
    <w:name w:val="Subtítulo Char"/>
    <w:basedOn w:val="11"/>
    <w:link w:val="31"/>
    <w:qFormat/>
    <w:uiPriority w:val="0"/>
    <w:rPr>
      <w:rFonts w:ascii="Times New Roman" w:hAnsi="Times New Roman" w:eastAsia="Times New Roman" w:cs="Times New Roman"/>
      <w:b/>
      <w:sz w:val="26"/>
      <w:szCs w:val="24"/>
      <w:lang w:eastAsia="zh-CN"/>
    </w:rPr>
  </w:style>
  <w:style w:type="character" w:customStyle="1" w:styleId="51">
    <w:name w:val="Recuo de corpo de texto Char"/>
    <w:basedOn w:val="11"/>
    <w:link w:val="33"/>
    <w:qFormat/>
    <w:uiPriority w:val="0"/>
    <w:rPr>
      <w:rFonts w:ascii="Times New Roman" w:hAnsi="Times New Roman" w:eastAsia="Times New Roman" w:cs="Times New Roman"/>
      <w:sz w:val="24"/>
      <w:szCs w:val="24"/>
      <w:lang w:val="zh-CN" w:eastAsia="zh-CN"/>
    </w:rPr>
  </w:style>
  <w:style w:type="character" w:customStyle="1" w:styleId="52">
    <w:name w:val="WW8Num4z0"/>
    <w:qFormat/>
    <w:uiPriority w:val="0"/>
    <w:rPr>
      <w:rFonts w:ascii="Wingdings" w:hAnsi="Wingdings" w:cs="Wingdings"/>
    </w:rPr>
  </w:style>
  <w:style w:type="character" w:customStyle="1" w:styleId="53">
    <w:name w:val="WW8Num4z1"/>
    <w:qFormat/>
    <w:uiPriority w:val="0"/>
    <w:rPr>
      <w:rFonts w:ascii="Courier New" w:hAnsi="Courier New" w:cs="Courier New"/>
    </w:rPr>
  </w:style>
  <w:style w:type="character" w:customStyle="1" w:styleId="54">
    <w:name w:val="WW8Num4z3"/>
    <w:qFormat/>
    <w:uiPriority w:val="0"/>
    <w:rPr>
      <w:rFonts w:ascii="Symbol" w:hAnsi="Symbol" w:cs="Symbol"/>
    </w:rPr>
  </w:style>
  <w:style w:type="character" w:customStyle="1" w:styleId="55">
    <w:name w:val="WW8Num5z0"/>
    <w:qFormat/>
    <w:uiPriority w:val="0"/>
    <w:rPr>
      <w:rFonts w:ascii="Wingdings" w:hAnsi="Wingdings" w:cs="Wingdings"/>
    </w:rPr>
  </w:style>
  <w:style w:type="character" w:customStyle="1" w:styleId="56">
    <w:name w:val="WW8Num5z1"/>
    <w:qFormat/>
    <w:uiPriority w:val="0"/>
    <w:rPr>
      <w:rFonts w:ascii="Courier New" w:hAnsi="Courier New" w:cs="Courier New"/>
    </w:rPr>
  </w:style>
  <w:style w:type="character" w:customStyle="1" w:styleId="57">
    <w:name w:val="WW8Num5z3"/>
    <w:qFormat/>
    <w:uiPriority w:val="0"/>
    <w:rPr>
      <w:rFonts w:ascii="Symbol" w:hAnsi="Symbol" w:cs="Symbol"/>
    </w:rPr>
  </w:style>
  <w:style w:type="character" w:customStyle="1" w:styleId="58">
    <w:name w:val="WW8Num7z0"/>
    <w:qFormat/>
    <w:uiPriority w:val="0"/>
  </w:style>
  <w:style w:type="character" w:customStyle="1" w:styleId="59">
    <w:name w:val="WW8Num8z0"/>
    <w:qFormat/>
    <w:uiPriority w:val="0"/>
    <w:rPr>
      <w:rFonts w:hint="default"/>
    </w:rPr>
  </w:style>
  <w:style w:type="character" w:customStyle="1" w:styleId="60">
    <w:name w:val="WW8Num10z0"/>
    <w:qFormat/>
    <w:uiPriority w:val="0"/>
    <w:rPr>
      <w:rFonts w:hint="default"/>
    </w:rPr>
  </w:style>
  <w:style w:type="character" w:customStyle="1" w:styleId="61">
    <w:name w:val="WW8Num11z0"/>
    <w:qFormat/>
    <w:uiPriority w:val="0"/>
    <w:rPr>
      <w:rFonts w:hint="default"/>
    </w:rPr>
  </w:style>
  <w:style w:type="character" w:customStyle="1" w:styleId="62">
    <w:name w:val="WW8Num12z0"/>
    <w:qFormat/>
    <w:uiPriority w:val="0"/>
    <w:rPr>
      <w:rFonts w:ascii="Arial" w:hAnsi="Arial" w:eastAsia="Arial" w:cs="Arial"/>
      <w:color w:val="000000"/>
      <w:position w:val="0"/>
      <w:sz w:val="20"/>
      <w:szCs w:val="20"/>
      <w:u w:val="none" w:color="000000"/>
      <w:vertAlign w:val="baseline"/>
    </w:rPr>
  </w:style>
  <w:style w:type="character" w:customStyle="1" w:styleId="63">
    <w:name w:val="WW8Num12z1"/>
    <w:qFormat/>
    <w:uiPriority w:val="0"/>
    <w:rPr>
      <w:rFonts w:ascii="Segoe UI Symbol" w:hAnsi="Segoe UI Symbol" w:eastAsia="Segoe UI Symbol" w:cs="Segoe UI Symbol"/>
      <w:color w:val="000000"/>
      <w:position w:val="0"/>
      <w:sz w:val="20"/>
      <w:szCs w:val="20"/>
      <w:u w:val="none" w:color="000000"/>
      <w:vertAlign w:val="baseline"/>
    </w:rPr>
  </w:style>
  <w:style w:type="character" w:customStyle="1" w:styleId="64">
    <w:name w:val="WW8Num14z0"/>
    <w:qFormat/>
    <w:uiPriority w:val="0"/>
    <w:rPr>
      <w:rFonts w:hint="default"/>
    </w:rPr>
  </w:style>
  <w:style w:type="character" w:customStyle="1" w:styleId="65">
    <w:name w:val="WW8Num15z0"/>
    <w:qFormat/>
    <w:uiPriority w:val="0"/>
    <w:rPr>
      <w:rFonts w:hint="default"/>
    </w:rPr>
  </w:style>
  <w:style w:type="character" w:customStyle="1" w:styleId="66">
    <w:name w:val="WW8Num16z0"/>
    <w:qFormat/>
    <w:uiPriority w:val="0"/>
    <w:rPr>
      <w:rFonts w:hint="default"/>
    </w:rPr>
  </w:style>
  <w:style w:type="character" w:customStyle="1" w:styleId="67">
    <w:name w:val="WW8Num17z0"/>
    <w:qFormat/>
    <w:uiPriority w:val="0"/>
    <w:rPr>
      <w:rFonts w:hint="default" w:ascii="Symbol" w:hAnsi="Symbol" w:cs="Symbol"/>
      <w:b/>
    </w:rPr>
  </w:style>
  <w:style w:type="character" w:customStyle="1" w:styleId="68">
    <w:name w:val="WW8Num17z1"/>
    <w:qFormat/>
    <w:uiPriority w:val="0"/>
    <w:rPr>
      <w:rFonts w:hint="default" w:ascii="Courier New" w:hAnsi="Courier New" w:cs="Courier New"/>
    </w:rPr>
  </w:style>
  <w:style w:type="character" w:customStyle="1" w:styleId="69">
    <w:name w:val="WW8Num17z2"/>
    <w:qFormat/>
    <w:uiPriority w:val="0"/>
    <w:rPr>
      <w:rFonts w:hint="default" w:ascii="Wingdings" w:hAnsi="Wingdings" w:cs="Wingdings"/>
    </w:rPr>
  </w:style>
  <w:style w:type="character" w:customStyle="1" w:styleId="70">
    <w:name w:val="WW8Num17z3"/>
    <w:uiPriority w:val="0"/>
    <w:rPr>
      <w:rFonts w:hint="default" w:ascii="Symbol" w:hAnsi="Symbol" w:cs="Symbol"/>
    </w:rPr>
  </w:style>
  <w:style w:type="character" w:customStyle="1" w:styleId="71">
    <w:name w:val="WW8Num19z0"/>
    <w:qFormat/>
    <w:uiPriority w:val="0"/>
    <w:rPr>
      <w:rFonts w:hint="default"/>
    </w:rPr>
  </w:style>
  <w:style w:type="character" w:customStyle="1" w:styleId="72">
    <w:name w:val="WW8Num20z0"/>
    <w:qFormat/>
    <w:uiPriority w:val="0"/>
    <w:rPr>
      <w:rFonts w:hint="default" w:ascii="Symbol" w:hAnsi="Symbol" w:cs="Symbol"/>
    </w:rPr>
  </w:style>
  <w:style w:type="character" w:customStyle="1" w:styleId="73">
    <w:name w:val="WW8Num20z1"/>
    <w:qFormat/>
    <w:uiPriority w:val="0"/>
    <w:rPr>
      <w:rFonts w:hint="default" w:ascii="Courier New" w:hAnsi="Courier New" w:cs="Courier New"/>
    </w:rPr>
  </w:style>
  <w:style w:type="character" w:customStyle="1" w:styleId="74">
    <w:name w:val="WW8Num20z2"/>
    <w:qFormat/>
    <w:uiPriority w:val="0"/>
    <w:rPr>
      <w:rFonts w:hint="default" w:ascii="Wingdings" w:hAnsi="Wingdings" w:cs="Wingdings"/>
    </w:rPr>
  </w:style>
  <w:style w:type="character" w:customStyle="1" w:styleId="75">
    <w:name w:val="WW8Num21z0"/>
    <w:qFormat/>
    <w:uiPriority w:val="0"/>
    <w:rPr>
      <w:rFonts w:hint="default"/>
      <w:b/>
    </w:rPr>
  </w:style>
  <w:style w:type="character" w:customStyle="1" w:styleId="76">
    <w:name w:val="WW8Num22z0"/>
    <w:qFormat/>
    <w:uiPriority w:val="0"/>
    <w:rPr>
      <w:rFonts w:hint="default"/>
    </w:rPr>
  </w:style>
  <w:style w:type="character" w:customStyle="1" w:styleId="77">
    <w:name w:val="WW8Num23z0"/>
    <w:qFormat/>
    <w:uiPriority w:val="0"/>
    <w:rPr>
      <w:rFonts w:hint="default"/>
      <w:b/>
    </w:rPr>
  </w:style>
  <w:style w:type="character" w:customStyle="1" w:styleId="78">
    <w:name w:val="WW8Num24z0"/>
    <w:qFormat/>
    <w:uiPriority w:val="0"/>
    <w:rPr>
      <w:rFonts w:hint="default" w:eastAsia="Calibri"/>
      <w:b/>
    </w:rPr>
  </w:style>
  <w:style w:type="character" w:customStyle="1" w:styleId="79">
    <w:name w:val="WW8Num25z0"/>
    <w:qFormat/>
    <w:uiPriority w:val="0"/>
    <w:rPr>
      <w:rFonts w:ascii="Arial" w:hAnsi="Arial" w:eastAsia="Times New Roman" w:cs="Arial"/>
    </w:rPr>
  </w:style>
  <w:style w:type="character" w:customStyle="1" w:styleId="80">
    <w:name w:val="WW8Num25z1"/>
    <w:qFormat/>
    <w:uiPriority w:val="0"/>
    <w:rPr>
      <w:rFonts w:hint="default"/>
    </w:rPr>
  </w:style>
  <w:style w:type="character" w:customStyle="1" w:styleId="81">
    <w:name w:val="WW8Num26z0"/>
    <w:qFormat/>
    <w:uiPriority w:val="0"/>
  </w:style>
  <w:style w:type="character" w:customStyle="1" w:styleId="82">
    <w:name w:val="WW8Num26z1"/>
    <w:qFormat/>
    <w:uiPriority w:val="0"/>
    <w:rPr>
      <w:color w:val="000000"/>
    </w:rPr>
  </w:style>
  <w:style w:type="character" w:customStyle="1" w:styleId="83">
    <w:name w:val="WW8Num27z0"/>
    <w:qFormat/>
    <w:uiPriority w:val="0"/>
    <w:rPr>
      <w:rFonts w:hint="default"/>
      <w:b/>
    </w:rPr>
  </w:style>
  <w:style w:type="character" w:customStyle="1" w:styleId="84">
    <w:name w:val="WW8Num28z0"/>
    <w:qFormat/>
    <w:uiPriority w:val="0"/>
    <w:rPr>
      <w:rFonts w:hint="default" w:ascii="Symbol" w:hAnsi="Symbol" w:cs="Symbol"/>
    </w:rPr>
  </w:style>
  <w:style w:type="character" w:customStyle="1" w:styleId="85">
    <w:name w:val="WW8Num28z1"/>
    <w:qFormat/>
    <w:uiPriority w:val="0"/>
    <w:rPr>
      <w:rFonts w:hint="default" w:ascii="Courier New" w:hAnsi="Courier New" w:cs="Courier New"/>
    </w:rPr>
  </w:style>
  <w:style w:type="character" w:customStyle="1" w:styleId="86">
    <w:name w:val="WW8Num28z2"/>
    <w:qFormat/>
    <w:uiPriority w:val="0"/>
    <w:rPr>
      <w:rFonts w:hint="default" w:ascii="Wingdings" w:hAnsi="Wingdings" w:cs="Wingdings"/>
    </w:rPr>
  </w:style>
  <w:style w:type="character" w:customStyle="1" w:styleId="87">
    <w:name w:val="WW8Num29z0"/>
    <w:qFormat/>
    <w:uiPriority w:val="0"/>
    <w:rPr>
      <w:rFonts w:hint="default"/>
      <w:b/>
      <w:sz w:val="28"/>
    </w:rPr>
  </w:style>
  <w:style w:type="character" w:customStyle="1" w:styleId="88">
    <w:name w:val="WW8Num29z2"/>
    <w:qFormat/>
    <w:uiPriority w:val="0"/>
    <w:rPr>
      <w:rFonts w:hint="default"/>
      <w:b/>
      <w:sz w:val="24"/>
      <w:szCs w:val="24"/>
    </w:rPr>
  </w:style>
  <w:style w:type="character" w:customStyle="1" w:styleId="89">
    <w:name w:val="WW8Num30z0"/>
    <w:qFormat/>
    <w:uiPriority w:val="0"/>
    <w:rPr>
      <w:rFonts w:hint="default"/>
    </w:rPr>
  </w:style>
  <w:style w:type="character" w:customStyle="1" w:styleId="90">
    <w:name w:val="WW8Num31z0"/>
    <w:qFormat/>
    <w:uiPriority w:val="0"/>
    <w:rPr>
      <w:rFonts w:hint="default"/>
    </w:rPr>
  </w:style>
  <w:style w:type="character" w:customStyle="1" w:styleId="91">
    <w:name w:val="WW8Num32z0"/>
    <w:qFormat/>
    <w:uiPriority w:val="0"/>
    <w:rPr>
      <w:rFonts w:hint="default"/>
    </w:rPr>
  </w:style>
  <w:style w:type="character" w:customStyle="1" w:styleId="92">
    <w:name w:val="WW8Num33z0"/>
    <w:qFormat/>
    <w:uiPriority w:val="0"/>
    <w:rPr>
      <w:rFonts w:hint="default"/>
    </w:rPr>
  </w:style>
  <w:style w:type="character" w:customStyle="1" w:styleId="93">
    <w:name w:val="WW8Num34z0"/>
    <w:qFormat/>
    <w:uiPriority w:val="0"/>
    <w:rPr>
      <w:rFonts w:hint="default"/>
    </w:rPr>
  </w:style>
  <w:style w:type="character" w:customStyle="1" w:styleId="94">
    <w:name w:val="WW8Num35z0"/>
    <w:uiPriority w:val="0"/>
    <w:rPr>
      <w:rFonts w:hint="default" w:ascii="Wingdings" w:hAnsi="Wingdings" w:cs="Wingdings"/>
    </w:rPr>
  </w:style>
  <w:style w:type="character" w:customStyle="1" w:styleId="95">
    <w:name w:val="WW8Num35z1"/>
    <w:uiPriority w:val="0"/>
    <w:rPr>
      <w:rFonts w:hint="default" w:ascii="Courier New" w:hAnsi="Courier New" w:cs="Courier New"/>
    </w:rPr>
  </w:style>
  <w:style w:type="character" w:customStyle="1" w:styleId="96">
    <w:name w:val="WW8Num35z3"/>
    <w:uiPriority w:val="0"/>
    <w:rPr>
      <w:rFonts w:hint="default" w:ascii="Symbol" w:hAnsi="Symbol" w:cs="Symbol"/>
    </w:rPr>
  </w:style>
  <w:style w:type="character" w:customStyle="1" w:styleId="97">
    <w:name w:val="WW8Num36z0"/>
    <w:qFormat/>
    <w:uiPriority w:val="0"/>
    <w:rPr>
      <w:rFonts w:ascii="Arial" w:hAnsi="Arial" w:eastAsia="Times New Roman" w:cs="Arial"/>
    </w:rPr>
  </w:style>
  <w:style w:type="character" w:customStyle="1" w:styleId="98">
    <w:name w:val="WW8Num37z0"/>
    <w:qFormat/>
    <w:uiPriority w:val="0"/>
    <w:rPr>
      <w:rFonts w:hint="default" w:ascii="Symbol" w:hAnsi="Symbol" w:eastAsia="Times New Roman" w:cs="Times New Roman"/>
    </w:rPr>
  </w:style>
  <w:style w:type="character" w:customStyle="1" w:styleId="99">
    <w:name w:val="WW8Num38z0"/>
    <w:uiPriority w:val="0"/>
    <w:rPr>
      <w:rFonts w:hint="default"/>
    </w:rPr>
  </w:style>
  <w:style w:type="character" w:customStyle="1" w:styleId="100">
    <w:name w:val="WW8Num39z0"/>
    <w:qFormat/>
    <w:uiPriority w:val="0"/>
    <w:rPr>
      <w:rFonts w:hint="default" w:ascii="Courier New" w:hAnsi="Courier New" w:cs="Courier New"/>
    </w:rPr>
  </w:style>
  <w:style w:type="character" w:customStyle="1" w:styleId="101">
    <w:name w:val="WW8Num39z2"/>
    <w:qFormat/>
    <w:uiPriority w:val="0"/>
    <w:rPr>
      <w:rFonts w:hint="default" w:ascii="Wingdings" w:hAnsi="Wingdings" w:cs="Wingdings"/>
    </w:rPr>
  </w:style>
  <w:style w:type="character" w:customStyle="1" w:styleId="102">
    <w:name w:val="WW8Num39z3"/>
    <w:qFormat/>
    <w:uiPriority w:val="0"/>
    <w:rPr>
      <w:rFonts w:hint="default" w:ascii="Symbol" w:hAnsi="Symbol" w:cs="Symbol"/>
    </w:rPr>
  </w:style>
  <w:style w:type="character" w:customStyle="1" w:styleId="103">
    <w:name w:val="WW8Num40z0"/>
    <w:uiPriority w:val="0"/>
    <w:rPr>
      <w:rFonts w:hint="default" w:ascii="Wingdings" w:hAnsi="Wingdings" w:cs="Wingdings"/>
    </w:rPr>
  </w:style>
  <w:style w:type="character" w:customStyle="1" w:styleId="104">
    <w:name w:val="WW8Num40z1"/>
    <w:qFormat/>
    <w:uiPriority w:val="0"/>
    <w:rPr>
      <w:rFonts w:hint="default" w:ascii="Courier New" w:hAnsi="Courier New" w:cs="Courier New"/>
    </w:rPr>
  </w:style>
  <w:style w:type="character" w:customStyle="1" w:styleId="105">
    <w:name w:val="WW8Num40z3"/>
    <w:qFormat/>
    <w:uiPriority w:val="0"/>
    <w:rPr>
      <w:rFonts w:hint="default" w:ascii="Symbol" w:hAnsi="Symbol" w:cs="Symbol"/>
    </w:rPr>
  </w:style>
  <w:style w:type="character" w:customStyle="1" w:styleId="106">
    <w:name w:val="WW8Num41z0"/>
    <w:qFormat/>
    <w:uiPriority w:val="0"/>
    <w:rPr>
      <w:rFonts w:hint="default" w:ascii="Courier New" w:hAnsi="Courier New" w:cs="Courier New"/>
    </w:rPr>
  </w:style>
  <w:style w:type="character" w:customStyle="1" w:styleId="107">
    <w:name w:val="WW8Num41z2"/>
    <w:qFormat/>
    <w:uiPriority w:val="0"/>
    <w:rPr>
      <w:rFonts w:hint="default" w:ascii="Wingdings" w:hAnsi="Wingdings" w:cs="Wingdings"/>
    </w:rPr>
  </w:style>
  <w:style w:type="character" w:customStyle="1" w:styleId="108">
    <w:name w:val="WW8Num41z3"/>
    <w:qFormat/>
    <w:uiPriority w:val="0"/>
    <w:rPr>
      <w:rFonts w:hint="default" w:ascii="Symbol" w:hAnsi="Symbol" w:cs="Symbol"/>
    </w:rPr>
  </w:style>
  <w:style w:type="character" w:customStyle="1" w:styleId="109">
    <w:name w:val="WW8Num42z0"/>
    <w:qFormat/>
    <w:uiPriority w:val="0"/>
    <w:rPr>
      <w:rFonts w:hint="default"/>
    </w:rPr>
  </w:style>
  <w:style w:type="character" w:customStyle="1" w:styleId="110">
    <w:name w:val="WW8Num43z0"/>
    <w:qFormat/>
    <w:uiPriority w:val="0"/>
    <w:rPr>
      <w:rFonts w:hint="default"/>
    </w:rPr>
  </w:style>
  <w:style w:type="character" w:customStyle="1" w:styleId="111">
    <w:name w:val="WW8Num44z0"/>
    <w:qFormat/>
    <w:uiPriority w:val="0"/>
    <w:rPr>
      <w:rFonts w:hint="default"/>
    </w:rPr>
  </w:style>
  <w:style w:type="character" w:customStyle="1" w:styleId="112">
    <w:name w:val="WW8Num45z0"/>
    <w:uiPriority w:val="0"/>
    <w:rPr>
      <w:rFonts w:hint="default"/>
    </w:rPr>
  </w:style>
  <w:style w:type="character" w:customStyle="1" w:styleId="113">
    <w:name w:val="WW8Num46z0"/>
    <w:uiPriority w:val="0"/>
    <w:rPr>
      <w:rFonts w:hint="default" w:ascii="Symbol" w:hAnsi="Symbol" w:cs="Symbol"/>
    </w:rPr>
  </w:style>
  <w:style w:type="character" w:customStyle="1" w:styleId="114">
    <w:name w:val="WW8Num46z1"/>
    <w:uiPriority w:val="0"/>
    <w:rPr>
      <w:rFonts w:hint="default" w:ascii="Courier New" w:hAnsi="Courier New" w:cs="Courier New"/>
    </w:rPr>
  </w:style>
  <w:style w:type="character" w:customStyle="1" w:styleId="115">
    <w:name w:val="WW8Num46z2"/>
    <w:qFormat/>
    <w:uiPriority w:val="0"/>
    <w:rPr>
      <w:rFonts w:hint="default" w:ascii="Wingdings" w:hAnsi="Wingdings" w:cs="Wingdings"/>
    </w:rPr>
  </w:style>
  <w:style w:type="character" w:customStyle="1" w:styleId="116">
    <w:name w:val="WW8Num6z1"/>
    <w:qFormat/>
    <w:uiPriority w:val="0"/>
  </w:style>
  <w:style w:type="character" w:customStyle="1" w:styleId="117">
    <w:name w:val="WW8Num7z1"/>
    <w:qFormat/>
    <w:uiPriority w:val="0"/>
  </w:style>
  <w:style w:type="character" w:customStyle="1" w:styleId="118">
    <w:name w:val="WW8Num8z1"/>
    <w:qFormat/>
    <w:uiPriority w:val="0"/>
  </w:style>
  <w:style w:type="character" w:customStyle="1" w:styleId="119">
    <w:name w:val="WW8Num9z1"/>
    <w:qFormat/>
    <w:uiPriority w:val="0"/>
  </w:style>
  <w:style w:type="character" w:customStyle="1" w:styleId="120">
    <w:name w:val="WW8Num10z1"/>
    <w:qFormat/>
    <w:uiPriority w:val="0"/>
  </w:style>
  <w:style w:type="character" w:customStyle="1" w:styleId="121">
    <w:name w:val="WW8Num11z1"/>
    <w:qFormat/>
    <w:uiPriority w:val="0"/>
  </w:style>
  <w:style w:type="character" w:customStyle="1" w:styleId="122">
    <w:name w:val="WW8Num13z0"/>
    <w:qFormat/>
    <w:uiPriority w:val="0"/>
  </w:style>
  <w:style w:type="character" w:customStyle="1" w:styleId="123">
    <w:name w:val="WW8Num15z1"/>
    <w:uiPriority w:val="0"/>
    <w:rPr>
      <w:rFonts w:ascii="Arial" w:hAnsi="Arial" w:cs="Arial"/>
    </w:rPr>
  </w:style>
  <w:style w:type="character" w:customStyle="1" w:styleId="124">
    <w:name w:val="WW8Num15z2"/>
    <w:qFormat/>
    <w:uiPriority w:val="0"/>
  </w:style>
  <w:style w:type="character" w:customStyle="1" w:styleId="125">
    <w:name w:val="Fonte parág. padrão3"/>
    <w:qFormat/>
    <w:uiPriority w:val="0"/>
  </w:style>
  <w:style w:type="character" w:customStyle="1" w:styleId="126">
    <w:name w:val="Fonte parág. padrão2"/>
    <w:qFormat/>
    <w:uiPriority w:val="0"/>
  </w:style>
  <w:style w:type="character" w:customStyle="1" w:styleId="127">
    <w:name w:val="WW8Num3z0"/>
    <w:uiPriority w:val="0"/>
    <w:rPr>
      <w:rFonts w:ascii="Wingdings" w:hAnsi="Wingdings" w:cs="Wingdings"/>
    </w:rPr>
  </w:style>
  <w:style w:type="character" w:customStyle="1" w:styleId="128">
    <w:name w:val="WW8Num3z1"/>
    <w:qFormat/>
    <w:uiPriority w:val="0"/>
    <w:rPr>
      <w:rFonts w:ascii="Courier New" w:hAnsi="Courier New" w:cs="Courier New"/>
    </w:rPr>
  </w:style>
  <w:style w:type="character" w:customStyle="1" w:styleId="129">
    <w:name w:val="WW8Num3z3"/>
    <w:qFormat/>
    <w:uiPriority w:val="0"/>
    <w:rPr>
      <w:rFonts w:ascii="Symbol" w:hAnsi="Symbol" w:cs="Symbol"/>
    </w:rPr>
  </w:style>
  <w:style w:type="character" w:customStyle="1" w:styleId="130">
    <w:name w:val="WW8Num14z1"/>
    <w:qFormat/>
    <w:uiPriority w:val="0"/>
  </w:style>
  <w:style w:type="character" w:customStyle="1" w:styleId="131">
    <w:name w:val="Fonte parág. padrão1"/>
    <w:qFormat/>
    <w:uiPriority w:val="0"/>
  </w:style>
  <w:style w:type="character" w:customStyle="1" w:styleId="132">
    <w:name w:val="Fonte parág. padrão5"/>
    <w:uiPriority w:val="0"/>
  </w:style>
  <w:style w:type="character" w:customStyle="1" w:styleId="133">
    <w:name w:val="Forte1"/>
    <w:qFormat/>
    <w:uiPriority w:val="0"/>
    <w:rPr>
      <w:b/>
      <w:bCs/>
    </w:rPr>
  </w:style>
  <w:style w:type="character" w:customStyle="1" w:styleId="134">
    <w:name w:val="Ref. de comentário1"/>
    <w:qFormat/>
    <w:uiPriority w:val="0"/>
    <w:rPr>
      <w:sz w:val="16"/>
      <w:szCs w:val="16"/>
    </w:rPr>
  </w:style>
  <w:style w:type="character" w:customStyle="1" w:styleId="135">
    <w:name w:val="Número de página1"/>
    <w:qFormat/>
    <w:uiPriority w:val="0"/>
    <w:rPr>
      <w:rFonts w:cs="Times New Roman"/>
    </w:rPr>
  </w:style>
  <w:style w:type="character" w:customStyle="1" w:styleId="136">
    <w:name w:val="Título Char"/>
    <w:qFormat/>
    <w:uiPriority w:val="0"/>
    <w:rPr>
      <w:rFonts w:ascii="Arial" w:hAnsi="Arial" w:eastAsia="Times New Roman" w:cs="Arial"/>
      <w:b/>
      <w:bCs/>
      <w:szCs w:val="24"/>
      <w:u w:val="single"/>
      <w:lang w:val="zh-CN" w:eastAsia="zh-CN"/>
    </w:rPr>
  </w:style>
  <w:style w:type="character" w:customStyle="1" w:styleId="137">
    <w:name w:val="Menção Pendente1"/>
    <w:uiPriority w:val="0"/>
    <w:rPr>
      <w:color w:val="808080"/>
      <w:shd w:val="clear" w:color="auto" w:fill="E6E6E6"/>
    </w:rPr>
  </w:style>
  <w:style w:type="character" w:customStyle="1" w:styleId="138">
    <w:name w:val="Recuo de corpo de texto 2 Char"/>
    <w:uiPriority w:val="0"/>
  </w:style>
  <w:style w:type="character" w:customStyle="1" w:styleId="139">
    <w:name w:val="Corpo de texto 2 Char"/>
    <w:qFormat/>
    <w:uiPriority w:val="0"/>
  </w:style>
  <w:style w:type="character" w:customStyle="1" w:styleId="140">
    <w:name w:val="Corpo de texto 3 Char"/>
    <w:uiPriority w:val="0"/>
    <w:rPr>
      <w:sz w:val="16"/>
      <w:szCs w:val="16"/>
    </w:rPr>
  </w:style>
  <w:style w:type="character" w:customStyle="1" w:styleId="141">
    <w:name w:val="Recuo de corpo de texto 3 Char"/>
    <w:uiPriority w:val="0"/>
    <w:rPr>
      <w:rFonts w:ascii="Times New Roman" w:hAnsi="Times New Roman" w:eastAsia="Times New Roman" w:cs="Times New Roman"/>
      <w:sz w:val="16"/>
      <w:szCs w:val="16"/>
      <w:lang w:val="zh-CN" w:eastAsia="zh-CN"/>
    </w:rPr>
  </w:style>
  <w:style w:type="character" w:customStyle="1" w:styleId="142">
    <w:name w:val="apple-converted-space"/>
    <w:qFormat/>
    <w:uiPriority w:val="0"/>
  </w:style>
  <w:style w:type="character" w:customStyle="1" w:styleId="143">
    <w:name w:val="normaltextrun scx88128021"/>
    <w:qFormat/>
    <w:uiPriority w:val="0"/>
  </w:style>
  <w:style w:type="character" w:customStyle="1" w:styleId="144">
    <w:name w:val="Texto de comentário Char"/>
    <w:qFormat/>
    <w:uiPriority w:val="0"/>
    <w:rPr>
      <w:rFonts w:ascii="Times New Roman" w:hAnsi="Times New Roman" w:eastAsia="Times New Roman" w:cs="Times New Roman"/>
      <w:sz w:val="20"/>
      <w:szCs w:val="20"/>
    </w:rPr>
  </w:style>
  <w:style w:type="character" w:customStyle="1" w:styleId="145">
    <w:name w:val="Assunto do comentário Char"/>
    <w:qFormat/>
    <w:uiPriority w:val="0"/>
    <w:rPr>
      <w:rFonts w:ascii="Times New Roman" w:hAnsi="Times New Roman" w:eastAsia="Times New Roman" w:cs="Times New Roman"/>
      <w:b/>
      <w:bCs/>
      <w:sz w:val="20"/>
      <w:szCs w:val="20"/>
    </w:rPr>
  </w:style>
  <w:style w:type="character" w:customStyle="1" w:styleId="146">
    <w:name w:val="Menção Pendente2"/>
    <w:qFormat/>
    <w:uiPriority w:val="0"/>
    <w:rPr>
      <w:color w:val="605E5C"/>
      <w:shd w:val="clear" w:color="auto" w:fill="E1DFDD"/>
    </w:rPr>
  </w:style>
  <w:style w:type="character" w:customStyle="1" w:styleId="147">
    <w:name w:val="tex31"/>
    <w:qFormat/>
    <w:uiPriority w:val="0"/>
    <w:rPr>
      <w:rFonts w:ascii="Verdana" w:hAnsi="Verdana" w:cs="Verdana"/>
      <w:color w:val="000000"/>
      <w:sz w:val="21"/>
      <w:szCs w:val="21"/>
    </w:rPr>
  </w:style>
  <w:style w:type="character" w:customStyle="1" w:styleId="148">
    <w:name w:val="Menção Pendente3"/>
    <w:qFormat/>
    <w:uiPriority w:val="0"/>
    <w:rPr>
      <w:color w:val="605E5C"/>
      <w:shd w:val="clear" w:color="auto" w:fill="E1DFDD"/>
    </w:rPr>
  </w:style>
  <w:style w:type="character" w:customStyle="1" w:styleId="149">
    <w:name w:val="normal__char1"/>
    <w:uiPriority w:val="0"/>
    <w:rPr>
      <w:rFonts w:ascii="Times New Roman" w:hAnsi="Times New Roman" w:cs="Times New Roman"/>
      <w:sz w:val="24"/>
      <w:szCs w:val="24"/>
      <w:u w:val="none"/>
    </w:rPr>
  </w:style>
  <w:style w:type="character" w:customStyle="1" w:styleId="150">
    <w:name w:val="ListLabel 1"/>
    <w:uiPriority w:val="0"/>
  </w:style>
  <w:style w:type="character" w:customStyle="1" w:styleId="151">
    <w:name w:val="ListLabel 2"/>
    <w:qFormat/>
    <w:uiPriority w:val="0"/>
  </w:style>
  <w:style w:type="character" w:customStyle="1" w:styleId="152">
    <w:name w:val="ListLabel 3"/>
    <w:uiPriority w:val="0"/>
  </w:style>
  <w:style w:type="character" w:customStyle="1" w:styleId="153">
    <w:name w:val="ListLabel 4"/>
    <w:qFormat/>
    <w:uiPriority w:val="0"/>
  </w:style>
  <w:style w:type="character" w:customStyle="1" w:styleId="154">
    <w:name w:val="ListLabel 5"/>
    <w:uiPriority w:val="0"/>
  </w:style>
  <w:style w:type="character" w:customStyle="1" w:styleId="155">
    <w:name w:val="ListLabel 6"/>
    <w:uiPriority w:val="0"/>
  </w:style>
  <w:style w:type="character" w:customStyle="1" w:styleId="156">
    <w:name w:val="ListLabel 7"/>
    <w:qFormat/>
    <w:uiPriority w:val="0"/>
  </w:style>
  <w:style w:type="character" w:customStyle="1" w:styleId="157">
    <w:name w:val="ListLabel 8"/>
    <w:uiPriority w:val="0"/>
  </w:style>
  <w:style w:type="character" w:customStyle="1" w:styleId="158">
    <w:name w:val="ListLabel 9"/>
    <w:qFormat/>
    <w:uiPriority w:val="0"/>
  </w:style>
  <w:style w:type="character" w:customStyle="1" w:styleId="159">
    <w:name w:val="ListLabel 10"/>
    <w:qFormat/>
    <w:uiPriority w:val="0"/>
  </w:style>
  <w:style w:type="character" w:customStyle="1" w:styleId="160">
    <w:name w:val="ListLabel 11"/>
    <w:qFormat/>
    <w:uiPriority w:val="0"/>
  </w:style>
  <w:style w:type="character" w:customStyle="1" w:styleId="161">
    <w:name w:val="ListLabel 12"/>
    <w:uiPriority w:val="0"/>
  </w:style>
  <w:style w:type="character" w:customStyle="1" w:styleId="162">
    <w:name w:val="ListLabel 13"/>
    <w:uiPriority w:val="0"/>
  </w:style>
  <w:style w:type="character" w:customStyle="1" w:styleId="163">
    <w:name w:val="ListLabel 14"/>
    <w:uiPriority w:val="0"/>
  </w:style>
  <w:style w:type="character" w:customStyle="1" w:styleId="164">
    <w:name w:val="ListLabel 15"/>
    <w:uiPriority w:val="0"/>
  </w:style>
  <w:style w:type="character" w:customStyle="1" w:styleId="165">
    <w:name w:val="ListLabel 16"/>
    <w:uiPriority w:val="0"/>
  </w:style>
  <w:style w:type="character" w:customStyle="1" w:styleId="166">
    <w:name w:val="ListLabel 17"/>
    <w:uiPriority w:val="0"/>
  </w:style>
  <w:style w:type="character" w:customStyle="1" w:styleId="167">
    <w:name w:val="ListLabel 18"/>
    <w:uiPriority w:val="0"/>
  </w:style>
  <w:style w:type="character" w:customStyle="1" w:styleId="168">
    <w:name w:val="ListLabel 19"/>
    <w:uiPriority w:val="0"/>
    <w:rPr>
      <w:rFonts w:cs="Wingdings"/>
    </w:rPr>
  </w:style>
  <w:style w:type="character" w:customStyle="1" w:styleId="169">
    <w:name w:val="ListLabel 20"/>
    <w:uiPriority w:val="0"/>
    <w:rPr>
      <w:rFonts w:cs="Courier New"/>
    </w:rPr>
  </w:style>
  <w:style w:type="character" w:customStyle="1" w:styleId="170">
    <w:name w:val="ListLabel 21"/>
    <w:uiPriority w:val="0"/>
    <w:rPr>
      <w:rFonts w:cs="Wingdings"/>
    </w:rPr>
  </w:style>
  <w:style w:type="character" w:customStyle="1" w:styleId="171">
    <w:name w:val="ListLabel 22"/>
    <w:uiPriority w:val="0"/>
    <w:rPr>
      <w:rFonts w:cs="Symbol"/>
    </w:rPr>
  </w:style>
  <w:style w:type="character" w:customStyle="1" w:styleId="172">
    <w:name w:val="ListLabel 23"/>
    <w:qFormat/>
    <w:uiPriority w:val="0"/>
    <w:rPr>
      <w:rFonts w:cs="Courier New"/>
    </w:rPr>
  </w:style>
  <w:style w:type="character" w:customStyle="1" w:styleId="173">
    <w:name w:val="ListLabel 24"/>
    <w:qFormat/>
    <w:uiPriority w:val="0"/>
    <w:rPr>
      <w:rFonts w:cs="Wingdings"/>
    </w:rPr>
  </w:style>
  <w:style w:type="character" w:customStyle="1" w:styleId="174">
    <w:name w:val="ListLabel 25"/>
    <w:qFormat/>
    <w:uiPriority w:val="0"/>
    <w:rPr>
      <w:rFonts w:cs="Symbol"/>
    </w:rPr>
  </w:style>
  <w:style w:type="character" w:customStyle="1" w:styleId="175">
    <w:name w:val="ListLabel 26"/>
    <w:uiPriority w:val="0"/>
    <w:rPr>
      <w:rFonts w:cs="Courier New"/>
    </w:rPr>
  </w:style>
  <w:style w:type="character" w:customStyle="1" w:styleId="176">
    <w:name w:val="ListLabel 27"/>
    <w:qFormat/>
    <w:uiPriority w:val="0"/>
    <w:rPr>
      <w:rFonts w:cs="Wingdings"/>
    </w:rPr>
  </w:style>
  <w:style w:type="character" w:customStyle="1" w:styleId="177">
    <w:name w:val="ListLabel 28"/>
    <w:qFormat/>
    <w:uiPriority w:val="0"/>
    <w:rPr>
      <w:rFonts w:cs="Wingdings"/>
    </w:rPr>
  </w:style>
  <w:style w:type="character" w:customStyle="1" w:styleId="178">
    <w:name w:val="ListLabel 29"/>
    <w:qFormat/>
    <w:uiPriority w:val="0"/>
    <w:rPr>
      <w:rFonts w:cs="Courier New"/>
    </w:rPr>
  </w:style>
  <w:style w:type="character" w:customStyle="1" w:styleId="179">
    <w:name w:val="ListLabel 30"/>
    <w:uiPriority w:val="0"/>
    <w:rPr>
      <w:rFonts w:cs="Wingdings"/>
    </w:rPr>
  </w:style>
  <w:style w:type="character" w:customStyle="1" w:styleId="180">
    <w:name w:val="ListLabel 31"/>
    <w:qFormat/>
    <w:uiPriority w:val="0"/>
    <w:rPr>
      <w:rFonts w:cs="Symbol"/>
    </w:rPr>
  </w:style>
  <w:style w:type="character" w:customStyle="1" w:styleId="181">
    <w:name w:val="ListLabel 32"/>
    <w:uiPriority w:val="0"/>
    <w:rPr>
      <w:rFonts w:cs="Courier New"/>
    </w:rPr>
  </w:style>
  <w:style w:type="character" w:customStyle="1" w:styleId="182">
    <w:name w:val="ListLabel 33"/>
    <w:uiPriority w:val="0"/>
    <w:rPr>
      <w:rFonts w:cs="Wingdings"/>
    </w:rPr>
  </w:style>
  <w:style w:type="character" w:customStyle="1" w:styleId="183">
    <w:name w:val="ListLabel 34"/>
    <w:uiPriority w:val="0"/>
    <w:rPr>
      <w:rFonts w:cs="Symbol"/>
    </w:rPr>
  </w:style>
  <w:style w:type="character" w:customStyle="1" w:styleId="184">
    <w:name w:val="ListLabel 35"/>
    <w:uiPriority w:val="0"/>
    <w:rPr>
      <w:rFonts w:cs="Courier New"/>
    </w:rPr>
  </w:style>
  <w:style w:type="character" w:customStyle="1" w:styleId="185">
    <w:name w:val="ListLabel 36"/>
    <w:uiPriority w:val="0"/>
    <w:rPr>
      <w:rFonts w:cs="Wingdings"/>
    </w:rPr>
  </w:style>
  <w:style w:type="character" w:customStyle="1" w:styleId="186">
    <w:name w:val="ListLabel 37"/>
    <w:uiPriority w:val="0"/>
  </w:style>
  <w:style w:type="character" w:customStyle="1" w:styleId="187">
    <w:name w:val="ListLabel 38"/>
    <w:uiPriority w:val="0"/>
  </w:style>
  <w:style w:type="character" w:customStyle="1" w:styleId="188">
    <w:name w:val="ListLabel 39"/>
    <w:uiPriority w:val="0"/>
  </w:style>
  <w:style w:type="character" w:customStyle="1" w:styleId="189">
    <w:name w:val="ListLabel 40"/>
    <w:uiPriority w:val="0"/>
  </w:style>
  <w:style w:type="character" w:customStyle="1" w:styleId="190">
    <w:name w:val="ListLabel 41"/>
    <w:uiPriority w:val="0"/>
  </w:style>
  <w:style w:type="character" w:customStyle="1" w:styleId="191">
    <w:name w:val="ListLabel 42"/>
    <w:uiPriority w:val="0"/>
  </w:style>
  <w:style w:type="character" w:customStyle="1" w:styleId="192">
    <w:name w:val="ListLabel 43"/>
    <w:uiPriority w:val="0"/>
  </w:style>
  <w:style w:type="character" w:customStyle="1" w:styleId="193">
    <w:name w:val="ListLabel 44"/>
    <w:qFormat/>
    <w:uiPriority w:val="0"/>
  </w:style>
  <w:style w:type="character" w:customStyle="1" w:styleId="194">
    <w:name w:val="ListLabel 45"/>
    <w:uiPriority w:val="0"/>
  </w:style>
  <w:style w:type="character" w:customStyle="1" w:styleId="195">
    <w:name w:val="ListLabel 46"/>
    <w:uiPriority w:val="0"/>
  </w:style>
  <w:style w:type="character" w:customStyle="1" w:styleId="196">
    <w:name w:val="ListLabel 47"/>
    <w:uiPriority w:val="0"/>
  </w:style>
  <w:style w:type="character" w:customStyle="1" w:styleId="197">
    <w:name w:val="ListLabel 48"/>
    <w:uiPriority w:val="0"/>
  </w:style>
  <w:style w:type="character" w:customStyle="1" w:styleId="198">
    <w:name w:val="ListLabel 49"/>
    <w:uiPriority w:val="0"/>
  </w:style>
  <w:style w:type="character" w:customStyle="1" w:styleId="199">
    <w:name w:val="ListLabel 50"/>
    <w:uiPriority w:val="0"/>
  </w:style>
  <w:style w:type="character" w:customStyle="1" w:styleId="200">
    <w:name w:val="ListLabel 51"/>
    <w:uiPriority w:val="0"/>
  </w:style>
  <w:style w:type="character" w:customStyle="1" w:styleId="201">
    <w:name w:val="ListLabel 52"/>
    <w:uiPriority w:val="0"/>
  </w:style>
  <w:style w:type="character" w:customStyle="1" w:styleId="202">
    <w:name w:val="ListLabel 53"/>
    <w:uiPriority w:val="0"/>
  </w:style>
  <w:style w:type="character" w:customStyle="1" w:styleId="203">
    <w:name w:val="ListLabel 54"/>
    <w:uiPriority w:val="0"/>
  </w:style>
  <w:style w:type="character" w:customStyle="1" w:styleId="204">
    <w:name w:val="ListLabel 55"/>
    <w:uiPriority w:val="0"/>
  </w:style>
  <w:style w:type="character" w:customStyle="1" w:styleId="205">
    <w:name w:val="ListLabel 56"/>
    <w:uiPriority w:val="0"/>
  </w:style>
  <w:style w:type="character" w:customStyle="1" w:styleId="206">
    <w:name w:val="ListLabel 57"/>
    <w:uiPriority w:val="0"/>
  </w:style>
  <w:style w:type="character" w:customStyle="1" w:styleId="207">
    <w:name w:val="ListLabel 58"/>
    <w:uiPriority w:val="0"/>
  </w:style>
  <w:style w:type="character" w:customStyle="1" w:styleId="208">
    <w:name w:val="ListLabel 59"/>
    <w:uiPriority w:val="0"/>
  </w:style>
  <w:style w:type="character" w:customStyle="1" w:styleId="209">
    <w:name w:val="ListLabel 60"/>
    <w:uiPriority w:val="0"/>
  </w:style>
  <w:style w:type="character" w:customStyle="1" w:styleId="210">
    <w:name w:val="ListLabel 61"/>
    <w:uiPriority w:val="0"/>
  </w:style>
  <w:style w:type="character" w:customStyle="1" w:styleId="211">
    <w:name w:val="ListLabel 62"/>
    <w:uiPriority w:val="0"/>
  </w:style>
  <w:style w:type="character" w:customStyle="1" w:styleId="212">
    <w:name w:val="ListLabel 63"/>
    <w:uiPriority w:val="0"/>
  </w:style>
  <w:style w:type="character" w:customStyle="1" w:styleId="213">
    <w:name w:val="ListLabel 64"/>
    <w:uiPriority w:val="0"/>
  </w:style>
  <w:style w:type="character" w:customStyle="1" w:styleId="214">
    <w:name w:val="ListLabel 65"/>
    <w:uiPriority w:val="0"/>
  </w:style>
  <w:style w:type="character" w:customStyle="1" w:styleId="215">
    <w:name w:val="ListLabel 66"/>
    <w:uiPriority w:val="0"/>
  </w:style>
  <w:style w:type="character" w:customStyle="1" w:styleId="216">
    <w:name w:val="ListLabel 67"/>
    <w:uiPriority w:val="0"/>
  </w:style>
  <w:style w:type="character" w:customStyle="1" w:styleId="217">
    <w:name w:val="ListLabel 68"/>
    <w:uiPriority w:val="0"/>
  </w:style>
  <w:style w:type="character" w:customStyle="1" w:styleId="218">
    <w:name w:val="ListLabel 69"/>
    <w:qFormat/>
    <w:uiPriority w:val="0"/>
  </w:style>
  <w:style w:type="character" w:customStyle="1" w:styleId="219">
    <w:name w:val="ListLabel 70"/>
    <w:uiPriority w:val="0"/>
  </w:style>
  <w:style w:type="character" w:customStyle="1" w:styleId="220">
    <w:name w:val="ListLabel 71"/>
    <w:uiPriority w:val="0"/>
  </w:style>
  <w:style w:type="character" w:customStyle="1" w:styleId="221">
    <w:name w:val="ListLabel 72"/>
    <w:uiPriority w:val="0"/>
  </w:style>
  <w:style w:type="character" w:customStyle="1" w:styleId="222">
    <w:name w:val="ListLabel 73"/>
    <w:uiPriority w:val="0"/>
  </w:style>
  <w:style w:type="character" w:customStyle="1" w:styleId="223">
    <w:name w:val="ListLabel 74"/>
    <w:qFormat/>
    <w:uiPriority w:val="0"/>
  </w:style>
  <w:style w:type="character" w:customStyle="1" w:styleId="224">
    <w:name w:val="ListLabel 75"/>
    <w:uiPriority w:val="0"/>
  </w:style>
  <w:style w:type="character" w:customStyle="1" w:styleId="225">
    <w:name w:val="ListLabel 76"/>
    <w:qFormat/>
    <w:uiPriority w:val="0"/>
  </w:style>
  <w:style w:type="character" w:customStyle="1" w:styleId="226">
    <w:name w:val="ListLabel 77"/>
    <w:uiPriority w:val="0"/>
  </w:style>
  <w:style w:type="character" w:customStyle="1" w:styleId="227">
    <w:name w:val="ListLabel 78"/>
    <w:uiPriority w:val="0"/>
  </w:style>
  <w:style w:type="character" w:customStyle="1" w:styleId="228">
    <w:name w:val="ListLabel 79"/>
    <w:uiPriority w:val="0"/>
  </w:style>
  <w:style w:type="character" w:customStyle="1" w:styleId="229">
    <w:name w:val="ListLabel 80"/>
    <w:uiPriority w:val="0"/>
  </w:style>
  <w:style w:type="character" w:customStyle="1" w:styleId="230">
    <w:name w:val="ListLabel 81"/>
    <w:uiPriority w:val="0"/>
  </w:style>
  <w:style w:type="character" w:customStyle="1" w:styleId="231">
    <w:name w:val="ListLabel 82"/>
    <w:uiPriority w:val="0"/>
  </w:style>
  <w:style w:type="character" w:customStyle="1" w:styleId="232">
    <w:name w:val="ListLabel 83"/>
    <w:qFormat/>
    <w:uiPriority w:val="0"/>
  </w:style>
  <w:style w:type="character" w:customStyle="1" w:styleId="233">
    <w:name w:val="ListLabel 84"/>
    <w:uiPriority w:val="0"/>
  </w:style>
  <w:style w:type="character" w:customStyle="1" w:styleId="234">
    <w:name w:val="ListLabel 85"/>
    <w:uiPriority w:val="0"/>
  </w:style>
  <w:style w:type="character" w:customStyle="1" w:styleId="235">
    <w:name w:val="ListLabel 86"/>
    <w:uiPriority w:val="0"/>
  </w:style>
  <w:style w:type="character" w:customStyle="1" w:styleId="236">
    <w:name w:val="ListLabel 87"/>
    <w:uiPriority w:val="0"/>
  </w:style>
  <w:style w:type="character" w:customStyle="1" w:styleId="237">
    <w:name w:val="ListLabel 88"/>
    <w:uiPriority w:val="0"/>
  </w:style>
  <w:style w:type="character" w:customStyle="1" w:styleId="238">
    <w:name w:val="ListLabel 89"/>
    <w:uiPriority w:val="0"/>
  </w:style>
  <w:style w:type="character" w:customStyle="1" w:styleId="239">
    <w:name w:val="ListLabel 90"/>
    <w:uiPriority w:val="0"/>
  </w:style>
  <w:style w:type="character" w:customStyle="1" w:styleId="240">
    <w:name w:val="ListLabel 91"/>
    <w:uiPriority w:val="0"/>
  </w:style>
  <w:style w:type="character" w:customStyle="1" w:styleId="241">
    <w:name w:val="ListLabel 92"/>
    <w:uiPriority w:val="0"/>
  </w:style>
  <w:style w:type="character" w:customStyle="1" w:styleId="242">
    <w:name w:val="ListLabel 93"/>
    <w:uiPriority w:val="0"/>
  </w:style>
  <w:style w:type="character" w:customStyle="1" w:styleId="243">
    <w:name w:val="ListLabel 94"/>
    <w:qFormat/>
    <w:uiPriority w:val="0"/>
  </w:style>
  <w:style w:type="character" w:customStyle="1" w:styleId="244">
    <w:name w:val="ListLabel 95"/>
    <w:uiPriority w:val="0"/>
  </w:style>
  <w:style w:type="character" w:customStyle="1" w:styleId="245">
    <w:name w:val="ListLabel 96"/>
    <w:uiPriority w:val="0"/>
  </w:style>
  <w:style w:type="character" w:customStyle="1" w:styleId="246">
    <w:name w:val="ListLabel 97"/>
    <w:uiPriority w:val="0"/>
  </w:style>
  <w:style w:type="character" w:customStyle="1" w:styleId="247">
    <w:name w:val="ListLabel 98"/>
    <w:uiPriority w:val="0"/>
  </w:style>
  <w:style w:type="character" w:customStyle="1" w:styleId="248">
    <w:name w:val="ListLabel 99"/>
    <w:uiPriority w:val="0"/>
  </w:style>
  <w:style w:type="character" w:customStyle="1" w:styleId="249">
    <w:name w:val="ListLabel 100"/>
    <w:uiPriority w:val="0"/>
  </w:style>
  <w:style w:type="character" w:customStyle="1" w:styleId="250">
    <w:name w:val="ListLabel 101"/>
    <w:uiPriority w:val="0"/>
  </w:style>
  <w:style w:type="character" w:customStyle="1" w:styleId="251">
    <w:name w:val="ListLabel 102"/>
    <w:uiPriority w:val="0"/>
  </w:style>
  <w:style w:type="character" w:customStyle="1" w:styleId="252">
    <w:name w:val="ListLabel 103"/>
    <w:uiPriority w:val="0"/>
  </w:style>
  <w:style w:type="character" w:customStyle="1" w:styleId="253">
    <w:name w:val="ListLabel 104"/>
    <w:uiPriority w:val="0"/>
  </w:style>
  <w:style w:type="character" w:customStyle="1" w:styleId="254">
    <w:name w:val="ListLabel 105"/>
    <w:uiPriority w:val="0"/>
  </w:style>
  <w:style w:type="character" w:customStyle="1" w:styleId="255">
    <w:name w:val="ListLabel 106"/>
    <w:uiPriority w:val="0"/>
  </w:style>
  <w:style w:type="character" w:customStyle="1" w:styleId="256">
    <w:name w:val="ListLabel 107"/>
    <w:uiPriority w:val="0"/>
  </w:style>
  <w:style w:type="character" w:customStyle="1" w:styleId="257">
    <w:name w:val="ListLabel 108"/>
    <w:uiPriority w:val="0"/>
  </w:style>
  <w:style w:type="character" w:customStyle="1" w:styleId="258">
    <w:name w:val="ListLabel 109"/>
    <w:uiPriority w:val="0"/>
  </w:style>
  <w:style w:type="character" w:customStyle="1" w:styleId="259">
    <w:name w:val="ListLabel 110"/>
    <w:uiPriority w:val="0"/>
  </w:style>
  <w:style w:type="character" w:customStyle="1" w:styleId="260">
    <w:name w:val="ListLabel 111"/>
    <w:uiPriority w:val="0"/>
  </w:style>
  <w:style w:type="character" w:customStyle="1" w:styleId="261">
    <w:name w:val="ListLabel 112"/>
    <w:uiPriority w:val="0"/>
  </w:style>
  <w:style w:type="character" w:customStyle="1" w:styleId="262">
    <w:name w:val="ListLabel 113"/>
    <w:uiPriority w:val="0"/>
  </w:style>
  <w:style w:type="character" w:customStyle="1" w:styleId="263">
    <w:name w:val="ListLabel 114"/>
    <w:uiPriority w:val="0"/>
  </w:style>
  <w:style w:type="character" w:customStyle="1" w:styleId="264">
    <w:name w:val="ListLabel 115"/>
    <w:uiPriority w:val="0"/>
  </w:style>
  <w:style w:type="character" w:customStyle="1" w:styleId="265">
    <w:name w:val="ListLabel 116"/>
    <w:uiPriority w:val="0"/>
  </w:style>
  <w:style w:type="character" w:customStyle="1" w:styleId="266">
    <w:name w:val="ListLabel 117"/>
    <w:uiPriority w:val="0"/>
  </w:style>
  <w:style w:type="character" w:customStyle="1" w:styleId="267">
    <w:name w:val="ListLabel 118"/>
    <w:uiPriority w:val="0"/>
  </w:style>
  <w:style w:type="character" w:customStyle="1" w:styleId="268">
    <w:name w:val="ListLabel 119"/>
    <w:uiPriority w:val="0"/>
  </w:style>
  <w:style w:type="character" w:customStyle="1" w:styleId="269">
    <w:name w:val="ListLabel 120"/>
    <w:uiPriority w:val="0"/>
  </w:style>
  <w:style w:type="character" w:customStyle="1" w:styleId="270">
    <w:name w:val="ListLabel 121"/>
    <w:uiPriority w:val="0"/>
  </w:style>
  <w:style w:type="character" w:customStyle="1" w:styleId="271">
    <w:name w:val="ListLabel 122"/>
    <w:uiPriority w:val="0"/>
  </w:style>
  <w:style w:type="character" w:customStyle="1" w:styleId="272">
    <w:name w:val="ListLabel 123"/>
    <w:uiPriority w:val="0"/>
  </w:style>
  <w:style w:type="character" w:customStyle="1" w:styleId="273">
    <w:name w:val="ListLabel 124"/>
    <w:uiPriority w:val="0"/>
  </w:style>
  <w:style w:type="character" w:customStyle="1" w:styleId="274">
    <w:name w:val="ListLabel 125"/>
    <w:uiPriority w:val="0"/>
  </w:style>
  <w:style w:type="character" w:customStyle="1" w:styleId="275">
    <w:name w:val="ListLabel 126"/>
    <w:uiPriority w:val="0"/>
  </w:style>
  <w:style w:type="character" w:customStyle="1" w:styleId="276">
    <w:name w:val="ListLabel 127"/>
    <w:uiPriority w:val="0"/>
  </w:style>
  <w:style w:type="character" w:customStyle="1" w:styleId="277">
    <w:name w:val="ListLabel 128"/>
    <w:uiPriority w:val="0"/>
  </w:style>
  <w:style w:type="character" w:customStyle="1" w:styleId="278">
    <w:name w:val="ListLabel 129"/>
    <w:uiPriority w:val="0"/>
  </w:style>
  <w:style w:type="character" w:customStyle="1" w:styleId="279">
    <w:name w:val="ListLabel 130"/>
    <w:qFormat/>
    <w:uiPriority w:val="0"/>
  </w:style>
  <w:style w:type="character" w:customStyle="1" w:styleId="280">
    <w:name w:val="ListLabel 131"/>
    <w:uiPriority w:val="0"/>
  </w:style>
  <w:style w:type="character" w:customStyle="1" w:styleId="281">
    <w:name w:val="ListLabel 132"/>
    <w:uiPriority w:val="0"/>
  </w:style>
  <w:style w:type="character" w:customStyle="1" w:styleId="282">
    <w:name w:val="ListLabel 133"/>
    <w:uiPriority w:val="0"/>
  </w:style>
  <w:style w:type="character" w:customStyle="1" w:styleId="283">
    <w:name w:val="ListLabel 134"/>
    <w:uiPriority w:val="0"/>
  </w:style>
  <w:style w:type="character" w:customStyle="1" w:styleId="284">
    <w:name w:val="ListLabel 135"/>
    <w:uiPriority w:val="0"/>
  </w:style>
  <w:style w:type="character" w:customStyle="1" w:styleId="285">
    <w:name w:val="ListLabel 136"/>
    <w:uiPriority w:val="0"/>
  </w:style>
  <w:style w:type="character" w:customStyle="1" w:styleId="286">
    <w:name w:val="ListLabel 137"/>
    <w:uiPriority w:val="0"/>
  </w:style>
  <w:style w:type="character" w:customStyle="1" w:styleId="287">
    <w:name w:val="ListLabel 138"/>
    <w:uiPriority w:val="0"/>
  </w:style>
  <w:style w:type="character" w:customStyle="1" w:styleId="288">
    <w:name w:val="ListLabel 139"/>
    <w:uiPriority w:val="0"/>
  </w:style>
  <w:style w:type="character" w:customStyle="1" w:styleId="289">
    <w:name w:val="ListLabel 140"/>
    <w:uiPriority w:val="0"/>
  </w:style>
  <w:style w:type="character" w:customStyle="1" w:styleId="290">
    <w:name w:val="ListLabel 141"/>
    <w:uiPriority w:val="0"/>
  </w:style>
  <w:style w:type="character" w:customStyle="1" w:styleId="291">
    <w:name w:val="ListLabel 142"/>
    <w:uiPriority w:val="0"/>
  </w:style>
  <w:style w:type="character" w:customStyle="1" w:styleId="292">
    <w:name w:val="ListLabel 143"/>
    <w:uiPriority w:val="0"/>
  </w:style>
  <w:style w:type="character" w:customStyle="1" w:styleId="293">
    <w:name w:val="ListLabel 144"/>
    <w:qFormat/>
    <w:uiPriority w:val="0"/>
  </w:style>
  <w:style w:type="character" w:customStyle="1" w:styleId="294">
    <w:name w:val="ListLabel 145"/>
    <w:uiPriority w:val="0"/>
  </w:style>
  <w:style w:type="character" w:customStyle="1" w:styleId="295">
    <w:name w:val="ListLabel 146"/>
    <w:uiPriority w:val="0"/>
  </w:style>
  <w:style w:type="character" w:customStyle="1" w:styleId="296">
    <w:name w:val="ListLabel 147"/>
    <w:uiPriority w:val="0"/>
  </w:style>
  <w:style w:type="character" w:customStyle="1" w:styleId="297">
    <w:name w:val="ListLabel 148"/>
    <w:uiPriority w:val="0"/>
  </w:style>
  <w:style w:type="character" w:customStyle="1" w:styleId="298">
    <w:name w:val="ListLabel 149"/>
    <w:uiPriority w:val="0"/>
  </w:style>
  <w:style w:type="character" w:customStyle="1" w:styleId="299">
    <w:name w:val="ListLabel 150"/>
    <w:uiPriority w:val="0"/>
  </w:style>
  <w:style w:type="character" w:customStyle="1" w:styleId="300">
    <w:name w:val="ListLabel 151"/>
    <w:uiPriority w:val="0"/>
  </w:style>
  <w:style w:type="character" w:customStyle="1" w:styleId="301">
    <w:name w:val="ListLabel 152"/>
    <w:uiPriority w:val="0"/>
  </w:style>
  <w:style w:type="character" w:customStyle="1" w:styleId="302">
    <w:name w:val="ListLabel 153"/>
    <w:uiPriority w:val="0"/>
  </w:style>
  <w:style w:type="character" w:customStyle="1" w:styleId="303">
    <w:name w:val="ListLabel 154"/>
    <w:uiPriority w:val="0"/>
  </w:style>
  <w:style w:type="character" w:customStyle="1" w:styleId="304">
    <w:name w:val="ListLabel 155"/>
    <w:uiPriority w:val="0"/>
  </w:style>
  <w:style w:type="character" w:customStyle="1" w:styleId="305">
    <w:name w:val="ListLabel 156"/>
    <w:uiPriority w:val="0"/>
  </w:style>
  <w:style w:type="character" w:customStyle="1" w:styleId="306">
    <w:name w:val="ListLabel 157"/>
    <w:uiPriority w:val="0"/>
  </w:style>
  <w:style w:type="character" w:customStyle="1" w:styleId="307">
    <w:name w:val="ListLabel 158"/>
    <w:uiPriority w:val="0"/>
  </w:style>
  <w:style w:type="character" w:customStyle="1" w:styleId="308">
    <w:name w:val="ListLabel 159"/>
    <w:uiPriority w:val="0"/>
  </w:style>
  <w:style w:type="character" w:customStyle="1" w:styleId="309">
    <w:name w:val="ListLabel 160"/>
    <w:uiPriority w:val="0"/>
  </w:style>
  <w:style w:type="character" w:customStyle="1" w:styleId="310">
    <w:name w:val="ListLabel 161"/>
    <w:uiPriority w:val="0"/>
  </w:style>
  <w:style w:type="character" w:customStyle="1" w:styleId="311">
    <w:name w:val="ListLabel 162"/>
    <w:uiPriority w:val="0"/>
  </w:style>
  <w:style w:type="character" w:customStyle="1" w:styleId="312">
    <w:name w:val="ListLabel 163"/>
    <w:uiPriority w:val="0"/>
  </w:style>
  <w:style w:type="character" w:customStyle="1" w:styleId="313">
    <w:name w:val="ListLabel 164"/>
    <w:uiPriority w:val="0"/>
  </w:style>
  <w:style w:type="character" w:customStyle="1" w:styleId="314">
    <w:name w:val="ListLabel 165"/>
    <w:qFormat/>
    <w:uiPriority w:val="0"/>
  </w:style>
  <w:style w:type="character" w:customStyle="1" w:styleId="315">
    <w:name w:val="ListLabel 166"/>
    <w:qFormat/>
    <w:uiPriority w:val="0"/>
  </w:style>
  <w:style w:type="character" w:customStyle="1" w:styleId="316">
    <w:name w:val="ListLabel 167"/>
    <w:qFormat/>
    <w:uiPriority w:val="0"/>
  </w:style>
  <w:style w:type="character" w:customStyle="1" w:styleId="317">
    <w:name w:val="ListLabel 168"/>
    <w:qFormat/>
    <w:uiPriority w:val="0"/>
  </w:style>
  <w:style w:type="character" w:customStyle="1" w:styleId="318">
    <w:name w:val="ListLabel 169"/>
    <w:qFormat/>
    <w:uiPriority w:val="0"/>
  </w:style>
  <w:style w:type="character" w:customStyle="1" w:styleId="319">
    <w:name w:val="ListLabel 170"/>
    <w:qFormat/>
    <w:uiPriority w:val="0"/>
  </w:style>
  <w:style w:type="character" w:customStyle="1" w:styleId="320">
    <w:name w:val="ListLabel 171"/>
    <w:qFormat/>
    <w:uiPriority w:val="0"/>
  </w:style>
  <w:style w:type="character" w:customStyle="1" w:styleId="321">
    <w:name w:val="ListLabel 172"/>
    <w:qFormat/>
    <w:uiPriority w:val="0"/>
  </w:style>
  <w:style w:type="character" w:customStyle="1" w:styleId="322">
    <w:name w:val="ListLabel 173"/>
    <w:qFormat/>
    <w:uiPriority w:val="0"/>
  </w:style>
  <w:style w:type="character" w:customStyle="1" w:styleId="323">
    <w:name w:val="ListLabel 174"/>
    <w:qFormat/>
    <w:uiPriority w:val="0"/>
  </w:style>
  <w:style w:type="character" w:customStyle="1" w:styleId="324">
    <w:name w:val="ListLabel 175"/>
    <w:qFormat/>
    <w:uiPriority w:val="0"/>
  </w:style>
  <w:style w:type="character" w:customStyle="1" w:styleId="325">
    <w:name w:val="ListLabel 176"/>
    <w:qFormat/>
    <w:uiPriority w:val="0"/>
  </w:style>
  <w:style w:type="character" w:customStyle="1" w:styleId="326">
    <w:name w:val="ListLabel 177"/>
    <w:qFormat/>
    <w:uiPriority w:val="0"/>
  </w:style>
  <w:style w:type="character" w:customStyle="1" w:styleId="327">
    <w:name w:val="ListLabel 178"/>
    <w:qFormat/>
    <w:uiPriority w:val="0"/>
  </w:style>
  <w:style w:type="character" w:customStyle="1" w:styleId="328">
    <w:name w:val="ListLabel 179"/>
    <w:qFormat/>
    <w:uiPriority w:val="0"/>
  </w:style>
  <w:style w:type="character" w:customStyle="1" w:styleId="329">
    <w:name w:val="ListLabel 180"/>
    <w:qFormat/>
    <w:uiPriority w:val="0"/>
  </w:style>
  <w:style w:type="character" w:customStyle="1" w:styleId="330">
    <w:name w:val="ListLabel 181"/>
    <w:qFormat/>
    <w:uiPriority w:val="0"/>
  </w:style>
  <w:style w:type="character" w:customStyle="1" w:styleId="331">
    <w:name w:val="ListLabel 182"/>
    <w:qFormat/>
    <w:uiPriority w:val="0"/>
  </w:style>
  <w:style w:type="character" w:customStyle="1" w:styleId="332">
    <w:name w:val="ListLabel 183"/>
    <w:qFormat/>
    <w:uiPriority w:val="0"/>
  </w:style>
  <w:style w:type="character" w:customStyle="1" w:styleId="333">
    <w:name w:val="ListLabel 184"/>
    <w:qFormat/>
    <w:uiPriority w:val="0"/>
  </w:style>
  <w:style w:type="character" w:customStyle="1" w:styleId="334">
    <w:name w:val="ListLabel 185"/>
    <w:qFormat/>
    <w:uiPriority w:val="0"/>
  </w:style>
  <w:style w:type="character" w:customStyle="1" w:styleId="335">
    <w:name w:val="ListLabel 186"/>
    <w:qFormat/>
    <w:uiPriority w:val="0"/>
  </w:style>
  <w:style w:type="character" w:customStyle="1" w:styleId="336">
    <w:name w:val="ListLabel 187"/>
    <w:qFormat/>
    <w:uiPriority w:val="0"/>
  </w:style>
  <w:style w:type="character" w:customStyle="1" w:styleId="337">
    <w:name w:val="ListLabel 188"/>
    <w:qFormat/>
    <w:uiPriority w:val="0"/>
  </w:style>
  <w:style w:type="character" w:customStyle="1" w:styleId="338">
    <w:name w:val="ListLabel 189"/>
    <w:qFormat/>
    <w:uiPriority w:val="0"/>
  </w:style>
  <w:style w:type="character" w:customStyle="1" w:styleId="339">
    <w:name w:val="Título Char1"/>
    <w:qFormat/>
    <w:uiPriority w:val="0"/>
    <w:rPr>
      <w:rFonts w:ascii="Arial" w:hAnsi="Arial" w:eastAsia="Arial" w:cs="Arial"/>
      <w:b/>
      <w:bCs/>
      <w:sz w:val="22"/>
      <w:szCs w:val="24"/>
      <w:u w:val="single"/>
    </w:rPr>
  </w:style>
  <w:style w:type="character" w:customStyle="1" w:styleId="340">
    <w:name w:val="Parágrafo da Lista Char"/>
    <w:qFormat/>
    <w:uiPriority w:val="34"/>
    <w:rPr>
      <w:rFonts w:eastAsia="SimSun"/>
      <w:lang w:eastAsia="zh-CN"/>
    </w:rPr>
  </w:style>
  <w:style w:type="character" w:customStyle="1" w:styleId="341">
    <w:name w:val="Texto de balão Char1"/>
    <w:qFormat/>
    <w:uiPriority w:val="0"/>
    <w:rPr>
      <w:rFonts w:ascii="Segoe UI" w:hAnsi="Segoe UI" w:eastAsia="DengXian" w:cs="Segoe UI"/>
      <w:sz w:val="18"/>
      <w:szCs w:val="18"/>
      <w:lang w:eastAsia="zh-CN"/>
    </w:rPr>
  </w:style>
  <w:style w:type="character" w:customStyle="1" w:styleId="342">
    <w:name w:val="Título Char2"/>
    <w:qFormat/>
    <w:uiPriority w:val="0"/>
    <w:rPr>
      <w:rFonts w:ascii="Calibri Light" w:hAnsi="Calibri Light" w:eastAsia="Times New Roman" w:cs="Times New Roman"/>
      <w:b/>
      <w:bCs/>
      <w:kern w:val="2"/>
      <w:sz w:val="32"/>
      <w:szCs w:val="32"/>
      <w:lang w:eastAsia="zh-CN"/>
    </w:rPr>
  </w:style>
  <w:style w:type="character" w:customStyle="1" w:styleId="343">
    <w:name w:val="Recuo de corpo de texto 3 Char1"/>
    <w:qFormat/>
    <w:uiPriority w:val="0"/>
    <w:rPr>
      <w:rFonts w:ascii="Calibri" w:hAnsi="Calibri" w:eastAsia="DengXian" w:cs="Calibri"/>
      <w:sz w:val="16"/>
      <w:szCs w:val="16"/>
      <w:lang w:eastAsia="zh-CN"/>
    </w:rPr>
  </w:style>
  <w:style w:type="character" w:customStyle="1" w:styleId="344">
    <w:name w:val="Recuo de corpo de texto 2 Char1"/>
    <w:qFormat/>
    <w:uiPriority w:val="0"/>
    <w:rPr>
      <w:rFonts w:ascii="Calibri" w:hAnsi="Calibri" w:eastAsia="DengXian" w:cs="Calibri"/>
      <w:sz w:val="22"/>
      <w:szCs w:val="22"/>
      <w:lang w:eastAsia="zh-CN"/>
    </w:rPr>
  </w:style>
  <w:style w:type="character" w:customStyle="1" w:styleId="345">
    <w:name w:val="Corpo de texto 3 Char1"/>
    <w:qFormat/>
    <w:uiPriority w:val="0"/>
    <w:rPr>
      <w:rFonts w:ascii="Calibri" w:hAnsi="Calibri" w:eastAsia="DengXian" w:cs="Calibri"/>
      <w:sz w:val="16"/>
      <w:szCs w:val="16"/>
      <w:lang w:eastAsia="zh-CN"/>
    </w:rPr>
  </w:style>
  <w:style w:type="character" w:customStyle="1" w:styleId="346">
    <w:name w:val="Pré-formatação HTML Char1"/>
    <w:qFormat/>
    <w:uiPriority w:val="0"/>
    <w:rPr>
      <w:rFonts w:ascii="Courier New" w:hAnsi="Courier New" w:eastAsia="DengXian" w:cs="Courier New"/>
      <w:lang w:eastAsia="zh-CN"/>
    </w:rPr>
  </w:style>
  <w:style w:type="character" w:customStyle="1" w:styleId="347">
    <w:name w:val="Corpo de texto 2 Char1"/>
    <w:qFormat/>
    <w:uiPriority w:val="0"/>
    <w:rPr>
      <w:rFonts w:ascii="Calibri" w:hAnsi="Calibri" w:eastAsia="DengXian" w:cs="Calibri"/>
      <w:sz w:val="22"/>
      <w:szCs w:val="22"/>
      <w:lang w:eastAsia="zh-CN"/>
    </w:rPr>
  </w:style>
  <w:style w:type="paragraph" w:customStyle="1" w:styleId="348">
    <w:name w:val="Título5"/>
    <w:basedOn w:val="1"/>
    <w:next w:val="21"/>
    <w:qFormat/>
    <w:uiPriority w:val="0"/>
    <w:pPr>
      <w:suppressAutoHyphens w:val="0"/>
      <w:spacing w:after="0" w:line="240" w:lineRule="auto"/>
      <w:jc w:val="center"/>
    </w:pPr>
    <w:rPr>
      <w:rFonts w:ascii="Arial" w:hAnsi="Arial" w:eastAsia="Times New Roman" w:cs="Arial"/>
      <w:b/>
      <w:bCs/>
      <w:sz w:val="20"/>
      <w:szCs w:val="24"/>
      <w:u w:val="single"/>
      <w:lang w:val="zh-CN"/>
    </w:rPr>
  </w:style>
  <w:style w:type="paragraph" w:customStyle="1" w:styleId="349">
    <w:name w:val="Índice"/>
    <w:basedOn w:val="1"/>
    <w:qFormat/>
    <w:uiPriority w:val="0"/>
    <w:pPr>
      <w:suppressLineNumbers/>
    </w:pPr>
    <w:rPr>
      <w:rFonts w:cs="Times New Roman"/>
    </w:rPr>
  </w:style>
  <w:style w:type="paragraph" w:customStyle="1" w:styleId="350">
    <w:name w:val="Standard"/>
    <w:qFormat/>
    <w:uiPriority w:val="0"/>
    <w:pPr>
      <w:suppressAutoHyphens/>
      <w:textAlignment w:val="baseline"/>
    </w:pPr>
    <w:rPr>
      <w:rFonts w:ascii="Times New Roman" w:hAnsi="Times New Roman" w:eastAsia="SimSun" w:cs="Times New Roman"/>
      <w:lang w:val="pt-BR" w:eastAsia="zh-CN" w:bidi="ar-SA"/>
    </w:rPr>
  </w:style>
  <w:style w:type="paragraph" w:customStyle="1" w:styleId="351">
    <w:name w:val="Título4"/>
    <w:basedOn w:val="350"/>
    <w:next w:val="21"/>
    <w:qFormat/>
    <w:uiPriority w:val="0"/>
    <w:pPr>
      <w:jc w:val="center"/>
    </w:pPr>
    <w:rPr>
      <w:rFonts w:ascii="Arial" w:hAnsi="Arial" w:eastAsia="Arial" w:cs="Arial"/>
      <w:b/>
      <w:bCs/>
      <w:sz w:val="22"/>
      <w:szCs w:val="24"/>
      <w:u w:val="single"/>
    </w:rPr>
  </w:style>
  <w:style w:type="paragraph" w:customStyle="1" w:styleId="352">
    <w:name w:val="Título3"/>
    <w:basedOn w:val="1"/>
    <w:next w:val="21"/>
    <w:qFormat/>
    <w:uiPriority w:val="0"/>
    <w:pPr>
      <w:keepNext/>
      <w:spacing w:before="240" w:after="120"/>
    </w:pPr>
    <w:rPr>
      <w:rFonts w:ascii="Liberation Sans" w:hAnsi="Liberation Sans" w:eastAsia="Microsoft YaHei" w:cs="Mangal"/>
      <w:sz w:val="28"/>
      <w:szCs w:val="28"/>
    </w:rPr>
  </w:style>
  <w:style w:type="paragraph" w:customStyle="1" w:styleId="353">
    <w:name w:val="Título2"/>
    <w:basedOn w:val="1"/>
    <w:next w:val="21"/>
    <w:qFormat/>
    <w:uiPriority w:val="0"/>
    <w:pPr>
      <w:spacing w:after="0" w:line="240" w:lineRule="auto"/>
      <w:jc w:val="center"/>
    </w:pPr>
    <w:rPr>
      <w:rFonts w:ascii="Arial" w:hAnsi="Arial" w:eastAsia="Times New Roman" w:cs="Arial"/>
      <w:b/>
      <w:bCs/>
      <w:szCs w:val="24"/>
      <w:u w:val="single"/>
      <w:lang w:val="zh-CN"/>
    </w:rPr>
  </w:style>
  <w:style w:type="paragraph" w:customStyle="1" w:styleId="354">
    <w:name w:val="Título1"/>
    <w:basedOn w:val="1"/>
    <w:next w:val="21"/>
    <w:qFormat/>
    <w:uiPriority w:val="0"/>
    <w:pPr>
      <w:keepNext/>
      <w:spacing w:before="240" w:after="120"/>
    </w:pPr>
    <w:rPr>
      <w:rFonts w:ascii="Liberation Sans" w:hAnsi="Liberation Sans" w:eastAsia="Microsoft YaHei" w:cs="Lucida Sans"/>
      <w:sz w:val="28"/>
      <w:szCs w:val="28"/>
    </w:rPr>
  </w:style>
  <w:style w:type="paragraph" w:customStyle="1" w:styleId="355">
    <w:name w:val="Texto em bloco1"/>
    <w:basedOn w:val="1"/>
    <w:qFormat/>
    <w:uiPriority w:val="0"/>
    <w:pPr>
      <w:tabs>
        <w:tab w:val="left" w:pos="1134"/>
      </w:tabs>
      <w:spacing w:after="0" w:line="240" w:lineRule="auto"/>
      <w:ind w:left="1843" w:right="2" w:hanging="709"/>
      <w:jc w:val="both"/>
    </w:pPr>
    <w:rPr>
      <w:rFonts w:ascii="Times New Roman" w:hAnsi="Times New Roman" w:eastAsia="Times New Roman" w:cs="Times New Roman"/>
    </w:rPr>
  </w:style>
  <w:style w:type="paragraph" w:customStyle="1" w:styleId="356">
    <w:name w:val="Texto de comentário1"/>
    <w:basedOn w:val="1"/>
    <w:qFormat/>
    <w:uiPriority w:val="0"/>
    <w:pPr>
      <w:spacing w:after="0" w:line="240" w:lineRule="auto"/>
    </w:pPr>
    <w:rPr>
      <w:rFonts w:ascii="Times New Roman" w:hAnsi="Times New Roman" w:eastAsia="Times New Roman" w:cs="Times New Roman"/>
      <w:sz w:val="20"/>
      <w:szCs w:val="20"/>
    </w:rPr>
  </w:style>
  <w:style w:type="paragraph" w:customStyle="1" w:styleId="357">
    <w:name w:val="Recuo de corpo de texto 21"/>
    <w:basedOn w:val="1"/>
    <w:qFormat/>
    <w:uiPriority w:val="0"/>
    <w:pPr>
      <w:spacing w:after="120" w:line="480" w:lineRule="auto"/>
      <w:ind w:left="283"/>
    </w:pPr>
  </w:style>
  <w:style w:type="paragraph" w:customStyle="1" w:styleId="358">
    <w:name w:val="Destinatário1"/>
    <w:basedOn w:val="1"/>
    <w:qFormat/>
    <w:uiPriority w:val="0"/>
    <w:pPr>
      <w:spacing w:after="200" w:line="276" w:lineRule="auto"/>
      <w:ind w:left="2835"/>
    </w:pPr>
    <w:rPr>
      <w:rFonts w:ascii="Comic Sans MS" w:hAnsi="Comic Sans MS" w:eastAsia="DengXian Light"/>
      <w:sz w:val="24"/>
    </w:rPr>
  </w:style>
  <w:style w:type="paragraph" w:customStyle="1" w:styleId="359">
    <w:name w:val="Corpo de texto 31"/>
    <w:basedOn w:val="1"/>
    <w:qFormat/>
    <w:uiPriority w:val="0"/>
    <w:pPr>
      <w:spacing w:after="120"/>
    </w:pPr>
    <w:rPr>
      <w:sz w:val="16"/>
      <w:szCs w:val="16"/>
    </w:rPr>
  </w:style>
  <w:style w:type="paragraph" w:customStyle="1" w:styleId="360">
    <w:name w:val="Pré-formatação HTML1"/>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hAnsi="Arial Unicode MS" w:eastAsia="Arial Unicode MS" w:cs="Arial Unicode MS"/>
      <w:sz w:val="20"/>
      <w:szCs w:val="20"/>
    </w:rPr>
  </w:style>
  <w:style w:type="paragraph" w:customStyle="1" w:styleId="361">
    <w:name w:val="Corpo de texto 21"/>
    <w:basedOn w:val="1"/>
    <w:qFormat/>
    <w:uiPriority w:val="0"/>
    <w:pPr>
      <w:spacing w:after="120" w:line="480" w:lineRule="auto"/>
    </w:pPr>
  </w:style>
  <w:style w:type="paragraph" w:customStyle="1" w:styleId="362">
    <w:name w:val="Cabeçalho e Rodapé"/>
    <w:basedOn w:val="1"/>
    <w:qFormat/>
    <w:uiPriority w:val="0"/>
  </w:style>
  <w:style w:type="paragraph" w:customStyle="1" w:styleId="363">
    <w:name w:val="Assunto do comentário1"/>
    <w:basedOn w:val="356"/>
    <w:next w:val="356"/>
    <w:qFormat/>
    <w:uiPriority w:val="0"/>
    <w:rPr>
      <w:b/>
      <w:bCs/>
    </w:rPr>
  </w:style>
  <w:style w:type="paragraph" w:customStyle="1" w:styleId="364">
    <w:name w:val="Recuo de corpo de texto 31"/>
    <w:basedOn w:val="1"/>
    <w:qFormat/>
    <w:uiPriority w:val="0"/>
    <w:pPr>
      <w:spacing w:after="120" w:line="240" w:lineRule="auto"/>
      <w:ind w:left="283"/>
    </w:pPr>
    <w:rPr>
      <w:rFonts w:ascii="Times New Roman" w:hAnsi="Times New Roman" w:eastAsia="Times New Roman" w:cs="Times New Roman"/>
      <w:sz w:val="16"/>
      <w:szCs w:val="16"/>
      <w:lang w:val="zh-CN"/>
    </w:rPr>
  </w:style>
  <w:style w:type="paragraph" w:customStyle="1" w:styleId="365">
    <w:name w:val="Texto de balão1"/>
    <w:basedOn w:val="1"/>
    <w:qFormat/>
    <w:uiPriority w:val="0"/>
    <w:pPr>
      <w:widowControl w:val="0"/>
      <w:spacing w:after="0" w:line="240" w:lineRule="auto"/>
    </w:pPr>
    <w:rPr>
      <w:rFonts w:ascii="Segoe UI" w:hAnsi="Segoe UI" w:eastAsia="Arial" w:cs="Segoe UI"/>
      <w:sz w:val="18"/>
      <w:szCs w:val="18"/>
      <w:lang w:val="pt-PT" w:bidi="pt-PT"/>
    </w:rPr>
  </w:style>
  <w:style w:type="paragraph" w:customStyle="1" w:styleId="366">
    <w:name w:val="Parágrafo da Lista1"/>
    <w:basedOn w:val="1"/>
    <w:qFormat/>
    <w:uiPriority w:val="0"/>
    <w:pPr>
      <w:widowControl w:val="0"/>
      <w:spacing w:after="0" w:line="240" w:lineRule="auto"/>
      <w:ind w:left="196"/>
      <w:jc w:val="both"/>
    </w:pPr>
    <w:rPr>
      <w:rFonts w:ascii="Arial" w:hAnsi="Arial" w:eastAsia="Times New Roman" w:cs="Arial"/>
      <w:lang w:val="pt-PT"/>
    </w:rPr>
  </w:style>
  <w:style w:type="paragraph" w:customStyle="1" w:styleId="367">
    <w:name w:val="Table Paragraph"/>
    <w:basedOn w:val="1"/>
    <w:qFormat/>
    <w:uiPriority w:val="0"/>
    <w:pPr>
      <w:widowControl w:val="0"/>
      <w:spacing w:before="11" w:after="0" w:line="223" w:lineRule="exact"/>
      <w:ind w:left="102" w:right="95"/>
      <w:jc w:val="center"/>
    </w:pPr>
    <w:rPr>
      <w:rFonts w:ascii="Arial" w:hAnsi="Arial" w:eastAsia="Times New Roman" w:cs="Arial"/>
      <w:lang w:val="pt-PT"/>
    </w:rPr>
  </w:style>
  <w:style w:type="paragraph" w:customStyle="1" w:styleId="368">
    <w:name w:val="Nível 2"/>
    <w:basedOn w:val="1"/>
    <w:next w:val="1"/>
    <w:qFormat/>
    <w:uiPriority w:val="0"/>
    <w:pPr>
      <w:spacing w:after="120" w:line="240" w:lineRule="auto"/>
      <w:jc w:val="both"/>
    </w:pPr>
    <w:rPr>
      <w:rFonts w:ascii="Arial" w:hAnsi="Arial" w:eastAsia="Times New Roman" w:cs="Arial"/>
      <w:b/>
      <w:bCs/>
      <w:sz w:val="24"/>
      <w:szCs w:val="24"/>
    </w:rPr>
  </w:style>
  <w:style w:type="paragraph" w:customStyle="1" w:styleId="369">
    <w:name w:val="Estilo1"/>
    <w:basedOn w:val="1"/>
    <w:qFormat/>
    <w:uiPriority w:val="0"/>
    <w:pPr>
      <w:tabs>
        <w:tab w:val="left" w:pos="2268"/>
      </w:tabs>
      <w:spacing w:after="0" w:line="240" w:lineRule="auto"/>
      <w:ind w:left="2410" w:hanging="992"/>
      <w:jc w:val="both"/>
    </w:pPr>
    <w:rPr>
      <w:rFonts w:ascii="Times New Roman" w:hAnsi="Times New Roman" w:eastAsia="Times New Roman" w:cs="Times New Roman"/>
      <w:sz w:val="24"/>
      <w:szCs w:val="24"/>
    </w:rPr>
  </w:style>
  <w:style w:type="paragraph" w:customStyle="1" w:styleId="370">
    <w:name w:val="Estilo2"/>
    <w:basedOn w:val="369"/>
    <w:qFormat/>
    <w:uiPriority w:val="0"/>
    <w:pPr>
      <w:ind w:left="2694" w:hanging="284"/>
    </w:pPr>
  </w:style>
  <w:style w:type="paragraph" w:customStyle="1" w:styleId="371">
    <w:name w:val="Blockquote"/>
    <w:basedOn w:val="1"/>
    <w:qFormat/>
    <w:uiPriority w:val="0"/>
    <w:pPr>
      <w:spacing w:before="100" w:after="100" w:line="240" w:lineRule="auto"/>
      <w:ind w:left="360" w:right="360"/>
    </w:pPr>
    <w:rPr>
      <w:rFonts w:ascii="Times New Roman" w:hAnsi="Times New Roman" w:eastAsia="Times New Roman" w:cs="Times New Roman"/>
      <w:sz w:val="24"/>
      <w:szCs w:val="24"/>
    </w:rPr>
  </w:style>
  <w:style w:type="paragraph" w:customStyle="1" w:styleId="372">
    <w:name w:val="P30"/>
    <w:basedOn w:val="1"/>
    <w:qFormat/>
    <w:uiPriority w:val="0"/>
    <w:pPr>
      <w:spacing w:after="0" w:line="240" w:lineRule="auto"/>
      <w:jc w:val="both"/>
    </w:pPr>
    <w:rPr>
      <w:rFonts w:ascii="Times New Roman" w:hAnsi="Times New Roman" w:eastAsia="Times New Roman" w:cs="Times New Roman"/>
      <w:b/>
      <w:bCs/>
      <w:sz w:val="24"/>
      <w:szCs w:val="24"/>
    </w:rPr>
  </w:style>
  <w:style w:type="paragraph" w:customStyle="1" w:styleId="373">
    <w:name w:val="N21"/>
    <w:basedOn w:val="1"/>
    <w:qFormat/>
    <w:uiPriority w:val="0"/>
    <w:pPr>
      <w:spacing w:before="60" w:after="0" w:line="240" w:lineRule="auto"/>
      <w:ind w:left="2268" w:hanging="425"/>
      <w:jc w:val="both"/>
    </w:pPr>
    <w:rPr>
      <w:rFonts w:ascii="Arial" w:hAnsi="Arial" w:eastAsia="Times New Roman" w:cs="Arial"/>
      <w:sz w:val="20"/>
      <w:szCs w:val="20"/>
    </w:rPr>
  </w:style>
  <w:style w:type="paragraph" w:customStyle="1" w:styleId="374">
    <w:name w:val="Default"/>
    <w:qFormat/>
    <w:uiPriority w:val="0"/>
    <w:pPr>
      <w:suppressAutoHyphens/>
    </w:pPr>
    <w:rPr>
      <w:rFonts w:ascii="Times New Roman" w:hAnsi="Times New Roman" w:eastAsia="SimSun" w:cs="Times New Roman"/>
      <w:color w:val="000000"/>
      <w:sz w:val="24"/>
      <w:szCs w:val="24"/>
      <w:lang w:val="pt-BR" w:eastAsia="zh-CN" w:bidi="ar-SA"/>
    </w:rPr>
  </w:style>
  <w:style w:type="paragraph" w:customStyle="1" w:styleId="375">
    <w:name w:val="Body Text 24"/>
    <w:basedOn w:val="1"/>
    <w:qFormat/>
    <w:uiPriority w:val="0"/>
    <w:pPr>
      <w:widowControl w:val="0"/>
      <w:spacing w:after="0" w:line="240" w:lineRule="auto"/>
      <w:jc w:val="both"/>
    </w:pPr>
    <w:rPr>
      <w:rFonts w:ascii="Times New Roman" w:hAnsi="Times New Roman" w:eastAsia="Times New Roman" w:cs="Times New Roman"/>
      <w:sz w:val="28"/>
      <w:szCs w:val="20"/>
    </w:rPr>
  </w:style>
  <w:style w:type="paragraph" w:customStyle="1" w:styleId="376">
    <w:name w:val="Corpo de texto 211"/>
    <w:basedOn w:val="1"/>
    <w:qFormat/>
    <w:uiPriority w:val="0"/>
    <w:pPr>
      <w:tabs>
        <w:tab w:val="left" w:pos="-414"/>
        <w:tab w:val="left" w:pos="0"/>
        <w:tab w:val="left" w:pos="306"/>
        <w:tab w:val="left" w:pos="1026"/>
        <w:tab w:val="left" w:pos="1530"/>
        <w:tab w:val="left" w:pos="2262"/>
        <w:tab w:val="left" w:pos="2664"/>
        <w:tab w:val="left" w:pos="3228"/>
        <w:tab w:val="left" w:pos="6066"/>
        <w:tab w:val="left" w:pos="6786"/>
        <w:tab w:val="left" w:pos="7506"/>
        <w:tab w:val="left" w:pos="8226"/>
        <w:tab w:val="left" w:pos="8946"/>
        <w:tab w:val="left" w:pos="9666"/>
      </w:tabs>
      <w:overflowPunct w:val="0"/>
      <w:spacing w:after="0" w:line="240" w:lineRule="auto"/>
      <w:jc w:val="both"/>
      <w:textAlignment w:val="baseline"/>
    </w:pPr>
    <w:rPr>
      <w:rFonts w:ascii="Arial" w:hAnsi="Arial" w:eastAsia="Times New Roman" w:cs="Arial"/>
      <w:sz w:val="24"/>
      <w:szCs w:val="20"/>
    </w:rPr>
  </w:style>
  <w:style w:type="paragraph" w:customStyle="1" w:styleId="377">
    <w:name w:val="Texto sem Formatação1"/>
    <w:basedOn w:val="1"/>
    <w:qFormat/>
    <w:uiPriority w:val="0"/>
    <w:pPr>
      <w:overflowPunct w:val="0"/>
      <w:spacing w:after="0" w:line="240" w:lineRule="auto"/>
    </w:pPr>
    <w:rPr>
      <w:rFonts w:ascii="Courier New" w:hAnsi="Courier New" w:eastAsia="Times New Roman" w:cs="Courier New"/>
      <w:sz w:val="20"/>
      <w:szCs w:val="20"/>
      <w:lang w:val="pt-PT"/>
    </w:rPr>
  </w:style>
  <w:style w:type="paragraph" w:customStyle="1" w:styleId="378">
    <w:name w:val="Sem Espaçamento1"/>
    <w:qFormat/>
    <w:uiPriority w:val="0"/>
    <w:pPr>
      <w:suppressAutoHyphens/>
    </w:pPr>
    <w:rPr>
      <w:rFonts w:ascii="Calibri" w:hAnsi="Calibri" w:eastAsia="Calibri" w:cs="Calibri"/>
      <w:sz w:val="22"/>
      <w:szCs w:val="22"/>
      <w:lang w:val="pt-BR" w:eastAsia="zh-CN" w:bidi="ar-SA"/>
    </w:rPr>
  </w:style>
  <w:style w:type="paragraph" w:customStyle="1" w:styleId="379">
    <w:name w:val="Corpo de texto 22"/>
    <w:basedOn w:val="1"/>
    <w:qFormat/>
    <w:uiPriority w:val="0"/>
    <w:pPr>
      <w:tabs>
        <w:tab w:val="left" w:pos="-414"/>
        <w:tab w:val="left" w:pos="0"/>
        <w:tab w:val="left" w:pos="306"/>
        <w:tab w:val="left" w:pos="1026"/>
        <w:tab w:val="left" w:pos="1530"/>
        <w:tab w:val="left" w:pos="2262"/>
        <w:tab w:val="left" w:pos="2664"/>
        <w:tab w:val="left" w:pos="3228"/>
        <w:tab w:val="left" w:pos="6066"/>
        <w:tab w:val="left" w:pos="6786"/>
        <w:tab w:val="left" w:pos="7506"/>
        <w:tab w:val="left" w:pos="8226"/>
        <w:tab w:val="left" w:pos="8946"/>
        <w:tab w:val="left" w:pos="9666"/>
      </w:tabs>
      <w:overflowPunct w:val="0"/>
      <w:spacing w:after="0" w:line="240" w:lineRule="auto"/>
      <w:jc w:val="both"/>
      <w:textAlignment w:val="baseline"/>
    </w:pPr>
    <w:rPr>
      <w:rFonts w:ascii="Arial" w:hAnsi="Arial" w:eastAsia="Times New Roman" w:cs="Arial"/>
      <w:sz w:val="24"/>
      <w:szCs w:val="20"/>
    </w:rPr>
  </w:style>
  <w:style w:type="paragraph" w:customStyle="1" w:styleId="380">
    <w:name w:val="Título 11"/>
    <w:basedOn w:val="1"/>
    <w:qFormat/>
    <w:uiPriority w:val="0"/>
    <w:pPr>
      <w:widowControl w:val="0"/>
      <w:spacing w:after="0" w:line="240" w:lineRule="auto"/>
      <w:ind w:left="895"/>
      <w:outlineLvl w:val="1"/>
    </w:pPr>
    <w:rPr>
      <w:rFonts w:ascii="Arial" w:hAnsi="Arial" w:eastAsia="Arial" w:cs="Arial"/>
      <w:b/>
      <w:bCs/>
      <w:sz w:val="20"/>
      <w:szCs w:val="20"/>
      <w:lang w:val="en-US"/>
    </w:rPr>
  </w:style>
  <w:style w:type="paragraph" w:customStyle="1" w:styleId="381">
    <w:name w:val="Título 12"/>
    <w:basedOn w:val="1"/>
    <w:qFormat/>
    <w:uiPriority w:val="0"/>
    <w:pPr>
      <w:widowControl w:val="0"/>
      <w:spacing w:after="0" w:line="240" w:lineRule="auto"/>
      <w:ind w:left="895"/>
      <w:outlineLvl w:val="1"/>
    </w:pPr>
    <w:rPr>
      <w:rFonts w:ascii="Arial" w:hAnsi="Arial" w:eastAsia="Arial" w:cs="Arial"/>
      <w:b/>
      <w:bCs/>
      <w:sz w:val="20"/>
      <w:szCs w:val="20"/>
      <w:lang w:val="en-US"/>
    </w:rPr>
  </w:style>
  <w:style w:type="paragraph" w:customStyle="1" w:styleId="382">
    <w:name w:val="Cabeçalho do Sumário1"/>
    <w:basedOn w:val="2"/>
    <w:next w:val="1"/>
    <w:uiPriority w:val="0"/>
    <w:pPr>
      <w:keepLines/>
      <w:numPr>
        <w:ilvl w:val="0"/>
        <w:numId w:val="0"/>
      </w:numPr>
      <w:spacing w:before="480" w:after="0" w:line="276" w:lineRule="auto"/>
      <w:outlineLvl w:val="9"/>
    </w:pPr>
    <w:rPr>
      <w:color w:val="2F5496"/>
      <w:kern w:val="0"/>
      <w:sz w:val="28"/>
      <w:szCs w:val="28"/>
    </w:rPr>
  </w:style>
  <w:style w:type="paragraph" w:customStyle="1" w:styleId="383">
    <w:name w:val="Recuo de corpo de texto 32"/>
    <w:basedOn w:val="1"/>
    <w:qFormat/>
    <w:uiPriority w:val="0"/>
    <w:pPr>
      <w:widowControl w:val="0"/>
      <w:spacing w:after="0" w:line="240" w:lineRule="auto"/>
      <w:ind w:left="1418"/>
      <w:jc w:val="both"/>
    </w:pPr>
    <w:rPr>
      <w:rFonts w:ascii="Arial" w:hAnsi="Arial" w:eastAsia="Times New Roman" w:cs="Arial"/>
      <w:sz w:val="24"/>
      <w:szCs w:val="20"/>
    </w:rPr>
  </w:style>
  <w:style w:type="paragraph" w:customStyle="1" w:styleId="384">
    <w:name w:val="Normal1"/>
    <w:basedOn w:val="1"/>
    <w:uiPriority w:val="0"/>
    <w:pPr>
      <w:spacing w:after="0" w:line="240" w:lineRule="auto"/>
    </w:pPr>
    <w:rPr>
      <w:rFonts w:ascii="Times New Roman" w:hAnsi="Times New Roman" w:eastAsia="Times New Roman" w:cs="Times New Roman"/>
      <w:sz w:val="24"/>
      <w:szCs w:val="24"/>
    </w:rPr>
  </w:style>
  <w:style w:type="paragraph" w:customStyle="1" w:styleId="385">
    <w:name w:val="Conteúdo do quadro"/>
    <w:basedOn w:val="1"/>
    <w:qFormat/>
    <w:uiPriority w:val="0"/>
  </w:style>
  <w:style w:type="paragraph" w:customStyle="1" w:styleId="386">
    <w:name w:val="Conteúdo da tabela"/>
    <w:basedOn w:val="1"/>
    <w:uiPriority w:val="0"/>
    <w:pPr>
      <w:widowControl w:val="0"/>
      <w:suppressLineNumbers/>
    </w:pPr>
  </w:style>
  <w:style w:type="paragraph" w:customStyle="1" w:styleId="387">
    <w:name w:val="Título de tabela"/>
    <w:basedOn w:val="386"/>
    <w:qFormat/>
    <w:uiPriority w:val="0"/>
    <w:pPr>
      <w:jc w:val="center"/>
    </w:pPr>
    <w:rPr>
      <w:b/>
      <w:bCs/>
    </w:rPr>
  </w:style>
  <w:style w:type="paragraph" w:styleId="388">
    <w:name w:val="List Paragraph"/>
    <w:basedOn w:val="350"/>
    <w:qFormat/>
    <w:uiPriority w:val="34"/>
    <w:pPr>
      <w:ind w:left="720"/>
    </w:pPr>
  </w:style>
  <w:style w:type="paragraph" w:customStyle="1" w:styleId="389">
    <w:name w:val="Recuo de corpo de texto 311"/>
    <w:basedOn w:val="1"/>
    <w:uiPriority w:val="0"/>
    <w:pPr>
      <w:suppressAutoHyphens w:val="0"/>
      <w:spacing w:after="0" w:line="240" w:lineRule="auto"/>
      <w:ind w:left="708" w:firstLine="851"/>
      <w:jc w:val="both"/>
    </w:pPr>
    <w:rPr>
      <w:rFonts w:ascii="Times New Roman" w:hAnsi="Times New Roman" w:eastAsia="Times New Roman" w:cs="Times New Roman"/>
      <w:sz w:val="16"/>
      <w:szCs w:val="16"/>
      <w:lang w:val="zh-CN"/>
    </w:rPr>
  </w:style>
  <w:style w:type="paragraph" w:customStyle="1" w:styleId="390">
    <w:name w:val="Recuo de corpo de texto 211"/>
    <w:basedOn w:val="1"/>
    <w:uiPriority w:val="0"/>
    <w:pPr>
      <w:suppressAutoHyphens w:val="0"/>
      <w:spacing w:after="0" w:line="240" w:lineRule="auto"/>
      <w:ind w:firstLine="851"/>
      <w:jc w:val="both"/>
    </w:pPr>
    <w:rPr>
      <w:rFonts w:ascii="Times New Roman" w:hAnsi="Times New Roman" w:eastAsia="SimSun" w:cs="Times New Roman"/>
      <w:sz w:val="20"/>
      <w:szCs w:val="20"/>
    </w:rPr>
  </w:style>
  <w:style w:type="paragraph" w:customStyle="1" w:styleId="391">
    <w:name w:val="Corpo de texto 311"/>
    <w:basedOn w:val="1"/>
    <w:uiPriority w:val="0"/>
    <w:pPr>
      <w:suppressAutoHyphens w:val="0"/>
      <w:autoSpaceDE w:val="0"/>
      <w:spacing w:after="0" w:line="240" w:lineRule="auto"/>
    </w:pPr>
    <w:rPr>
      <w:rFonts w:ascii="Times New Roman" w:hAnsi="Times New Roman" w:eastAsia="SimSun" w:cs="Times New Roman"/>
      <w:sz w:val="16"/>
      <w:szCs w:val="16"/>
    </w:rPr>
  </w:style>
  <w:style w:type="paragraph" w:customStyle="1" w:styleId="392">
    <w:name w:val="Corpo de texto 23"/>
    <w:basedOn w:val="1"/>
    <w:qFormat/>
    <w:uiPriority w:val="0"/>
    <w:pPr>
      <w:suppressAutoHyphens w:val="0"/>
      <w:spacing w:after="0" w:line="240" w:lineRule="auto"/>
      <w:jc w:val="both"/>
    </w:pPr>
    <w:rPr>
      <w:rFonts w:ascii="Times New Roman" w:hAnsi="Times New Roman" w:eastAsia="SimSun" w:cs="Times New Roman"/>
      <w:sz w:val="20"/>
      <w:szCs w:val="20"/>
    </w:rPr>
  </w:style>
  <w:style w:type="paragraph" w:styleId="393">
    <w:name w:val="No Spacing"/>
    <w:qFormat/>
    <w:uiPriority w:val="0"/>
    <w:pPr>
      <w:suppressAutoHyphens/>
    </w:pPr>
    <w:rPr>
      <w:rFonts w:ascii="Times New Roman" w:hAnsi="Times New Roman" w:eastAsia="SimSun" w:cs="Times New Roman"/>
      <w:sz w:val="24"/>
      <w:szCs w:val="24"/>
      <w:lang w:val="pt-BR" w:eastAsia="zh-CN" w:bidi="ar-SA"/>
    </w:rPr>
  </w:style>
  <w:style w:type="paragraph" w:customStyle="1" w:styleId="394">
    <w:name w:val="Cabeçalho do Sumário2"/>
    <w:basedOn w:val="2"/>
    <w:next w:val="1"/>
    <w:qFormat/>
    <w:uiPriority w:val="0"/>
    <w:pPr>
      <w:keepLines/>
      <w:numPr>
        <w:ilvl w:val="0"/>
        <w:numId w:val="0"/>
      </w:numPr>
      <w:suppressAutoHyphens w:val="0"/>
      <w:spacing w:before="480" w:after="0" w:line="276" w:lineRule="auto"/>
      <w:outlineLvl w:val="9"/>
    </w:pPr>
    <w:rPr>
      <w:rFonts w:ascii="Cambria" w:hAnsi="Cambria" w:eastAsia="Times New Roman" w:cs="Times New Roman"/>
      <w:color w:val="365F91"/>
      <w:kern w:val="0"/>
      <w:sz w:val="28"/>
      <w:szCs w:val="28"/>
    </w:rPr>
  </w:style>
  <w:style w:type="character" w:customStyle="1" w:styleId="395">
    <w:name w:val="Texto de comentário Char1"/>
    <w:basedOn w:val="11"/>
    <w:link w:val="22"/>
    <w:qFormat/>
    <w:uiPriority w:val="99"/>
    <w:rPr>
      <w:rFonts w:ascii="Calibri" w:hAnsi="Calibri" w:eastAsia="DengXian" w:cs="Calibri"/>
      <w:sz w:val="20"/>
      <w:szCs w:val="20"/>
      <w:lang w:eastAsia="zh-CN"/>
    </w:rPr>
  </w:style>
  <w:style w:type="character" w:customStyle="1" w:styleId="396">
    <w:name w:val="Assunto do comentário Char1"/>
    <w:basedOn w:val="395"/>
    <w:link w:val="27"/>
    <w:semiHidden/>
    <w:qFormat/>
    <w:uiPriority w:val="99"/>
    <w:rPr>
      <w:rFonts w:ascii="Calibri" w:hAnsi="Calibri" w:eastAsia="DengXian" w:cs="Calibri"/>
      <w:b/>
      <w:bCs/>
      <w:sz w:val="20"/>
      <w:szCs w:val="20"/>
      <w:lang w:eastAsia="zh-CN"/>
    </w:rPr>
  </w:style>
  <w:style w:type="character" w:customStyle="1" w:styleId="397">
    <w:name w:val="Menção Pendente4"/>
    <w:semiHidden/>
    <w:unhideWhenUsed/>
    <w:uiPriority w:val="99"/>
    <w:rPr>
      <w:color w:val="605E5C"/>
      <w:shd w:val="clear" w:color="auto" w:fill="E1DFDD"/>
    </w:rPr>
  </w:style>
  <w:style w:type="character" w:customStyle="1" w:styleId="398">
    <w:name w:val="15"/>
    <w:basedOn w:val="11"/>
    <w:uiPriority w:val="0"/>
    <w:rPr>
      <w:rFonts w:hint="default" w:ascii="Calibri" w:hAnsi="Calibri" w:cs="Calibri"/>
      <w:color w:val="0563C1"/>
      <w:u w:val="single"/>
    </w:rPr>
  </w:style>
  <w:style w:type="paragraph" w:customStyle="1" w:styleId="399">
    <w:name w:val="Revisão1"/>
    <w:hidden/>
    <w:semiHidden/>
    <w:qFormat/>
    <w:uiPriority w:val="99"/>
    <w:rPr>
      <w:rFonts w:ascii="Calibri" w:hAnsi="Calibri" w:eastAsia="DengXian" w:cs="Calibri"/>
      <w:sz w:val="22"/>
      <w:szCs w:val="22"/>
      <w:lang w:val="pt-BR"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17865-3E5C-4DF5-9900-48AC8BE6D680}">
  <ds:schemaRefs/>
</ds:datastoreItem>
</file>

<file path=docProps/app.xml><?xml version="1.0" encoding="utf-8"?>
<Properties xmlns="http://schemas.openxmlformats.org/officeDocument/2006/extended-properties" xmlns:vt="http://schemas.openxmlformats.org/officeDocument/2006/docPropsVTypes">
  <Template>Normal</Template>
  <Pages>22</Pages>
  <Words>12495</Words>
  <Characters>67475</Characters>
  <Lines>562</Lines>
  <Paragraphs>159</Paragraphs>
  <TotalTime>27</TotalTime>
  <ScaleCrop>false</ScaleCrop>
  <LinksUpToDate>false</LinksUpToDate>
  <CharactersWithSpaces>79811</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2024-07-09T18:42:00Z</dcterms:created>
  <dc:creator>Marciano</dc:creator>
  <cp:lastModifiedBy>Elivelton Sousa</cp:lastModifiedBy>
  <cp:lastPrinted>2024-10-09T12:30:00Z</cp:lastPrinted>
  <dcterms:modified xsi:type="dcterms:W3CDTF">2024-11-13T18:54:02Z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1046-12.2.0.18607</vt:lpwstr>
  </property>
  <property fmtid="{D5CDD505-2E9C-101B-9397-08002B2CF9AE}" pid="3" name="ICV">
    <vt:lpwstr>D55294A6FA434795928AB7E228E79A54_13</vt:lpwstr>
  </property>
</Properties>
</file>