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120" w:after="120"/>
        <w:jc w:val="center"/>
        <w:rPr>
          <w:rFonts w:ascii="Arial" w:hAnsi="Arial"/>
          <w:sz w:val="22"/>
          <w:szCs w:val="22"/>
        </w:rPr>
      </w:pPr>
      <w:r>
        <w:rPr>
          <w:rFonts w:cs="Arial" w:ascii="Arial" w:hAnsi="Arial"/>
          <w:b/>
          <w:sz w:val="22"/>
          <w:szCs w:val="22"/>
        </w:rPr>
        <w:t>TERMO DE REFERÊNCIA</w:t>
      </w:r>
    </w:p>
    <w:p>
      <w:pPr>
        <w:pStyle w:val="Normal"/>
        <w:spacing w:before="120" w:after="120"/>
        <w:jc w:val="center"/>
        <w:rPr>
          <w:sz w:val="22"/>
          <w:szCs w:val="22"/>
        </w:rPr>
      </w:pPr>
      <w:r>
        <w:rPr>
          <w:rFonts w:cs="Arial" w:ascii="Arial" w:hAnsi="Arial"/>
          <w:b/>
          <w:sz w:val="22"/>
          <w:szCs w:val="22"/>
        </w:rPr>
        <w:t>DFD. N° 017/2024 - DISPONIBILIZAÇÃO DE ESPAÇO FÍSICO</w:t>
      </w:r>
    </w:p>
    <w:p>
      <w:pPr>
        <w:pStyle w:val="Normal"/>
        <w:spacing w:before="120" w:after="120"/>
        <w:jc w:val="both"/>
        <w:rPr>
          <w:rFonts w:ascii="Arial" w:hAnsi="Arial" w:cs="Arial"/>
          <w:sz w:val="22"/>
          <w:szCs w:val="22"/>
        </w:rPr>
      </w:pPr>
      <w:r>
        <w:rPr>
          <w:rFonts w:cs="Arial" w:ascii="Arial" w:hAnsi="Arial"/>
          <w:sz w:val="22"/>
          <w:szCs w:val="22"/>
        </w:rPr>
      </w:r>
    </w:p>
    <w:p>
      <w:pPr>
        <w:pStyle w:val="ListParagraph"/>
        <w:shd w:val="clear" w:color="auto" w:fill="D8D8D8" w:themeFill="background1" w:themeFillShade="d9"/>
        <w:tabs>
          <w:tab w:val="clear" w:pos="708"/>
          <w:tab w:val="left" w:pos="720" w:leader="none"/>
        </w:tabs>
        <w:spacing w:before="120" w:after="120"/>
        <w:ind w:left="0"/>
        <w:contextualSpacing w:val="false"/>
        <w:jc w:val="both"/>
        <w:rPr>
          <w:rFonts w:ascii="Arial" w:hAnsi="Arial" w:cs="Arial"/>
          <w:b/>
          <w:sz w:val="22"/>
          <w:szCs w:val="22"/>
        </w:rPr>
      </w:pPr>
      <w:r>
        <w:rPr>
          <w:rFonts w:cs="Arial" w:ascii="Arial" w:hAnsi="Arial"/>
          <w:b/>
          <w:sz w:val="22"/>
          <w:szCs w:val="22"/>
        </w:rPr>
        <w:t>1. DO OBJETO</w:t>
      </w:r>
    </w:p>
    <w:p>
      <w:pPr>
        <w:pStyle w:val="ListParagraph"/>
        <w:spacing w:before="120" w:after="120"/>
        <w:ind w:left="0"/>
        <w:contextualSpacing w:val="false"/>
        <w:jc w:val="both"/>
        <w:rPr>
          <w:rFonts w:ascii="Arial" w:hAnsi="Arial" w:cs="Arial"/>
          <w:sz w:val="22"/>
          <w:szCs w:val="22"/>
        </w:rPr>
      </w:pPr>
      <w:r>
        <w:rPr>
          <w:rFonts w:ascii="Arial" w:hAnsi="Arial"/>
          <w:sz w:val="22"/>
          <w:szCs w:val="22"/>
        </w:rPr>
        <w:t xml:space="preserve">1.1. </w:t>
      </w:r>
      <w:r>
        <w:rPr>
          <w:rFonts w:cs="Arial" w:ascii="Arial" w:hAnsi="Arial"/>
          <w:b/>
          <w:color w:val="000000"/>
          <w:sz w:val="22"/>
          <w:szCs w:val="22"/>
        </w:rPr>
        <w:t>DO OBJETO.</w:t>
      </w:r>
    </w:p>
    <w:p>
      <w:pPr>
        <w:pStyle w:val="Normal"/>
        <w:spacing w:before="120" w:after="120"/>
        <w:jc w:val="both"/>
        <w:rPr>
          <w:rFonts w:ascii="Arial" w:hAnsi="Arial" w:cs="Arial"/>
          <w:sz w:val="22"/>
          <w:szCs w:val="22"/>
        </w:rPr>
      </w:pPr>
      <w:r>
        <w:rPr>
          <w:rFonts w:cs="Arial" w:ascii="Arial" w:hAnsi="Arial"/>
          <w:sz w:val="22"/>
          <w:szCs w:val="22"/>
        </w:rPr>
        <w:t>1.1.1. Constitui objeto do presente Termo de Referência, a contratação</w:t>
      </w:r>
      <w:r>
        <w:rPr>
          <w:rFonts w:cs="Arial" w:ascii="Arial" w:hAnsi="Arial"/>
          <w:color w:val="000000"/>
          <w:sz w:val="22"/>
          <w:szCs w:val="22"/>
        </w:rPr>
        <w:t xml:space="preserve"> de espaço físico para funcionamento da unidade do Conselho Tutelar, do </w:t>
      </w:r>
      <w:bookmarkStart w:id="0" w:name="_Hlk183417855"/>
      <w:r>
        <w:rPr>
          <w:rFonts w:cs="Arial" w:ascii="Arial" w:hAnsi="Arial"/>
          <w:color w:val="000000"/>
          <w:sz w:val="22"/>
          <w:szCs w:val="22"/>
        </w:rPr>
        <w:t xml:space="preserve">Serviço de Convivência e Fortalecimento de Vínculos - SCFV de São Jacinto </w:t>
      </w:r>
      <w:bookmarkEnd w:id="0"/>
      <w:r>
        <w:rPr>
          <w:rFonts w:cs="Arial" w:ascii="Arial" w:hAnsi="Arial"/>
          <w:color w:val="000000"/>
          <w:sz w:val="22"/>
          <w:szCs w:val="22"/>
        </w:rPr>
        <w:t>e da Casa de Passagem,</w:t>
      </w:r>
      <w:r>
        <w:rPr>
          <w:rFonts w:cs="Arial" w:ascii="Arial" w:hAnsi="Arial"/>
          <w:b/>
          <w:bCs/>
          <w:sz w:val="22"/>
          <w:szCs w:val="22"/>
        </w:rPr>
        <w:t xml:space="preserve"> </w:t>
      </w:r>
      <w:r>
        <w:rPr>
          <w:rFonts w:cs="Arial" w:ascii="Arial" w:hAnsi="Arial"/>
          <w:sz w:val="22"/>
          <w:szCs w:val="22"/>
        </w:rPr>
        <w:t xml:space="preserve">em atendimento às necessidades da Secretaria Municipal requisitante: </w:t>
      </w:r>
      <w:r>
        <w:rPr>
          <w:rFonts w:cs="Arial" w:ascii="Arial" w:hAnsi="Arial"/>
          <w:b/>
          <w:bCs/>
          <w:sz w:val="22"/>
          <w:szCs w:val="22"/>
        </w:rPr>
        <w:t>SECRETARIA MUNICIPAL DE ASSISTÊNCIA SOCIAL</w:t>
      </w:r>
      <w:r>
        <w:rPr>
          <w:rFonts w:cs="Arial" w:ascii="Arial" w:hAnsi="Arial"/>
          <w:sz w:val="22"/>
          <w:szCs w:val="22"/>
        </w:rPr>
        <w:t>.</w:t>
      </w:r>
    </w:p>
    <w:p>
      <w:pPr>
        <w:pStyle w:val="Normal"/>
        <w:spacing w:before="120" w:after="120"/>
        <w:jc w:val="both"/>
        <w:rPr>
          <w:rFonts w:ascii="Arial" w:hAnsi="Arial"/>
          <w:sz w:val="22"/>
          <w:szCs w:val="22"/>
        </w:rPr>
      </w:pPr>
      <w:r>
        <w:rPr>
          <w:rFonts w:ascii="Arial" w:hAnsi="Arial"/>
          <w:sz w:val="22"/>
          <w:szCs w:val="22"/>
        </w:rPr>
        <w:t>1.1.2. O(s) serviço(s) objeto desta contratação são caracterizados como SERVIÇO COMUM conforme justificativa constante do Estudo Técnico Preliminar, atendendo ao disposto do art. 6º, XIII c/c XV, da Lei Federal nº 14.133/2021, não se enquadrando de igual forma no art. 20, da Lei Federal nº 14.133/2021.</w:t>
      </w:r>
    </w:p>
    <w:p>
      <w:pPr>
        <w:pStyle w:val="Normal"/>
        <w:spacing w:before="120" w:after="120"/>
        <w:jc w:val="both"/>
        <w:rPr>
          <w:rFonts w:ascii="Arial" w:hAnsi="Arial"/>
          <w:sz w:val="22"/>
          <w:szCs w:val="22"/>
        </w:rPr>
      </w:pPr>
      <w:r>
        <w:rPr>
          <w:rFonts w:ascii="Arial" w:hAnsi="Arial"/>
          <w:sz w:val="22"/>
          <w:szCs w:val="22"/>
        </w:rPr>
        <w:t>1.1.3. Sugerimos a contratação direta da locação, sendo ela por INEXIGIBILIDADE, com fundamento no art. 74, V, da Lei Federal nº 14.133/2021, conforme fartamente fundamentado em sede de Estudos Técnicos Preliminares.</w:t>
      </w:r>
    </w:p>
    <w:p>
      <w:pPr>
        <w:pStyle w:val="Normal"/>
        <w:spacing w:before="120" w:after="120"/>
        <w:jc w:val="both"/>
        <w:rPr>
          <w:rFonts w:ascii="Arial" w:hAnsi="Arial"/>
          <w:sz w:val="22"/>
          <w:szCs w:val="22"/>
        </w:rPr>
      </w:pPr>
      <w:r>
        <w:rPr>
          <w:rFonts w:ascii="Arial" w:hAnsi="Arial"/>
          <w:sz w:val="22"/>
          <w:szCs w:val="22"/>
        </w:rPr>
        <w:t>1.1.4. A presente contratação será regida, ainda, pela Lei do Inquilinato (Lei Federal nº 8.245/91).</w:t>
      </w:r>
    </w:p>
    <w:p>
      <w:pPr>
        <w:pStyle w:val="Normal"/>
        <w:jc w:val="both"/>
        <w:rPr>
          <w:rFonts w:ascii="Arial" w:hAnsi="Arial" w:cs="Arial"/>
          <w:sz w:val="22"/>
          <w:szCs w:val="22"/>
        </w:rPr>
      </w:pPr>
      <w:r>
        <w:rPr>
          <w:rFonts w:cs="Arial" w:ascii="Arial" w:hAnsi="Arial"/>
          <w:sz w:val="22"/>
          <w:szCs w:val="22"/>
        </w:rPr>
      </w:r>
    </w:p>
    <w:p>
      <w:pPr>
        <w:pStyle w:val="ListParagraph"/>
        <w:shd w:val="clear" w:color="auto" w:fill="D8D8D8" w:themeFill="background1" w:themeFillShade="d9"/>
        <w:tabs>
          <w:tab w:val="clear" w:pos="708"/>
          <w:tab w:val="left" w:pos="720" w:leader="none"/>
        </w:tabs>
        <w:spacing w:before="0" w:after="0"/>
        <w:ind w:left="0"/>
        <w:contextualSpacing w:val="false"/>
        <w:jc w:val="both"/>
        <w:rPr>
          <w:rFonts w:ascii="Arial" w:hAnsi="Arial" w:cs="Arial"/>
          <w:b/>
          <w:sz w:val="22"/>
          <w:szCs w:val="22"/>
        </w:rPr>
      </w:pPr>
      <w:r>
        <w:rPr>
          <w:rFonts w:cs="Arial" w:ascii="Arial" w:hAnsi="Arial"/>
          <w:b/>
          <w:sz w:val="22"/>
          <w:szCs w:val="22"/>
        </w:rPr>
        <w:t>2. DA VIGÊNCIA</w:t>
      </w:r>
    </w:p>
    <w:p>
      <w:pPr>
        <w:pStyle w:val="Normal"/>
        <w:spacing w:before="120" w:after="120"/>
        <w:jc w:val="both"/>
        <w:rPr>
          <w:rFonts w:ascii="Arial" w:hAnsi="Arial"/>
          <w:sz w:val="22"/>
          <w:szCs w:val="22"/>
        </w:rPr>
      </w:pPr>
      <w:r>
        <w:rPr>
          <w:rFonts w:ascii="Arial" w:hAnsi="Arial"/>
          <w:sz w:val="22"/>
          <w:szCs w:val="22"/>
        </w:rPr>
        <w:t>2.1. O prazo inicial de vigência da contratação é de 12 (doze) meses contados do dia posterior à data de sua publicação na Imprensa Oficial do Município, qual seja o Diário Oficial dos Municípios do Estado do Espírito Santo – DOM/ES, e poderá ser prorrogado, por igual período, desde que comprovado o preço vantajoso, em conformidade ao art. 105 e seguintes da Lei Federal nº 14.133/2021.</w:t>
      </w:r>
    </w:p>
    <w:p>
      <w:pPr>
        <w:pStyle w:val="Normal"/>
        <w:spacing w:before="120" w:after="120"/>
        <w:jc w:val="both"/>
        <w:rPr>
          <w:rFonts w:ascii="Arial" w:hAnsi="Arial"/>
          <w:sz w:val="22"/>
          <w:szCs w:val="22"/>
        </w:rPr>
      </w:pPr>
      <w:r>
        <w:rPr>
          <w:rFonts w:ascii="Arial" w:hAnsi="Arial"/>
          <w:sz w:val="22"/>
          <w:szCs w:val="22"/>
        </w:rPr>
        <w:t>2.2. O contrato oferece maior detalhamento das regras que serão aplicadas em relação à vigência da Contratação.</w:t>
      </w:r>
    </w:p>
    <w:p>
      <w:pPr>
        <w:pStyle w:val="Normal"/>
        <w:jc w:val="both"/>
        <w:rPr>
          <w:rFonts w:ascii="Arial" w:hAnsi="Arial" w:cs="Arial"/>
          <w:sz w:val="22"/>
          <w:szCs w:val="22"/>
        </w:rPr>
      </w:pPr>
      <w:r>
        <w:rPr>
          <w:rFonts w:cs="Arial" w:ascii="Arial" w:hAnsi="Arial"/>
          <w:sz w:val="22"/>
          <w:szCs w:val="22"/>
        </w:rPr>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3. FUNDAMENTAÇÃO E DESCRIÇÃO DA NECESSIDADE DA CONTRATAÇÃO</w:t>
      </w:r>
    </w:p>
    <w:p>
      <w:pPr>
        <w:pStyle w:val="Normal"/>
        <w:spacing w:before="120" w:after="120"/>
        <w:jc w:val="both"/>
        <w:rPr>
          <w:rFonts w:ascii="Arial" w:hAnsi="Arial" w:cs="Arial" w:asciiTheme="minorHAnsi" w:cstheme="minorHAnsi" w:hAnsiTheme="minorHAnsi"/>
          <w:sz w:val="22"/>
          <w:szCs w:val="22"/>
        </w:rPr>
      </w:pPr>
      <w:r>
        <w:rPr>
          <w:rFonts w:cs="Arial" w:ascii="Arial" w:hAnsi="Arial"/>
          <w:sz w:val="22"/>
          <w:szCs w:val="22"/>
        </w:rPr>
        <w:t xml:space="preserve">3.1. </w:t>
      </w:r>
      <w:r>
        <w:rPr>
          <w:rFonts w:cs="Arial" w:ascii="Arial" w:hAnsi="Arial" w:asciiTheme="minorHAnsi" w:cstheme="minorHAnsi" w:hAnsiTheme="minorHAnsi"/>
          <w:sz w:val="22"/>
          <w:szCs w:val="22"/>
        </w:rPr>
        <w:t>A justificativa pormenorizada da inexigibilidade da licitação fundamenta-se na inviabilidade de competição conforme amplamente demonstrado no ETP. Ademais, declaramos que estão presentes os requisitos previstos no §5º, do art. 74, da Lei Federal nº 14.133/2021, quais sejam:</w:t>
      </w:r>
    </w:p>
    <w:p>
      <w:pPr>
        <w:pStyle w:val="NormalWeb"/>
        <w:spacing w:beforeAutospacing="0" w:before="180" w:afterAutospacing="0" w:after="180"/>
        <w:ind w:firstLine="456"/>
        <w:jc w:val="both"/>
        <w:rPr>
          <w:color w:val="000000"/>
          <w:sz w:val="22"/>
          <w:szCs w:val="22"/>
          <w:highlight w:val="none"/>
          <w:lang w:val="pt-BR"/>
        </w:rPr>
      </w:pPr>
      <w:r>
        <w:rPr>
          <w:rFonts w:cs="Arial" w:ascii="Arial" w:hAnsi="Arial"/>
          <w:color w:val="000000"/>
          <w:sz w:val="22"/>
          <w:szCs w:val="22"/>
        </w:rPr>
        <w:t>I - certificação da inexistência de imóveis públicos vagos e disponíveis que atendam ao objeto, conforme anexo</w:t>
      </w:r>
      <w:r>
        <w:rPr>
          <w:rFonts w:cs="Arial" w:ascii="Arial" w:hAnsi="Arial"/>
          <w:color w:val="000000"/>
          <w:sz w:val="22"/>
          <w:szCs w:val="22"/>
          <w:lang w:val="pt-BR"/>
        </w:rPr>
        <w:t>, ( anexo I )</w:t>
      </w:r>
    </w:p>
    <w:p>
      <w:pPr>
        <w:pStyle w:val="NormalWeb"/>
        <w:spacing w:beforeAutospacing="0" w:before="180" w:afterAutospacing="0" w:after="180"/>
        <w:ind w:firstLine="456"/>
        <w:jc w:val="both"/>
        <w:rPr>
          <w:rFonts w:ascii="Arial" w:hAnsi="Arial" w:cs="Arial" w:asciiTheme="minorHAnsi" w:cstheme="minorHAnsi" w:hAnsiTheme="minorHAnsi"/>
          <w:sz w:val="22"/>
          <w:szCs w:val="22"/>
          <w:highlight w:val="none"/>
        </w:rPr>
      </w:pPr>
      <w:r>
        <w:rPr>
          <w:rFonts w:cs="Arial" w:ascii="Arial" w:hAnsi="Arial"/>
          <w:color w:val="000000"/>
          <w:sz w:val="22"/>
          <w:szCs w:val="22"/>
        </w:rPr>
        <w:t>I</w:t>
      </w:r>
      <w:r>
        <w:rPr>
          <w:rFonts w:cs="Arial" w:ascii="Arial" w:hAnsi="Arial"/>
          <w:color w:val="000000"/>
          <w:sz w:val="22"/>
          <w:szCs w:val="22"/>
          <w:lang w:val="pt-BR"/>
        </w:rPr>
        <w:t>I</w:t>
      </w:r>
      <w:r>
        <w:rPr>
          <w:rFonts w:cs="Arial" w:ascii="Arial" w:hAnsi="Arial"/>
          <w:color w:val="000000"/>
          <w:sz w:val="22"/>
          <w:szCs w:val="22"/>
        </w:rPr>
        <w:t xml:space="preserve"> - avaliação prévia dos bens a serem locados, do seu estado de conservação, dos custos de adaptações, quando imprescindíveis às necessidades de utilização, e do prazo de amortização dos investimentos – conforme laudo expedido pelo responsável técnico</w:t>
      </w:r>
      <w:r>
        <w:rPr>
          <w:rFonts w:cs="Arial" w:ascii="Arial" w:hAnsi="Arial"/>
          <w:color w:val="000000"/>
          <w:sz w:val="22"/>
          <w:szCs w:val="22"/>
          <w:lang w:val="pt-BR"/>
        </w:rPr>
        <w:t>, ( anexo II ).</w:t>
      </w:r>
    </w:p>
    <w:p>
      <w:pPr>
        <w:pStyle w:val="NormalWeb"/>
        <w:spacing w:beforeAutospacing="0" w:before="180" w:afterAutospacing="0" w:after="180"/>
        <w:ind w:firstLine="456"/>
        <w:jc w:val="both"/>
        <w:rPr>
          <w:color w:val="000000"/>
          <w:sz w:val="22"/>
          <w:szCs w:val="22"/>
        </w:rPr>
      </w:pPr>
      <w:bookmarkStart w:id="1" w:name="art74§5iii"/>
      <w:bookmarkEnd w:id="1"/>
      <w:r>
        <w:rPr>
          <w:rFonts w:cs="Arial" w:ascii="Arial" w:hAnsi="Arial"/>
          <w:color w:val="000000"/>
          <w:sz w:val="22"/>
          <w:szCs w:val="22"/>
        </w:rPr>
        <w:t>III - justificativas que demonstrem a singularidade de cada um dos imóveis a serem locados pela Administração e que evidenciem vantagem para ela, conforme consta no ETP e neste termo de referência.</w:t>
      </w:r>
    </w:p>
    <w:p>
      <w:pPr>
        <w:pStyle w:val="Normal"/>
        <w:spacing w:before="120" w:after="120"/>
        <w:jc w:val="both"/>
        <w:rPr>
          <w:rFonts w:ascii="Arial" w:hAnsi="Arial" w:cs="Arial"/>
          <w:sz w:val="22"/>
          <w:szCs w:val="22"/>
        </w:rPr>
      </w:pPr>
      <w:r>
        <w:rPr>
          <w:rFonts w:cs="Arial" w:ascii="Arial" w:hAnsi="Arial"/>
          <w:sz w:val="22"/>
          <w:szCs w:val="22"/>
        </w:rPr>
        <w:t xml:space="preserve">3.2. </w:t>
      </w:r>
      <w:r>
        <w:rPr>
          <w:rFonts w:eastAsia="Cambria" w:cs="Arial" w:ascii="Arial" w:hAnsi="Arial"/>
          <w:sz w:val="22"/>
          <w:szCs w:val="22"/>
        </w:rPr>
        <w:t xml:space="preserve">A solicitação pretendida, se justifica em razão da necessidade de locação de imóveis residenciais para suprir a necessidade da Secretaria Municipal no funcionamento do </w:t>
      </w:r>
      <w:r>
        <w:rPr>
          <w:rFonts w:cs="Arial" w:ascii="Arial" w:hAnsi="Arial"/>
          <w:sz w:val="22"/>
          <w:szCs w:val="22"/>
        </w:rPr>
        <w:t>Conselho Tutelar, do Serviço de Convivência e Fortalecimento de Vínculos - SCFV de São Jacinto e da Casa de Passagem.</w:t>
      </w:r>
    </w:p>
    <w:p>
      <w:pPr>
        <w:pStyle w:val="Normal"/>
        <w:spacing w:before="120" w:after="120"/>
        <w:jc w:val="both"/>
        <w:rPr>
          <w:rFonts w:ascii="Arial" w:hAnsi="Arial" w:eastAsia="Cambria" w:cs="Arial" w:asciiTheme="minorHAnsi" w:cstheme="minorHAnsi" w:hAnsiTheme="minorHAnsi"/>
          <w:sz w:val="22"/>
          <w:szCs w:val="22"/>
        </w:rPr>
      </w:pPr>
      <w:r>
        <w:rPr>
          <w:rFonts w:cs="Arial" w:ascii="Arial" w:hAnsi="Arial"/>
          <w:sz w:val="22"/>
          <w:szCs w:val="22"/>
        </w:rPr>
        <w:t xml:space="preserve">3.3. </w:t>
      </w:r>
      <w:r>
        <w:rPr>
          <w:rFonts w:eastAsia="Cambria" w:cs="Arial" w:ascii="Arial" w:hAnsi="Arial"/>
          <w:sz w:val="22"/>
          <w:szCs w:val="22"/>
        </w:rPr>
        <w:t xml:space="preserve">Os imóveis são considerados como sendo de fácil acesso aos usuários dos serviços oferecidos pela Administração Pública, e se adequa perfeitamente às necessidades para o fim a que se pretende, tanto pela localização geográfica (que condicionou a sua escolha) quanto pela </w:t>
      </w:r>
      <w:r>
        <w:rPr>
          <w:rFonts w:eastAsia="Cambria" w:cs="Arial" w:ascii="Arial" w:hAnsi="Arial" w:asciiTheme="minorHAnsi" w:cstheme="minorHAnsi" w:hAnsiTheme="minorHAnsi"/>
          <w:sz w:val="22"/>
          <w:szCs w:val="22"/>
        </w:rPr>
        <w:t>utilização que atende às finalidades precípuas da contratação pretendida pela Secretaria Municipal de Assistência Social.</w:t>
      </w:r>
    </w:p>
    <w:p>
      <w:pPr>
        <w:pStyle w:val="Normal"/>
        <w:spacing w:before="120" w:after="120"/>
        <w:jc w:val="both"/>
        <w:rPr>
          <w:rFonts w:ascii="Arial" w:hAnsi="Arial" w:eastAsia="Cambria" w:cs="Arial" w:asciiTheme="minorHAnsi" w:cstheme="minorHAnsi" w:hAnsiTheme="minorHAnsi"/>
          <w:sz w:val="22"/>
          <w:szCs w:val="22"/>
        </w:rPr>
      </w:pPr>
      <w:r>
        <w:rPr>
          <w:rFonts w:eastAsia="Cambria" w:cs="Arial" w:ascii="Arial" w:hAnsi="Arial" w:asciiTheme="minorHAnsi" w:cstheme="minorHAnsi" w:hAnsiTheme="minorHAnsi"/>
          <w:sz w:val="22"/>
          <w:szCs w:val="22"/>
        </w:rPr>
        <w:t>3.4. A contratação dos imóveis, com capacidade e condições adequadas, se justifica com a necessidade da Secretaria Municipal de Assistência Social desenvolver o funcionamento dos serviços de proteção básica.</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3.5. Justificando, portanto, o presente Termo de Referência visa esclarecer e direcionar os procedimentos essenciais para elaboração do ato convocatório e a formalização do processo administrativo de contratação, sendo apresentadas sugestões básicas sobre os procedimentos mais comuns nas contratações públicas municipais, de modo que o atendimento aos requisitos estabelecidos aqui, evitará equívocos nas compras e contrações futuras.</w:t>
      </w:r>
    </w:p>
    <w:p>
      <w:pPr>
        <w:pStyle w:val="Normal"/>
        <w:jc w:val="both"/>
        <w:rPr>
          <w:rFonts w:ascii="Arial" w:hAnsi="Arial" w:cs="Arial" w:asciiTheme="minorHAnsi" w:cstheme="minorHAnsi" w:hAnsiTheme="minorHAnsi"/>
          <w:sz w:val="22"/>
          <w:szCs w:val="22"/>
        </w:rPr>
      </w:pPr>
      <w:r>
        <w:rPr>
          <w:rFonts w:cs="Arial" w:cstheme="minorHAnsi" w:ascii="Arial" w:hAnsi="Arial"/>
          <w:sz w:val="22"/>
          <w:szCs w:val="22"/>
        </w:rPr>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4. CONDIÇÕES GERAIS DA CONTRATAÇÃO</w:t>
      </w:r>
    </w:p>
    <w:p>
      <w:pPr>
        <w:pStyle w:val="Normal"/>
        <w:spacing w:before="120" w:after="120"/>
        <w:jc w:val="both"/>
        <w:rPr>
          <w:rFonts w:ascii="Arial" w:hAnsi="Arial" w:eastAsia="SimSun" w:cs="Arial"/>
          <w:sz w:val="22"/>
          <w:szCs w:val="22"/>
        </w:rPr>
      </w:pPr>
      <w:r>
        <w:rPr>
          <w:rFonts w:cs="Arial" w:ascii="Arial" w:hAnsi="Arial"/>
          <w:sz w:val="22"/>
          <w:szCs w:val="22"/>
        </w:rPr>
        <w:t>4.1.</w:t>
      </w:r>
      <w:r>
        <w:rPr>
          <w:rFonts w:eastAsia="SimSun" w:cs="Arial" w:ascii="Arial" w:hAnsi="Arial"/>
          <w:sz w:val="22"/>
          <w:szCs w:val="22"/>
        </w:rPr>
        <w:t xml:space="preserve"> Entende-se necessária a contratação de imóvel, conforme especificação e quantitativo abaixo:</w:t>
      </w:r>
    </w:p>
    <w:tbl>
      <w:tblPr>
        <w:tblStyle w:val="46"/>
        <w:tblW w:w="9854" w:type="dxa"/>
        <w:jc w:val="left"/>
        <w:tblInd w:w="0" w:type="dxa"/>
        <w:tblLayout w:type="fixed"/>
        <w:tblCellMar>
          <w:top w:w="0" w:type="dxa"/>
          <w:left w:w="108" w:type="dxa"/>
          <w:bottom w:w="0" w:type="dxa"/>
          <w:right w:w="108" w:type="dxa"/>
        </w:tblCellMar>
      </w:tblPr>
      <w:tblGrid>
        <w:gridCol w:w="1159"/>
        <w:gridCol w:w="2479"/>
        <w:gridCol w:w="1556"/>
        <w:gridCol w:w="1101"/>
        <w:gridCol w:w="2013"/>
        <w:gridCol w:w="1545"/>
      </w:tblGrid>
      <w:tr>
        <w:trPr/>
        <w:tc>
          <w:tcPr>
            <w:tcW w:w="1159" w:type="dxa"/>
            <w:tcBorders/>
            <w:shd w:color="auto" w:fill="D8D8D8" w:themeFill="background1" w:themeFillShade="d9" w:val="clear"/>
            <w:vAlign w:val="center"/>
          </w:tcPr>
          <w:p>
            <w:pPr>
              <w:pStyle w:val="ListParagraph"/>
              <w:widowControl/>
              <w:spacing w:before="0" w:after="0"/>
              <w:ind w:left="0"/>
              <w:contextualSpacing/>
              <w:jc w:val="center"/>
              <w:rPr>
                <w:rFonts w:ascii="Arial" w:hAnsi="Arial" w:cs="Arial"/>
                <w:b/>
                <w:bCs/>
                <w:sz w:val="22"/>
                <w:szCs w:val="22"/>
              </w:rPr>
            </w:pPr>
            <w:r>
              <w:rPr>
                <w:rFonts w:cs="Arial" w:ascii="Arial" w:hAnsi="Arial"/>
                <w:b/>
                <w:bCs/>
                <w:kern w:val="0"/>
                <w:sz w:val="22"/>
                <w:szCs w:val="22"/>
              </w:rPr>
              <w:t>ITEM</w:t>
            </w:r>
          </w:p>
        </w:tc>
        <w:tc>
          <w:tcPr>
            <w:tcW w:w="2479" w:type="dxa"/>
            <w:tcBorders/>
            <w:shd w:color="auto" w:fill="D8D8D8" w:themeFill="background1" w:themeFillShade="d9" w:val="clear"/>
            <w:vAlign w:val="center"/>
          </w:tcPr>
          <w:p>
            <w:pPr>
              <w:pStyle w:val="Normal"/>
              <w:widowControl/>
              <w:spacing w:before="0" w:after="0"/>
              <w:contextualSpacing/>
              <w:jc w:val="center"/>
              <w:rPr>
                <w:rFonts w:ascii="Arial" w:hAnsi="Arial" w:cs="Arial"/>
                <w:b/>
                <w:bCs/>
                <w:sz w:val="22"/>
                <w:szCs w:val="22"/>
              </w:rPr>
            </w:pPr>
            <w:r>
              <w:rPr>
                <w:rFonts w:eastAsia="SimSun" w:cs="Arial" w:ascii="Arial" w:hAnsi="Arial"/>
                <w:b/>
                <w:bCs/>
                <w:kern w:val="0"/>
                <w:sz w:val="22"/>
                <w:szCs w:val="22"/>
              </w:rPr>
              <w:t>ESPECIFICAÇÃO</w:t>
            </w:r>
          </w:p>
        </w:tc>
        <w:tc>
          <w:tcPr>
            <w:tcW w:w="1556" w:type="dxa"/>
            <w:tcBorders/>
            <w:shd w:color="auto" w:fill="D8D8D8" w:themeFill="background1" w:themeFillShade="d9" w:val="clear"/>
            <w:vAlign w:val="center"/>
          </w:tcPr>
          <w:p>
            <w:pPr>
              <w:pStyle w:val="Normal"/>
              <w:widowControl/>
              <w:spacing w:before="0" w:after="0"/>
              <w:contextualSpacing/>
              <w:jc w:val="center"/>
              <w:rPr>
                <w:rFonts w:ascii="Arial" w:hAnsi="Arial" w:cs="Arial"/>
                <w:b/>
                <w:bCs/>
                <w:sz w:val="22"/>
                <w:szCs w:val="22"/>
              </w:rPr>
            </w:pPr>
            <w:r>
              <w:rPr>
                <w:rFonts w:cs="Arial" w:ascii="Arial" w:hAnsi="Arial"/>
                <w:b/>
                <w:bCs/>
                <w:kern w:val="0"/>
                <w:sz w:val="22"/>
                <w:szCs w:val="22"/>
              </w:rPr>
              <w:t>UNID</w:t>
            </w:r>
          </w:p>
        </w:tc>
        <w:tc>
          <w:tcPr>
            <w:tcW w:w="1101" w:type="dxa"/>
            <w:tcBorders/>
            <w:shd w:color="auto" w:fill="D8D8D8" w:themeFill="background1" w:themeFillShade="d9" w:val="clear"/>
            <w:vAlign w:val="center"/>
          </w:tcPr>
          <w:p>
            <w:pPr>
              <w:pStyle w:val="Normal"/>
              <w:widowControl/>
              <w:spacing w:before="0" w:after="0"/>
              <w:contextualSpacing/>
              <w:jc w:val="center"/>
              <w:rPr>
                <w:rFonts w:ascii="Arial" w:hAnsi="Arial" w:cs="Arial"/>
                <w:b/>
                <w:bCs/>
                <w:sz w:val="22"/>
                <w:szCs w:val="22"/>
              </w:rPr>
            </w:pPr>
            <w:r>
              <w:rPr>
                <w:rFonts w:cs="Arial" w:ascii="Arial" w:hAnsi="Arial"/>
                <w:b/>
                <w:bCs/>
                <w:kern w:val="0"/>
                <w:sz w:val="22"/>
                <w:szCs w:val="22"/>
              </w:rPr>
              <w:t>QUANT</w:t>
            </w:r>
          </w:p>
        </w:tc>
        <w:tc>
          <w:tcPr>
            <w:tcW w:w="2013" w:type="dxa"/>
            <w:tcBorders/>
            <w:shd w:color="auto" w:fill="D8D8D8" w:themeFill="background1" w:themeFillShade="d9" w:val="clear"/>
            <w:vAlign w:val="center"/>
          </w:tcPr>
          <w:p>
            <w:pPr>
              <w:pStyle w:val="Normal"/>
              <w:widowControl/>
              <w:spacing w:before="0" w:after="0"/>
              <w:contextualSpacing/>
              <w:jc w:val="center"/>
              <w:rPr>
                <w:rFonts w:ascii="Arial" w:hAnsi="Arial" w:cs="Arial"/>
                <w:b/>
                <w:bCs/>
                <w:sz w:val="22"/>
                <w:szCs w:val="22"/>
              </w:rPr>
            </w:pPr>
            <w:r>
              <w:rPr>
                <w:rFonts w:cs="Arial" w:ascii="Arial" w:hAnsi="Arial"/>
                <w:b/>
                <w:bCs/>
                <w:kern w:val="0"/>
                <w:sz w:val="22"/>
                <w:szCs w:val="22"/>
              </w:rPr>
              <w:t>VALOR MENSAL</w:t>
            </w:r>
          </w:p>
        </w:tc>
        <w:tc>
          <w:tcPr>
            <w:tcW w:w="1545" w:type="dxa"/>
            <w:tcBorders/>
            <w:shd w:color="auto" w:fill="D8D8D8" w:themeFill="background1" w:themeFillShade="d9" w:val="clear"/>
            <w:vAlign w:val="center"/>
          </w:tcPr>
          <w:p>
            <w:pPr>
              <w:pStyle w:val="Normal"/>
              <w:widowControl/>
              <w:spacing w:before="0" w:after="0"/>
              <w:contextualSpacing/>
              <w:jc w:val="center"/>
              <w:rPr>
                <w:rFonts w:ascii="Arial" w:hAnsi="Arial" w:cs="Arial"/>
                <w:b/>
                <w:bCs/>
                <w:sz w:val="22"/>
                <w:szCs w:val="22"/>
              </w:rPr>
            </w:pPr>
            <w:r>
              <w:rPr>
                <w:rFonts w:cs="Arial" w:ascii="Arial" w:hAnsi="Arial"/>
                <w:b/>
                <w:bCs/>
                <w:kern w:val="0"/>
                <w:sz w:val="22"/>
                <w:szCs w:val="22"/>
              </w:rPr>
              <w:t>VALOR TOTAL</w:t>
            </w:r>
          </w:p>
        </w:tc>
      </w:tr>
      <w:tr>
        <w:trPr/>
        <w:tc>
          <w:tcPr>
            <w:tcW w:w="1159"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01</w:t>
            </w:r>
          </w:p>
        </w:tc>
        <w:tc>
          <w:tcPr>
            <w:tcW w:w="2479"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Unidade do Conselho Tutelar</w:t>
            </w:r>
          </w:p>
        </w:tc>
        <w:tc>
          <w:tcPr>
            <w:tcW w:w="1556"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Meses</w:t>
            </w:r>
          </w:p>
        </w:tc>
        <w:tc>
          <w:tcPr>
            <w:tcW w:w="1101"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12</w:t>
            </w:r>
          </w:p>
        </w:tc>
        <w:tc>
          <w:tcPr>
            <w:tcW w:w="2013"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R$ 1.100,00</w:t>
            </w:r>
          </w:p>
        </w:tc>
        <w:tc>
          <w:tcPr>
            <w:tcW w:w="1545"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R$ 13.200,00</w:t>
            </w:r>
          </w:p>
        </w:tc>
      </w:tr>
      <w:tr>
        <w:trPr/>
        <w:tc>
          <w:tcPr>
            <w:tcW w:w="1159"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02</w:t>
            </w:r>
          </w:p>
        </w:tc>
        <w:tc>
          <w:tcPr>
            <w:tcW w:w="2479"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color w:val="000000"/>
                <w:kern w:val="0"/>
                <w:sz w:val="22"/>
                <w:szCs w:val="22"/>
              </w:rPr>
              <w:t>Unidade do Serviço de Convivência e Fortalecimento de Vínculos - SCFV de São Jacinto</w:t>
            </w:r>
          </w:p>
        </w:tc>
        <w:tc>
          <w:tcPr>
            <w:tcW w:w="1556"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Meses</w:t>
            </w:r>
          </w:p>
        </w:tc>
        <w:tc>
          <w:tcPr>
            <w:tcW w:w="1101"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12</w:t>
            </w:r>
          </w:p>
        </w:tc>
        <w:tc>
          <w:tcPr>
            <w:tcW w:w="2013"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R$ 900,00</w:t>
            </w:r>
          </w:p>
        </w:tc>
        <w:tc>
          <w:tcPr>
            <w:tcW w:w="1545"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R$ 10.800,00</w:t>
            </w:r>
          </w:p>
        </w:tc>
      </w:tr>
      <w:tr>
        <w:trPr/>
        <w:tc>
          <w:tcPr>
            <w:tcW w:w="1159"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03</w:t>
            </w:r>
          </w:p>
        </w:tc>
        <w:tc>
          <w:tcPr>
            <w:tcW w:w="2479"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color w:val="000000"/>
                <w:kern w:val="0"/>
                <w:sz w:val="22"/>
                <w:szCs w:val="22"/>
              </w:rPr>
              <w:t>Unidade da Casa de Passagem</w:t>
            </w:r>
          </w:p>
        </w:tc>
        <w:tc>
          <w:tcPr>
            <w:tcW w:w="1556"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Meses</w:t>
            </w:r>
          </w:p>
        </w:tc>
        <w:tc>
          <w:tcPr>
            <w:tcW w:w="1101"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12</w:t>
            </w:r>
          </w:p>
        </w:tc>
        <w:tc>
          <w:tcPr>
            <w:tcW w:w="2013"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R$ 900,00</w:t>
            </w:r>
          </w:p>
        </w:tc>
        <w:tc>
          <w:tcPr>
            <w:tcW w:w="1545" w:type="dxa"/>
            <w:tcBorders/>
            <w:vAlign w:val="center"/>
          </w:tcPr>
          <w:p>
            <w:pPr>
              <w:pStyle w:val="ListParagraph"/>
              <w:widowControl/>
              <w:spacing w:before="0" w:after="0"/>
              <w:ind w:left="0"/>
              <w:contextualSpacing/>
              <w:jc w:val="center"/>
              <w:rPr>
                <w:rFonts w:ascii="Arial" w:hAnsi="Arial" w:cs="Arial"/>
                <w:sz w:val="22"/>
                <w:szCs w:val="22"/>
              </w:rPr>
            </w:pPr>
            <w:r>
              <w:rPr>
                <w:rFonts w:cs="Arial" w:ascii="Arial" w:hAnsi="Arial"/>
                <w:kern w:val="0"/>
                <w:sz w:val="22"/>
                <w:szCs w:val="22"/>
              </w:rPr>
              <w:t>R$ 10.800,00</w:t>
            </w:r>
          </w:p>
        </w:tc>
      </w:tr>
    </w:tbl>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4.2. O objetivo almejado é atender as demandas oriundas da Secretaria Municipal de Assistência Social, quanto à locação dos imóveis necessários ao bom funcionamento do referido setor, prestando, dessa forma, de forma plena, os serviços de proteção básica, oferecendo à população que vivencia situações de vulnerabilidades sociais, novas oportunidades de reflexão acerca da realidade social, contribuindo dessa forma para a planejamento de estratégias e na construção de novos projetos de vida.</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4.3. Assim sendo, a contratação em comento garante que as atividades administrativas e operacionais da Secretaria Requisitante não sejam interrompidas por falta de recursos básicos, incluindo a disponibilização de espaço físico para atendimento ao desejado.</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 xml:space="preserve"> </w:t>
      </w:r>
      <w:r>
        <w:rPr>
          <w:rFonts w:cs="Arial" w:ascii="Arial" w:hAnsi="Arial" w:asciiTheme="minorHAnsi" w:cstheme="minorHAnsi" w:hAnsiTheme="minorHAnsi"/>
          <w:sz w:val="22"/>
          <w:szCs w:val="22"/>
        </w:rPr>
        <w:t>4.4. A descrição da solução como um todo, portanto, se encontra pormenorizada em tópico específico do ETP, de modo que o ciclo de vida do objeto se encontra em consonância com as normas pátrias.</w:t>
      </w:r>
    </w:p>
    <w:p>
      <w:pPr>
        <w:pStyle w:val="Normal"/>
        <w:jc w:val="both"/>
        <w:rPr>
          <w:rFonts w:ascii="Arial" w:hAnsi="Arial" w:cs="Arial" w:asciiTheme="minorHAnsi" w:cstheme="minorHAnsi" w:hAnsiTheme="minorHAnsi"/>
          <w:sz w:val="22"/>
          <w:szCs w:val="22"/>
        </w:rPr>
      </w:pPr>
      <w:r>
        <w:rPr>
          <w:rFonts w:cs="Arial" w:cstheme="minorHAnsi" w:ascii="Arial" w:hAnsi="Arial"/>
          <w:sz w:val="22"/>
          <w:szCs w:val="22"/>
        </w:rPr>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5. DA EXECUÇÃO</w:t>
      </w:r>
    </w:p>
    <w:p>
      <w:pPr>
        <w:pStyle w:val="Normal"/>
        <w:spacing w:before="120" w:after="120"/>
        <w:jc w:val="both"/>
        <w:rPr>
          <w:rFonts w:ascii="Arial" w:hAnsi="Arial" w:cs="Arial"/>
          <w:sz w:val="22"/>
          <w:szCs w:val="22"/>
        </w:rPr>
      </w:pPr>
      <w:r>
        <w:rPr>
          <w:rFonts w:cs="Arial" w:ascii="Arial" w:hAnsi="Arial"/>
          <w:sz w:val="22"/>
          <w:szCs w:val="22"/>
        </w:rPr>
        <w:t>5.1.</w:t>
      </w:r>
      <w:r>
        <w:rPr/>
        <w:t xml:space="preserve"> </w:t>
      </w:r>
      <w:r>
        <w:rPr>
          <w:rFonts w:cs="Arial" w:ascii="Arial" w:hAnsi="Arial"/>
          <w:sz w:val="22"/>
          <w:szCs w:val="22"/>
        </w:rPr>
        <w:t>Trata-se de 3 (três) imóveis residenciais sendo para o Conselho Tutelar, Serviço de Convivência e Fortalecimento de Vínculos - SCFV de São Jacinto e da Casa de Passagem, a serem disponibilizados da seguinte forma:</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 xml:space="preserve">5.1.1. O imóvel para instalar o </w:t>
      </w:r>
      <w:r>
        <w:rPr>
          <w:rFonts w:cs="Arial" w:ascii="Arial" w:hAnsi="Arial" w:asciiTheme="minorHAnsi" w:cstheme="minorHAnsi" w:hAnsiTheme="minorHAnsi"/>
          <w:b/>
          <w:sz w:val="22"/>
          <w:szCs w:val="22"/>
        </w:rPr>
        <w:t>Conselho Tutelar</w:t>
      </w:r>
      <w:r>
        <w:rPr>
          <w:rFonts w:cs="Arial" w:ascii="Arial" w:hAnsi="Arial" w:asciiTheme="minorHAnsi" w:cstheme="minorHAnsi" w:hAnsiTheme="minorHAnsi"/>
          <w:sz w:val="22"/>
          <w:szCs w:val="22"/>
        </w:rPr>
        <w:t xml:space="preserve"> deverá dotar de estrutura física para rede de dados, bem como rede elétrica que suporte equipamentos como: condicionadores de ar e computadores. Boas condições de conservação, e sem vícios construtivos rigorosos aparentes, que comprometam a segurança da pronta ocupação e sem risco de alagamento ou desmoronamento.</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 xml:space="preserve">5.1.1.1. A edificação deverá ser, preferencialmente, do tipo residencial, dotada de no mínimo 03 quartos que serão transformados em sala, 01 cozinha, banheiros, preferencialmente com garagem, área de circulação externa coberta e área livre, onde serão implantados os ambientes necessários ao funcionamento e a oferta de atendimento do conselho tutelar, tais como: </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 xml:space="preserve">a) Recepção: será instalado um Balcão de atendimento para receber os munícipes e prestar-lhes orientações; </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b) Salas de atendimento: serão prestados atendimentos sociais pelos conselheiros;</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 xml:space="preserve">c) Sala de Múltiplo uso: para desenvolvimento de reuniões, encontros, palestras e/ ou oficinas para crianças e demais envolvidos no atendimento; </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 xml:space="preserve">d) Sala de apoio Administrativo: será utilizada pelos servidores públicos; </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 xml:space="preserve">e) Cozinha: para uso interno dos servidores; </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f) Banheiros: para uso interno dos servidores e outros.</w:t>
      </w:r>
    </w:p>
    <w:p>
      <w:pPr>
        <w:pStyle w:val="Normal"/>
        <w:spacing w:before="120" w:after="120"/>
        <w:jc w:val="both"/>
        <w:rPr>
          <w:rFonts w:ascii="Arial" w:hAnsi="Arial" w:cs="Arial" w:asciiTheme="minorHAnsi" w:cstheme="minorHAnsi" w:hAnsiTheme="minorHAnsi"/>
          <w:sz w:val="22"/>
          <w:szCs w:val="22"/>
        </w:rPr>
      </w:pPr>
      <w:r>
        <w:rPr>
          <w:rFonts w:cs="Arial" w:ascii="Arial" w:hAnsi="Arial" w:asciiTheme="minorHAnsi" w:cstheme="minorHAnsi" w:hAnsiTheme="minorHAnsi"/>
          <w:sz w:val="22"/>
          <w:szCs w:val="22"/>
        </w:rPr>
        <w:t>Não sendo localizado no cadastro do Município imóvel compatível do tipo residencial, poderá ser extensivo a busca para imóveis do tipo comercial, devendo ser adequados posteriormente para fins de acomodação das atividades desenvolvidas pelo Conselho Tutelar.</w:t>
      </w:r>
    </w:p>
    <w:p>
      <w:pPr>
        <w:pStyle w:val="Normal"/>
        <w:spacing w:before="120" w:after="120"/>
        <w:jc w:val="both"/>
        <w:rPr>
          <w:rFonts w:ascii="Arial" w:hAnsi="Arial" w:cs="Arial"/>
          <w:sz w:val="22"/>
          <w:szCs w:val="22"/>
        </w:rPr>
      </w:pPr>
      <w:r>
        <w:rPr>
          <w:rFonts w:cs="Arial" w:ascii="Arial" w:hAnsi="Arial" w:asciiTheme="minorHAnsi" w:cstheme="minorHAnsi" w:hAnsiTheme="minorHAnsi"/>
          <w:sz w:val="22"/>
          <w:szCs w:val="22"/>
        </w:rPr>
        <w:t>5.1.2.</w:t>
      </w:r>
      <w:r>
        <w:rPr>
          <w:rFonts w:cs="Arial" w:ascii="Arial" w:hAnsi="Arial"/>
          <w:color w:val="000000"/>
          <w:sz w:val="22"/>
          <w:szCs w:val="22"/>
        </w:rPr>
        <w:t xml:space="preserve"> </w:t>
      </w:r>
      <w:r>
        <w:rPr>
          <w:rFonts w:cs="Arial" w:ascii="Arial" w:hAnsi="Arial"/>
          <w:sz w:val="22"/>
          <w:szCs w:val="22"/>
        </w:rPr>
        <w:t xml:space="preserve">O imóvel instalar o </w:t>
      </w:r>
      <w:r>
        <w:rPr>
          <w:rFonts w:cs="Arial" w:ascii="Arial" w:hAnsi="Arial"/>
          <w:b/>
          <w:sz w:val="22"/>
          <w:szCs w:val="22"/>
        </w:rPr>
        <w:t>Serviço de Convivência e Fortalecimento de Vínculos – SCFV</w:t>
      </w:r>
      <w:r>
        <w:rPr>
          <w:rFonts w:cs="Arial" w:ascii="Arial" w:hAnsi="Arial"/>
          <w:sz w:val="22"/>
          <w:szCs w:val="22"/>
        </w:rPr>
        <w:t xml:space="preserve"> deve dispor de um espaço com área para realização de atividades que o programa ofereça, garantindo espaço e conforto aos usuários.</w:t>
      </w:r>
    </w:p>
    <w:p>
      <w:pPr>
        <w:pStyle w:val="Normal"/>
        <w:spacing w:before="120" w:after="120"/>
        <w:jc w:val="both"/>
        <w:rPr>
          <w:rFonts w:ascii="Arial" w:hAnsi="Arial" w:cs="Arial"/>
          <w:sz w:val="22"/>
          <w:szCs w:val="22"/>
        </w:rPr>
      </w:pPr>
      <w:r>
        <w:rPr>
          <w:rFonts w:cs="Arial" w:ascii="Arial" w:hAnsi="Arial"/>
          <w:sz w:val="22"/>
          <w:szCs w:val="22"/>
        </w:rPr>
        <w:t>5.1.2.1. Para tanto, deverá o bem imóvel ser localizado em área de fácil acesso para a comunidades, com espaço físico compatível preenchendo os requisitos necessários às pretensões da Administração.</w:t>
      </w:r>
    </w:p>
    <w:p>
      <w:pPr>
        <w:pStyle w:val="Normal"/>
        <w:spacing w:before="120" w:after="120"/>
        <w:jc w:val="both"/>
        <w:rPr>
          <w:rFonts w:ascii="Arial" w:hAnsi="Arial" w:cs="Arial"/>
          <w:sz w:val="22"/>
          <w:szCs w:val="22"/>
        </w:rPr>
      </w:pPr>
      <w:r>
        <w:rPr>
          <w:rFonts w:cs="Arial" w:ascii="Arial" w:hAnsi="Arial"/>
          <w:sz w:val="22"/>
          <w:szCs w:val="22"/>
        </w:rPr>
        <w:t>5.1.2.2. Deverá se apresentar em bom estado de conservação, dispondo de salas de reuniões (no mínimo 03 ambientes), cozinha, banheiros, área de circulação externa e espaço adequado e amplo para realização de suas ações, com as crianças, adolescentes, jovens, adultos, idosos, pessoas com deficiência, pessoas com vulnerabilidade social e toda a comunidade.</w:t>
      </w:r>
    </w:p>
    <w:p>
      <w:pPr>
        <w:pStyle w:val="Normal"/>
        <w:spacing w:before="120" w:after="120"/>
        <w:jc w:val="both"/>
        <w:rPr>
          <w:rFonts w:ascii="Arial" w:hAnsi="Arial" w:cs="Arial"/>
          <w:sz w:val="22"/>
          <w:szCs w:val="22"/>
        </w:rPr>
      </w:pPr>
      <w:r>
        <w:rPr>
          <w:rFonts w:ascii="Arial" w:hAnsi="Arial"/>
          <w:sz w:val="22"/>
          <w:szCs w:val="22"/>
        </w:rPr>
        <w:t xml:space="preserve">5.1.3. </w:t>
      </w:r>
      <w:r>
        <w:rPr>
          <w:rFonts w:cs="Arial" w:ascii="Arial" w:hAnsi="Arial"/>
          <w:sz w:val="22"/>
          <w:szCs w:val="22"/>
        </w:rPr>
        <w:t xml:space="preserve">A estrutura da </w:t>
      </w:r>
      <w:r>
        <w:rPr>
          <w:rFonts w:cs="Arial" w:ascii="Arial" w:hAnsi="Arial"/>
          <w:b/>
          <w:sz w:val="22"/>
          <w:szCs w:val="22"/>
        </w:rPr>
        <w:t>Casa de Passagem</w:t>
      </w:r>
      <w:r>
        <w:rPr>
          <w:rFonts w:cs="Arial" w:ascii="Arial" w:hAnsi="Arial"/>
          <w:sz w:val="22"/>
          <w:szCs w:val="22"/>
        </w:rPr>
        <w:t xml:space="preserve"> deve ser acolhedora, de acordo com as normas legais, para moradia temporária, com condições de repouso e convívio, ofertando local adequado para guarda de pertences, alimentação, lavagem e secagem de roupas, banho, higiene pessoal e vestuário, quando necessário.</w:t>
      </w:r>
    </w:p>
    <w:p>
      <w:pPr>
        <w:pStyle w:val="Normal"/>
        <w:spacing w:before="120" w:after="120"/>
        <w:jc w:val="both"/>
        <w:rPr>
          <w:rFonts w:ascii="Arial" w:hAnsi="Arial" w:cs="Arial"/>
          <w:sz w:val="22"/>
          <w:szCs w:val="22"/>
        </w:rPr>
      </w:pPr>
      <w:r>
        <w:rPr>
          <w:rFonts w:cs="Arial" w:ascii="Arial" w:hAnsi="Arial"/>
          <w:sz w:val="22"/>
          <w:szCs w:val="22"/>
        </w:rPr>
        <w:t>5.1.3.1. O imóvel deverá ser, obrigatoriamente, do tipo residencial, dotado de no mínimo 03 quartos, 01 cozinha, 01 sala, banheiros, área de higienização e lavagem de roupas, área de circulação externa coberta e área livre, onde serão implantados os ambientes necessários ao funcionamento e a oferta de atendimento dos usuários.</w:t>
      </w:r>
    </w:p>
    <w:p>
      <w:pPr>
        <w:pStyle w:val="Normal"/>
        <w:spacing w:before="120" w:after="120"/>
        <w:jc w:val="both"/>
        <w:rPr>
          <w:rFonts w:ascii="Arial" w:hAnsi="Arial" w:cs="Arial"/>
          <w:sz w:val="22"/>
          <w:szCs w:val="22"/>
        </w:rPr>
      </w:pPr>
      <w:r>
        <w:rPr>
          <w:rFonts w:cs="Arial" w:ascii="Arial" w:hAnsi="Arial"/>
          <w:sz w:val="22"/>
          <w:szCs w:val="22"/>
        </w:rPr>
        <w:t>5.1.3.2. Recomenda-se que o imóvel disponibilizado seja servido por serviços de concessionárias de eletricidade, água e telefonia, assim como ser atendido pela rede de transporte público regular, preferencialmente em vias pavimentadas, em local discreto e sossegado, mantendo-se horários flexíveis para entrada e saída dos usuários de acordo com a demanda e a necessidade dos mesmos.</w:t>
      </w:r>
    </w:p>
    <w:p>
      <w:pPr>
        <w:pStyle w:val="Normal"/>
        <w:spacing w:before="120" w:after="120"/>
        <w:jc w:val="both"/>
        <w:rPr>
          <w:rFonts w:ascii="Arial" w:hAnsi="Arial" w:cs="Arial"/>
          <w:sz w:val="22"/>
          <w:szCs w:val="22"/>
        </w:rPr>
      </w:pPr>
      <w:r>
        <w:rPr>
          <w:rFonts w:cs="Arial" w:ascii="Arial" w:hAnsi="Arial"/>
          <w:sz w:val="22"/>
          <w:szCs w:val="22"/>
        </w:rPr>
        <w:t>5.2. A LOCADORA deverá obedecer ao prazo total de execução, conforme definido neste Termo de Referência e no Contrato firmado.</w:t>
      </w:r>
    </w:p>
    <w:p>
      <w:pPr>
        <w:pStyle w:val="Normal"/>
        <w:spacing w:before="120" w:after="120"/>
        <w:jc w:val="both"/>
        <w:rPr>
          <w:rFonts w:ascii="Arial" w:hAnsi="Arial" w:cs="Arial"/>
          <w:sz w:val="22"/>
          <w:szCs w:val="22"/>
        </w:rPr>
      </w:pPr>
      <w:r>
        <w:rPr>
          <w:rFonts w:cs="Arial" w:ascii="Arial" w:hAnsi="Arial"/>
          <w:sz w:val="22"/>
          <w:szCs w:val="22"/>
        </w:rPr>
        <w:t>5.3. Havendo necessidade justificada de paralização do contrato ou suspensão do mesmo, a LOCADORA deverá encaminhar pedido à Secretaria Requerente, o qual solicitará manifestação técnica, deferindo ou não o requerimento formulado.</w:t>
      </w:r>
    </w:p>
    <w:p>
      <w:pPr>
        <w:pStyle w:val="Normal"/>
        <w:spacing w:before="120" w:after="120"/>
        <w:jc w:val="both"/>
        <w:rPr>
          <w:rFonts w:ascii="Arial" w:hAnsi="Arial" w:cs="Arial"/>
          <w:sz w:val="22"/>
          <w:szCs w:val="22"/>
        </w:rPr>
      </w:pPr>
      <w:r>
        <w:rPr>
          <w:rFonts w:cs="Arial" w:ascii="Arial" w:hAnsi="Arial"/>
          <w:sz w:val="22"/>
          <w:szCs w:val="22"/>
        </w:rPr>
        <w:t>5.3. Deverão ser adotadas medidas de mitigação de riscos e de controle de qualidade ao longo de todo o ciclo de vida da contratação, desde o início da sua vigência até a entrega final da mesma, visando assegurar a satisfação dos munícipes e a sustentabilidade do imóvel.</w:t>
      </w:r>
    </w:p>
    <w:p>
      <w:pPr>
        <w:pStyle w:val="Normal"/>
        <w:spacing w:before="120" w:after="120"/>
        <w:jc w:val="both"/>
        <w:rPr>
          <w:rFonts w:ascii="Arial" w:hAnsi="Arial" w:cs="Arial"/>
          <w:sz w:val="22"/>
          <w:szCs w:val="22"/>
        </w:rPr>
      </w:pPr>
      <w:r>
        <w:rPr>
          <w:rFonts w:cs="Arial" w:ascii="Arial" w:hAnsi="Arial"/>
          <w:sz w:val="22"/>
          <w:szCs w:val="22"/>
        </w:rPr>
        <w:t>5.4. Para fins de conservação dos imóveis, haverá a supervisão e fiscalização rigorosas por parte da municipalidade durante toda a contratação, visando a manutenção e preservação do imóvel, garantindo o cumprimento das exigências ambientais e o correto manejo dos resíduos gerados, contribuindo para a promoção de um desenvolvimento sustentável e a preservação dos recursos do mesmo, ofertando, ainda, serviço de qualidade para os munícipes.</w:t>
      </w:r>
    </w:p>
    <w:p>
      <w:pPr>
        <w:pStyle w:val="Normal"/>
        <w:jc w:val="both"/>
        <w:rPr>
          <w:rFonts w:ascii="Arial" w:hAnsi="Arial" w:cs="Arial"/>
          <w:sz w:val="22"/>
          <w:szCs w:val="22"/>
        </w:rPr>
      </w:pPr>
      <w:r>
        <w:rPr>
          <w:rFonts w:cs="Arial" w:ascii="Arial" w:hAnsi="Arial"/>
          <w:sz w:val="22"/>
          <w:szCs w:val="22"/>
        </w:rPr>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6. REQUISITOS DA CONTRATAÇÃO</w:t>
      </w:r>
    </w:p>
    <w:p>
      <w:pPr>
        <w:pStyle w:val="Normal"/>
        <w:spacing w:before="120" w:after="120"/>
        <w:jc w:val="both"/>
        <w:rPr>
          <w:rFonts w:ascii="Arial" w:hAnsi="Arial" w:cs="Arial"/>
          <w:sz w:val="22"/>
          <w:szCs w:val="22"/>
        </w:rPr>
      </w:pPr>
      <w:r>
        <w:rPr>
          <w:rFonts w:cs="Arial" w:ascii="Arial" w:hAnsi="Arial"/>
          <w:sz w:val="22"/>
          <w:szCs w:val="22"/>
        </w:rPr>
        <w:t>6.1.</w:t>
      </w:r>
      <w:r>
        <w:rPr/>
        <w:t xml:space="preserve"> </w:t>
      </w:r>
      <w:r>
        <w:rPr>
          <w:rFonts w:cs="Arial" w:ascii="Arial" w:hAnsi="Arial"/>
          <w:sz w:val="22"/>
          <w:szCs w:val="22"/>
        </w:rPr>
        <w:t>Para a contratação será aferido o atendimento ao disposto no Capítulo VI, do Título II, da Lei Federal nº 14.133/2021.</w:t>
      </w:r>
    </w:p>
    <w:p>
      <w:pPr>
        <w:pStyle w:val="Normal"/>
        <w:spacing w:before="120" w:after="120"/>
        <w:jc w:val="both"/>
        <w:rPr>
          <w:rFonts w:ascii="Arial" w:hAnsi="Arial" w:cs="Arial"/>
          <w:sz w:val="22"/>
          <w:szCs w:val="22"/>
        </w:rPr>
      </w:pPr>
      <w:r>
        <w:rPr>
          <w:rFonts w:cs="Arial" w:ascii="Arial" w:hAnsi="Arial"/>
          <w:sz w:val="22"/>
          <w:szCs w:val="22"/>
        </w:rPr>
        <w:t>6.2. Sugerimos que o fornecedor seja selecionado por meio da realização de procedimento de INEXIGIBILIDADE, amparado na Lei Federal nº 14.133/21.</w:t>
      </w:r>
    </w:p>
    <w:p>
      <w:pPr>
        <w:pStyle w:val="Normal"/>
        <w:spacing w:before="120" w:after="120"/>
        <w:jc w:val="both"/>
        <w:rPr>
          <w:rFonts w:ascii="Arial" w:hAnsi="Arial" w:cs="Arial"/>
          <w:sz w:val="22"/>
          <w:szCs w:val="22"/>
        </w:rPr>
      </w:pPr>
      <w:r>
        <w:rPr>
          <w:rFonts w:cs="Arial" w:ascii="Arial" w:hAnsi="Arial"/>
          <w:sz w:val="22"/>
          <w:szCs w:val="22"/>
        </w:rPr>
        <w:t>6.3. Será exigida a apresentação da seguinte documentação:</w:t>
      </w:r>
    </w:p>
    <w:p>
      <w:pPr>
        <w:pStyle w:val="Normal"/>
        <w:spacing w:before="120" w:after="120"/>
        <w:jc w:val="both"/>
        <w:rPr>
          <w:rFonts w:ascii="Arial" w:hAnsi="Arial" w:cs="Arial"/>
          <w:sz w:val="22"/>
          <w:szCs w:val="22"/>
        </w:rPr>
      </w:pPr>
      <w:r>
        <w:rPr>
          <w:rFonts w:cs="Arial" w:ascii="Arial" w:hAnsi="Arial"/>
          <w:sz w:val="22"/>
          <w:szCs w:val="22"/>
        </w:rPr>
        <w:t>a)</w:t>
        <w:tab/>
        <w:t>Documentos pessoais do locador (CPF e RG);</w:t>
      </w:r>
    </w:p>
    <w:p>
      <w:pPr>
        <w:pStyle w:val="Normal"/>
        <w:spacing w:before="120" w:after="120"/>
        <w:jc w:val="both"/>
        <w:rPr>
          <w:rFonts w:ascii="Arial" w:hAnsi="Arial" w:cs="Arial"/>
          <w:sz w:val="22"/>
          <w:szCs w:val="22"/>
        </w:rPr>
      </w:pPr>
      <w:r>
        <w:rPr>
          <w:rFonts w:cs="Arial" w:ascii="Arial" w:hAnsi="Arial"/>
          <w:sz w:val="22"/>
          <w:szCs w:val="22"/>
        </w:rPr>
        <w:t>b)</w:t>
        <w:tab/>
        <w:t>Comprovante de residência;</w:t>
      </w:r>
    </w:p>
    <w:p>
      <w:pPr>
        <w:pStyle w:val="Normal"/>
        <w:spacing w:before="120" w:after="120"/>
        <w:jc w:val="both"/>
        <w:rPr>
          <w:rFonts w:ascii="Arial" w:hAnsi="Arial" w:cs="Arial"/>
          <w:sz w:val="22"/>
          <w:szCs w:val="22"/>
        </w:rPr>
      </w:pPr>
      <w:r>
        <w:rPr>
          <w:rFonts w:cs="Arial" w:ascii="Arial" w:hAnsi="Arial"/>
          <w:sz w:val="22"/>
          <w:szCs w:val="22"/>
        </w:rPr>
        <w:t>c)</w:t>
        <w:tab/>
        <w:t>Comprovante de titularidade do imóvel;</w:t>
      </w:r>
    </w:p>
    <w:p>
      <w:pPr>
        <w:pStyle w:val="NormalWeb"/>
        <w:numPr>
          <w:ilvl w:val="0"/>
          <w:numId w:val="2"/>
        </w:numPr>
        <w:spacing w:beforeAutospacing="0" w:before="120" w:afterAutospacing="0" w:after="120"/>
        <w:ind w:hanging="0" w:left="0"/>
        <w:jc w:val="both"/>
        <w:rPr>
          <w:rFonts w:ascii="Arial" w:hAnsi="Arial" w:cs="Arial"/>
          <w:sz w:val="22"/>
          <w:szCs w:val="22"/>
        </w:rPr>
      </w:pPr>
      <w:r>
        <w:rPr>
          <w:rFonts w:cs="Arial" w:ascii="Arial" w:hAnsi="Arial"/>
          <w:sz w:val="22"/>
          <w:szCs w:val="22"/>
          <w:lang w:val="pt-BR"/>
        </w:rPr>
        <w:t>d</w:t>
      </w:r>
      <w:r>
        <w:rPr>
          <w:rFonts w:cs="Arial" w:ascii="Arial" w:hAnsi="Arial"/>
          <w:sz w:val="22"/>
          <w:szCs w:val="22"/>
        </w:rPr>
        <w:t>)</w:t>
        <w:tab/>
      </w:r>
      <w:r>
        <w:rPr>
          <w:rFonts w:cs="Arial" w:ascii="Arial" w:hAnsi="Arial"/>
        </w:rPr>
        <w:t xml:space="preserve">Certidão Negativa de </w:t>
      </w:r>
      <w:r>
        <w:rPr>
          <w:rFonts w:cs="Arial" w:ascii="Arial" w:hAnsi="Arial"/>
          <w:lang w:val="pt-BR"/>
        </w:rPr>
        <w:t>Débitos Relativos aos Tributos Federais e a Divida Ativa da União</w:t>
      </w:r>
      <w:r>
        <w:rPr>
          <w:rFonts w:cs="Arial" w:ascii="Arial" w:hAnsi="Arial"/>
        </w:rPr>
        <w:t>;</w:t>
      </w:r>
    </w:p>
    <w:p>
      <w:pPr>
        <w:pStyle w:val="Normal"/>
        <w:spacing w:before="120" w:after="120"/>
        <w:jc w:val="both"/>
        <w:rPr>
          <w:rFonts w:ascii="Arial" w:hAnsi="Arial" w:cs="Arial"/>
          <w:sz w:val="22"/>
          <w:szCs w:val="22"/>
        </w:rPr>
      </w:pPr>
      <w:r>
        <w:rPr>
          <w:rFonts w:cs="Arial" w:ascii="Arial" w:hAnsi="Arial"/>
          <w:sz w:val="22"/>
          <w:szCs w:val="22"/>
          <w:lang w:val="pt-BR"/>
        </w:rPr>
        <w:t>e</w:t>
      </w:r>
      <w:r>
        <w:rPr>
          <w:rFonts w:cs="Arial" w:ascii="Arial" w:hAnsi="Arial"/>
          <w:sz w:val="22"/>
          <w:szCs w:val="22"/>
        </w:rPr>
        <w:t>)</w:t>
        <w:tab/>
        <w:t>Certidão Negativa de tributos estadual;</w:t>
      </w:r>
    </w:p>
    <w:p>
      <w:pPr>
        <w:pStyle w:val="Normal"/>
        <w:spacing w:before="120" w:after="120"/>
        <w:jc w:val="both"/>
        <w:rPr>
          <w:rFonts w:ascii="Arial" w:hAnsi="Arial" w:cs="Arial"/>
          <w:sz w:val="22"/>
          <w:szCs w:val="22"/>
        </w:rPr>
      </w:pPr>
      <w:r>
        <w:rPr>
          <w:rFonts w:cs="Arial" w:ascii="Arial" w:hAnsi="Arial"/>
          <w:sz w:val="22"/>
          <w:szCs w:val="22"/>
          <w:lang w:val="pt-BR"/>
        </w:rPr>
        <w:t>f</w:t>
      </w:r>
      <w:r>
        <w:rPr>
          <w:rFonts w:cs="Arial" w:ascii="Arial" w:hAnsi="Arial"/>
          <w:sz w:val="22"/>
          <w:szCs w:val="22"/>
        </w:rPr>
        <w:t>)</w:t>
        <w:tab/>
        <w:t>Certidão Negativa de tributos municipal;</w:t>
      </w:r>
    </w:p>
    <w:p>
      <w:pPr>
        <w:pStyle w:val="Normal"/>
        <w:spacing w:before="120" w:after="120"/>
        <w:jc w:val="both"/>
        <w:rPr>
          <w:rFonts w:ascii="Arial" w:hAnsi="Arial" w:cs="Arial"/>
          <w:sz w:val="22"/>
          <w:szCs w:val="22"/>
        </w:rPr>
      </w:pPr>
      <w:r>
        <w:rPr>
          <w:rFonts w:cs="Arial" w:ascii="Arial" w:hAnsi="Arial"/>
          <w:sz w:val="22"/>
          <w:szCs w:val="22"/>
          <w:lang w:val="pt-BR"/>
        </w:rPr>
        <w:t>g</w:t>
      </w:r>
      <w:r>
        <w:rPr>
          <w:rFonts w:cs="Arial" w:ascii="Arial" w:hAnsi="Arial"/>
          <w:sz w:val="22"/>
          <w:szCs w:val="22"/>
        </w:rPr>
        <w:t>)</w:t>
        <w:tab/>
        <w:t>Certidão negativa de débitos trabalhista;</w:t>
      </w:r>
    </w:p>
    <w:p>
      <w:pPr>
        <w:pStyle w:val="Normal"/>
        <w:spacing w:before="120" w:after="120"/>
        <w:jc w:val="both"/>
        <w:rPr>
          <w:rFonts w:ascii="Arial" w:hAnsi="Arial" w:cs="Arial"/>
          <w:sz w:val="22"/>
          <w:szCs w:val="22"/>
        </w:rPr>
      </w:pPr>
      <w:r>
        <w:rPr>
          <w:rFonts w:cs="Arial" w:ascii="Arial" w:hAnsi="Arial"/>
          <w:sz w:val="22"/>
          <w:szCs w:val="22"/>
          <w:lang w:val="pt-BR"/>
        </w:rPr>
        <w:t>h</w:t>
      </w:r>
      <w:r>
        <w:rPr>
          <w:rFonts w:cs="Arial" w:ascii="Arial" w:hAnsi="Arial"/>
          <w:sz w:val="22"/>
          <w:szCs w:val="22"/>
        </w:rPr>
        <w:t>)</w:t>
        <w:tab/>
        <w:t>Orçamento do locador contendo valor mensal pela locação do imóvel.</w:t>
      </w:r>
    </w:p>
    <w:p>
      <w:pPr>
        <w:pStyle w:val="Normal"/>
        <w:spacing w:before="120" w:after="120"/>
        <w:jc w:val="both"/>
        <w:rPr>
          <w:rFonts w:ascii="Arial" w:hAnsi="Arial" w:cs="Arial"/>
          <w:sz w:val="22"/>
          <w:szCs w:val="22"/>
        </w:rPr>
      </w:pPr>
      <w:r>
        <w:rPr>
          <w:rFonts w:cs="Arial" w:ascii="Arial" w:hAnsi="Arial"/>
          <w:sz w:val="22"/>
          <w:szCs w:val="22"/>
        </w:rPr>
        <w:t>6.4. Na elaboração do orçamento previsto na alínea “i” do item anterior, deverá ser considerada as condições do mercado na região, abrangendo todas as despesas essenciais para a locação.</w:t>
      </w:r>
    </w:p>
    <w:p>
      <w:pPr>
        <w:pStyle w:val="Normal"/>
        <w:jc w:val="both"/>
        <w:rPr>
          <w:rFonts w:ascii="Arial" w:hAnsi="Arial" w:cs="Arial"/>
          <w:sz w:val="22"/>
          <w:szCs w:val="22"/>
        </w:rPr>
      </w:pPr>
      <w:r>
        <w:rPr>
          <w:rFonts w:cs="Arial" w:ascii="Arial" w:hAnsi="Arial"/>
          <w:sz w:val="22"/>
          <w:szCs w:val="22"/>
        </w:rPr>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7. MODELO DE GESTÃO DO CONTRATO</w:t>
      </w:r>
    </w:p>
    <w:p>
      <w:pPr>
        <w:pStyle w:val="Normal"/>
        <w:spacing w:before="120" w:after="120"/>
        <w:jc w:val="both"/>
        <w:rPr>
          <w:rFonts w:ascii="Arial" w:hAnsi="Arial" w:cs="Arial"/>
          <w:sz w:val="22"/>
          <w:szCs w:val="22"/>
        </w:rPr>
      </w:pPr>
      <w:r>
        <w:rPr>
          <w:rFonts w:cs="Arial" w:ascii="Arial" w:hAnsi="Arial"/>
          <w:sz w:val="22"/>
          <w:szCs w:val="22"/>
        </w:rPr>
        <w:t xml:space="preserve">7.1. O contrato deverá ser executado fielmente pelas partes, de acordo com as cláusulas avençadas, bem como as normas da Lei do Inquilinato (Lei Federal nº 8.245/91) e da Lei Federal nº 14.133, de 2021, e cada parte responderá pelas consequências de sua inexecução total ou parcial. </w:t>
      </w:r>
    </w:p>
    <w:p>
      <w:pPr>
        <w:pStyle w:val="Normal"/>
        <w:spacing w:before="120" w:after="120"/>
        <w:jc w:val="both"/>
        <w:rPr>
          <w:rFonts w:ascii="Arial" w:hAnsi="Arial" w:cs="Arial"/>
          <w:sz w:val="22"/>
          <w:szCs w:val="22"/>
        </w:rPr>
      </w:pPr>
      <w:r>
        <w:rPr>
          <w:rFonts w:cs="Arial" w:ascii="Arial" w:hAnsi="Arial"/>
          <w:sz w:val="22"/>
          <w:szCs w:val="22"/>
        </w:rPr>
        <w:t xml:space="preserve">7.2. As comunicações entre o órgão ou entidade e a locadora devem ser realizadas por escrito sempre que o ato exigir tal formalidade, admitindo-se o uso de mensagem eletrônica para esse fim. </w:t>
      </w:r>
    </w:p>
    <w:p>
      <w:pPr>
        <w:pStyle w:val="Normal"/>
        <w:spacing w:before="120" w:after="120"/>
        <w:jc w:val="both"/>
        <w:rPr>
          <w:rFonts w:ascii="Arial" w:hAnsi="Arial" w:cs="Arial"/>
          <w:sz w:val="22"/>
          <w:szCs w:val="22"/>
        </w:rPr>
      </w:pPr>
      <w:r>
        <w:rPr>
          <w:rFonts w:cs="Arial" w:ascii="Arial" w:hAnsi="Arial"/>
          <w:sz w:val="22"/>
          <w:szCs w:val="22"/>
        </w:rPr>
        <w:t>7.3. O órgão ou entidade poderá convocar representante do Prestador de Serviços para adoção de providências que devam ser cumpridas de imediato.</w:t>
      </w:r>
    </w:p>
    <w:p>
      <w:pPr>
        <w:pStyle w:val="Normal"/>
        <w:spacing w:before="120" w:after="120"/>
        <w:jc w:val="both"/>
        <w:rPr>
          <w:rFonts w:ascii="Arial" w:hAnsi="Arial" w:cs="Arial"/>
          <w:sz w:val="22"/>
          <w:szCs w:val="22"/>
        </w:rPr>
      </w:pPr>
      <w:r>
        <w:rPr>
          <w:rFonts w:cs="Arial" w:ascii="Arial" w:hAnsi="Arial"/>
          <w:sz w:val="22"/>
          <w:szCs w:val="22"/>
        </w:rPr>
        <w:t>7.4. O Gestor/Fiscal do Contrato indicado anotará em registro próprio todas as ocorrências relacionadas com a locação, determinando o que for necessário à regularização das faltas ou defeitos observados.</w:t>
      </w:r>
    </w:p>
    <w:p>
      <w:pPr>
        <w:pStyle w:val="Normal"/>
        <w:spacing w:before="120" w:after="120"/>
        <w:jc w:val="both"/>
        <w:rPr>
          <w:rFonts w:ascii="Arial" w:hAnsi="Arial" w:cs="Arial"/>
          <w:sz w:val="22"/>
          <w:szCs w:val="22"/>
        </w:rPr>
      </w:pPr>
      <w:r>
        <w:rPr>
          <w:rFonts w:cs="Arial" w:ascii="Arial" w:hAnsi="Arial"/>
          <w:sz w:val="22"/>
          <w:szCs w:val="22"/>
        </w:rPr>
        <w:t>7.5. A LOCADORA é obrigada a reparar, corrigir ou substituir, às suas expensas, no total ou em parte, os vícios, defeitos ou incorreções observadas durante a locação.</w:t>
      </w:r>
    </w:p>
    <w:p>
      <w:pPr>
        <w:pStyle w:val="Normal"/>
        <w:spacing w:before="120" w:after="120"/>
        <w:jc w:val="both"/>
        <w:rPr>
          <w:rFonts w:ascii="Arial" w:hAnsi="Arial" w:cs="Arial"/>
          <w:sz w:val="22"/>
          <w:szCs w:val="22"/>
        </w:rPr>
      </w:pPr>
      <w:r>
        <w:rPr>
          <w:rFonts w:cs="Arial" w:ascii="Arial" w:hAnsi="Arial"/>
          <w:sz w:val="22"/>
          <w:szCs w:val="22"/>
        </w:rPr>
        <w:t>7.6. As decisões e providências que ultrapassarem a competência do Gestor/Fiscal do Contrato deverão ser solicitadas ao Secretário Municipal Requisitante do CONTRATANTE, em tempo hábil, para a adoção das medidas convenientes.</w:t>
      </w:r>
    </w:p>
    <w:p>
      <w:pPr>
        <w:pStyle w:val="Normal"/>
        <w:jc w:val="both"/>
        <w:rPr>
          <w:rFonts w:ascii="Arial" w:hAnsi="Arial" w:cs="Arial"/>
          <w:sz w:val="22"/>
          <w:szCs w:val="22"/>
        </w:rPr>
      </w:pPr>
      <w:r>
        <w:rPr>
          <w:rFonts w:cs="Arial" w:ascii="Arial" w:hAnsi="Arial"/>
          <w:sz w:val="22"/>
          <w:szCs w:val="22"/>
        </w:rPr>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8. DA FISCALIZAÇÃO</w:t>
      </w:r>
    </w:p>
    <w:p>
      <w:pPr>
        <w:pStyle w:val="Normal"/>
        <w:spacing w:before="120" w:after="120"/>
        <w:jc w:val="both"/>
        <w:rPr>
          <w:rFonts w:ascii="Arial" w:hAnsi="Arial"/>
          <w:sz w:val="22"/>
          <w:szCs w:val="22"/>
        </w:rPr>
      </w:pPr>
      <w:r>
        <w:rPr>
          <w:rFonts w:cs="Arial" w:ascii="Arial" w:hAnsi="Arial"/>
          <w:sz w:val="22"/>
          <w:szCs w:val="22"/>
        </w:rPr>
        <w:t xml:space="preserve">8.1. </w:t>
      </w:r>
      <w:r>
        <w:rPr>
          <w:rFonts w:ascii="Arial" w:hAnsi="Arial"/>
          <w:sz w:val="22"/>
          <w:szCs w:val="22"/>
        </w:rPr>
        <w:t>A execução do contrato deverá ser acompanhada e fiscalizada pelo(s) fiscal(is) do contrato, ou pelos respectivos substitutos, nos termos do art. 117 e seguintes da Lei Federal nº 14.133/2021 e ainda, nos termos da INSTRUÇÃO NORMATIVA SCL Nº 005/2023, aprovada pelo Decreto Municipal nº 6.875/2023 (dispõe sobre as regras para a atuação da equipe de apoio, comissão de contratação, dos gestores e fiscais de contratos, no âmbito do Poder Executivo Municipal de São Roque do Canaã/ES), no que couber.</w:t>
      </w:r>
    </w:p>
    <w:p>
      <w:pPr>
        <w:pStyle w:val="Normal"/>
        <w:spacing w:before="120" w:after="120"/>
        <w:jc w:val="both"/>
        <w:rPr>
          <w:rFonts w:ascii="Arial" w:hAnsi="Arial"/>
          <w:sz w:val="22"/>
          <w:szCs w:val="22"/>
        </w:rPr>
      </w:pPr>
      <w:r>
        <w:rPr>
          <w:rFonts w:ascii="Arial" w:hAnsi="Arial"/>
          <w:sz w:val="22"/>
          <w:szCs w:val="22"/>
        </w:rPr>
        <w:t>8.2. A fiscalização da contratação será exercida por servidor da Secretaria Municipal de Assistência Social, designado pelo Gestor da Pasta, ao qual competirá dirimir as dúvidas que surgirem no curso da execução do contrato, e de tudo dará ciência à Administração Pública.</w:t>
      </w:r>
    </w:p>
    <w:p>
      <w:pPr>
        <w:pStyle w:val="Normal"/>
        <w:spacing w:before="120" w:after="120"/>
        <w:jc w:val="both"/>
        <w:rPr>
          <w:rFonts w:ascii="Arial" w:hAnsi="Arial"/>
          <w:sz w:val="22"/>
          <w:szCs w:val="22"/>
        </w:rPr>
      </w:pPr>
      <w:r>
        <w:rPr>
          <w:rFonts w:ascii="Arial" w:hAnsi="Arial"/>
          <w:sz w:val="22"/>
          <w:szCs w:val="22"/>
        </w:rPr>
        <w:t>8.3. A fiscalização será exercida no interesse da Administração e não exclui nem reduz a responsabilidade da LOCADORA, inclusive perante terceiros, irregularidades, e, na sua ocorrência, não implica corresponsabilidade do Poder Público ou de seus agentes e prepostos.</w:t>
      </w:r>
    </w:p>
    <w:p>
      <w:pPr>
        <w:pStyle w:val="Normal"/>
        <w:spacing w:before="120" w:after="120"/>
        <w:jc w:val="both"/>
        <w:rPr>
          <w:rFonts w:ascii="Arial" w:hAnsi="Arial"/>
          <w:sz w:val="22"/>
          <w:szCs w:val="22"/>
        </w:rPr>
      </w:pPr>
      <w:r>
        <w:rPr>
          <w:rFonts w:ascii="Arial" w:hAnsi="Arial"/>
          <w:sz w:val="22"/>
          <w:szCs w:val="22"/>
        </w:rPr>
        <w:t xml:space="preserve">8.4. O MUNICÍPIO, através do fiscal do contrato comunicará a </w:t>
      </w:r>
      <w:r>
        <w:rPr>
          <w:rFonts w:cs="Arial" w:ascii="Arial" w:hAnsi="Arial"/>
          <w:sz w:val="22"/>
          <w:szCs w:val="22"/>
        </w:rPr>
        <w:t>LOCADORA</w:t>
      </w:r>
      <w:r>
        <w:rPr>
          <w:rFonts w:ascii="Arial" w:hAnsi="Arial"/>
          <w:sz w:val="22"/>
          <w:szCs w:val="22"/>
        </w:rPr>
        <w:t>, por escrito, as deficiências porventura verificadas na locação, para imediata correção.</w:t>
      </w:r>
    </w:p>
    <w:p>
      <w:pPr>
        <w:pStyle w:val="Normal"/>
        <w:spacing w:before="120" w:after="120"/>
        <w:jc w:val="both"/>
        <w:rPr>
          <w:rFonts w:ascii="Arial" w:hAnsi="Arial"/>
          <w:sz w:val="22"/>
          <w:szCs w:val="22"/>
        </w:rPr>
      </w:pPr>
      <w:r>
        <w:rPr>
          <w:rFonts w:ascii="Arial" w:hAnsi="Arial"/>
          <w:sz w:val="22"/>
          <w:szCs w:val="22"/>
        </w:rPr>
        <w:t xml:space="preserve">8.5. A atuação ou a eventual omissão da Fiscalização durante a locação não poderá ser invocada para eximir a </w:t>
      </w:r>
      <w:r>
        <w:rPr>
          <w:rFonts w:cs="Arial" w:ascii="Arial" w:hAnsi="Arial"/>
          <w:sz w:val="22"/>
          <w:szCs w:val="22"/>
        </w:rPr>
        <w:t>LOCADORA</w:t>
      </w:r>
      <w:r>
        <w:rPr>
          <w:rFonts w:ascii="Arial" w:hAnsi="Arial"/>
          <w:sz w:val="22"/>
          <w:szCs w:val="22"/>
        </w:rPr>
        <w:t xml:space="preserve"> da responsabilidade pela execução dos serviços.</w:t>
      </w:r>
    </w:p>
    <w:p>
      <w:pPr>
        <w:pStyle w:val="Normal"/>
        <w:spacing w:before="120" w:after="120"/>
        <w:jc w:val="both"/>
        <w:rPr>
          <w:rFonts w:ascii="Arial" w:hAnsi="Arial"/>
          <w:sz w:val="22"/>
          <w:szCs w:val="22"/>
        </w:rPr>
      </w:pPr>
      <w:r>
        <w:rPr>
          <w:rFonts w:ascii="Arial" w:hAnsi="Arial"/>
          <w:sz w:val="22"/>
          <w:szCs w:val="22"/>
        </w:rPr>
        <w:t>8.6. O descumprimento total ou parcial das demais obrigações e responsabilidades assumidas pela LOCADORA ensejará a aplicação de sanções administrativas.</w:t>
      </w:r>
    </w:p>
    <w:p>
      <w:pPr>
        <w:pStyle w:val="Normal"/>
        <w:jc w:val="both"/>
        <w:rPr>
          <w:rFonts w:ascii="Arial" w:hAnsi="Arial" w:cs="Arial"/>
          <w:sz w:val="22"/>
          <w:szCs w:val="22"/>
        </w:rPr>
      </w:pPr>
      <w:r>
        <w:rPr>
          <w:rFonts w:cs="Arial" w:ascii="Arial" w:hAnsi="Arial"/>
          <w:sz w:val="22"/>
          <w:szCs w:val="22"/>
        </w:rPr>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9. DOS CRITÉRIOS PARA PAGAMENTO</w:t>
      </w:r>
    </w:p>
    <w:p>
      <w:pPr>
        <w:pStyle w:val="Normal"/>
        <w:spacing w:before="120" w:after="120"/>
        <w:jc w:val="both"/>
        <w:rPr>
          <w:rFonts w:ascii="Arial" w:hAnsi="Arial" w:cs="Arial"/>
          <w:sz w:val="22"/>
          <w:szCs w:val="22"/>
        </w:rPr>
      </w:pPr>
      <w:r>
        <w:rPr>
          <w:rFonts w:cs="Arial" w:ascii="Arial" w:hAnsi="Arial"/>
          <w:sz w:val="22"/>
          <w:szCs w:val="22"/>
        </w:rPr>
        <w:t>9.1. O pagamento somente será efetuado após atestado emitido pelo fiscal do contrato.</w:t>
      </w:r>
    </w:p>
    <w:p>
      <w:pPr>
        <w:pStyle w:val="Normal"/>
        <w:spacing w:before="120" w:after="120"/>
        <w:jc w:val="both"/>
        <w:rPr>
          <w:rFonts w:ascii="Arial" w:hAnsi="Arial" w:cs="Arial"/>
          <w:sz w:val="22"/>
          <w:szCs w:val="22"/>
        </w:rPr>
      </w:pPr>
      <w:r>
        <w:rPr>
          <w:rFonts w:cs="Arial" w:ascii="Arial" w:hAnsi="Arial"/>
          <w:sz w:val="22"/>
          <w:szCs w:val="22"/>
        </w:rPr>
        <w:t>9.2. O pagamento dar-se-á, mensalmente, até o 5º (quinto) dia útil do mês subsequente da locação, em favor da LOCADORA, desde que não haja fator impeditivo provocado pela mesma.</w:t>
      </w:r>
    </w:p>
    <w:p>
      <w:pPr>
        <w:pStyle w:val="Normal"/>
        <w:spacing w:before="120" w:after="120"/>
        <w:jc w:val="both"/>
        <w:rPr>
          <w:rFonts w:ascii="Arial" w:hAnsi="Arial" w:cs="Arial"/>
          <w:sz w:val="22"/>
          <w:szCs w:val="22"/>
        </w:rPr>
      </w:pPr>
      <w:r>
        <w:rPr>
          <w:rFonts w:cs="Arial" w:ascii="Arial" w:hAnsi="Arial"/>
          <w:sz w:val="22"/>
          <w:szCs w:val="22"/>
        </w:rPr>
        <w:t>9.3. O pagamento será efetuado por meio de Ordem Bancária de Crédito, mediante depósito em conta corrente, na agência e estabelecimento bancário indicado pela LOCADORA, sendo considerada como data do pagamento o dia em que constar como emitida a correspondente Ordem Bancária de Crédito.</w:t>
      </w:r>
    </w:p>
    <w:p>
      <w:pPr>
        <w:pStyle w:val="Normal"/>
        <w:spacing w:before="120" w:after="120"/>
        <w:jc w:val="both"/>
        <w:rPr>
          <w:rFonts w:ascii="Arial" w:hAnsi="Arial" w:cs="Arial"/>
          <w:sz w:val="22"/>
          <w:szCs w:val="22"/>
        </w:rPr>
      </w:pPr>
      <w:r>
        <w:rPr>
          <w:rFonts w:cs="Arial" w:ascii="Arial" w:hAnsi="Arial"/>
          <w:sz w:val="22"/>
          <w:szCs w:val="22"/>
        </w:rPr>
        <w:t>9.4. Após o prazo acima referenciado será paga multa financeira, nos seguintes termos:</w:t>
      </w:r>
    </w:p>
    <w:p>
      <w:pPr>
        <w:pStyle w:val="Normal"/>
        <w:spacing w:before="120" w:after="120"/>
        <w:jc w:val="both"/>
        <w:rPr>
          <w:rFonts w:ascii="Arial" w:hAnsi="Arial" w:cs="Arial"/>
          <w:sz w:val="22"/>
          <w:szCs w:val="22"/>
        </w:rPr>
      </w:pPr>
      <w:r>
        <w:rPr>
          <w:rFonts w:cs="Arial" w:ascii="Arial" w:hAnsi="Arial"/>
          <w:sz w:val="22"/>
          <w:szCs w:val="22"/>
        </w:rPr>
        <w:t xml:space="preserve">VM = </w:t>
      </w:r>
      <w:r>
        <w:rPr>
          <w:rFonts w:cs="Arial" w:ascii="Arial" w:hAnsi="Arial"/>
          <w:sz w:val="22"/>
          <w:szCs w:val="22"/>
          <w:u w:val="thick"/>
        </w:rPr>
        <w:t>VF x 0,067 x ND</w:t>
      </w:r>
      <w:r>
        <w:rPr>
          <w:rFonts w:cs="Arial" w:ascii="Arial" w:hAnsi="Arial"/>
          <w:sz w:val="22"/>
          <w:szCs w:val="22"/>
        </w:rPr>
        <w:t xml:space="preserve"> </w:t>
      </w:r>
    </w:p>
    <w:p>
      <w:pPr>
        <w:pStyle w:val="Normal"/>
        <w:spacing w:before="120" w:after="120"/>
        <w:jc w:val="both"/>
        <w:rPr>
          <w:rFonts w:ascii="Arial" w:hAnsi="Arial" w:cs="Arial"/>
          <w:sz w:val="22"/>
          <w:szCs w:val="22"/>
        </w:rPr>
      </w:pPr>
      <w:r>
        <w:rPr>
          <w:rFonts w:cs="Arial" w:ascii="Arial" w:hAnsi="Arial"/>
          <w:sz w:val="22"/>
          <w:szCs w:val="22"/>
        </w:rPr>
        <w:t xml:space="preserve">                    </w:t>
      </w:r>
      <w:r>
        <w:rPr>
          <w:rFonts w:cs="Arial" w:ascii="Arial" w:hAnsi="Arial"/>
          <w:sz w:val="22"/>
          <w:szCs w:val="22"/>
        </w:rPr>
        <w:t xml:space="preserve">100       </w:t>
      </w:r>
    </w:p>
    <w:p>
      <w:pPr>
        <w:pStyle w:val="Normal"/>
        <w:spacing w:before="120" w:after="120"/>
        <w:jc w:val="both"/>
        <w:rPr>
          <w:rFonts w:ascii="Arial" w:hAnsi="Arial"/>
          <w:sz w:val="22"/>
          <w:szCs w:val="22"/>
        </w:rPr>
      </w:pPr>
      <w:r>
        <w:rPr>
          <w:rFonts w:ascii="Arial" w:hAnsi="Arial"/>
          <w:sz w:val="22"/>
          <w:szCs w:val="22"/>
        </w:rPr>
        <w:t xml:space="preserve">Onde: </w:t>
      </w:r>
    </w:p>
    <w:p>
      <w:pPr>
        <w:pStyle w:val="Normal"/>
        <w:spacing w:before="120" w:after="120"/>
        <w:jc w:val="both"/>
        <w:rPr>
          <w:rFonts w:ascii="Arial" w:hAnsi="Arial"/>
          <w:sz w:val="22"/>
          <w:szCs w:val="22"/>
        </w:rPr>
      </w:pPr>
      <w:r>
        <w:rPr>
          <w:rFonts w:ascii="Arial" w:hAnsi="Arial"/>
          <w:sz w:val="22"/>
          <w:szCs w:val="22"/>
        </w:rPr>
        <w:t xml:space="preserve">VM = Valor da Multa Financeira. </w:t>
      </w:r>
    </w:p>
    <w:p>
      <w:pPr>
        <w:pStyle w:val="Normal"/>
        <w:spacing w:before="120" w:after="120"/>
        <w:jc w:val="both"/>
        <w:rPr>
          <w:rFonts w:ascii="Arial" w:hAnsi="Arial"/>
          <w:sz w:val="22"/>
          <w:szCs w:val="22"/>
        </w:rPr>
      </w:pPr>
      <w:r>
        <w:rPr>
          <w:rFonts w:ascii="Arial" w:hAnsi="Arial"/>
          <w:sz w:val="22"/>
          <w:szCs w:val="22"/>
        </w:rPr>
        <w:t xml:space="preserve">VF = Valor da Nota Fiscal referente ao mês em atraso. </w:t>
      </w:r>
    </w:p>
    <w:p>
      <w:pPr>
        <w:pStyle w:val="Normal"/>
        <w:spacing w:before="120" w:after="120"/>
        <w:jc w:val="both"/>
        <w:rPr>
          <w:rFonts w:ascii="Arial" w:hAnsi="Arial"/>
          <w:sz w:val="22"/>
          <w:szCs w:val="22"/>
        </w:rPr>
      </w:pPr>
      <w:r>
        <w:rPr>
          <w:rFonts w:ascii="Arial" w:hAnsi="Arial"/>
          <w:sz w:val="22"/>
          <w:szCs w:val="22"/>
        </w:rPr>
        <w:t>ND = Número de dias em atraso</w:t>
      </w:r>
    </w:p>
    <w:p>
      <w:pPr>
        <w:pStyle w:val="Normal"/>
        <w:spacing w:before="120" w:after="120"/>
        <w:jc w:val="both"/>
        <w:rPr>
          <w:rFonts w:ascii="Arial" w:hAnsi="Arial"/>
          <w:sz w:val="22"/>
          <w:szCs w:val="22"/>
        </w:rPr>
      </w:pPr>
      <w:r>
        <w:rPr>
          <w:rFonts w:ascii="Arial" w:hAnsi="Arial"/>
          <w:sz w:val="22"/>
          <w:szCs w:val="22"/>
        </w:rPr>
        <w:t>9.5. Incumbirá a LOCADORA a iniciativa e o encargo do cálculo minucioso de cada atraso, a ser revisto e aprovado pelo MUNICÍPIO, juntando-se à respectiva discriminação do fornecimento efetuado e o memorial de cálculo.</w:t>
      </w:r>
    </w:p>
    <w:p>
      <w:pPr>
        <w:pStyle w:val="Normal"/>
        <w:spacing w:before="120" w:after="120"/>
        <w:jc w:val="both"/>
        <w:rPr>
          <w:rFonts w:ascii="Arial" w:hAnsi="Arial"/>
          <w:sz w:val="22"/>
          <w:szCs w:val="22"/>
        </w:rPr>
      </w:pPr>
      <w:r>
        <w:rPr>
          <w:rFonts w:ascii="Arial" w:hAnsi="Arial"/>
          <w:sz w:val="22"/>
          <w:szCs w:val="22"/>
        </w:rPr>
        <w:t>9.6. Nenhum pagamento isentará a LOCADORA das responsabilidades e obrigações, nem implicará aceitação definitiva dos serviços contratados.</w:t>
      </w:r>
    </w:p>
    <w:p>
      <w:pPr>
        <w:pStyle w:val="Normal"/>
        <w:spacing w:before="120" w:after="120"/>
        <w:jc w:val="both"/>
        <w:rPr>
          <w:rFonts w:ascii="Arial" w:hAnsi="Arial"/>
          <w:sz w:val="22"/>
          <w:szCs w:val="22"/>
        </w:rPr>
      </w:pPr>
      <w:r>
        <w:rPr>
          <w:rFonts w:ascii="Arial" w:hAnsi="Arial"/>
          <w:sz w:val="22"/>
          <w:szCs w:val="22"/>
        </w:rPr>
        <w:t>9.7. A presente contratação não permite a antecipação de pagamento (parcial/total), conforme as regras previstas no art. 145, § 1º, da NLLC.</w:t>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10. DO VALOR MÁXIMO E DOS RECURSOS ORÇAMENTÁRIOS</w:t>
      </w:r>
    </w:p>
    <w:p>
      <w:pPr>
        <w:pStyle w:val="Normal"/>
        <w:spacing w:before="120" w:after="120"/>
        <w:jc w:val="both"/>
        <w:rPr>
          <w:rFonts w:ascii="Arial" w:hAnsi="Arial"/>
          <w:sz w:val="22"/>
          <w:szCs w:val="22"/>
        </w:rPr>
      </w:pPr>
      <w:r>
        <w:rPr>
          <w:rFonts w:cs="Arial" w:ascii="Arial" w:hAnsi="Arial"/>
          <w:sz w:val="22"/>
          <w:szCs w:val="22"/>
        </w:rPr>
        <w:t>10.1.</w:t>
      </w:r>
      <w:r>
        <w:rPr/>
        <w:t xml:space="preserve"> </w:t>
      </w:r>
      <w:r>
        <w:rPr>
          <w:rFonts w:cs="Arial" w:ascii="Arial" w:hAnsi="Arial"/>
          <w:sz w:val="22"/>
          <w:szCs w:val="22"/>
        </w:rPr>
        <w:t>O valor global estimado para a presente contratação é de R$ 34.800,00 (trinta e quatro mil e oitocentos reais), para o período de vigência de 12 (doze) meses, provenientes dos valores apurados em pesquisa de mercado realizadas em imóveis locais.</w:t>
      </w:r>
    </w:p>
    <w:p>
      <w:pPr>
        <w:pStyle w:val="Normal"/>
        <w:spacing w:before="120" w:after="120"/>
        <w:jc w:val="both"/>
        <w:rPr>
          <w:rFonts w:ascii="Arial" w:hAnsi="Arial"/>
          <w:sz w:val="22"/>
          <w:szCs w:val="22"/>
        </w:rPr>
      </w:pPr>
      <w:r>
        <w:rPr>
          <w:rFonts w:ascii="Arial" w:hAnsi="Arial"/>
          <w:sz w:val="22"/>
          <w:szCs w:val="22"/>
        </w:rPr>
        <w:t>10.2. As despesas decorrentes da execução desta contratação correrão à conta da dotação orçamentária.</w:t>
      </w:r>
    </w:p>
    <w:p>
      <w:pPr>
        <w:pStyle w:val="western"/>
        <w:keepNext w:val="false"/>
        <w:keepLines w:val="false"/>
        <w:widowControl/>
        <w:suppressLineNumbers w:val="0"/>
        <w:spacing w:lineRule="auto" w:line="240" w:beforeAutospacing="1" w:afterAutospacing="1"/>
        <w:ind w:left="0" w:right="0"/>
        <w:jc w:val="both"/>
        <w:rPr>
          <w:color w:themeColor="text1" w:val="000000"/>
          <w:sz w:val="22"/>
          <w:szCs w:val="22"/>
          <w14:textFill>
            <w14:solidFill>
              <w14:schemeClr w14:val="tx1"/>
            </w14:solidFill>
          </w14:textFill>
        </w:rPr>
      </w:pPr>
      <w:r>
        <w:rPr>
          <w:rFonts w:cs="Arial" w:ascii="Arial" w:hAnsi="Arial"/>
          <w:color w:themeColor="text1" w:val="000000"/>
          <w:sz w:val="22"/>
          <w:szCs w:val="22"/>
          <w:lang w:val="pt-BR"/>
          <w14:textFill>
            <w14:solidFill>
              <w14:schemeClr w14:val="tx1"/>
            </w14:solidFill>
          </w14:textFill>
        </w:rPr>
        <w:t>10.3. Para fins de cadastro no sistema, as despesas decorrentes da presente contratação correrão a conta da dotação orçamentária abaixo elencada (consignadas na LOA 2024):</w:t>
      </w:r>
    </w:p>
    <w:p>
      <w:pPr>
        <w:pStyle w:val="western"/>
        <w:keepNext w:val="false"/>
        <w:keepLines w:val="false"/>
        <w:widowControl/>
        <w:suppressLineNumbers w:val="0"/>
        <w:spacing w:lineRule="auto" w:line="240" w:beforeAutospacing="1" w:afterAutospacing="1"/>
        <w:ind w:left="0" w:right="0"/>
        <w:jc w:val="both"/>
        <w:rPr>
          <w:rFonts w:ascii="Arial" w:hAnsi="Arial" w:cs="Arial"/>
          <w:color w:themeColor="text1" w:val="000000"/>
          <w:sz w:val="22"/>
          <w:szCs w:val="22"/>
          <w:lang w:val="pt-BR"/>
          <w14:textFill>
            <w14:solidFill>
              <w14:schemeClr w14:val="tx1"/>
            </w14:solidFill>
          </w14:textFill>
        </w:rPr>
      </w:pPr>
      <w:r>
        <w:rPr>
          <w:rFonts w:cs="Arial" w:ascii="Arial" w:hAnsi="Arial"/>
          <w:color w:themeColor="text1" w:val="000000"/>
          <w:sz w:val="22"/>
          <w:szCs w:val="22"/>
          <w:lang w:val="pt-BR"/>
          <w14:textFill>
            <w14:solidFill>
              <w14:schemeClr w14:val="tx1"/>
            </w14:solidFill>
          </w14:textFill>
        </w:rPr>
        <w:t>10.4. Dotação Orçamentaria 1616.0824400122.023 – Gestão da Proteção Básica/CRAS/SCFV/IGD/BBC – 33903600000 – Outros serviços de pessoa física – ficha 0000257 – Fonte de Recurso 150000000000</w:t>
      </w:r>
    </w:p>
    <w:p>
      <w:pPr>
        <w:pStyle w:val="NormalWeb"/>
        <w:keepNext w:val="false"/>
        <w:keepLines w:val="false"/>
        <w:widowControl/>
        <w:suppressLineNumbers w:val="0"/>
        <w:spacing w:lineRule="auto" w:line="240" w:beforeAutospacing="1" w:afterAutospacing="1"/>
        <w:ind w:left="0" w:right="0"/>
        <w:jc w:val="both"/>
        <w:rPr>
          <w:color w:themeColor="text1" w:val="000000"/>
          <w:sz w:val="22"/>
          <w:szCs w:val="22"/>
          <w14:textFill>
            <w14:solidFill>
              <w14:schemeClr w14:val="tx1"/>
            </w14:solidFill>
          </w14:textFill>
        </w:rPr>
      </w:pPr>
      <w:r>
        <w:rPr>
          <w:rFonts w:cs="Arial" w:ascii="Arial" w:hAnsi="Arial"/>
          <w:color w:themeColor="text1" w:val="000000"/>
          <w:kern w:val="0"/>
          <w:sz w:val="22"/>
          <w:szCs w:val="22"/>
          <w:lang w:val="pt-BR" w:eastAsia="zh-CN" w:bidi="ar-SA"/>
          <w14:textFill>
            <w14:solidFill>
              <w14:schemeClr w14:val="tx1"/>
            </w14:solidFill>
          </w14:textFill>
        </w:rPr>
        <w:t>10.5.   Dotação Orçamentária 1616.0824300122.111 – Gestão da Casa de Passagem – 33903600000 – Outros serviços de pessoa física – ficha 0000427 – Fonte de Recurso 150000000000.</w:t>
      </w:r>
    </w:p>
    <w:p>
      <w:pPr>
        <w:pStyle w:val="NormalWeb"/>
        <w:keepNext w:val="false"/>
        <w:keepLines w:val="false"/>
        <w:widowControl/>
        <w:suppressLineNumbers w:val="0"/>
        <w:spacing w:lineRule="auto" w:line="240" w:beforeAutospacing="1" w:afterAutospacing="1"/>
        <w:ind w:right="0"/>
        <w:jc w:val="both"/>
        <w:rPr>
          <w:rFonts w:ascii="Arial" w:hAnsi="Arial" w:cs="Arial"/>
          <w:color w:themeColor="text1" w:val="000000"/>
          <w:sz w:val="22"/>
          <w:szCs w:val="22"/>
          <w:lang w:val="pt-BR"/>
          <w14:textFill>
            <w14:solidFill>
              <w14:schemeClr w14:val="tx1"/>
            </w14:solidFill>
          </w14:textFill>
        </w:rPr>
      </w:pPr>
      <w:r>
        <w:rPr>
          <w:rFonts w:cs="Arial" w:ascii="Arial" w:hAnsi="Arial"/>
          <w:color w:themeColor="text1" w:val="000000"/>
          <w:kern w:val="0"/>
          <w:sz w:val="22"/>
          <w:szCs w:val="22"/>
          <w:lang w:val="pt-BR" w:eastAsia="zh-CN" w:bidi="ar-SA"/>
          <w14:textFill>
            <w14:solidFill>
              <w14:schemeClr w14:val="tx1"/>
            </w14:solidFill>
          </w14:textFill>
        </w:rPr>
        <w:t>10.6.   Dotação Orçamentária 1616.0812200122.021 – Gestão das atividades da Sec. de Assistência Social – 3390360000 – Outros serviços de terceiros – pessoa física – ficha 0000</w:t>
      </w:r>
      <w:r>
        <w:rPr>
          <w:rFonts w:cs="Arial" w:ascii="Arial" w:hAnsi="Arial"/>
          <w:color w:themeColor="text1" w:val="000000"/>
          <w:kern w:val="0"/>
          <w:sz w:val="22"/>
          <w:szCs w:val="22"/>
          <w:lang w:val="pt-BR" w:eastAsia="zh-CN" w:bidi="ar-SA"/>
          <w14:textFill>
            <w14:solidFill>
              <w14:schemeClr w14:val="tx1"/>
            </w14:solidFill>
          </w14:textFill>
        </w:rPr>
        <w:t>420</w:t>
      </w:r>
      <w:r>
        <w:rPr>
          <w:rFonts w:cs="Arial" w:ascii="Arial" w:hAnsi="Arial"/>
          <w:color w:themeColor="text1" w:val="000000"/>
          <w:kern w:val="0"/>
          <w:sz w:val="22"/>
          <w:szCs w:val="22"/>
          <w:lang w:val="pt-BR" w:eastAsia="zh-CN" w:bidi="ar-SA"/>
          <w14:textFill>
            <w14:solidFill>
              <w14:schemeClr w14:val="tx1"/>
            </w14:solidFill>
          </w14:textFill>
        </w:rPr>
        <w:t xml:space="preserve"> – Fonte de Recurso 150000000000, conforme proposta da Lei Orçamentária Anual 2024.</w:t>
      </w:r>
    </w:p>
    <w:p>
      <w:pPr>
        <w:pStyle w:val="western"/>
        <w:keepNext w:val="false"/>
        <w:keepLines w:val="false"/>
        <w:widowControl/>
        <w:suppressLineNumbers w:val="0"/>
        <w:spacing w:lineRule="auto" w:line="240" w:beforeAutospacing="1" w:afterAutospacing="1"/>
        <w:ind w:left="0" w:right="0"/>
        <w:jc w:val="both"/>
        <w:rPr>
          <w:rFonts w:ascii="Arial" w:hAnsi="Arial"/>
          <w:i/>
          <w:i/>
          <w:sz w:val="22"/>
          <w:szCs w:val="22"/>
        </w:rPr>
      </w:pPr>
      <w:r>
        <w:rPr>
          <w:rFonts w:cs="Arial" w:ascii="Arial" w:hAnsi="Arial"/>
          <w:color w:themeColor="text1" w:val="000000"/>
          <w:sz w:val="22"/>
          <w:szCs w:val="22"/>
          <w:lang w:val="pt-BR"/>
          <w14:textFill>
            <w14:solidFill>
              <w14:schemeClr w14:val="tx1"/>
            </w14:solidFill>
          </w14:textFill>
        </w:rPr>
        <w:t>10.7. Para fins de reserva orçamentária e empenho, as despesas decorrentes da presente contratação correrão a conta da dotação orçamentária respectiva, consignada na Proposta de Lei Orçamentária – LOA 2025 será informada pelo secretário da pasta após sua aprovação.</w:t>
      </w:r>
    </w:p>
    <w:p>
      <w:pPr>
        <w:pStyle w:val="Normal"/>
        <w:spacing w:before="120" w:after="120"/>
        <w:jc w:val="both"/>
        <w:rPr>
          <w:rFonts w:ascii="Arial" w:hAnsi="Arial"/>
          <w:sz w:val="22"/>
          <w:szCs w:val="22"/>
        </w:rPr>
      </w:pPr>
      <w:r>
        <w:rPr>
          <w:rFonts w:ascii="Arial" w:hAnsi="Arial"/>
          <w:sz w:val="22"/>
          <w:szCs w:val="22"/>
        </w:rPr>
        <w:t>10.</w:t>
      </w:r>
      <w:r>
        <w:rPr>
          <w:rFonts w:ascii="Arial" w:hAnsi="Arial"/>
          <w:sz w:val="22"/>
          <w:szCs w:val="22"/>
          <w:lang w:val="pt-BR"/>
        </w:rPr>
        <w:t>8</w:t>
      </w:r>
      <w:r>
        <w:rPr>
          <w:rFonts w:ascii="Arial" w:hAnsi="Arial"/>
          <w:sz w:val="22"/>
          <w:szCs w:val="22"/>
        </w:rPr>
        <w:t>. A dotação relativa aos exercícios financeiros subsequentes será indicada após aprovação da Lei Orçamentária respectiva e liberação dos créditos correspondentes, mediante apostilamento.</w:t>
      </w:r>
    </w:p>
    <w:p>
      <w:pPr>
        <w:pStyle w:val="Normal"/>
        <w:jc w:val="both"/>
        <w:rPr>
          <w:rFonts w:ascii="Arial" w:hAnsi="Arial"/>
          <w:sz w:val="22"/>
          <w:szCs w:val="22"/>
        </w:rPr>
      </w:pPr>
      <w:r>
        <w:rPr>
          <w:rFonts w:ascii="Arial" w:hAnsi="Arial"/>
          <w:sz w:val="22"/>
          <w:szCs w:val="22"/>
        </w:rPr>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11. DAS OBRIGAÇÕES E RESPONSABILIDADES DA LOCADORA</w:t>
      </w:r>
    </w:p>
    <w:p>
      <w:pPr>
        <w:pStyle w:val="Normal"/>
        <w:spacing w:before="120" w:after="120"/>
        <w:jc w:val="both"/>
        <w:rPr>
          <w:rFonts w:ascii="Arial" w:hAnsi="Arial" w:cs="Arial"/>
          <w:sz w:val="22"/>
          <w:szCs w:val="22"/>
        </w:rPr>
      </w:pPr>
      <w:bookmarkStart w:id="2" w:name="_Hlk184209086"/>
      <w:r>
        <w:rPr>
          <w:rFonts w:cs="Arial" w:ascii="Arial" w:hAnsi="Arial"/>
          <w:sz w:val="22"/>
          <w:szCs w:val="22"/>
        </w:rPr>
        <w:t>11.1</w:t>
      </w:r>
      <w:bookmarkEnd w:id="2"/>
      <w:r>
        <w:rPr>
          <w:rFonts w:cs="Arial" w:ascii="Arial" w:hAnsi="Arial"/>
          <w:sz w:val="22"/>
          <w:szCs w:val="22"/>
        </w:rPr>
        <w:t>. Manter-se durante toda a execução do contrato em compatibilidade com as obrigações assumidas, e as condições de HABILITAÇÃO exigidas por lei;</w:t>
      </w:r>
    </w:p>
    <w:p>
      <w:pPr>
        <w:pStyle w:val="Normal"/>
        <w:spacing w:before="120" w:after="120"/>
        <w:jc w:val="both"/>
        <w:rPr>
          <w:rFonts w:ascii="Arial" w:hAnsi="Arial"/>
          <w:sz w:val="22"/>
          <w:szCs w:val="22"/>
        </w:rPr>
      </w:pPr>
      <w:r>
        <w:rPr>
          <w:rFonts w:ascii="Arial" w:hAnsi="Arial"/>
          <w:sz w:val="22"/>
          <w:szCs w:val="22"/>
        </w:rPr>
        <w:t>11.2. Responsabilizar-se, total ou parcialmente, direta ou indiretamente, pelos danos causados diretamente ao Município ou a terceiros, decorrentes de ação ou omissão dolosa ou culposa, não excluindo ou reduzindo tal responsabilidade a fiscalização realizada pelo Município;</w:t>
      </w:r>
    </w:p>
    <w:p>
      <w:pPr>
        <w:pStyle w:val="Normal"/>
        <w:spacing w:before="120" w:after="120"/>
        <w:jc w:val="both"/>
        <w:rPr>
          <w:rFonts w:ascii="Arial" w:hAnsi="Arial"/>
          <w:sz w:val="22"/>
          <w:szCs w:val="22"/>
        </w:rPr>
      </w:pPr>
      <w:r>
        <w:rPr>
          <w:rFonts w:ascii="Arial" w:hAnsi="Arial"/>
          <w:sz w:val="22"/>
          <w:szCs w:val="22"/>
        </w:rPr>
        <w:t>11.3. Comunicar à administração, de imediato, qualquer ocorrência anormal ou acidente que se verifique com ou no imóvel;</w:t>
      </w:r>
    </w:p>
    <w:p>
      <w:pPr>
        <w:pStyle w:val="Normal"/>
        <w:spacing w:before="120" w:after="120"/>
        <w:jc w:val="both"/>
        <w:rPr>
          <w:rFonts w:ascii="Arial" w:hAnsi="Arial"/>
          <w:sz w:val="22"/>
          <w:szCs w:val="22"/>
        </w:rPr>
      </w:pPr>
      <w:r>
        <w:rPr>
          <w:rFonts w:ascii="Arial" w:hAnsi="Arial"/>
          <w:sz w:val="22"/>
          <w:szCs w:val="22"/>
        </w:rPr>
        <w:t>11.4. Prestar todos os esclarecimentos ou informações solicitadas pelo MUNICÍPIO, seus prepostos, sobre o objeto;</w:t>
      </w:r>
    </w:p>
    <w:p>
      <w:pPr>
        <w:pStyle w:val="Normal"/>
        <w:spacing w:before="120" w:after="120"/>
        <w:jc w:val="both"/>
        <w:rPr>
          <w:rFonts w:ascii="Arial" w:hAnsi="Arial"/>
          <w:sz w:val="22"/>
          <w:szCs w:val="22"/>
        </w:rPr>
      </w:pPr>
      <w:r>
        <w:rPr>
          <w:rFonts w:ascii="Arial" w:hAnsi="Arial"/>
          <w:sz w:val="22"/>
          <w:szCs w:val="22"/>
        </w:rPr>
        <w:t>11.5. Entregar ao MUNICÍPIO o imóvel alugado em estado de servir ao uso a que se destina;</w:t>
      </w:r>
    </w:p>
    <w:p>
      <w:pPr>
        <w:pStyle w:val="Normal"/>
        <w:spacing w:before="120" w:after="120"/>
        <w:jc w:val="both"/>
        <w:rPr>
          <w:rFonts w:ascii="Arial" w:hAnsi="Arial"/>
          <w:sz w:val="22"/>
          <w:szCs w:val="22"/>
        </w:rPr>
      </w:pPr>
      <w:r>
        <w:rPr>
          <w:rFonts w:ascii="Arial" w:hAnsi="Arial"/>
          <w:sz w:val="22"/>
          <w:szCs w:val="22"/>
        </w:rPr>
        <w:t>11.6. Garantir ao Município, durante o tempo da locação, o uso pacifico do imóvel locado;</w:t>
      </w:r>
    </w:p>
    <w:p>
      <w:pPr>
        <w:pStyle w:val="Normal"/>
        <w:spacing w:before="120" w:after="120"/>
        <w:jc w:val="both"/>
        <w:rPr>
          <w:rFonts w:ascii="Arial" w:hAnsi="Arial"/>
          <w:sz w:val="22"/>
          <w:szCs w:val="22"/>
        </w:rPr>
      </w:pPr>
      <w:r>
        <w:rPr>
          <w:rFonts w:ascii="Arial" w:hAnsi="Arial"/>
          <w:sz w:val="22"/>
          <w:szCs w:val="22"/>
        </w:rPr>
        <w:t>11.7. Manter, durante o período da locação, a forma e a destinação do imóvel;</w:t>
      </w:r>
    </w:p>
    <w:p>
      <w:pPr>
        <w:pStyle w:val="Normal"/>
        <w:spacing w:before="120" w:after="120"/>
        <w:jc w:val="both"/>
        <w:rPr>
          <w:rFonts w:ascii="Arial" w:hAnsi="Arial"/>
          <w:sz w:val="22"/>
          <w:szCs w:val="22"/>
        </w:rPr>
      </w:pPr>
      <w:r>
        <w:rPr>
          <w:rFonts w:ascii="Arial" w:hAnsi="Arial"/>
          <w:sz w:val="22"/>
          <w:szCs w:val="22"/>
        </w:rPr>
        <w:t>11.8. Responder pelos vícios ou defeitos anteriores à locação;</w:t>
      </w:r>
    </w:p>
    <w:p>
      <w:pPr>
        <w:pStyle w:val="Normal"/>
        <w:spacing w:before="120" w:after="120"/>
        <w:jc w:val="both"/>
        <w:rPr>
          <w:rFonts w:ascii="Arial" w:hAnsi="Arial"/>
          <w:sz w:val="22"/>
          <w:szCs w:val="22"/>
        </w:rPr>
      </w:pPr>
      <w:r>
        <w:rPr>
          <w:rFonts w:ascii="Arial" w:hAnsi="Arial"/>
          <w:sz w:val="22"/>
          <w:szCs w:val="22"/>
        </w:rPr>
        <w:t>11.9. Pagar todas as obrigações de natureza fiscal, que incidam ou venham a incidir sobre o imóvel;</w:t>
      </w:r>
    </w:p>
    <w:p>
      <w:pPr>
        <w:pStyle w:val="Normal"/>
        <w:spacing w:before="120" w:after="120"/>
        <w:jc w:val="both"/>
        <w:rPr>
          <w:rFonts w:ascii="Arial" w:hAnsi="Arial"/>
          <w:sz w:val="22"/>
          <w:szCs w:val="22"/>
        </w:rPr>
      </w:pPr>
      <w:r>
        <w:rPr>
          <w:rFonts w:ascii="Arial" w:hAnsi="Arial"/>
          <w:sz w:val="22"/>
          <w:szCs w:val="22"/>
        </w:rPr>
        <w:t>11.10.</w:t>
      </w:r>
      <w:r>
        <w:rPr/>
        <w:t xml:space="preserve"> </w:t>
      </w:r>
      <w:r>
        <w:rPr>
          <w:rFonts w:ascii="Arial" w:hAnsi="Arial"/>
          <w:sz w:val="22"/>
          <w:szCs w:val="22"/>
        </w:rPr>
        <w:t>Adaptar e/ou permitir a adaptação do layout do imóvel às necessidades de ambiente e áreas do edifício, a fim de proporcionar o funcionamento adequado dos diversos serviços, seções e equipes do LOCATÁRIO;</w:t>
      </w:r>
    </w:p>
    <w:p>
      <w:pPr>
        <w:pStyle w:val="Normal"/>
        <w:spacing w:before="120" w:after="120"/>
        <w:jc w:val="both"/>
        <w:rPr>
          <w:rFonts w:ascii="Arial" w:hAnsi="Arial"/>
          <w:sz w:val="22"/>
          <w:szCs w:val="22"/>
        </w:rPr>
      </w:pPr>
      <w:r>
        <w:rPr>
          <w:rFonts w:ascii="Arial" w:hAnsi="Arial"/>
          <w:sz w:val="22"/>
          <w:szCs w:val="22"/>
        </w:rPr>
        <w:t>11.11. Manter, durante a vigência do contrato, todas as condições de habilitação e qualificação exigidas neste instrumento, bem como as condições para contratar com a Administração Pública, sob pena de aplicação das sanções administrativas descumprimento de cláusula contratual;</w:t>
      </w:r>
    </w:p>
    <w:p>
      <w:pPr>
        <w:pStyle w:val="Normal"/>
        <w:spacing w:before="120" w:after="120"/>
        <w:jc w:val="both"/>
        <w:rPr>
          <w:rFonts w:ascii="Arial" w:hAnsi="Arial"/>
          <w:sz w:val="22"/>
          <w:szCs w:val="22"/>
        </w:rPr>
      </w:pPr>
      <w:r>
        <w:rPr>
          <w:rFonts w:ascii="Arial" w:hAnsi="Arial"/>
          <w:sz w:val="22"/>
          <w:szCs w:val="22"/>
        </w:rPr>
        <w:t>11.12. Informar ao LOCATÁRIO quaisquer alterações na titularidade do imóvel, inclusive apresentação da documentação correspondente;</w:t>
      </w:r>
    </w:p>
    <w:p>
      <w:pPr>
        <w:pStyle w:val="Normal"/>
        <w:spacing w:before="120" w:after="120"/>
        <w:jc w:val="both"/>
        <w:rPr>
          <w:rFonts w:ascii="Arial" w:hAnsi="Arial"/>
          <w:sz w:val="22"/>
          <w:szCs w:val="22"/>
        </w:rPr>
      </w:pPr>
      <w:r>
        <w:rPr>
          <w:rFonts w:ascii="Arial" w:hAnsi="Arial"/>
          <w:sz w:val="22"/>
          <w:szCs w:val="22"/>
        </w:rPr>
        <w:t>11.13. Informar ao Fiscal do Contrato, ou ao seu substituto eventual, quanto a ocorrência de qualquer anormalidade, prestando os esclarecimentos necessários.</w:t>
      </w:r>
    </w:p>
    <w:p>
      <w:pPr>
        <w:pStyle w:val="Normal"/>
        <w:jc w:val="both"/>
        <w:rPr>
          <w:rFonts w:ascii="Arial" w:hAnsi="Arial"/>
          <w:sz w:val="22"/>
          <w:szCs w:val="22"/>
        </w:rPr>
      </w:pPr>
      <w:r>
        <w:rPr>
          <w:rFonts w:ascii="Arial" w:hAnsi="Arial"/>
          <w:sz w:val="22"/>
          <w:szCs w:val="22"/>
        </w:rPr>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12. DAS OBRIGAÇÕES E RESPONSABILIDADES DO MUNICÍPIO</w:t>
      </w:r>
    </w:p>
    <w:p>
      <w:pPr>
        <w:pStyle w:val="Normal"/>
        <w:spacing w:before="120" w:after="120"/>
        <w:jc w:val="both"/>
        <w:rPr>
          <w:rFonts w:ascii="Arial" w:hAnsi="Arial" w:cs="Arial"/>
          <w:sz w:val="22"/>
          <w:szCs w:val="22"/>
        </w:rPr>
      </w:pPr>
      <w:r>
        <w:rPr>
          <w:rFonts w:cs="Arial" w:ascii="Arial" w:hAnsi="Arial"/>
          <w:sz w:val="22"/>
          <w:szCs w:val="22"/>
        </w:rPr>
        <w:t>12.1.</w:t>
      </w:r>
      <w:r>
        <w:rPr/>
        <w:t xml:space="preserve"> </w:t>
      </w:r>
      <w:r>
        <w:rPr>
          <w:rFonts w:cs="Arial" w:ascii="Arial" w:hAnsi="Arial"/>
          <w:sz w:val="22"/>
          <w:szCs w:val="22"/>
        </w:rPr>
        <w:t>Cumprir pontualmente todos os compromissos financeiros assumidos com a LOCADORA;</w:t>
      </w:r>
    </w:p>
    <w:p>
      <w:pPr>
        <w:pStyle w:val="Normal"/>
        <w:spacing w:before="120" w:after="120"/>
        <w:jc w:val="both"/>
        <w:rPr>
          <w:rFonts w:ascii="Arial" w:hAnsi="Arial"/>
          <w:sz w:val="22"/>
          <w:szCs w:val="22"/>
        </w:rPr>
      </w:pPr>
      <w:r>
        <w:rPr>
          <w:rFonts w:ascii="Arial" w:hAnsi="Arial"/>
          <w:sz w:val="22"/>
          <w:szCs w:val="22"/>
        </w:rPr>
        <w:t>12.2. Notificar, formal e tempestivamente, a LOCADORA sobre as irregularidades observadas no cumprimento do contrato;</w:t>
      </w:r>
    </w:p>
    <w:p>
      <w:pPr>
        <w:pStyle w:val="Normal"/>
        <w:spacing w:before="120" w:after="120"/>
        <w:jc w:val="both"/>
        <w:rPr>
          <w:rFonts w:ascii="Arial" w:hAnsi="Arial"/>
          <w:sz w:val="22"/>
          <w:szCs w:val="22"/>
        </w:rPr>
      </w:pPr>
      <w:r>
        <w:rPr>
          <w:rFonts w:ascii="Arial" w:hAnsi="Arial"/>
          <w:sz w:val="22"/>
          <w:szCs w:val="22"/>
        </w:rPr>
        <w:t>12.3. Designar servidores para fiscalizar e acompanhar os serviços constantes do objeto contratual;</w:t>
      </w:r>
    </w:p>
    <w:p>
      <w:pPr>
        <w:pStyle w:val="Normal"/>
        <w:spacing w:before="120" w:after="120"/>
        <w:jc w:val="both"/>
        <w:rPr>
          <w:rFonts w:ascii="Arial" w:hAnsi="Arial"/>
          <w:sz w:val="22"/>
          <w:szCs w:val="22"/>
        </w:rPr>
      </w:pPr>
      <w:r>
        <w:rPr>
          <w:rFonts w:ascii="Arial" w:hAnsi="Arial"/>
          <w:sz w:val="22"/>
          <w:szCs w:val="22"/>
        </w:rPr>
        <w:t>12.4. Assegurar o livre acesso da LOCADORA ao imóvel para visitação e verificação do uso normal do mesmo, bem como correções que se fizerem necessárias;</w:t>
      </w:r>
    </w:p>
    <w:p>
      <w:pPr>
        <w:pStyle w:val="Normal"/>
        <w:spacing w:before="120" w:after="120"/>
        <w:jc w:val="both"/>
        <w:rPr>
          <w:rFonts w:ascii="Arial" w:hAnsi="Arial"/>
          <w:sz w:val="22"/>
          <w:szCs w:val="22"/>
        </w:rPr>
      </w:pPr>
      <w:r>
        <w:rPr>
          <w:rFonts w:ascii="Arial" w:hAnsi="Arial"/>
          <w:sz w:val="22"/>
          <w:szCs w:val="22"/>
        </w:rPr>
        <w:t>12.5. Fornecer a qualquer tempo e com presteza, mediante solicitação da LOCADORA, informações adicionais, dirimir dúvidas e orientá-la em todos os casos omissos;</w:t>
      </w:r>
    </w:p>
    <w:p>
      <w:pPr>
        <w:pStyle w:val="Normal"/>
        <w:spacing w:before="120" w:after="120"/>
        <w:jc w:val="both"/>
        <w:rPr>
          <w:rFonts w:ascii="Arial" w:hAnsi="Arial"/>
          <w:sz w:val="22"/>
          <w:szCs w:val="22"/>
        </w:rPr>
      </w:pPr>
      <w:r>
        <w:rPr>
          <w:rFonts w:ascii="Arial" w:hAnsi="Arial"/>
          <w:sz w:val="22"/>
          <w:szCs w:val="22"/>
        </w:rPr>
        <w:t>12.6. Aplicar as sanções e penalidades previstas neste instrumento, quando necessário e conforme o caso;</w:t>
      </w:r>
    </w:p>
    <w:p>
      <w:pPr>
        <w:pStyle w:val="Normal"/>
        <w:spacing w:before="120" w:after="120"/>
        <w:jc w:val="both"/>
        <w:rPr>
          <w:rFonts w:ascii="Arial" w:hAnsi="Arial"/>
          <w:sz w:val="22"/>
          <w:szCs w:val="22"/>
        </w:rPr>
      </w:pPr>
      <w:r>
        <w:rPr>
          <w:rFonts w:ascii="Arial" w:hAnsi="Arial"/>
          <w:sz w:val="22"/>
          <w:szCs w:val="22"/>
        </w:rPr>
        <w:t>12.7. Responder eventuais pedidos de repactuação/reajustes de preços feitos pela LOCADORA no prazo máximo de 1 (um) mês para decidir, a contar da data do protocolo do requerimento, admitida a prorrogação motivada por igual período;</w:t>
      </w:r>
    </w:p>
    <w:p>
      <w:pPr>
        <w:pStyle w:val="Normal"/>
        <w:spacing w:before="120" w:after="120"/>
        <w:jc w:val="both"/>
        <w:rPr>
          <w:rFonts w:ascii="Arial" w:hAnsi="Arial"/>
          <w:sz w:val="22"/>
          <w:szCs w:val="22"/>
        </w:rPr>
      </w:pPr>
      <w:r>
        <w:rPr>
          <w:rFonts w:ascii="Arial" w:hAnsi="Arial"/>
          <w:sz w:val="22"/>
          <w:szCs w:val="22"/>
        </w:rPr>
        <w:t>12.8.</w:t>
      </w:r>
      <w:r>
        <w:rPr/>
        <w:t xml:space="preserve"> </w:t>
      </w:r>
      <w:r>
        <w:rPr>
          <w:rFonts w:ascii="Arial" w:hAnsi="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 no prazo máximo de 1 (um) mês para decidir, a contar da data do protocolo do requerimento, admitida a prorrogação motivada, por igual período;</w:t>
      </w:r>
    </w:p>
    <w:p>
      <w:pPr>
        <w:pStyle w:val="Normal"/>
        <w:spacing w:before="120" w:after="120"/>
        <w:jc w:val="both"/>
        <w:rPr>
          <w:rFonts w:ascii="Arial" w:hAnsi="Arial"/>
          <w:sz w:val="22"/>
          <w:szCs w:val="22"/>
        </w:rPr>
      </w:pPr>
      <w:r>
        <w:rPr>
          <w:rFonts w:ascii="Arial" w:hAnsi="Arial"/>
          <w:sz w:val="22"/>
          <w:szCs w:val="22"/>
        </w:rPr>
        <w:t>12.9. O Município de São Roque do Canaã, não assumirá em nenhuma hipótese, a responsabilidade, presente ou futura, de qualquer compromisso ou ônus decorrentes do inadimplemento da LOCADORA, relativas às obrigações aqui assumidas, ficando essas a seu encargo, exclusivamente, em qualquer momento que vierem a ocorrer.</w:t>
      </w:r>
    </w:p>
    <w:p>
      <w:pPr>
        <w:pStyle w:val="Normal"/>
        <w:jc w:val="both"/>
        <w:rPr>
          <w:rFonts w:ascii="Arial" w:hAnsi="Arial"/>
          <w:sz w:val="22"/>
          <w:szCs w:val="22"/>
        </w:rPr>
      </w:pPr>
      <w:r>
        <w:rPr>
          <w:rFonts w:ascii="Arial" w:hAnsi="Arial"/>
          <w:sz w:val="22"/>
          <w:szCs w:val="22"/>
        </w:rPr>
      </w:r>
    </w:p>
    <w:p>
      <w:pPr>
        <w:pStyle w:val="Normal"/>
        <w:shd w:val="clear" w:color="auto" w:fill="D8D8D8" w:themeFill="background1" w:themeFillShade="d9"/>
        <w:jc w:val="both"/>
        <w:rPr>
          <w:rFonts w:ascii="Arial" w:hAnsi="Arial" w:cs="Arial"/>
          <w:b/>
          <w:sz w:val="22"/>
          <w:szCs w:val="22"/>
        </w:rPr>
      </w:pPr>
      <w:r>
        <w:rPr>
          <w:rFonts w:cs="Arial" w:ascii="Arial" w:hAnsi="Arial"/>
          <w:b/>
          <w:sz w:val="22"/>
          <w:szCs w:val="22"/>
        </w:rPr>
        <w:t>13. DAS PENALIDADES E SANÇÕES</w:t>
      </w:r>
    </w:p>
    <w:p>
      <w:pPr>
        <w:pStyle w:val="Normal"/>
        <w:spacing w:before="120" w:after="120"/>
        <w:jc w:val="both"/>
        <w:rPr>
          <w:rFonts w:ascii="Arial" w:hAnsi="Arial" w:cs="Arial"/>
          <w:sz w:val="22"/>
          <w:szCs w:val="22"/>
        </w:rPr>
      </w:pPr>
      <w:r>
        <w:rPr>
          <w:rFonts w:cs="Arial" w:ascii="Arial" w:hAnsi="Arial"/>
          <w:sz w:val="22"/>
          <w:szCs w:val="22"/>
        </w:rPr>
        <w:t>13.1. A LOCADORA deverá observar rigorosamente as condições estabelecidas no presente instrumento, sujeitando-se às penalidades constantes nos artigos 162 da Lei Federal nº 14.133/21 e suas alterações;</w:t>
      </w:r>
    </w:p>
    <w:p>
      <w:pPr>
        <w:pStyle w:val="Normal"/>
        <w:spacing w:before="120" w:after="120"/>
        <w:jc w:val="both"/>
        <w:rPr>
          <w:rFonts w:ascii="Arial" w:hAnsi="Arial"/>
          <w:sz w:val="22"/>
          <w:szCs w:val="22"/>
        </w:rPr>
      </w:pPr>
      <w:r>
        <w:rPr>
          <w:rFonts w:ascii="Arial" w:hAnsi="Arial"/>
          <w:sz w:val="22"/>
          <w:szCs w:val="22"/>
        </w:rPr>
        <w:t>13.2. Serão aplicadas as responsabilizações pelas infrações administrativas previstas no art. 155, da Lei Federal nº 14.133/2021, as sanções e penalidades dispostas no art. 156 e seguintes da Lei Federal nº 14.133/2021, sem prejuízos das demais cominações legais.</w:t>
      </w:r>
    </w:p>
    <w:p>
      <w:pPr>
        <w:pStyle w:val="Normal"/>
        <w:jc w:val="both"/>
        <w:rPr>
          <w:rFonts w:ascii="Arial" w:hAnsi="Arial"/>
          <w:sz w:val="22"/>
          <w:szCs w:val="22"/>
        </w:rPr>
      </w:pPr>
      <w:r>
        <w:rPr>
          <w:rFonts w:ascii="Arial" w:hAnsi="Arial"/>
          <w:sz w:val="22"/>
          <w:szCs w:val="22"/>
        </w:rPr>
      </w:r>
    </w:p>
    <w:p>
      <w:pPr>
        <w:pStyle w:val="Normal"/>
        <w:shd w:val="clear" w:color="auto" w:fill="D8D8D8" w:themeFill="background1" w:themeFillShade="d9"/>
        <w:jc w:val="both"/>
        <w:rPr>
          <w:rFonts w:ascii="Arial" w:hAnsi="Arial"/>
          <w:b/>
          <w:sz w:val="22"/>
          <w:szCs w:val="22"/>
        </w:rPr>
      </w:pPr>
      <w:r>
        <w:rPr>
          <w:rFonts w:ascii="Arial" w:hAnsi="Arial"/>
          <w:b/>
          <w:sz w:val="22"/>
          <w:szCs w:val="22"/>
        </w:rPr>
        <w:t>14. DA UNIDADE REQUISITANTE</w:t>
      </w:r>
    </w:p>
    <w:p>
      <w:pPr>
        <w:pStyle w:val="Normal"/>
        <w:spacing w:before="120" w:after="120"/>
        <w:jc w:val="both"/>
        <w:rPr>
          <w:rFonts w:ascii="Arial" w:hAnsi="Arial"/>
          <w:sz w:val="22"/>
          <w:szCs w:val="22"/>
        </w:rPr>
      </w:pPr>
      <w:r>
        <w:rPr>
          <w:rFonts w:ascii="Arial" w:hAnsi="Arial"/>
          <w:sz w:val="22"/>
          <w:szCs w:val="22"/>
        </w:rPr>
        <w:t>14.1. Secretaria Municipal de Assistência Social</w:t>
      </w:r>
    </w:p>
    <w:p>
      <w:pPr>
        <w:pStyle w:val="Normal"/>
        <w:jc w:val="both"/>
        <w:rPr>
          <w:rFonts w:ascii="Arial" w:hAnsi="Arial"/>
          <w:sz w:val="22"/>
          <w:szCs w:val="22"/>
        </w:rPr>
      </w:pPr>
      <w:r>
        <w:rPr>
          <w:rFonts w:ascii="Arial" w:hAnsi="Arial"/>
          <w:sz w:val="22"/>
          <w:szCs w:val="22"/>
        </w:rPr>
      </w:r>
    </w:p>
    <w:p>
      <w:pPr>
        <w:pStyle w:val="Normal"/>
        <w:shd w:val="clear" w:color="auto" w:fill="D8D8D8" w:themeFill="background1" w:themeFillShade="d9"/>
        <w:jc w:val="both"/>
        <w:rPr>
          <w:rFonts w:ascii="Arial" w:hAnsi="Arial"/>
          <w:b/>
          <w:sz w:val="22"/>
          <w:szCs w:val="22"/>
        </w:rPr>
      </w:pPr>
      <w:r>
        <w:rPr>
          <w:rFonts w:ascii="Arial" w:hAnsi="Arial"/>
          <w:b/>
          <w:sz w:val="22"/>
          <w:szCs w:val="22"/>
        </w:rPr>
        <w:t>15. DO RESPONSÁVEL PELA ELABORAÇÃO DO TERMO DE REFERÊNCIA</w:t>
      </w:r>
    </w:p>
    <w:p>
      <w:pPr>
        <w:pStyle w:val="Normal"/>
        <w:spacing w:before="120" w:after="120"/>
        <w:jc w:val="both"/>
        <w:rPr>
          <w:rFonts w:ascii="Arial" w:hAnsi="Arial"/>
          <w:sz w:val="22"/>
          <w:szCs w:val="22"/>
        </w:rPr>
      </w:pPr>
      <w:r>
        <w:rPr>
          <w:rFonts w:ascii="Arial" w:hAnsi="Arial"/>
          <w:sz w:val="22"/>
          <w:szCs w:val="22"/>
        </w:rPr>
        <w:t>15.1. Responsável pela Elaboração: Willian Lucas Gasparini</w:t>
      </w:r>
    </w:p>
    <w:p>
      <w:pPr>
        <w:pStyle w:val="Normal"/>
        <w:spacing w:before="120" w:after="120"/>
        <w:jc w:val="both"/>
        <w:rPr>
          <w:rFonts w:ascii="Arial" w:hAnsi="Arial"/>
          <w:sz w:val="22"/>
          <w:szCs w:val="22"/>
        </w:rPr>
      </w:pPr>
      <w:r>
        <w:rPr>
          <w:rFonts w:ascii="Arial" w:hAnsi="Arial"/>
          <w:sz w:val="22"/>
          <w:szCs w:val="22"/>
        </w:rPr>
        <w:t>15.2. Responsável pela Elaboração: Iraci Maria Vago Galon</w:t>
      </w:r>
    </w:p>
    <w:p>
      <w:pPr>
        <w:pStyle w:val="Normal"/>
        <w:spacing w:before="120" w:after="120"/>
        <w:jc w:val="both"/>
        <w:rPr>
          <w:rFonts w:ascii="Arial" w:hAnsi="Arial"/>
          <w:sz w:val="22"/>
          <w:szCs w:val="22"/>
        </w:rPr>
      </w:pPr>
      <w:r>
        <w:rPr>
          <w:rFonts w:ascii="Arial" w:hAnsi="Arial"/>
          <w:sz w:val="22"/>
          <w:szCs w:val="22"/>
        </w:rPr>
        <w:t>15.3. Responsável pela Elaboração: Denner Angeli</w:t>
      </w:r>
    </w:p>
    <w:p>
      <w:pPr>
        <w:pStyle w:val="Normal"/>
        <w:spacing w:before="120" w:after="120"/>
        <w:jc w:val="both"/>
        <w:rPr>
          <w:rFonts w:ascii="Arial" w:hAnsi="Arial"/>
          <w:sz w:val="22"/>
          <w:szCs w:val="22"/>
        </w:rPr>
      </w:pPr>
      <w:r>
        <w:rPr>
          <w:rFonts w:ascii="Arial" w:hAnsi="Arial"/>
          <w:sz w:val="22"/>
          <w:szCs w:val="22"/>
        </w:rPr>
        <w:t>15.4. Gestor da Unidade Requisitante: Patrick Totola</w:t>
      </w:r>
    </w:p>
    <w:p>
      <w:pPr>
        <w:pStyle w:val="Normal"/>
        <w:spacing w:before="120" w:after="120"/>
        <w:jc w:val="both"/>
        <w:rPr>
          <w:rFonts w:ascii="Arial" w:hAnsi="Arial"/>
          <w:sz w:val="22"/>
          <w:szCs w:val="22"/>
        </w:rPr>
      </w:pPr>
      <w:r>
        <w:rPr>
          <w:rFonts w:ascii="Arial" w:hAnsi="Arial"/>
          <w:sz w:val="22"/>
          <w:szCs w:val="22"/>
        </w:rPr>
      </w:r>
    </w:p>
    <w:p>
      <w:pPr>
        <w:pStyle w:val="Normal"/>
        <w:spacing w:before="120" w:after="120"/>
        <w:jc w:val="both"/>
        <w:rPr>
          <w:rFonts w:ascii="Arial" w:hAnsi="Arial"/>
          <w:sz w:val="22"/>
          <w:szCs w:val="22"/>
        </w:rPr>
      </w:pPr>
      <w:r>
        <w:rPr>
          <w:rFonts w:ascii="Arial" w:hAnsi="Arial"/>
          <w:sz w:val="22"/>
          <w:szCs w:val="22"/>
        </w:rPr>
        <w:t xml:space="preserve">São Roque do Canaã/ES, </w:t>
      </w:r>
      <w:r>
        <w:rPr>
          <w:rFonts w:ascii="Arial" w:hAnsi="Arial"/>
          <w:sz w:val="22"/>
          <w:szCs w:val="22"/>
          <w:lang w:val="pt-BR"/>
        </w:rPr>
        <w:t>27</w:t>
      </w:r>
      <w:r>
        <w:rPr>
          <w:rFonts w:ascii="Arial" w:hAnsi="Arial"/>
          <w:sz w:val="22"/>
          <w:szCs w:val="22"/>
        </w:rPr>
        <w:t xml:space="preserve"> de dezembro de 2024.</w:t>
      </w:r>
    </w:p>
    <w:p>
      <w:pPr>
        <w:pStyle w:val="Normal"/>
        <w:spacing w:before="120" w:after="120"/>
        <w:jc w:val="both"/>
        <w:rPr>
          <w:rFonts w:ascii="Arial" w:hAnsi="Arial"/>
          <w:sz w:val="22"/>
          <w:szCs w:val="22"/>
        </w:rPr>
      </w:pPr>
      <w:r>
        <w:rPr>
          <w:rFonts w:ascii="Arial" w:hAnsi="Arial"/>
          <w:sz w:val="22"/>
          <w:szCs w:val="22"/>
        </w:rPr>
      </w:r>
    </w:p>
    <w:p>
      <w:pPr>
        <w:pStyle w:val="Normal"/>
        <w:spacing w:before="120" w:after="120"/>
        <w:jc w:val="both"/>
        <w:rPr>
          <w:rFonts w:ascii="Arial" w:hAnsi="Arial"/>
          <w:sz w:val="22"/>
          <w:szCs w:val="22"/>
        </w:rPr>
      </w:pPr>
      <w:r>
        <w:rPr>
          <w:rFonts w:ascii="Arial" w:hAnsi="Arial"/>
          <w:sz w:val="22"/>
          <w:szCs w:val="22"/>
        </w:rPr>
      </w:r>
    </w:p>
    <w:tbl>
      <w:tblPr>
        <w:tblStyle w:val="12"/>
        <w:tblW w:w="9210" w:type="dxa"/>
        <w:jc w:val="left"/>
        <w:tblInd w:w="0" w:type="dxa"/>
        <w:tblLayout w:type="fixed"/>
        <w:tblCellMar>
          <w:top w:w="0" w:type="dxa"/>
          <w:left w:w="108" w:type="dxa"/>
          <w:bottom w:w="0" w:type="dxa"/>
          <w:right w:w="108" w:type="dxa"/>
        </w:tblCellMar>
      </w:tblPr>
      <w:tblGrid>
        <w:gridCol w:w="4605"/>
        <w:gridCol w:w="4604"/>
      </w:tblGrid>
      <w:tr>
        <w:trPr/>
        <w:tc>
          <w:tcPr>
            <w:tcW w:w="4605" w:type="dxa"/>
            <w:tcBorders/>
            <w:shd w:color="auto" w:fill="auto" w:val="clear"/>
          </w:tcPr>
          <w:p>
            <w:pPr>
              <w:pStyle w:val="Normal"/>
              <w:widowControl w:val="false"/>
              <w:spacing w:before="0" w:after="0"/>
              <w:jc w:val="center"/>
              <w:rPr>
                <w:rFonts w:ascii="Arial" w:hAnsi="Arial"/>
                <w:b/>
                <w:sz w:val="22"/>
                <w:szCs w:val="22"/>
              </w:rPr>
            </w:pPr>
            <w:r>
              <w:rPr>
                <w:rFonts w:ascii="Arial" w:hAnsi="Arial"/>
                <w:b/>
                <w:sz w:val="22"/>
                <w:szCs w:val="22"/>
              </w:rPr>
            </w:r>
          </w:p>
          <w:p>
            <w:pPr>
              <w:pStyle w:val="Normal"/>
              <w:widowControl w:val="false"/>
              <w:spacing w:before="0" w:after="0"/>
              <w:jc w:val="center"/>
              <w:rPr>
                <w:rFonts w:ascii="Arial" w:hAnsi="Arial"/>
                <w:b/>
                <w:sz w:val="22"/>
                <w:szCs w:val="22"/>
              </w:rPr>
            </w:pPr>
            <w:r>
              <w:rPr>
                <w:rFonts w:ascii="Arial" w:hAnsi="Arial"/>
                <w:b/>
                <w:sz w:val="22"/>
                <w:szCs w:val="22"/>
              </w:rPr>
            </w:r>
          </w:p>
          <w:p>
            <w:pPr>
              <w:pStyle w:val="Normal"/>
              <w:widowControl w:val="false"/>
              <w:spacing w:before="0" w:after="0"/>
              <w:jc w:val="center"/>
              <w:rPr>
                <w:rFonts w:ascii="Arial" w:hAnsi="Arial"/>
                <w:b/>
                <w:sz w:val="22"/>
                <w:szCs w:val="22"/>
              </w:rPr>
            </w:pPr>
            <w:r>
              <w:rPr>
                <w:rFonts w:ascii="Arial" w:hAnsi="Arial"/>
                <w:b/>
                <w:sz w:val="22"/>
                <w:szCs w:val="22"/>
              </w:rPr>
            </w:r>
          </w:p>
          <w:p>
            <w:pPr>
              <w:pStyle w:val="Normal"/>
              <w:widowControl w:val="false"/>
              <w:spacing w:before="0" w:after="0"/>
              <w:jc w:val="center"/>
              <w:rPr>
                <w:rFonts w:ascii="Arial" w:hAnsi="Arial" w:cs="Arial"/>
                <w:b/>
                <w:bCs/>
                <w:sz w:val="22"/>
                <w:szCs w:val="22"/>
              </w:rPr>
            </w:pPr>
            <w:r>
              <w:rPr>
                <w:rFonts w:cs="Arial" w:ascii="Arial" w:hAnsi="Arial"/>
                <w:b/>
                <w:bCs/>
                <w:kern w:val="0"/>
                <w:sz w:val="22"/>
                <w:szCs w:val="22"/>
              </w:rPr>
              <w:t>Willian Lucas Gasparini</w:t>
            </w:r>
          </w:p>
          <w:p>
            <w:pPr>
              <w:pStyle w:val="Normal"/>
              <w:widowControl w:val="false"/>
              <w:spacing w:before="0" w:after="0"/>
              <w:jc w:val="center"/>
              <w:rPr>
                <w:sz w:val="22"/>
                <w:szCs w:val="22"/>
              </w:rPr>
            </w:pPr>
            <w:r>
              <w:rPr>
                <w:rStyle w:val="Fontepargpadro1"/>
                <w:rFonts w:ascii="Arial" w:hAnsi="Arial"/>
                <w:bCs/>
                <w:kern w:val="0"/>
                <w:sz w:val="22"/>
                <w:szCs w:val="22"/>
              </w:rPr>
              <w:t xml:space="preserve">Assessor do Executivo </w:t>
            </w:r>
            <w:r>
              <w:rPr>
                <w:rStyle w:val="Fontepargpadro1"/>
                <w:rFonts w:ascii="Arial" w:hAnsi="Arial"/>
                <w:bCs/>
                <w:color w:val="000000"/>
                <w:kern w:val="0"/>
                <w:sz w:val="22"/>
                <w:szCs w:val="22"/>
              </w:rPr>
              <w:t>II</w:t>
            </w:r>
          </w:p>
          <w:p>
            <w:pPr>
              <w:pStyle w:val="Normal"/>
              <w:widowControl w:val="false"/>
              <w:spacing w:before="0" w:after="0"/>
              <w:jc w:val="center"/>
              <w:rPr>
                <w:rFonts w:ascii="Arial" w:hAnsi="Arial"/>
                <w:bCs/>
                <w:color w:val="000000"/>
                <w:sz w:val="22"/>
                <w:szCs w:val="22"/>
                <w:lang w:val="pt-BR"/>
              </w:rPr>
            </w:pPr>
            <w:r>
              <w:rPr>
                <w:rFonts w:ascii="Arial" w:hAnsi="Arial"/>
                <w:bCs/>
                <w:color w:val="000000"/>
                <w:kern w:val="0"/>
                <w:sz w:val="22"/>
                <w:szCs w:val="22"/>
                <w:lang w:val="pt-BR"/>
              </w:rPr>
              <w:t>Decreto Municipal nº 7.071/2024</w:t>
            </w:r>
          </w:p>
          <w:p>
            <w:pPr>
              <w:pStyle w:val="Normal"/>
              <w:widowControl w:val="false"/>
              <w:spacing w:before="0" w:after="0"/>
              <w:jc w:val="center"/>
              <w:rPr>
                <w:rFonts w:ascii="Arial" w:hAnsi="Arial"/>
                <w:bCs/>
                <w:color w:val="000000"/>
                <w:sz w:val="22"/>
                <w:szCs w:val="22"/>
              </w:rPr>
            </w:pPr>
            <w:r>
              <w:rPr>
                <w:rFonts w:ascii="Arial" w:hAnsi="Arial"/>
                <w:bCs/>
                <w:color w:val="000000"/>
                <w:sz w:val="22"/>
                <w:szCs w:val="22"/>
              </w:rPr>
            </w:r>
          </w:p>
        </w:tc>
        <w:tc>
          <w:tcPr>
            <w:tcW w:w="4604" w:type="dxa"/>
            <w:tcBorders/>
            <w:shd w:color="auto" w:fill="auto" w:val="clear"/>
          </w:tcPr>
          <w:p>
            <w:pPr>
              <w:pStyle w:val="NormalWeb"/>
              <w:widowControl w:val="false"/>
              <w:spacing w:beforeAutospacing="0" w:before="0" w:afterAutospacing="0" w:after="0"/>
              <w:jc w:val="center"/>
              <w:rPr>
                <w:rFonts w:ascii="Arial" w:hAnsi="Arial" w:cs="Arial"/>
                <w:color w:val="000000"/>
                <w:sz w:val="22"/>
                <w:szCs w:val="22"/>
              </w:rPr>
            </w:pPr>
            <w:r>
              <w:rPr>
                <w:rFonts w:cs="Arial" w:ascii="Arial" w:hAnsi="Arial"/>
                <w:color w:val="000000"/>
                <w:sz w:val="22"/>
                <w:szCs w:val="22"/>
              </w:rPr>
            </w:r>
          </w:p>
          <w:p>
            <w:pPr>
              <w:pStyle w:val="NormalWeb"/>
              <w:widowControl w:val="false"/>
              <w:spacing w:beforeAutospacing="0" w:before="0" w:afterAutospacing="0" w:after="0"/>
              <w:jc w:val="center"/>
              <w:rPr>
                <w:rFonts w:ascii="Arial" w:hAnsi="Arial" w:cs="Arial"/>
                <w:color w:val="000000"/>
                <w:sz w:val="22"/>
                <w:szCs w:val="22"/>
              </w:rPr>
            </w:pPr>
            <w:r>
              <w:rPr>
                <w:rFonts w:cs="Arial" w:ascii="Arial" w:hAnsi="Arial"/>
                <w:color w:val="000000"/>
                <w:sz w:val="22"/>
                <w:szCs w:val="22"/>
              </w:rPr>
            </w:r>
          </w:p>
          <w:p>
            <w:pPr>
              <w:pStyle w:val="NormalWeb"/>
              <w:widowControl w:val="false"/>
              <w:spacing w:beforeAutospacing="0" w:before="0" w:afterAutospacing="0" w:after="0"/>
              <w:jc w:val="center"/>
              <w:rPr>
                <w:rFonts w:ascii="Arial" w:hAnsi="Arial" w:cs="Arial"/>
                <w:color w:val="000000"/>
                <w:sz w:val="22"/>
                <w:szCs w:val="22"/>
              </w:rPr>
            </w:pPr>
            <w:r>
              <w:rPr>
                <w:rFonts w:cs="Arial" w:ascii="Arial" w:hAnsi="Arial"/>
                <w:color w:val="000000"/>
                <w:sz w:val="22"/>
                <w:szCs w:val="22"/>
              </w:rPr>
            </w:r>
          </w:p>
          <w:p>
            <w:pPr>
              <w:pStyle w:val="BodyText"/>
              <w:widowControl w:val="false"/>
              <w:spacing w:before="0" w:after="0"/>
              <w:jc w:val="center"/>
              <w:rPr>
                <w:rFonts w:ascii="Arial" w:hAnsi="Arial" w:cs="Arial"/>
                <w:b/>
                <w:bCs/>
                <w:sz w:val="22"/>
                <w:szCs w:val="22"/>
              </w:rPr>
            </w:pPr>
            <w:r>
              <w:rPr>
                <w:rFonts w:cs="Arial" w:ascii="Arial" w:hAnsi="Arial"/>
                <w:b/>
                <w:bCs/>
                <w:kern w:val="0"/>
                <w:sz w:val="22"/>
                <w:szCs w:val="22"/>
              </w:rPr>
              <w:t>Iraci Maria Vago Galon</w:t>
            </w:r>
          </w:p>
          <w:p>
            <w:pPr>
              <w:pStyle w:val="BodyText"/>
              <w:widowControl w:val="false"/>
              <w:spacing w:before="0" w:after="0"/>
              <w:jc w:val="center"/>
              <w:rPr>
                <w:rFonts w:ascii="Arial" w:hAnsi="Arial" w:cs="Arial"/>
                <w:sz w:val="22"/>
                <w:szCs w:val="22"/>
              </w:rPr>
            </w:pPr>
            <w:r>
              <w:rPr>
                <w:rFonts w:cs="Arial" w:ascii="Arial" w:hAnsi="Arial"/>
                <w:kern w:val="0"/>
                <w:sz w:val="22"/>
                <w:szCs w:val="22"/>
              </w:rPr>
              <w:t>Administradora de Serviços Gerais</w:t>
            </w:r>
          </w:p>
          <w:p>
            <w:pPr>
              <w:pStyle w:val="BodyText"/>
              <w:widowControl w:val="false"/>
              <w:spacing w:before="0" w:after="0"/>
              <w:jc w:val="center"/>
              <w:rPr>
                <w:rFonts w:ascii="Arial" w:hAnsi="Arial" w:cs="Arial"/>
                <w:color w:val="000000"/>
                <w:sz w:val="22"/>
                <w:szCs w:val="22"/>
                <w:lang w:val="pt-BR"/>
              </w:rPr>
            </w:pPr>
            <w:r>
              <w:rPr>
                <w:rFonts w:cs="Arial" w:ascii="Arial" w:hAnsi="Arial"/>
                <w:color w:val="000000"/>
                <w:kern w:val="0"/>
                <w:sz w:val="22"/>
                <w:szCs w:val="22"/>
                <w:lang w:val="pt-BR"/>
              </w:rPr>
              <w:t>Decreto Municipal nº 6.774/2023</w:t>
            </w:r>
          </w:p>
        </w:tc>
      </w:tr>
      <w:tr>
        <w:trPr/>
        <w:tc>
          <w:tcPr>
            <w:tcW w:w="4605" w:type="dxa"/>
            <w:tcBorders/>
            <w:shd w:color="auto" w:fill="auto" w:val="clear"/>
          </w:tcPr>
          <w:p>
            <w:pPr>
              <w:pStyle w:val="NormalWeb"/>
              <w:widowControl w:val="false"/>
              <w:spacing w:beforeAutospacing="0" w:before="0" w:afterAutospacing="0" w:after="0"/>
              <w:jc w:val="center"/>
              <w:rPr>
                <w:rFonts w:ascii="Arial" w:hAnsi="Arial" w:cs="Arial"/>
                <w:sz w:val="22"/>
                <w:szCs w:val="22"/>
              </w:rPr>
            </w:pPr>
            <w:r>
              <w:rPr>
                <w:rFonts w:cs="Arial" w:ascii="Arial" w:hAnsi="Arial"/>
                <w:sz w:val="22"/>
                <w:szCs w:val="22"/>
              </w:rPr>
            </w:r>
          </w:p>
          <w:p>
            <w:pPr>
              <w:pStyle w:val="Normal"/>
              <w:widowControl w:val="false"/>
              <w:spacing w:before="0" w:after="0"/>
              <w:jc w:val="center"/>
              <w:rPr>
                <w:rFonts w:ascii="Arial" w:hAnsi="Arial"/>
                <w:b/>
                <w:sz w:val="22"/>
                <w:szCs w:val="22"/>
              </w:rPr>
            </w:pPr>
            <w:r>
              <w:rPr>
                <w:rFonts w:ascii="Arial" w:hAnsi="Arial"/>
                <w:b/>
                <w:sz w:val="22"/>
                <w:szCs w:val="22"/>
              </w:rPr>
            </w:r>
          </w:p>
          <w:p>
            <w:pPr>
              <w:pStyle w:val="Normal"/>
              <w:widowControl w:val="false"/>
              <w:spacing w:before="0" w:after="0"/>
              <w:jc w:val="center"/>
              <w:rPr>
                <w:rFonts w:ascii="Arial" w:hAnsi="Arial"/>
                <w:b/>
                <w:sz w:val="22"/>
                <w:szCs w:val="22"/>
              </w:rPr>
            </w:pPr>
            <w:r>
              <w:rPr>
                <w:rFonts w:ascii="Arial" w:hAnsi="Arial"/>
                <w:b/>
                <w:sz w:val="22"/>
                <w:szCs w:val="22"/>
              </w:rPr>
            </w:r>
          </w:p>
          <w:p>
            <w:pPr>
              <w:pStyle w:val="Normal"/>
              <w:widowControl w:val="false"/>
              <w:spacing w:before="0" w:after="0"/>
              <w:jc w:val="center"/>
              <w:rPr>
                <w:rFonts w:ascii="Arial" w:hAnsi="Arial" w:cs="Arial"/>
                <w:b/>
                <w:bCs/>
                <w:sz w:val="22"/>
                <w:szCs w:val="22"/>
              </w:rPr>
            </w:pPr>
            <w:r>
              <w:rPr>
                <w:rFonts w:cs="Arial" w:ascii="Arial" w:hAnsi="Arial"/>
                <w:b/>
                <w:bCs/>
                <w:kern w:val="0"/>
                <w:sz w:val="22"/>
                <w:szCs w:val="22"/>
              </w:rPr>
              <w:t>Denner Angeli</w:t>
            </w:r>
          </w:p>
          <w:p>
            <w:pPr>
              <w:pStyle w:val="Normal"/>
              <w:widowControl w:val="false"/>
              <w:spacing w:before="0" w:after="0"/>
              <w:jc w:val="center"/>
              <w:rPr>
                <w:rFonts w:ascii="Arial" w:hAnsi="Arial" w:cs="Arial"/>
                <w:sz w:val="22"/>
                <w:szCs w:val="22"/>
              </w:rPr>
            </w:pPr>
            <w:r>
              <w:rPr>
                <w:rFonts w:cs="Arial" w:ascii="Arial" w:hAnsi="Arial"/>
                <w:kern w:val="0"/>
                <w:sz w:val="22"/>
                <w:szCs w:val="22"/>
              </w:rPr>
              <w:t>Assessor do Executivo I</w:t>
            </w:r>
          </w:p>
          <w:p>
            <w:pPr>
              <w:pStyle w:val="Normal"/>
              <w:widowControl w:val="false"/>
              <w:spacing w:before="0" w:after="0"/>
              <w:jc w:val="center"/>
              <w:rPr>
                <w:rStyle w:val="Fontepargpadro1"/>
                <w:rFonts w:ascii="Arial" w:hAnsi="Arial"/>
                <w:sz w:val="22"/>
                <w:szCs w:val="22"/>
                <w:lang w:val="pt-BR"/>
              </w:rPr>
            </w:pPr>
            <w:r>
              <w:rPr>
                <w:rStyle w:val="Fontepargpadro1"/>
                <w:rFonts w:ascii="Arial" w:hAnsi="Arial"/>
                <w:kern w:val="0"/>
                <w:sz w:val="22"/>
                <w:szCs w:val="22"/>
                <w:lang w:val="pt-BR"/>
              </w:rPr>
              <w:t>Decreto Municipal nº 6.665/2023</w:t>
            </w:r>
          </w:p>
          <w:p>
            <w:pPr>
              <w:pStyle w:val="NormalWeb"/>
              <w:widowControl w:val="false"/>
              <w:spacing w:beforeAutospacing="0" w:before="0" w:afterAutospacing="0" w:after="0"/>
              <w:jc w:val="center"/>
              <w:rPr>
                <w:rFonts w:ascii="Arial" w:hAnsi="Arial" w:cs="Arial"/>
                <w:sz w:val="22"/>
                <w:szCs w:val="22"/>
              </w:rPr>
            </w:pPr>
            <w:r>
              <w:rPr>
                <w:rFonts w:cs="Arial" w:ascii="Arial" w:hAnsi="Arial"/>
                <w:sz w:val="22"/>
                <w:szCs w:val="22"/>
              </w:rPr>
            </w:r>
          </w:p>
          <w:p>
            <w:pPr>
              <w:pStyle w:val="NormalWeb"/>
              <w:widowControl w:val="false"/>
              <w:spacing w:beforeAutospacing="0" w:before="0" w:afterAutospacing="0" w:after="0"/>
              <w:jc w:val="center"/>
              <w:rPr>
                <w:rFonts w:ascii="Arial" w:hAnsi="Arial" w:cs="Arial"/>
                <w:sz w:val="22"/>
                <w:szCs w:val="22"/>
              </w:rPr>
            </w:pPr>
            <w:r>
              <w:rPr>
                <w:rFonts w:cs="Arial" w:ascii="Arial" w:hAnsi="Arial"/>
                <w:sz w:val="22"/>
                <w:szCs w:val="22"/>
              </w:rPr>
            </w:r>
          </w:p>
        </w:tc>
        <w:tc>
          <w:tcPr>
            <w:tcW w:w="4604" w:type="dxa"/>
            <w:tcBorders/>
            <w:shd w:color="auto" w:fill="auto" w:val="clear"/>
          </w:tcPr>
          <w:p>
            <w:pPr>
              <w:pStyle w:val="NormalWeb"/>
              <w:widowControl w:val="false"/>
              <w:spacing w:beforeAutospacing="0" w:before="0" w:afterAutospacing="0" w:after="0"/>
              <w:jc w:val="center"/>
              <w:rPr>
                <w:rFonts w:ascii="Arial" w:hAnsi="Arial" w:cs="Arial"/>
                <w:sz w:val="22"/>
                <w:szCs w:val="22"/>
              </w:rPr>
            </w:pPr>
            <w:r>
              <w:rPr>
                <w:rFonts w:cs="Arial" w:ascii="Arial" w:hAnsi="Arial"/>
                <w:sz w:val="22"/>
                <w:szCs w:val="22"/>
              </w:rPr>
            </w:r>
          </w:p>
          <w:p>
            <w:pPr>
              <w:pStyle w:val="NormalWeb"/>
              <w:widowControl w:val="false"/>
              <w:spacing w:beforeAutospacing="0" w:before="0" w:afterAutospacing="0" w:after="0"/>
              <w:jc w:val="center"/>
              <w:rPr>
                <w:rFonts w:ascii="Arial" w:hAnsi="Arial" w:cs="Arial"/>
                <w:sz w:val="22"/>
                <w:szCs w:val="22"/>
              </w:rPr>
            </w:pPr>
            <w:r>
              <w:rPr>
                <w:rFonts w:cs="Arial" w:ascii="Arial" w:hAnsi="Arial"/>
                <w:sz w:val="22"/>
                <w:szCs w:val="22"/>
              </w:rPr>
            </w:r>
          </w:p>
          <w:p>
            <w:pPr>
              <w:pStyle w:val="Normal"/>
              <w:widowControl w:val="false"/>
              <w:spacing w:before="0" w:after="46"/>
              <w:jc w:val="center"/>
              <w:rPr>
                <w:rStyle w:val="Fontepargpadro1"/>
                <w:rFonts w:ascii="Arial" w:hAnsi="Arial"/>
                <w:b/>
                <w:bCs/>
                <w:sz w:val="22"/>
                <w:szCs w:val="22"/>
              </w:rPr>
            </w:pPr>
            <w:r>
              <w:rPr>
                <w:rFonts w:ascii="Arial" w:hAnsi="Arial"/>
                <w:b/>
                <w:bCs/>
                <w:sz w:val="22"/>
                <w:szCs w:val="22"/>
              </w:rPr>
            </w:r>
          </w:p>
          <w:p>
            <w:pPr>
              <w:pStyle w:val="BodyText"/>
              <w:widowControl w:val="false"/>
              <w:spacing w:before="0" w:after="0"/>
              <w:jc w:val="center"/>
              <w:rPr>
                <w:rFonts w:ascii="Arial" w:hAnsi="Arial" w:cs="Arial"/>
                <w:b/>
                <w:bCs/>
                <w:sz w:val="22"/>
                <w:szCs w:val="22"/>
                <w:lang w:val="pt-BR"/>
              </w:rPr>
            </w:pPr>
            <w:r>
              <w:rPr>
                <w:rFonts w:cs="Arial" w:ascii="Arial" w:hAnsi="Arial"/>
                <w:b/>
                <w:bCs/>
                <w:kern w:val="0"/>
                <w:sz w:val="22"/>
                <w:szCs w:val="22"/>
                <w:lang w:val="pt-BR"/>
              </w:rPr>
              <w:t>Patrick Totola</w:t>
            </w:r>
          </w:p>
          <w:p>
            <w:pPr>
              <w:pStyle w:val="BodyText"/>
              <w:widowControl w:val="false"/>
              <w:spacing w:before="0" w:after="0"/>
              <w:jc w:val="center"/>
              <w:rPr>
                <w:rFonts w:ascii="Arial" w:hAnsi="Arial" w:cs="Arial"/>
                <w:sz w:val="22"/>
                <w:szCs w:val="22"/>
                <w:lang w:val="pt-BR"/>
              </w:rPr>
            </w:pPr>
            <w:r>
              <w:rPr>
                <w:rFonts w:cs="Arial" w:ascii="Arial" w:hAnsi="Arial"/>
                <w:kern w:val="0"/>
                <w:sz w:val="22"/>
                <w:szCs w:val="22"/>
                <w:lang w:val="pt-BR"/>
              </w:rPr>
              <w:t>Secretário Municipal de Assistência Social</w:t>
            </w:r>
          </w:p>
          <w:p>
            <w:pPr>
              <w:pStyle w:val="Normal"/>
              <w:widowControl w:val="false"/>
              <w:spacing w:lineRule="auto" w:line="240" w:before="0" w:after="46"/>
              <w:jc w:val="center"/>
              <w:rPr>
                <w:rStyle w:val="Fontepargpadro1"/>
                <w:rFonts w:ascii="Arial" w:hAnsi="Arial" w:eastAsia="Calibri" w:cs="Arial"/>
                <w:color w:val="000000"/>
                <w:sz w:val="22"/>
                <w:szCs w:val="22"/>
                <w:lang w:val="pt-BR"/>
              </w:rPr>
            </w:pPr>
            <w:r>
              <w:rPr>
                <w:rFonts w:cs="Arial" w:ascii="Arial" w:hAnsi="Arial"/>
                <w:color w:val="000000"/>
                <w:kern w:val="0"/>
                <w:sz w:val="22"/>
                <w:szCs w:val="22"/>
                <w:lang w:val="pt-BR"/>
              </w:rPr>
              <w:t>Decreto Municipal nº 7.090</w:t>
            </w:r>
            <w:bookmarkStart w:id="3" w:name="_GoBack"/>
            <w:bookmarkEnd w:id="3"/>
            <w:r>
              <w:rPr>
                <w:rFonts w:cs="Arial" w:ascii="Arial" w:hAnsi="Arial"/>
                <w:color w:val="000000"/>
                <w:kern w:val="0"/>
                <w:sz w:val="22"/>
                <w:szCs w:val="22"/>
                <w:lang w:val="pt-BR"/>
              </w:rPr>
              <w:t>/2024</w:t>
            </w:r>
          </w:p>
        </w:tc>
      </w:tr>
    </w:tbl>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b/>
          <w:bCs/>
          <w:sz w:val="22"/>
          <w:szCs w:val="22"/>
        </w:rPr>
      </w:pPr>
      <w:r>
        <w:rPr>
          <w:rFonts w:ascii="Arial" w:hAnsi="Arial"/>
          <w:b/>
          <w:bCs/>
          <w:sz w:val="22"/>
          <w:szCs w:val="22"/>
        </w:rPr>
      </w:r>
    </w:p>
    <w:p>
      <w:pPr>
        <w:pStyle w:val="Normal"/>
        <w:jc w:val="center"/>
        <w:rPr>
          <w:rFonts w:ascii="Arial" w:hAnsi="Arial"/>
          <w:b/>
          <w:bCs/>
          <w:sz w:val="22"/>
          <w:szCs w:val="22"/>
        </w:rPr>
      </w:pPr>
      <w:r>
        <w:rPr>
          <w:rFonts w:ascii="Arial" w:hAnsi="Arial"/>
          <w:b/>
          <w:bCs/>
          <w:sz w:val="22"/>
          <w:szCs w:val="22"/>
        </w:rPr>
      </w:r>
    </w:p>
    <w:p>
      <w:pPr>
        <w:pStyle w:val="Normal"/>
        <w:spacing w:lineRule="auto" w:line="240" w:before="120" w:after="120"/>
        <w:jc w:val="both"/>
        <w:rPr>
          <w:rFonts w:ascii="Arial" w:hAnsi="Arial" w:cs="Arial"/>
          <w:sz w:val="24"/>
          <w:szCs w:val="24"/>
        </w:rPr>
      </w:pPr>
      <w:r>
        <w:rPr>
          <w:rFonts w:cs="Arial" w:ascii="Arial" w:hAnsi="Arial"/>
          <w:sz w:val="24"/>
          <w:szCs w:val="24"/>
        </w:rPr>
      </w:r>
    </w:p>
    <w:p>
      <w:pPr>
        <w:pStyle w:val="Normal"/>
        <w:spacing w:lineRule="auto" w:line="240" w:before="120" w:after="120"/>
        <w:jc w:val="center"/>
        <w:rPr>
          <w:rFonts w:ascii="Arial" w:hAnsi="Arial" w:cs="Arial"/>
          <w:b/>
          <w:sz w:val="24"/>
          <w:szCs w:val="24"/>
        </w:rPr>
      </w:pPr>
      <w:r>
        <w:rPr>
          <w:rFonts w:cs="Arial" w:ascii="Arial" w:hAnsi="Arial"/>
          <w:b/>
          <w:sz w:val="24"/>
          <w:szCs w:val="24"/>
        </w:rPr>
        <w:t>ANEXO I AO ESTUDO TÉCNICO PRELIMINAR</w:t>
      </w:r>
    </w:p>
    <w:p>
      <w:pPr>
        <w:pStyle w:val="Normal"/>
        <w:spacing w:lineRule="auto" w:line="240" w:before="120" w:after="120"/>
        <w:jc w:val="center"/>
        <w:rPr>
          <w:rFonts w:ascii="Arial" w:hAnsi="Arial" w:cs="Arial"/>
          <w:b/>
          <w:sz w:val="24"/>
          <w:szCs w:val="24"/>
        </w:rPr>
      </w:pPr>
      <w:r>
        <w:rPr>
          <w:rFonts w:cs="Arial" w:ascii="Arial" w:hAnsi="Arial"/>
          <w:b/>
          <w:sz w:val="24"/>
          <w:szCs w:val="24"/>
        </w:rPr>
      </w:r>
    </w:p>
    <w:p>
      <w:pPr>
        <w:pStyle w:val="Normal"/>
        <w:spacing w:lineRule="auto" w:line="240" w:before="120" w:after="120"/>
        <w:jc w:val="center"/>
        <w:rPr>
          <w:rFonts w:ascii="Arial" w:hAnsi="Arial" w:cs="Arial"/>
          <w:b/>
          <w:sz w:val="24"/>
          <w:szCs w:val="24"/>
        </w:rPr>
      </w:pPr>
      <w:r>
        <w:rPr>
          <w:rFonts w:cs="Arial" w:ascii="Arial" w:hAnsi="Arial"/>
          <w:b/>
          <w:sz w:val="24"/>
          <w:szCs w:val="24"/>
        </w:rPr>
        <w:t>Certificação de Disponibilidade de Imóveis Públicos</w:t>
      </w:r>
    </w:p>
    <w:p>
      <w:pPr>
        <w:pStyle w:val="Normal"/>
        <w:spacing w:lineRule="auto" w:line="240" w:before="120" w:after="120"/>
        <w:jc w:val="center"/>
        <w:rPr>
          <w:rFonts w:ascii="Arial" w:hAnsi="Arial" w:cs="Arial"/>
          <w:b/>
          <w:sz w:val="24"/>
          <w:szCs w:val="24"/>
        </w:rPr>
      </w:pPr>
      <w:r>
        <w:rPr>
          <w:rFonts w:cs="Arial" w:ascii="Arial" w:hAnsi="Arial"/>
          <w:b/>
          <w:sz w:val="24"/>
          <w:szCs w:val="24"/>
        </w:rPr>
      </w:r>
    </w:p>
    <w:p>
      <w:pPr>
        <w:pStyle w:val="Normal"/>
        <w:spacing w:lineRule="auto" w:line="240" w:before="120" w:after="120"/>
        <w:jc w:val="both"/>
        <w:rPr>
          <w:rFonts w:ascii="Arial" w:hAnsi="Arial" w:cs="Arial"/>
          <w:bCs/>
          <w:sz w:val="24"/>
          <w:szCs w:val="24"/>
        </w:rPr>
      </w:pPr>
      <w:r>
        <w:rPr>
          <w:rFonts w:cs="Arial" w:ascii="Arial" w:hAnsi="Arial"/>
          <w:bCs/>
          <w:sz w:val="24"/>
          <w:szCs w:val="24"/>
        </w:rPr>
        <w:t>Certifico, para os devidos fins:</w:t>
      </w:r>
    </w:p>
    <w:p>
      <w:pPr>
        <w:pStyle w:val="Normal"/>
        <w:spacing w:lineRule="auto" w:line="240" w:before="120" w:after="120"/>
        <w:jc w:val="both"/>
        <w:rPr>
          <w:rFonts w:ascii="Arial" w:hAnsi="Arial" w:cs="Arial"/>
          <w:bCs/>
          <w:sz w:val="24"/>
          <w:szCs w:val="24"/>
        </w:rPr>
      </w:pPr>
      <w:r>
        <w:rPr>
          <w:rFonts w:cs="Arial" w:ascii="Arial" w:hAnsi="Arial"/>
          <w:bCs/>
          <w:sz w:val="24"/>
          <w:szCs w:val="24"/>
        </w:rPr>
        <w:t>(    ) Existência de imóvel público ocioso que atenda às necessidades apresentadas;</w:t>
      </w:r>
    </w:p>
    <w:p>
      <w:pPr>
        <w:pStyle w:val="Normal"/>
        <w:spacing w:lineRule="auto" w:line="240" w:before="120" w:after="120"/>
        <w:jc w:val="both"/>
        <w:rPr>
          <w:rFonts w:ascii="Arial" w:hAnsi="Arial" w:cs="Arial"/>
          <w:bCs/>
          <w:sz w:val="24"/>
          <w:szCs w:val="24"/>
        </w:rPr>
      </w:pPr>
      <w:r>
        <w:rPr>
          <w:rFonts w:cs="Arial" w:ascii="Arial" w:hAnsi="Arial"/>
          <w:bCs/>
          <w:sz w:val="24"/>
          <w:szCs w:val="24"/>
        </w:rPr>
        <w:t>(  ) Disponibilidade de imóveis de outros entes públicos (Federal, Estadual ou Municipal) com possibilidade de permuta;</w:t>
      </w:r>
    </w:p>
    <w:p>
      <w:pPr>
        <w:pStyle w:val="Normal"/>
        <w:spacing w:lineRule="auto" w:line="240" w:before="120" w:after="120"/>
        <w:jc w:val="both"/>
        <w:rPr>
          <w:rFonts w:ascii="Arial" w:hAnsi="Arial" w:cs="Arial"/>
          <w:bCs/>
          <w:sz w:val="24"/>
          <w:szCs w:val="24"/>
        </w:rPr>
      </w:pPr>
      <w:r>
        <w:rPr>
          <w:rFonts w:cs="Arial" w:ascii="Arial" w:hAnsi="Arial"/>
          <w:bCs/>
          <w:sz w:val="24"/>
          <w:szCs w:val="24"/>
        </w:rPr>
        <w:t>(  ) Inexistência de imóveis públicos ociosos ou Indisponibilidade de imóveis de terceiros com possibilidade de permuta.</w:t>
      </w:r>
    </w:p>
    <w:p>
      <w:pPr>
        <w:pStyle w:val="Normal"/>
        <w:spacing w:lineRule="auto" w:line="240" w:before="120" w:after="120"/>
        <w:jc w:val="both"/>
        <w:rPr>
          <w:rFonts w:ascii="Arial" w:hAnsi="Arial" w:cs="Arial"/>
          <w:bCs/>
          <w:sz w:val="24"/>
          <w:szCs w:val="24"/>
        </w:rPr>
      </w:pPr>
      <w:r>
        <w:rPr>
          <w:rFonts w:cs="Arial" w:ascii="Arial" w:hAnsi="Arial"/>
          <w:bCs/>
          <w:sz w:val="24"/>
          <w:szCs w:val="24"/>
        </w:rPr>
      </w:r>
    </w:p>
    <w:p>
      <w:pPr>
        <w:pStyle w:val="Normal"/>
        <w:spacing w:lineRule="auto" w:line="240" w:before="120" w:after="120"/>
        <w:jc w:val="both"/>
        <w:rPr>
          <w:rFonts w:ascii="Arial" w:hAnsi="Arial" w:cs="Arial"/>
          <w:bCs/>
          <w:sz w:val="24"/>
          <w:szCs w:val="24"/>
        </w:rPr>
      </w:pPr>
      <w:r>
        <w:rPr>
          <w:rFonts w:cs="Arial" w:ascii="Arial" w:hAnsi="Arial"/>
          <w:bCs/>
          <w:sz w:val="24"/>
          <w:szCs w:val="24"/>
        </w:rPr>
        <w:t>Encaminha-se à autoridade competente para as deliberações necessárias.</w:t>
      </w:r>
    </w:p>
    <w:p>
      <w:pPr>
        <w:pStyle w:val="Normal"/>
        <w:spacing w:lineRule="auto" w:line="240" w:before="120" w:after="120"/>
        <w:jc w:val="both"/>
        <w:rPr>
          <w:rFonts w:ascii="Arial" w:hAnsi="Arial" w:cs="Arial"/>
          <w:bCs/>
          <w:sz w:val="24"/>
          <w:szCs w:val="24"/>
        </w:rPr>
      </w:pPr>
      <w:r>
        <w:rPr>
          <w:rFonts w:cs="Arial" w:ascii="Arial" w:hAnsi="Arial"/>
          <w:bCs/>
          <w:sz w:val="24"/>
          <w:szCs w:val="24"/>
        </w:rPr>
      </w:r>
    </w:p>
    <w:p>
      <w:pPr>
        <w:pStyle w:val="Normal"/>
        <w:spacing w:lineRule="auto" w:line="240" w:before="120" w:after="120"/>
        <w:jc w:val="both"/>
        <w:rPr>
          <w:rFonts w:ascii="Arial" w:hAnsi="Arial" w:cs="Arial"/>
          <w:bCs/>
          <w:sz w:val="24"/>
          <w:szCs w:val="24"/>
        </w:rPr>
      </w:pPr>
      <w:r>
        <w:rPr>
          <w:rFonts w:cs="Arial" w:ascii="Arial" w:hAnsi="Arial"/>
          <w:bCs/>
          <w:sz w:val="24"/>
          <w:szCs w:val="24"/>
        </w:rPr>
        <w:t xml:space="preserve">São Roque do Canaã – ES, </w:t>
      </w:r>
      <w:r>
        <w:rPr>
          <w:rFonts w:cs="Arial" w:ascii="Arial" w:hAnsi="Arial"/>
          <w:bCs/>
          <w:sz w:val="24"/>
          <w:szCs w:val="24"/>
          <w:highlight w:val="yellow"/>
        </w:rPr>
        <w:t>xx de xxxxxxxxxx de 20xx.</w:t>
      </w:r>
    </w:p>
    <w:p>
      <w:pPr>
        <w:pStyle w:val="Normal"/>
        <w:spacing w:lineRule="auto" w:line="240" w:before="120" w:after="120"/>
        <w:jc w:val="center"/>
        <w:rPr>
          <w:rFonts w:ascii="Arial" w:hAnsi="Arial" w:cs="Arial"/>
          <w:b/>
          <w:sz w:val="24"/>
          <w:szCs w:val="24"/>
        </w:rPr>
      </w:pPr>
      <w:r>
        <w:rPr>
          <w:rFonts w:cs="Arial" w:ascii="Arial" w:hAnsi="Arial"/>
          <w:b/>
          <w:sz w:val="24"/>
          <w:szCs w:val="24"/>
        </w:rPr>
      </w:r>
    </w:p>
    <w:p>
      <w:pPr>
        <w:pStyle w:val="Normal"/>
        <w:spacing w:lineRule="auto" w:line="240" w:before="120" w:after="120"/>
        <w:jc w:val="center"/>
        <w:rPr>
          <w:rFonts w:ascii="Arial" w:hAnsi="Arial" w:cs="Arial"/>
          <w:b/>
          <w:sz w:val="24"/>
          <w:szCs w:val="24"/>
        </w:rPr>
      </w:pPr>
      <w:r>
        <w:rPr>
          <w:rFonts w:cs="Arial" w:ascii="Arial" w:hAnsi="Arial"/>
          <w:b/>
          <w:sz w:val="24"/>
          <w:szCs w:val="24"/>
        </w:rPr>
      </w:r>
    </w:p>
    <w:p>
      <w:pPr>
        <w:pStyle w:val="Normal"/>
        <w:spacing w:lineRule="auto" w:line="240" w:before="120" w:after="120"/>
        <w:jc w:val="center"/>
        <w:rPr>
          <w:rFonts w:ascii="Arial" w:hAnsi="Arial" w:cs="Arial"/>
          <w:b/>
          <w:sz w:val="24"/>
          <w:szCs w:val="24"/>
          <w:highlight w:val="yellow"/>
        </w:rPr>
      </w:pPr>
      <w:r>
        <w:rPr>
          <w:rFonts w:cs="Arial" w:ascii="Arial" w:hAnsi="Arial"/>
          <w:b/>
          <w:sz w:val="24"/>
          <w:szCs w:val="24"/>
          <w:highlight w:val="yellow"/>
        </w:rPr>
        <w:t>Xxxxxxxxxxxxx</w:t>
      </w:r>
    </w:p>
    <w:p>
      <w:pPr>
        <w:pStyle w:val="Normal"/>
        <w:spacing w:lineRule="auto" w:line="240" w:before="120" w:after="120"/>
        <w:jc w:val="center"/>
        <w:rPr>
          <w:rFonts w:ascii="Arial" w:hAnsi="Arial" w:cs="Arial"/>
          <w:bCs/>
          <w:sz w:val="24"/>
          <w:szCs w:val="24"/>
          <w:highlight w:val="yellow"/>
        </w:rPr>
      </w:pPr>
      <w:r>
        <w:rPr>
          <w:rFonts w:cs="Arial" w:ascii="Arial" w:hAnsi="Arial"/>
          <w:bCs/>
          <w:sz w:val="24"/>
          <w:szCs w:val="24"/>
          <w:highlight w:val="yellow"/>
        </w:rPr>
        <w:t>Controle Patrimonial</w:t>
      </w:r>
    </w:p>
    <w:p>
      <w:pPr>
        <w:pStyle w:val="Normal"/>
        <w:spacing w:lineRule="auto" w:line="240" w:before="120" w:after="120"/>
        <w:jc w:val="center"/>
        <w:rPr>
          <w:rFonts w:ascii="Arial" w:hAnsi="Arial" w:cs="Arial"/>
          <w:bCs/>
          <w:sz w:val="24"/>
          <w:szCs w:val="24"/>
          <w:highlight w:val="yellow"/>
        </w:rPr>
      </w:pPr>
      <w:r>
        <w:rPr>
          <w:rFonts w:cs="Arial" w:ascii="Arial" w:hAnsi="Arial"/>
          <w:bCs/>
          <w:sz w:val="24"/>
          <w:szCs w:val="24"/>
          <w:highlight w:val="yellow"/>
        </w:rPr>
        <w:t>Secretaria Municipal xxxx</w:t>
      </w:r>
    </w:p>
    <w:p>
      <w:pPr>
        <w:pStyle w:val="Normal"/>
        <w:suppressAutoHyphens w:val="false"/>
        <w:spacing w:lineRule="auto" w:line="240" w:before="0" w:after="0"/>
        <w:rPr>
          <w:rFonts w:ascii="Arial" w:hAnsi="Arial" w:cs="Arial"/>
          <w:bCs/>
          <w:sz w:val="24"/>
          <w:szCs w:val="24"/>
          <w:highlight w:val="yellow"/>
        </w:rPr>
      </w:pPr>
      <w:r>
        <w:rPr>
          <w:rFonts w:cs="Arial" w:ascii="Arial" w:hAnsi="Arial"/>
          <w:bCs/>
          <w:sz w:val="24"/>
          <w:szCs w:val="24"/>
          <w:highlight w:val="yellow"/>
        </w:rPr>
      </w:r>
      <w:r>
        <w:br w:type="page"/>
      </w:r>
    </w:p>
    <w:p>
      <w:pPr>
        <w:pStyle w:val="Normal"/>
        <w:spacing w:lineRule="auto" w:line="240" w:before="0" w:after="0"/>
        <w:jc w:val="center"/>
        <w:rPr>
          <w:rFonts w:ascii="Arial" w:hAnsi="Arial" w:cs="Arial"/>
          <w:b/>
          <w:sz w:val="24"/>
          <w:szCs w:val="24"/>
        </w:rPr>
      </w:pPr>
      <w:r>
        <w:rPr>
          <w:rFonts w:cs="Arial" w:ascii="Arial" w:hAnsi="Arial"/>
          <w:b/>
          <w:sz w:val="24"/>
          <w:szCs w:val="24"/>
        </w:rPr>
        <w:t>ANEXO II AO ESTUDO TÉCNICO PRELIMINAR</w:t>
      </w:r>
    </w:p>
    <w:p>
      <w:pPr>
        <w:pStyle w:val="Normal"/>
        <w:spacing w:lineRule="auto" w:line="240" w:before="0" w:after="0"/>
        <w:jc w:val="center"/>
        <w:rPr>
          <w:rFonts w:ascii="Arial" w:hAnsi="Arial" w:cs="Arial"/>
          <w:b/>
          <w:sz w:val="24"/>
          <w:szCs w:val="24"/>
        </w:rPr>
      </w:pPr>
      <w:r>
        <w:rPr>
          <w:rFonts w:cs="Arial" w:ascii="Arial" w:hAnsi="Arial"/>
          <w:b/>
          <w:sz w:val="24"/>
          <w:szCs w:val="24"/>
        </w:rPr>
      </w:r>
    </w:p>
    <w:p>
      <w:pPr>
        <w:pStyle w:val="Normal"/>
        <w:spacing w:lineRule="auto" w:line="240" w:before="0" w:after="0"/>
        <w:jc w:val="center"/>
        <w:rPr>
          <w:rFonts w:ascii="Arial" w:hAnsi="Arial" w:cs="Arial"/>
          <w:b/>
          <w:sz w:val="24"/>
          <w:szCs w:val="24"/>
        </w:rPr>
      </w:pPr>
      <w:r>
        <w:rPr>
          <w:rFonts w:cs="Arial" w:ascii="Arial" w:hAnsi="Arial"/>
          <w:b/>
          <w:sz w:val="24"/>
          <w:szCs w:val="24"/>
        </w:rPr>
        <w:t>CUMPRIMENTO DOS REQUISITOS ESTABELECIDOS PELO IMÓVEL PARA A CONTRATAÇÃO</w:t>
      </w:r>
    </w:p>
    <w:p>
      <w:pPr>
        <w:pStyle w:val="Normal"/>
        <w:spacing w:lineRule="auto" w:line="240" w:before="0" w:after="0"/>
        <w:jc w:val="center"/>
        <w:rPr>
          <w:rFonts w:ascii="Arial" w:hAnsi="Arial" w:cs="Arial"/>
          <w:b/>
          <w:sz w:val="24"/>
          <w:szCs w:val="24"/>
        </w:rPr>
      </w:pPr>
      <w:r>
        <w:rPr>
          <w:rFonts w:cs="Arial" w:ascii="Arial" w:hAnsi="Arial"/>
          <w:b/>
          <w:sz w:val="24"/>
          <w:szCs w:val="24"/>
        </w:rPr>
      </w:r>
    </w:p>
    <w:tbl>
      <w:tblPr>
        <w:tblStyle w:val="46"/>
        <w:tblW w:w="9188" w:type="dxa"/>
        <w:jc w:val="left"/>
        <w:tblInd w:w="0" w:type="dxa"/>
        <w:tblLayout w:type="fixed"/>
        <w:tblCellMar>
          <w:top w:w="0" w:type="dxa"/>
          <w:left w:w="108" w:type="dxa"/>
          <w:bottom w:w="0" w:type="dxa"/>
          <w:right w:w="108" w:type="dxa"/>
        </w:tblCellMar>
      </w:tblPr>
      <w:tblGrid>
        <w:gridCol w:w="6516"/>
        <w:gridCol w:w="1336"/>
        <w:gridCol w:w="1336"/>
      </w:tblGrid>
      <w:tr>
        <w:trPr/>
        <w:tc>
          <w:tcPr>
            <w:tcW w:w="6516" w:type="dxa"/>
            <w:tcBorders/>
            <w:shd w:color="auto" w:fill="BEBEBE" w:themeFill="background1" w:themeFillShade="bf" w:val="clear"/>
            <w:vAlign w:val="center"/>
          </w:tcPr>
          <w:p>
            <w:pPr>
              <w:pStyle w:val="Normal"/>
              <w:widowControl/>
              <w:spacing w:lineRule="auto" w:line="240" w:before="120" w:after="120"/>
              <w:jc w:val="center"/>
              <w:rPr>
                <w:rFonts w:ascii="Arial" w:hAnsi="Arial" w:cs="Arial"/>
                <w:b/>
                <w:sz w:val="24"/>
                <w:szCs w:val="24"/>
              </w:rPr>
            </w:pPr>
            <w:r>
              <w:rPr>
                <w:rFonts w:cs="Arial" w:ascii="Arial" w:hAnsi="Arial"/>
                <w:b/>
                <w:kern w:val="0"/>
                <w:sz w:val="24"/>
                <w:szCs w:val="24"/>
              </w:rPr>
              <w:t>REQUISITOS</w:t>
            </w:r>
          </w:p>
        </w:tc>
        <w:tc>
          <w:tcPr>
            <w:tcW w:w="1336" w:type="dxa"/>
            <w:tcBorders/>
            <w:shd w:color="auto" w:fill="BEBEBE" w:themeFill="background1" w:themeFillShade="bf" w:val="clear"/>
            <w:vAlign w:val="center"/>
          </w:tcPr>
          <w:p>
            <w:pPr>
              <w:pStyle w:val="Normal"/>
              <w:widowControl/>
              <w:spacing w:lineRule="auto" w:line="240" w:before="120" w:after="120"/>
              <w:jc w:val="center"/>
              <w:rPr>
                <w:rFonts w:ascii="Arial" w:hAnsi="Arial" w:cs="Arial"/>
                <w:b/>
                <w:sz w:val="24"/>
                <w:szCs w:val="24"/>
              </w:rPr>
            </w:pPr>
            <w:r>
              <w:rPr>
                <w:rFonts w:cs="Arial" w:ascii="Arial" w:hAnsi="Arial"/>
                <w:b/>
                <w:kern w:val="0"/>
                <w:sz w:val="24"/>
                <w:szCs w:val="24"/>
              </w:rPr>
              <w:t>CUMPRIU</w:t>
            </w:r>
          </w:p>
        </w:tc>
        <w:tc>
          <w:tcPr>
            <w:tcW w:w="1336" w:type="dxa"/>
            <w:tcBorders/>
            <w:shd w:color="auto" w:fill="BEBEBE" w:themeFill="background1" w:themeFillShade="bf" w:val="clear"/>
            <w:vAlign w:val="center"/>
          </w:tcPr>
          <w:p>
            <w:pPr>
              <w:pStyle w:val="Normal"/>
              <w:widowControl/>
              <w:spacing w:lineRule="auto" w:line="240" w:before="120" w:after="120"/>
              <w:jc w:val="center"/>
              <w:rPr>
                <w:rFonts w:ascii="Arial" w:hAnsi="Arial" w:cs="Arial"/>
                <w:b/>
                <w:sz w:val="24"/>
                <w:szCs w:val="24"/>
              </w:rPr>
            </w:pPr>
            <w:r>
              <w:rPr>
                <w:rFonts w:cs="Arial" w:ascii="Arial" w:hAnsi="Arial"/>
                <w:b/>
                <w:kern w:val="0"/>
                <w:sz w:val="24"/>
                <w:szCs w:val="24"/>
              </w:rPr>
              <w:t>NÃO CUMPRIU</w:t>
            </w:r>
          </w:p>
        </w:tc>
      </w:tr>
      <w:tr>
        <w:trPr/>
        <w:tc>
          <w:tcPr>
            <w:tcW w:w="6516" w:type="dxa"/>
            <w:tcBorders/>
          </w:tcPr>
          <w:p>
            <w:pPr>
              <w:pStyle w:val="Normal"/>
              <w:widowControl/>
              <w:spacing w:lineRule="auto" w:line="240" w:before="120" w:after="120"/>
              <w:jc w:val="both"/>
              <w:rPr>
                <w:rFonts w:ascii="Arial" w:hAnsi="Arial" w:cs="Arial"/>
                <w:bCs/>
                <w:sz w:val="24"/>
                <w:szCs w:val="24"/>
              </w:rPr>
            </w:pPr>
            <w:r>
              <w:rPr>
                <w:rFonts w:cs="Arial" w:ascii="Arial" w:hAnsi="Arial"/>
                <w:bCs/>
                <w:kern w:val="0"/>
                <w:sz w:val="24"/>
                <w:szCs w:val="24"/>
              </w:rPr>
              <w:t xml:space="preserve">O imóvel deve estar localizado na </w:t>
            </w:r>
            <w:r>
              <w:rPr>
                <w:rFonts w:cs="Arial" w:ascii="Arial" w:hAnsi="Arial"/>
                <w:bCs/>
                <w:kern w:val="0"/>
                <w:sz w:val="24"/>
                <w:szCs w:val="24"/>
                <w:highlight w:val="yellow"/>
              </w:rPr>
              <w:t>xxxxxxx (endereço)</w:t>
            </w:r>
            <w:r>
              <w:rPr>
                <w:rFonts w:cs="Arial" w:ascii="Arial" w:hAnsi="Arial"/>
                <w:bCs/>
                <w:kern w:val="0"/>
                <w:sz w:val="24"/>
                <w:szCs w:val="24"/>
              </w:rPr>
              <w:t>.</w:t>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r>
      <w:tr>
        <w:trPr/>
        <w:tc>
          <w:tcPr>
            <w:tcW w:w="6516" w:type="dxa"/>
            <w:tcBorders/>
          </w:tcPr>
          <w:p>
            <w:pPr>
              <w:pStyle w:val="Normal"/>
              <w:widowControl/>
              <w:spacing w:lineRule="auto" w:line="240" w:before="120" w:after="120"/>
              <w:jc w:val="both"/>
              <w:rPr>
                <w:rFonts w:ascii="Arial" w:hAnsi="Arial" w:cs="Arial"/>
                <w:bCs/>
                <w:sz w:val="24"/>
                <w:szCs w:val="24"/>
              </w:rPr>
            </w:pPr>
            <w:r>
              <w:rPr>
                <w:rFonts w:cs="Arial" w:ascii="Arial" w:hAnsi="Arial"/>
                <w:bCs/>
                <w:kern w:val="0"/>
                <w:sz w:val="24"/>
                <w:szCs w:val="24"/>
              </w:rPr>
              <w:t>Estar livre, desembaraçado e desimpedido de coisas e pessoas na data da celebração do contrato de locação.</w:t>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r>
      <w:tr>
        <w:trPr/>
        <w:tc>
          <w:tcPr>
            <w:tcW w:w="6516" w:type="dxa"/>
            <w:tcBorders/>
          </w:tcPr>
          <w:p>
            <w:pPr>
              <w:pStyle w:val="Normal"/>
              <w:widowControl/>
              <w:spacing w:lineRule="auto" w:line="240" w:before="120" w:after="120"/>
              <w:jc w:val="both"/>
              <w:rPr>
                <w:rFonts w:ascii="Arial" w:hAnsi="Arial" w:cs="Arial"/>
                <w:bCs/>
                <w:sz w:val="24"/>
                <w:szCs w:val="24"/>
              </w:rPr>
            </w:pPr>
            <w:r>
              <w:rPr>
                <w:rFonts w:cs="Arial" w:ascii="Arial" w:hAnsi="Arial"/>
                <w:bCs/>
                <w:kern w:val="0"/>
                <w:sz w:val="24"/>
                <w:szCs w:val="24"/>
              </w:rPr>
              <w:t>Instalações hidrossanitário de acordo com o previsto na legislação.</w:t>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r>
      <w:tr>
        <w:trPr/>
        <w:tc>
          <w:tcPr>
            <w:tcW w:w="6516" w:type="dxa"/>
            <w:tcBorders/>
          </w:tcPr>
          <w:p>
            <w:pPr>
              <w:pStyle w:val="Normal"/>
              <w:widowControl/>
              <w:spacing w:lineRule="auto" w:line="240" w:before="120" w:after="120"/>
              <w:jc w:val="both"/>
              <w:rPr>
                <w:rFonts w:ascii="Arial" w:hAnsi="Arial" w:cs="Arial"/>
                <w:bCs/>
                <w:sz w:val="24"/>
                <w:szCs w:val="24"/>
              </w:rPr>
            </w:pPr>
            <w:r>
              <w:rPr>
                <w:rFonts w:cs="Arial" w:ascii="Arial" w:hAnsi="Arial"/>
                <w:bCs/>
                <w:kern w:val="0"/>
                <w:sz w:val="24"/>
                <w:szCs w:val="24"/>
              </w:rPr>
              <w:t>Imóvel em perfeitas condições de uso, atendendo as normas que tratam de segurança e prevenção e combate a incêndios.</w:t>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r>
      <w:tr>
        <w:trPr/>
        <w:tc>
          <w:tcPr>
            <w:tcW w:w="6516" w:type="dxa"/>
            <w:tcBorders/>
          </w:tcPr>
          <w:p>
            <w:pPr>
              <w:pStyle w:val="Normal"/>
              <w:widowControl/>
              <w:spacing w:lineRule="auto" w:line="240" w:before="120" w:after="120"/>
              <w:jc w:val="both"/>
              <w:rPr>
                <w:rFonts w:ascii="Arial" w:hAnsi="Arial" w:cs="Arial"/>
                <w:bCs/>
                <w:sz w:val="24"/>
                <w:szCs w:val="24"/>
              </w:rPr>
            </w:pPr>
            <w:r>
              <w:rPr>
                <w:rFonts w:cs="Arial" w:ascii="Arial" w:hAnsi="Arial"/>
                <w:bCs/>
                <w:kern w:val="0"/>
                <w:sz w:val="24"/>
                <w:szCs w:val="24"/>
              </w:rPr>
              <w:t>Ausência de trincas e fissuras que comprometam ou venham a comprometer a segurança da estrutura.</w:t>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r>
      <w:tr>
        <w:trPr/>
        <w:tc>
          <w:tcPr>
            <w:tcW w:w="6516" w:type="dxa"/>
            <w:tcBorders/>
          </w:tcPr>
          <w:p>
            <w:pPr>
              <w:pStyle w:val="Normal"/>
              <w:widowControl/>
              <w:spacing w:lineRule="auto" w:line="240" w:before="120" w:after="120"/>
              <w:jc w:val="both"/>
              <w:rPr>
                <w:rFonts w:ascii="Arial" w:hAnsi="Arial" w:cs="Arial"/>
                <w:bCs/>
                <w:sz w:val="24"/>
                <w:szCs w:val="24"/>
              </w:rPr>
            </w:pPr>
            <w:r>
              <w:rPr>
                <w:rFonts w:cs="Arial" w:ascii="Arial" w:hAnsi="Arial"/>
                <w:bCs/>
                <w:kern w:val="0"/>
                <w:sz w:val="24"/>
                <w:szCs w:val="24"/>
              </w:rPr>
              <w:t>Cabos, fiação, dutos e sistemas de proteção deverão estar de acordo com o dimensionamento da carga prevista para o imóvel.</w:t>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r>
      <w:tr>
        <w:trPr/>
        <w:tc>
          <w:tcPr>
            <w:tcW w:w="6516" w:type="dxa"/>
            <w:tcBorders/>
          </w:tcPr>
          <w:p>
            <w:pPr>
              <w:pStyle w:val="Normal"/>
              <w:widowControl/>
              <w:spacing w:lineRule="auto" w:line="240" w:before="120" w:after="120"/>
              <w:jc w:val="both"/>
              <w:rPr>
                <w:rFonts w:ascii="Arial" w:hAnsi="Arial" w:cs="Arial"/>
                <w:bCs/>
                <w:sz w:val="24"/>
                <w:szCs w:val="24"/>
              </w:rPr>
            </w:pPr>
            <w:r>
              <w:rPr>
                <w:rFonts w:cs="Arial" w:ascii="Arial" w:hAnsi="Arial"/>
                <w:bCs/>
                <w:kern w:val="0"/>
                <w:sz w:val="24"/>
                <w:szCs w:val="24"/>
              </w:rPr>
              <w:t>Deverá os sistemas: elétrico, hidráulico e as instalações prediais do imóvel estar em prefeitas condições de uso, seguindo todas as diretrizes e normativas técnicas legais.</w:t>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r>
      <w:tr>
        <w:trPr/>
        <w:tc>
          <w:tcPr>
            <w:tcW w:w="6516" w:type="dxa"/>
            <w:tcBorders/>
          </w:tcPr>
          <w:p>
            <w:pPr>
              <w:pStyle w:val="Normal"/>
              <w:widowControl/>
              <w:spacing w:lineRule="auto" w:line="240" w:before="120" w:after="120"/>
              <w:jc w:val="both"/>
              <w:rPr>
                <w:rFonts w:ascii="Arial" w:hAnsi="Arial" w:cs="Arial"/>
                <w:bCs/>
                <w:sz w:val="24"/>
                <w:szCs w:val="24"/>
              </w:rPr>
            </w:pPr>
            <w:r>
              <w:rPr>
                <w:rFonts w:cs="Arial" w:ascii="Arial" w:hAnsi="Arial"/>
                <w:bCs/>
                <w:kern w:val="0"/>
                <w:sz w:val="24"/>
                <w:szCs w:val="24"/>
              </w:rPr>
              <w:t>Teto, piso e paredes deverão ser revestidos de cores claras, com ausência de pontos de infiltração, mofos, manchas e rachaduras.</w:t>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r>
      <w:tr>
        <w:trPr/>
        <w:tc>
          <w:tcPr>
            <w:tcW w:w="6516" w:type="dxa"/>
            <w:tcBorders/>
          </w:tcPr>
          <w:p>
            <w:pPr>
              <w:pStyle w:val="Normal"/>
              <w:widowControl/>
              <w:spacing w:lineRule="auto" w:line="240" w:before="120" w:after="120"/>
              <w:jc w:val="both"/>
              <w:rPr>
                <w:rFonts w:ascii="Arial" w:hAnsi="Arial" w:cs="Arial"/>
                <w:bCs/>
                <w:sz w:val="24"/>
                <w:szCs w:val="24"/>
              </w:rPr>
            </w:pPr>
            <w:r>
              <w:rPr>
                <w:rFonts w:cs="Arial" w:ascii="Arial" w:hAnsi="Arial"/>
                <w:bCs/>
                <w:kern w:val="0"/>
                <w:sz w:val="24"/>
                <w:szCs w:val="24"/>
              </w:rPr>
              <w:t>O imóvel objeto desta locação deve atender as normas gerais e critérios básicos para a promoção da acessibilidade das pessoas portadoras de deficiência ou com mobilidade reduzida.</w:t>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c>
          <w:tcPr>
            <w:tcW w:w="1336" w:type="dxa"/>
            <w:tcBorders/>
          </w:tcPr>
          <w:p>
            <w:pPr>
              <w:pStyle w:val="Normal"/>
              <w:widowControl/>
              <w:spacing w:lineRule="auto" w:line="240" w:before="120" w:after="120"/>
              <w:jc w:val="center"/>
              <w:rPr>
                <w:rFonts w:ascii="Arial" w:hAnsi="Arial" w:cs="Arial"/>
                <w:bCs/>
                <w:sz w:val="24"/>
                <w:szCs w:val="24"/>
              </w:rPr>
            </w:pPr>
            <w:r>
              <w:rPr>
                <w:rFonts w:cs="Arial" w:ascii="Arial" w:hAnsi="Arial"/>
                <w:bCs/>
                <w:sz w:val="24"/>
                <w:szCs w:val="24"/>
              </w:rPr>
            </w:r>
          </w:p>
        </w:tc>
      </w:tr>
    </w:tbl>
    <w:p>
      <w:pPr>
        <w:pStyle w:val="Normal"/>
        <w:spacing w:lineRule="auto" w:line="240" w:before="120" w:after="120"/>
        <w:rPr>
          <w:rFonts w:ascii="Arial" w:hAnsi="Arial" w:cs="Arial"/>
          <w:bCs/>
          <w:sz w:val="24"/>
          <w:szCs w:val="24"/>
        </w:rPr>
      </w:pPr>
      <w:r>
        <w:rPr>
          <w:rFonts w:cs="Arial" w:ascii="Arial" w:hAnsi="Arial"/>
          <w:b/>
          <w:sz w:val="24"/>
          <w:szCs w:val="24"/>
        </w:rPr>
        <w:t>Identificação do imóvel:</w:t>
      </w:r>
      <w:r>
        <w:rPr>
          <w:rFonts w:cs="Arial" w:ascii="Arial" w:hAnsi="Arial"/>
          <w:bCs/>
          <w:sz w:val="24"/>
          <w:szCs w:val="24"/>
        </w:rPr>
        <w:t xml:space="preserve"> ___________(</w:t>
      </w:r>
      <w:r>
        <w:rPr>
          <w:rFonts w:cs="Arial" w:ascii="Arial" w:hAnsi="Arial"/>
          <w:bCs/>
          <w:sz w:val="24"/>
          <w:szCs w:val="24"/>
          <w:highlight w:val="yellow"/>
        </w:rPr>
        <w:t>qual unidade atenderá</w:t>
      </w:r>
      <w:r>
        <w:rPr>
          <w:rFonts w:cs="Arial" w:ascii="Arial" w:hAnsi="Arial"/>
          <w:bCs/>
          <w:sz w:val="24"/>
          <w:szCs w:val="24"/>
        </w:rPr>
        <w:t>) ________________</w:t>
      </w:r>
    </w:p>
    <w:p>
      <w:pPr>
        <w:pStyle w:val="Normal"/>
        <w:spacing w:lineRule="auto" w:line="240" w:before="120" w:after="120"/>
        <w:rPr>
          <w:rFonts w:ascii="Arial" w:hAnsi="Arial" w:cs="Arial"/>
          <w:bCs/>
          <w:sz w:val="24"/>
          <w:szCs w:val="24"/>
        </w:rPr>
      </w:pPr>
      <w:r>
        <w:rPr>
          <w:rFonts w:cs="Arial" w:ascii="Arial" w:hAnsi="Arial"/>
          <w:b/>
          <w:sz w:val="24"/>
          <w:szCs w:val="24"/>
        </w:rPr>
        <w:t>Locador:</w:t>
      </w:r>
      <w:r>
        <w:rPr>
          <w:rFonts w:cs="Arial" w:ascii="Arial" w:hAnsi="Arial"/>
          <w:bCs/>
          <w:sz w:val="24"/>
          <w:szCs w:val="24"/>
        </w:rPr>
        <w:t xml:space="preserve"> ___________________________________________________________</w:t>
      </w:r>
    </w:p>
    <w:p>
      <w:pPr>
        <w:pStyle w:val="Normal"/>
        <w:spacing w:lineRule="auto" w:line="240" w:before="120" w:after="120"/>
        <w:rPr>
          <w:rFonts w:ascii="Arial" w:hAnsi="Arial" w:cs="Arial"/>
          <w:bCs/>
          <w:sz w:val="24"/>
          <w:szCs w:val="24"/>
        </w:rPr>
      </w:pPr>
      <w:r>
        <w:rPr>
          <w:rFonts w:cs="Arial" w:ascii="Arial" w:hAnsi="Arial"/>
          <w:b/>
          <w:sz w:val="24"/>
          <w:szCs w:val="24"/>
        </w:rPr>
        <w:t>Contato</w:t>
      </w:r>
      <w:r>
        <w:rPr>
          <w:rFonts w:cs="Arial" w:ascii="Arial" w:hAnsi="Arial"/>
          <w:bCs/>
          <w:sz w:val="24"/>
          <w:szCs w:val="24"/>
        </w:rPr>
        <w:t>: ____________________________________________________________</w:t>
      </w:r>
    </w:p>
    <w:p>
      <w:pPr>
        <w:pStyle w:val="Normal"/>
        <w:spacing w:lineRule="auto" w:line="240" w:before="120" w:after="120"/>
        <w:rPr>
          <w:rFonts w:ascii="Arial" w:hAnsi="Arial" w:cs="Arial"/>
          <w:bCs/>
          <w:sz w:val="24"/>
          <w:szCs w:val="24"/>
        </w:rPr>
      </w:pPr>
      <w:r>
        <w:rPr>
          <w:rFonts w:cs="Arial" w:ascii="Arial" w:hAnsi="Arial"/>
          <w:b/>
          <w:sz w:val="24"/>
          <w:szCs w:val="24"/>
        </w:rPr>
        <w:t>Valor do Aluguel</w:t>
      </w:r>
      <w:r>
        <w:rPr>
          <w:rFonts w:cs="Arial" w:ascii="Arial" w:hAnsi="Arial"/>
          <w:bCs/>
          <w:sz w:val="24"/>
          <w:szCs w:val="24"/>
        </w:rPr>
        <w:t>: ____________________________________________________</w:t>
      </w:r>
    </w:p>
    <w:p>
      <w:pPr>
        <w:pStyle w:val="Normal"/>
        <w:jc w:val="both"/>
        <w:rPr>
          <w:rFonts w:ascii="Arial" w:hAnsi="Arial"/>
          <w:b/>
          <w:bCs/>
          <w:sz w:val="22"/>
          <w:szCs w:val="22"/>
        </w:rPr>
      </w:pPr>
      <w:r>
        <w:rPr>
          <w:rFonts w:ascii="Arial" w:hAnsi="Arial"/>
          <w:b/>
          <w:bCs/>
          <w:sz w:val="22"/>
          <w:szCs w:val="22"/>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283" w:top="2268" w:footer="363"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swiss"/>
    <w:pitch w:val="variable"/>
  </w:font>
  <w:font w:name="Tahoma">
    <w:charset w:val="00"/>
    <w:family w:val="swiss"/>
    <w:pitch w:val="variable"/>
  </w:font>
  <w:font w:name="Calibri">
    <w:charset w:val="00"/>
    <w:family w:val="swiss"/>
    <w:pitch w:val="variable"/>
  </w:font>
  <w:font w:name="Verdana">
    <w:charset w:val="00"/>
    <w:family w:val="swiss"/>
    <w:pitch w:val="variable"/>
  </w:font>
  <w:font w:name="Arial Unicode MS">
    <w:charset w:val="00"/>
    <w:family w:val="roman"/>
    <w:pitch w:val="variable"/>
  </w:font>
  <w:font w:name="Liberation Sans">
    <w:altName w:val="Arial"/>
    <w:charset w:val="00"/>
    <w:family w:val="swiss"/>
    <w:pitch w:val="variable"/>
  </w:font>
  <w:font w:name="Comic Sans MS">
    <w:charset w:val="00"/>
    <w:family w:val="auto"/>
    <w:pitch w:val="variable"/>
  </w:font>
  <w:font w:name="Courier New">
    <w:charset w:val="00"/>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0"/>
      </w:rPr>
    </w:pPr>
    <w:r>
      <w:rPr>
        <w:sz w:val="20"/>
      </w:rPr>
      <w:t>Rua João Vago – 137 - Centro - São Roque do Canaã-ES</w:t>
    </w:r>
  </w:p>
  <w:p>
    <w:pPr>
      <w:pStyle w:val="Footer"/>
      <w:jc w:val="center"/>
      <w:rPr>
        <w:sz w:val="20"/>
      </w:rPr>
    </w:pPr>
    <w:r>
      <w:rPr>
        <w:sz w:val="20"/>
      </w:rPr>
      <w:t>CEP: 29665-000 – Telefax (027) 3729-1997– CNPJ (MF) 01.612.865/0001-71</w:t>
    </w:r>
  </w:p>
  <w:p>
    <w:pPr>
      <w:pStyle w:val="Footer"/>
      <w:jc w:val="center"/>
      <w:rPr>
        <w:sz w:val="20"/>
      </w:rPr>
    </w:pPr>
    <w:r>
      <w:rPr>
        <w:sz w:val="20"/>
      </w:rPr>
      <w:t>E-mail: assistenciasocial@saoroquedocanaa.es.gov.br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0"/>
      </w:rPr>
    </w:pPr>
    <w:r>
      <w:rPr>
        <w:sz w:val="20"/>
      </w:rPr>
      <w:t>Rua João Vago – 137 - Centro - São Roque do Canaã-ES</w:t>
    </w:r>
  </w:p>
  <w:p>
    <w:pPr>
      <w:pStyle w:val="Footer"/>
      <w:jc w:val="center"/>
      <w:rPr>
        <w:sz w:val="20"/>
      </w:rPr>
    </w:pPr>
    <w:r>
      <w:rPr>
        <w:sz w:val="20"/>
      </w:rPr>
      <w:t>CEP: 29665-000 – Telefax (027) 3729-1997– CNPJ (MF) 01.612.865/0001-71</w:t>
    </w:r>
  </w:p>
  <w:p>
    <w:pPr>
      <w:pStyle w:val="Footer"/>
      <w:jc w:val="center"/>
      <w:rPr>
        <w:sz w:val="20"/>
      </w:rPr>
    </w:pPr>
    <w:r>
      <w:rPr>
        <w:sz w:val="20"/>
      </w:rPr>
      <w:t>E-mail: assistenciasocial@saoroquedocanaa.es.gov.br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i/>
        <w:i/>
        <w:color w:val="333300"/>
        <w:sz w:val="26"/>
      </w:rPr>
    </w:pPr>
    <w:r>
      <w:rPr/>
      <w:drawing>
        <wp:inline distT="0" distB="0" distL="0" distR="0">
          <wp:extent cx="733425" cy="79057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733425" cy="790575"/>
                  </a:xfrm>
                  <a:prstGeom prst="rect">
                    <a:avLst/>
                  </a:prstGeom>
                  <a:noFill/>
                </pic:spPr>
              </pic:pic>
            </a:graphicData>
          </a:graphic>
        </wp:inline>
      </w:drawing>
    </w:r>
  </w:p>
  <w:p>
    <w:pPr>
      <w:pStyle w:val="Header"/>
      <w:jc w:val="center"/>
      <w:rPr>
        <w:i/>
        <w:i/>
        <w:color w:val="333300"/>
        <w:sz w:val="22"/>
        <w:szCs w:val="22"/>
      </w:rPr>
    </w:pPr>
    <w:r>
      <w:rPr>
        <w:i/>
        <w:color w:val="333300"/>
        <w:sz w:val="22"/>
        <w:szCs w:val="22"/>
      </w:rPr>
      <w:t>PREFEITURA MUNICIPAL DE SÃO ROQUE DO CANAÃ – ES</w:t>
    </w:r>
  </w:p>
  <w:p>
    <w:pPr>
      <w:pStyle w:val="Header"/>
      <w:jc w:val="center"/>
      <w:rPr>
        <w:color w:val="333300"/>
        <w:sz w:val="22"/>
        <w:szCs w:val="22"/>
      </w:rPr>
    </w:pPr>
    <w:r>
      <w:rPr>
        <w:color w:val="333300"/>
        <w:sz w:val="22"/>
        <w:szCs w:val="22"/>
      </w:rPr>
      <w:t>ESTADO DO ESPÍRITO SANTO</w:t>
    </w:r>
  </w:p>
  <w:p>
    <w:pPr>
      <w:pStyle w:val="Header"/>
      <w:jc w:val="center"/>
      <w:rPr>
        <w:b/>
        <w:i/>
        <w:i/>
        <w:color w:val="333300"/>
        <w:sz w:val="22"/>
        <w:szCs w:val="22"/>
      </w:rPr>
    </w:pPr>
    <w:r>
      <w:rPr>
        <w:color w:val="333300"/>
        <w:sz w:val="22"/>
        <w:szCs w:val="22"/>
      </w:rPr>
      <w:t>SECRETARIA MUNICIPAL DE ASSISTÊNCIA SOCIAL</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i/>
        <w:i/>
        <w:color w:val="333300"/>
        <w:sz w:val="26"/>
      </w:rPr>
    </w:pPr>
    <w:r>
      <w:rPr/>
      <w:drawing>
        <wp:inline distT="0" distB="0" distL="0" distR="0">
          <wp:extent cx="733425" cy="790575"/>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733425" cy="790575"/>
                  </a:xfrm>
                  <a:prstGeom prst="rect">
                    <a:avLst/>
                  </a:prstGeom>
                  <a:noFill/>
                </pic:spPr>
              </pic:pic>
            </a:graphicData>
          </a:graphic>
        </wp:inline>
      </w:drawing>
    </w:r>
  </w:p>
  <w:p>
    <w:pPr>
      <w:pStyle w:val="Header"/>
      <w:jc w:val="center"/>
      <w:rPr>
        <w:i/>
        <w:i/>
        <w:color w:val="333300"/>
        <w:sz w:val="22"/>
        <w:szCs w:val="22"/>
      </w:rPr>
    </w:pPr>
    <w:r>
      <w:rPr>
        <w:i/>
        <w:color w:val="333300"/>
        <w:sz w:val="22"/>
        <w:szCs w:val="22"/>
      </w:rPr>
      <w:t>PREFEITURA MUNICIPAL DE SÃO ROQUE DO CANAÃ – ES</w:t>
    </w:r>
  </w:p>
  <w:p>
    <w:pPr>
      <w:pStyle w:val="Header"/>
      <w:jc w:val="center"/>
      <w:rPr>
        <w:color w:val="333300"/>
        <w:sz w:val="22"/>
        <w:szCs w:val="22"/>
      </w:rPr>
    </w:pPr>
    <w:r>
      <w:rPr>
        <w:color w:val="333300"/>
        <w:sz w:val="22"/>
        <w:szCs w:val="22"/>
      </w:rPr>
      <w:t>ESTADO DO ESPÍRITO SANTO</w:t>
    </w:r>
  </w:p>
  <w:p>
    <w:pPr>
      <w:pStyle w:val="Header"/>
      <w:jc w:val="center"/>
      <w:rPr>
        <w:b/>
        <w:i/>
        <w:i/>
        <w:color w:val="333300"/>
        <w:sz w:val="22"/>
        <w:szCs w:val="22"/>
      </w:rPr>
    </w:pPr>
    <w:r>
      <w:rPr>
        <w:color w:val="333300"/>
        <w:sz w:val="22"/>
        <w:szCs w:val="22"/>
      </w:rPr>
      <w:t>SECRETARIA MUNICIPAL DE ASSISTÊNCIA SOCIAL</w:t>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suff w:val="space"/>
      <w:lvlText w:val="%1."/>
      <w:lvlJc w:val="left"/>
      <w:pPr>
        <w:tabs>
          <w:tab w:val="num" w:pos="0"/>
        </w:tabs>
        <w:ind w:left="0" w:hanging="0"/>
      </w:pPr>
      <w:rPr/>
    </w:lvl>
    <w:lvl w:ilvl="1">
      <w:start w:val="1"/>
      <w:numFmt w:val="decimal"/>
      <w:suff w:val="space"/>
      <w:lvlText w:val="%1.%2."/>
      <w:lvlJc w:val="left"/>
      <w:pPr>
        <w:tabs>
          <w:tab w:val="num" w:pos="0"/>
        </w:tabs>
        <w:ind w:left="0" w:hanging="0"/>
      </w:pPr>
      <w:rPr>
        <w:b w:val="false"/>
        <w:bCs w:val="false"/>
      </w:rPr>
    </w:lvl>
    <w:lvl w:ilvl="2">
      <w:start w:val="1"/>
      <w:numFmt w:val="decimal"/>
      <w:suff w:val="space"/>
      <w:lvlText w:val="%1.%2.%3."/>
      <w:lvlJc w:val="left"/>
      <w:pPr>
        <w:tabs>
          <w:tab w:val="num" w:pos="0"/>
        </w:tabs>
        <w:ind w:left="0" w:hanging="0"/>
      </w:pPr>
      <w:rPr/>
    </w:lvl>
    <w:lvl w:ilvl="3">
      <w:start w:val="1"/>
      <w:numFmt w:val="decimal"/>
      <w:suff w:val="space"/>
      <w:lvlText w:val="%1.%2.%3.%4."/>
      <w:lvlJc w:val="left"/>
      <w:pPr>
        <w:tabs>
          <w:tab w:val="num" w:pos="0"/>
        </w:tabs>
        <w:ind w:left="0" w:hanging="0"/>
      </w:pPr>
      <w:rPr/>
    </w:lvl>
    <w:lvl w:ilvl="4">
      <w:start w:val="1"/>
      <w:numFmt w:val="decimal"/>
      <w:suff w:val="space"/>
      <w:lvlText w:val="%1.%2.%3.%4.%5."/>
      <w:lvlJc w:val="left"/>
      <w:pPr>
        <w:tabs>
          <w:tab w:val="num" w:pos="0"/>
        </w:tabs>
        <w:ind w:left="0" w:hanging="0"/>
      </w:pPr>
      <w:rPr/>
    </w:lvl>
    <w:lvl w:ilvl="5">
      <w:start w:val="1"/>
      <w:numFmt w:val="decimal"/>
      <w:suff w:val="space"/>
      <w:lvlText w:val="%1.%2.%3.%4.%5.%6."/>
      <w:lvlJc w:val="left"/>
      <w:pPr>
        <w:tabs>
          <w:tab w:val="num" w:pos="0"/>
        </w:tabs>
        <w:ind w:left="0" w:hanging="0"/>
      </w:pPr>
      <w:rPr/>
    </w:lvl>
    <w:lvl w:ilvl="6">
      <w:start w:val="1"/>
      <w:numFmt w:val="decimal"/>
      <w:suff w:val="space"/>
      <w:lvlText w:val="%1.%2.%3.%4.%5.%6.%7."/>
      <w:lvlJc w:val="left"/>
      <w:pPr>
        <w:tabs>
          <w:tab w:val="num" w:pos="0"/>
        </w:tabs>
        <w:ind w:left="0" w:hanging="0"/>
      </w:pPr>
      <w:rPr/>
    </w:lvl>
    <w:lvl w:ilvl="7">
      <w:start w:val="1"/>
      <w:numFmt w:val="decimal"/>
      <w:suff w:val="space"/>
      <w:lvlText w:val="%1.%2.%3.%4.%5.%6.%7.%8."/>
      <w:lvlJc w:val="left"/>
      <w:pPr>
        <w:tabs>
          <w:tab w:val="num" w:pos="0"/>
        </w:tabs>
        <w:ind w:left="0" w:hanging="0"/>
      </w:pPr>
      <w:rPr/>
    </w:lvl>
    <w:lvl w:ilvl="8">
      <w:start w:val="1"/>
      <w:numFmt w:val="decimal"/>
      <w:suff w:val="space"/>
      <w:lvlText w:val="%1.%2.%3.%4.%5.%6.%7.%8.%9."/>
      <w:lvlJc w:val="left"/>
      <w:pPr>
        <w:tabs>
          <w:tab w:val="num" w:pos="0"/>
        </w:tabs>
        <w:ind w:left="0" w:hanging="0"/>
      </w:pPr>
      <w:rPr/>
    </w:lvl>
  </w:abstractNum>
  <w:abstractNum w:abstractNumId="2">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hyphenationZone w:val="425"/>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zh-CN" w:bidi="zh-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index 1" w:uiPriority="0" w:semiHidden="0" w:unhideWhenUsed="0" w:qFormat="1"/>
    <w:lsdException w:name="index 2" w:uiPriority="0" w:semiHidden="0" w:unhideWhenUsed="0" w:qFormat="1"/>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0" w:semiHidden="0" w:unhideWhenUsed="0" w:qFormat="1"/>
    <w:lsdException w:name="toc 2" w:uiPriority="0" w:semiHidden="0" w:unhideWhenUsed="0" w:qFormat="1"/>
    <w:lsdException w:name="toc 3" w:uiPriority="0" w:semiHidden="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0" w:semiHidden="0" w:unhideWhenUsed="0" w:qFormat="1"/>
    <w:lsdException w:name="annotation text" w:uiPriority="0" w:semiHidden="0" w:unhideWhenUsed="0" w:qFormat="1"/>
    <w:lsdException w:name="header" w:uiPriority="0" w:semiHidden="0" w:unhideWhenUsed="0" w:qFormat="1"/>
    <w:lsdException w:name="footer" w:uiPriority="0" w:semiHidden="0" w:unhideWhenUsed="0" w:qFormat="1"/>
    <w:lsdException w:name="index heading" w:uiPriority="99"/>
    <w:lsdException w:name="caption" w:uiPriority="0" w:semiHidden="0" w:unhideWhenUsed="0" w:qFormat="1"/>
    <w:lsdException w:name="table of figures" w:uiPriority="99"/>
    <w:lsdException w:name="envelope address" w:uiPriority="0" w:semiHidden="0" w:unhideWhenUsed="0" w:qFormat="1"/>
    <w:lsdException w:name="envelope return" w:uiPriority="99"/>
    <w:lsdException w:name="footnote reference" w:uiPriority="0" w:semiHidden="0" w:unhideWhenUsed="0" w:qFormat="1"/>
    <w:lsdException w:name="annotation reference" w:uiPriority="0" w:semiHidden="0" w:unhideWhenUsed="0" w:qFormat="1"/>
    <w:lsdException w:name="line number" w:uiPriority="99"/>
    <w:lsdException w:name="page number" w:uiPriority="0" w:semiHidden="0" w:unhideWhenUsed="0" w:qFormat="1"/>
    <w:lsdException w:name="endnote reference" w:uiPriority="0" w:semiHidden="0" w:unhideWhenUsed="0" w:qFormat="1"/>
    <w:lsdException w:name="endnote text" w:uiPriority="99"/>
    <w:lsdException w:name="table of authorities" w:uiPriority="99"/>
    <w:lsdException w:name="macro" w:uiPriority="99"/>
    <w:lsdException w:name="toa heading" w:uiPriority="99"/>
    <w:lsdException w:name="List" w:uiPriority="0" w:semiHidden="0" w:unhideWhenUsed="0" w:qFormat="1"/>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0" w:semiHidden="0" w:unhideWhenUsed="0" w:qFormat="1"/>
    <w:lsdException w:name="Closing" w:uiPriority="99"/>
    <w:lsdException w:name="Signature" w:uiPriority="99"/>
    <w:lsdException w:name="Default Paragraph Font" w:uiPriority="1" w:qFormat="1"/>
    <w:lsdException w:name="Body Text" w:uiPriority="0" w:semiHidden="0" w:unhideWhenUsed="0" w:qFormat="1"/>
    <w:lsdException w:name="Body Text Indent" w:uiPriority="0" w:semiHidden="0" w:unhideWhenUsed="0" w:qFormat="1"/>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0"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0" w:semiHidden="0" w:unhideWhenUsed="0" w:qFormat="1"/>
    <w:lsdException w:name="Body Text 3" w:uiPriority="0" w:semiHidden="0" w:unhideWhenUsed="0" w:qFormat="1"/>
    <w:lsdException w:name="Body Text Indent 2" w:uiPriority="0" w:semiHidden="0" w:unhideWhenUsed="0" w:qFormat="1"/>
    <w:lsdException w:name="Body Text Indent 3" w:uiPriority="0" w:semiHidden="0" w:unhideWhenUsed="0" w:qFormat="1"/>
    <w:lsdException w:name="Block Text" w:uiPriority="0" w:semiHidden="0" w:unhideWhenUsed="0" w:qFormat="1"/>
    <w:lsdException w:name="Hyperlink" w:uiPriority="0" w:semiHidden="0" w:unhideWhenUsed="0" w:qFormat="1"/>
    <w:lsdException w:name="FollowedHyperlink" w:uiPriority="0" w:semiHidden="0" w:unhideWhenUsed="0" w:qFormat="1"/>
    <w:lsdException w:name="Strong" w:uiPriority="22" w:semiHidden="0" w:unhideWhenUsed="0" w:qFormat="1"/>
    <w:lsdException w:name="Emphasis" w:uiPriority="0" w:semiHidden="0" w:unhideWhenUsed="0" w:qFormat="1"/>
    <w:lsdException w:name="Document Map" w:uiPriority="99"/>
    <w:lsdException w:name="Plain Text"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0" w:semiHidden="0" w:unhideWhenUsed="0" w:qFormat="1"/>
    <w:lsdException w:name="HTML Sample" w:uiPriority="99"/>
    <w:lsdException w:name="HTML Typewriter" w:uiPriority="99"/>
    <w:lsdException w:name="HTML Variable" w:uiPriority="99"/>
    <w:lsdException w:name="Normal Table" w:uiPriority="99" w:qFormat="1"/>
    <w:lsdException w:name="annotation subject" w:uiPriority="0" w:semiHidden="0" w:unhideWhenUsed="0"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59" w:semiHidden="0" w:unhideWhenUsed="0" w:qFormat="1"/>
    <w:lsdException w:name="Table Theme" w:uiPriority="99"/>
    <w:lsdException w:name="No Spacing" w:uiPriority="0" w:semiHidden="0" w:unhideWhenUsed="0" w:qFormat="1"/>
    <w:lsdException w:name="List Paragraph" w:uiPriority="34" w:semiHidden="0" w:unhideWhenUsed="0" w:qFormat="1"/>
    <w:lsdException w:name="Quote" w:uiPriority="29" w:semiHidden="0" w:unhideWhenUsed="0" w:qFormat="1"/>
  </w:latentStyles>
  <w:style w:type="paragraph" w:styleId="Normal" w:default="1">
    <w:name w:val="Normal"/>
    <w:uiPriority w:val="0"/>
    <w:qFormat/>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Heading1">
    <w:name w:val="heading 1"/>
    <w:basedOn w:val="Normal"/>
    <w:next w:val="Normal"/>
    <w:uiPriority w:val="0"/>
    <w:qFormat/>
    <w:pPr>
      <w:keepNext w:val="true"/>
      <w:shd w:val="clear" w:color="auto" w:fill="BFBFBF"/>
      <w:spacing w:before="240" w:after="240"/>
      <w:outlineLvl w:val="0"/>
    </w:pPr>
    <w:rPr>
      <w:rFonts w:ascii="Arial" w:hAnsi="Arial" w:eastAsia="Calibri"/>
      <w:b/>
      <w:bCs/>
      <w:kern w:val="2"/>
      <w:szCs w:val="32"/>
    </w:rPr>
  </w:style>
  <w:style w:type="paragraph" w:styleId="Heading2">
    <w:name w:val="heading 2"/>
    <w:basedOn w:val="Normal"/>
    <w:next w:val="Normal"/>
    <w:uiPriority w:val="0"/>
    <w:qFormat/>
    <w:pPr>
      <w:keepNext w:val="true"/>
      <w:jc w:val="right"/>
      <w:outlineLvl w:val="1"/>
    </w:pPr>
    <w:rPr>
      <w:sz w:val="28"/>
      <w:szCs w:val="20"/>
    </w:rPr>
  </w:style>
  <w:style w:type="paragraph" w:styleId="Heading3">
    <w:name w:val="heading 3"/>
    <w:basedOn w:val="Normal"/>
    <w:next w:val="Normal"/>
    <w:uiPriority w:val="0"/>
    <w:qFormat/>
    <w:pPr>
      <w:keepNext w:val="true"/>
      <w:keepLines/>
      <w:spacing w:before="40" w:after="0"/>
      <w:outlineLvl w:val="2"/>
    </w:pPr>
    <w:rPr>
      <w:rFonts w:ascii="Calibri Light" w:hAnsi="Calibri Light" w:eastAsia="Calibri"/>
      <w:color w:themeColor="accent1" w:themeShade="80" w:val="0C5202"/>
    </w:rPr>
  </w:style>
  <w:style w:type="paragraph" w:styleId="Heading4">
    <w:name w:val="heading 4"/>
    <w:basedOn w:val="Normal"/>
    <w:next w:val="Normal"/>
    <w:uiPriority w:val="0"/>
    <w:qFormat/>
    <w:pPr>
      <w:keepNext w:val="true"/>
      <w:outlineLvl w:val="3"/>
    </w:pPr>
    <w:rPr>
      <w:sz w:val="28"/>
      <w:szCs w:val="20"/>
    </w:rPr>
  </w:style>
  <w:style w:type="paragraph" w:styleId="Heading5">
    <w:name w:val="heading 5"/>
    <w:basedOn w:val="Normal"/>
    <w:next w:val="Normal"/>
    <w:uiPriority w:val="0"/>
    <w:qFormat/>
    <w:pPr>
      <w:keepNext w:val="true"/>
      <w:tabs>
        <w:tab w:val="clear" w:pos="708"/>
        <w:tab w:val="left" w:pos="1008" w:leader="none"/>
      </w:tabs>
      <w:ind w:hanging="1008" w:left="1008"/>
      <w:jc w:val="center"/>
      <w:outlineLvl w:val="4"/>
    </w:pPr>
    <w:rPr>
      <w:rFonts w:ascii="Arial" w:hAnsi="Arial"/>
      <w:b/>
      <w:i/>
      <w:sz w:val="32"/>
      <w:szCs w:val="20"/>
    </w:rPr>
  </w:style>
  <w:style w:type="paragraph" w:styleId="Heading6">
    <w:name w:val="heading 6"/>
    <w:basedOn w:val="Normal"/>
    <w:next w:val="Normal"/>
    <w:uiPriority w:val="0"/>
    <w:qFormat/>
    <w:pPr>
      <w:keepNext w:val="true"/>
      <w:tabs>
        <w:tab w:val="clear" w:pos="708"/>
        <w:tab w:val="left" w:pos="1152" w:leader="none"/>
      </w:tabs>
      <w:ind w:hanging="1152" w:left="1152"/>
      <w:jc w:val="both"/>
      <w:outlineLvl w:val="5"/>
    </w:pPr>
    <w:rPr>
      <w:rFonts w:ascii="Arial" w:hAnsi="Arial"/>
      <w:b/>
      <w:szCs w:val="20"/>
    </w:rPr>
  </w:style>
  <w:style w:type="paragraph" w:styleId="Heading7">
    <w:name w:val="heading 7"/>
    <w:basedOn w:val="Normal"/>
    <w:next w:val="Normal"/>
    <w:uiPriority w:val="0"/>
    <w:qFormat/>
    <w:pPr>
      <w:keepNext w:val="true"/>
      <w:tabs>
        <w:tab w:val="clear" w:pos="708"/>
        <w:tab w:val="left" w:pos="1296" w:leader="none"/>
      </w:tabs>
      <w:ind w:hanging="1296" w:left="1296"/>
      <w:jc w:val="center"/>
      <w:outlineLvl w:val="6"/>
    </w:pPr>
    <w:rPr>
      <w:rFonts w:ascii="Arial" w:hAnsi="Arial"/>
      <w:b/>
      <w:szCs w:val="20"/>
    </w:rPr>
  </w:style>
  <w:style w:type="paragraph" w:styleId="Heading8">
    <w:name w:val="heading 8"/>
    <w:basedOn w:val="Normal"/>
    <w:next w:val="Normal"/>
    <w:uiPriority w:val="0"/>
    <w:qFormat/>
    <w:pPr>
      <w:keepNext w:val="true"/>
      <w:tabs>
        <w:tab w:val="clear" w:pos="708"/>
        <w:tab w:val="left" w:pos="1440" w:leader="none"/>
      </w:tabs>
      <w:ind w:hanging="1440" w:left="1440"/>
      <w:outlineLvl w:val="7"/>
    </w:pPr>
    <w:rPr>
      <w:rFonts w:ascii="Arial" w:hAnsi="Arial"/>
      <w:b/>
      <w:szCs w:val="20"/>
    </w:rPr>
  </w:style>
  <w:style w:type="paragraph" w:styleId="Heading9">
    <w:name w:val="heading 9"/>
    <w:basedOn w:val="Normal"/>
    <w:next w:val="Normal"/>
    <w:uiPriority w:val="0"/>
    <w:qFormat/>
    <w:pPr>
      <w:keepNext w:val="true"/>
      <w:tabs>
        <w:tab w:val="clear" w:pos="708"/>
        <w:tab w:val="left" w:pos="1584" w:leader="none"/>
      </w:tabs>
      <w:ind w:hanging="1584" w:left="1584"/>
      <w:jc w:val="center"/>
      <w:outlineLvl w:val="8"/>
    </w:pPr>
    <w:rPr>
      <w:rFonts w:ascii="Arial" w:hAnsi="Arial"/>
      <w:b/>
      <w:i/>
      <w:sz w:val="28"/>
      <w:szCs w:val="20"/>
    </w:rPr>
  </w:style>
  <w:style w:type="character" w:styleId="DefaultParagraphFont" w:default="1">
    <w:name w:val="Default Paragraph Font"/>
    <w:uiPriority w:val="1"/>
    <w:semiHidden/>
    <w:unhideWhenUsed/>
    <w:qFormat/>
    <w:rPr/>
  </w:style>
  <w:style w:type="character" w:styleId="Caracteresdenotadefim" w:customStyle="1">
    <w:name w:val="Caracteres de nota de fim"/>
    <w:uiPriority w:val="0"/>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uiPriority w:val="0"/>
    <w:qFormat/>
    <w:rPr>
      <w:sz w:val="16"/>
      <w:szCs w:val="16"/>
    </w:rPr>
  </w:style>
  <w:style w:type="character" w:styleId="FollowedHyperlink">
    <w:name w:val="FollowedHyperlink"/>
    <w:uiPriority w:val="0"/>
    <w:qFormat/>
    <w:rPr>
      <w:color w:val="800080"/>
      <w:u w:val="single"/>
    </w:rPr>
  </w:style>
  <w:style w:type="character" w:styleId="Emphasis">
    <w:name w:val="Emphasis"/>
    <w:uiPriority w:val="0"/>
    <w:qFormat/>
    <w:rPr>
      <w:b/>
      <w:bCs/>
    </w:rPr>
  </w:style>
  <w:style w:type="character" w:styleId="Caracteresdenotaderodap" w:customStyle="1">
    <w:name w:val="Caracteres de nota de rodapé"/>
    <w:uiPriority w:val="0"/>
    <w:qFormat/>
    <w:rPr>
      <w:vertAlign w:val="superscript"/>
    </w:rPr>
  </w:style>
  <w:style w:type="character" w:styleId="FootnoteReference">
    <w:name w:val="footnote reference"/>
    <w:rPr>
      <w:vertAlign w:val="superscript"/>
    </w:rPr>
  </w:style>
  <w:style w:type="character" w:styleId="Hyperlink">
    <w:name w:val="Hyperlink"/>
    <w:basedOn w:val="DefaultParagraphFont"/>
    <w:uiPriority w:val="0"/>
    <w:qFormat/>
    <w:rPr>
      <w:color w:themeColor="hyperlink" w:val="0000EE"/>
      <w:u w:val="single"/>
      <w14:textFill>
        <w14:solidFill>
          <w14:schemeClr w14:val="hlink"/>
        </w14:solidFill>
      </w14:textFill>
    </w:rPr>
  </w:style>
  <w:style w:type="character" w:styleId="PageNumber">
    <w:name w:val="page number"/>
    <w:basedOn w:val="DefaultParagraphFont"/>
    <w:uiPriority w:val="0"/>
    <w:qFormat/>
    <w:rPr>
      <w:rFonts w:cs="Times New Roman"/>
    </w:rPr>
  </w:style>
  <w:style w:type="character" w:styleId="Ttulo2Char" w:customStyle="1">
    <w:name w:val="Título 2 Char"/>
    <w:basedOn w:val="DefaultParagraphFont"/>
    <w:uiPriority w:val="0"/>
    <w:qFormat/>
    <w:rPr>
      <w:rFonts w:ascii="Times New Roman" w:hAnsi="Times New Roman" w:eastAsia="Times New Roman" w:cs="Times New Roman"/>
      <w:sz w:val="28"/>
      <w:szCs w:val="20"/>
      <w:lang w:eastAsia="pt-BR"/>
    </w:rPr>
  </w:style>
  <w:style w:type="character" w:styleId="Ttulo4Char" w:customStyle="1">
    <w:name w:val="Título 4 Char"/>
    <w:basedOn w:val="DefaultParagraphFont"/>
    <w:uiPriority w:val="0"/>
    <w:qFormat/>
    <w:rPr>
      <w:rFonts w:ascii="Times New Roman" w:hAnsi="Times New Roman" w:eastAsia="Times New Roman" w:cs="Times New Roman"/>
      <w:sz w:val="28"/>
      <w:szCs w:val="20"/>
      <w:lang w:eastAsia="pt-BR"/>
    </w:rPr>
  </w:style>
  <w:style w:type="character" w:styleId="CorpodetextoChar" w:customStyle="1">
    <w:name w:val="Corpo de texto Char"/>
    <w:basedOn w:val="DefaultParagraphFont"/>
    <w:uiPriority w:val="0"/>
    <w:qFormat/>
    <w:rPr>
      <w:rFonts w:ascii="Times New Roman" w:hAnsi="Times New Roman" w:eastAsia="Times New Roman" w:cs="Times New Roman"/>
      <w:sz w:val="28"/>
      <w:szCs w:val="20"/>
      <w:lang w:eastAsia="pt-BR"/>
    </w:rPr>
  </w:style>
  <w:style w:type="character" w:styleId="CabealhoChar" w:customStyle="1">
    <w:name w:val="Cabeçalho Char"/>
    <w:basedOn w:val="DefaultParagraphFont"/>
    <w:uiPriority w:val="0"/>
    <w:qFormat/>
    <w:rPr>
      <w:rFonts w:ascii="Times New Roman" w:hAnsi="Times New Roman" w:eastAsia="Times New Roman" w:cs="Times New Roman"/>
      <w:sz w:val="24"/>
      <w:szCs w:val="24"/>
      <w:lang w:eastAsia="pt-BR"/>
    </w:rPr>
  </w:style>
  <w:style w:type="character" w:styleId="RodapChar" w:customStyle="1">
    <w:name w:val="Rodapé Char"/>
    <w:basedOn w:val="DefaultParagraphFont"/>
    <w:uiPriority w:val="0"/>
    <w:qFormat/>
    <w:rPr>
      <w:rFonts w:ascii="Times New Roman" w:hAnsi="Times New Roman" w:eastAsia="Times New Roman" w:cs="Times New Roman"/>
      <w:sz w:val="24"/>
      <w:szCs w:val="24"/>
      <w:lang w:eastAsia="pt-BR"/>
    </w:rPr>
  </w:style>
  <w:style w:type="character" w:styleId="TextodebaloChar" w:customStyle="1">
    <w:name w:val="Texto de balão Char"/>
    <w:basedOn w:val="DefaultParagraphFont"/>
    <w:link w:val="BalloonText"/>
    <w:uiPriority w:val="99"/>
    <w:semiHidden/>
    <w:qFormat/>
    <w:rPr>
      <w:rFonts w:ascii="Tahoma" w:hAnsi="Tahoma" w:eastAsia="Times New Roman" w:cs="Tahoma"/>
      <w:sz w:val="16"/>
      <w:szCs w:val="16"/>
      <w:lang w:eastAsia="pt-BR"/>
    </w:rPr>
  </w:style>
  <w:style w:type="character" w:styleId="apple-converted-space" w:customStyle="1">
    <w:name w:val="apple-converted-space"/>
    <w:basedOn w:val="DefaultParagraphFont"/>
    <w:uiPriority w:val="0"/>
    <w:qFormat/>
    <w:rPr/>
  </w:style>
  <w:style w:type="character" w:styleId="CitaoChar" w:customStyle="1">
    <w:name w:val="Citação Char"/>
    <w:basedOn w:val="DefaultParagraphFont"/>
    <w:link w:val="Quote"/>
    <w:uiPriority w:val="29"/>
    <w:qFormat/>
    <w:rPr>
      <w:rFonts w:ascii="Times New Roman" w:hAnsi="Times New Roman" w:eastAsia="Times New Roman" w:cs="Times New Roman"/>
      <w:i/>
      <w:iCs/>
      <w:color w:themeColor="text1" w:val="000000"/>
      <w:sz w:val="24"/>
      <w:szCs w:val="24"/>
      <w:lang w:eastAsia="pt-BR"/>
      <w14:textFill>
        <w14:solidFill>
          <w14:schemeClr w14:val="tx1"/>
        </w14:solidFill>
      </w14:textFill>
    </w:rPr>
  </w:style>
  <w:style w:type="character" w:styleId="Fontepargpadro1" w:customStyle="1">
    <w:name w:val="Fonte parág. padrão1"/>
    <w:uiPriority w:val="0"/>
    <w:qFormat/>
    <w:rPr/>
  </w:style>
  <w:style w:type="character" w:styleId="Smbolosdenumerao" w:customStyle="1">
    <w:name w:val="Símbolos de numeração"/>
    <w:uiPriority w:val="0"/>
    <w:qFormat/>
    <w:rPr/>
  </w:style>
  <w:style w:type="character" w:styleId="EndnoteCharacters" w:customStyle="1">
    <w:name w:val="Endnote Characters"/>
    <w:uiPriority w:val="0"/>
    <w:qFormat/>
    <w:rPr>
      <w:vertAlign w:val="superscript"/>
    </w:rPr>
  </w:style>
  <w:style w:type="character" w:styleId="Vnculodendice" w:customStyle="1">
    <w:name w:val="Vínculo de índice"/>
    <w:uiPriority w:val="0"/>
    <w:qFormat/>
    <w:rPr/>
  </w:style>
  <w:style w:type="character" w:styleId="SemEspaamentoChar" w:customStyle="1">
    <w:name w:val="Sem Espaçamento Char"/>
    <w:basedOn w:val="DefaultParagraphFont"/>
    <w:uiPriority w:val="0"/>
    <w:qFormat/>
    <w:rPr>
      <w:rFonts w:ascii="Calibri" w:hAnsi="Calibri" w:eastAsia="Calibri"/>
      <w:sz w:val="22"/>
      <w:szCs w:val="22"/>
      <w:lang w:eastAsia="en-US"/>
    </w:rPr>
  </w:style>
  <w:style w:type="character" w:styleId="TextodenotaderodapChar" w:customStyle="1">
    <w:name w:val="Texto de nota de rodapé Char"/>
    <w:basedOn w:val="DefaultParagraphFont"/>
    <w:uiPriority w:val="0"/>
    <w:qFormat/>
    <w:rPr>
      <w:rFonts w:eastAsia="Calibri"/>
      <w:sz w:val="20"/>
      <w:szCs w:val="20"/>
      <w:lang w:eastAsia="en-US"/>
    </w:rPr>
  </w:style>
  <w:style w:type="character" w:styleId="MenoPendente3" w:customStyle="1">
    <w:name w:val="Menção Pendente3"/>
    <w:basedOn w:val="DefaultParagraphFont"/>
    <w:uiPriority w:val="0"/>
    <w:qFormat/>
    <w:rPr>
      <w:color w:val="605E5C"/>
      <w:shd w:fill="E1DFDD" w:val="clear"/>
    </w:rPr>
  </w:style>
  <w:style w:type="character" w:styleId="tex31" w:customStyle="1">
    <w:name w:val="tex31"/>
    <w:uiPriority w:val="0"/>
    <w:qFormat/>
    <w:rPr>
      <w:rFonts w:ascii="Verdana" w:hAnsi="Verdana"/>
      <w:color w:val="000000"/>
      <w:sz w:val="21"/>
      <w:szCs w:val="21"/>
    </w:rPr>
  </w:style>
  <w:style w:type="character" w:styleId="Pr-formataoHTMLChar" w:customStyle="1">
    <w:name w:val="Pré-formatação HTML Char"/>
    <w:basedOn w:val="DefaultParagraphFont"/>
    <w:uiPriority w:val="0"/>
    <w:qFormat/>
    <w:rPr>
      <w:rFonts w:ascii="Arial Unicode MS" w:hAnsi="Arial Unicode MS" w:eastAsia="Arial Unicode MS" w:cs="Arial Unicode MS"/>
      <w:sz w:val="20"/>
      <w:szCs w:val="20"/>
    </w:rPr>
  </w:style>
  <w:style w:type="character" w:styleId="SubttuloChar" w:customStyle="1">
    <w:name w:val="Subtítulo Char"/>
    <w:basedOn w:val="DefaultParagraphFont"/>
    <w:uiPriority w:val="0"/>
    <w:qFormat/>
    <w:rPr>
      <w:rFonts w:ascii="Times New Roman" w:hAnsi="Times New Roman" w:eastAsia="Times New Roman"/>
      <w:b/>
      <w:sz w:val="26"/>
      <w:szCs w:val="24"/>
    </w:rPr>
  </w:style>
  <w:style w:type="character" w:styleId="MenoPendente2" w:customStyle="1">
    <w:name w:val="Menção Pendente2"/>
    <w:uiPriority w:val="0"/>
    <w:qFormat/>
    <w:rPr>
      <w:color w:val="605E5C"/>
      <w:shd w:fill="E1DFDD" w:val="clear"/>
    </w:rPr>
  </w:style>
  <w:style w:type="character" w:styleId="AssuntodocomentrioChar" w:customStyle="1">
    <w:name w:val="Assunto do comentário Char"/>
    <w:basedOn w:val="TextodecomentrioChar"/>
    <w:uiPriority w:val="0"/>
    <w:qFormat/>
    <w:rPr>
      <w:rFonts w:ascii="Times New Roman" w:hAnsi="Times New Roman" w:eastAsia="Times New Roman"/>
      <w:b/>
      <w:bCs/>
      <w:sz w:val="20"/>
      <w:szCs w:val="20"/>
    </w:rPr>
  </w:style>
  <w:style w:type="character" w:styleId="TextodecomentrioChar" w:customStyle="1">
    <w:name w:val="Texto de comentário Char"/>
    <w:basedOn w:val="DefaultParagraphFont"/>
    <w:uiPriority w:val="0"/>
    <w:qFormat/>
    <w:rPr>
      <w:rFonts w:ascii="Times New Roman" w:hAnsi="Times New Roman" w:eastAsia="Times New Roman"/>
      <w:sz w:val="20"/>
      <w:szCs w:val="20"/>
    </w:rPr>
  </w:style>
  <w:style w:type="character" w:styleId="normaltextrunscx88128021" w:customStyle="1">
    <w:name w:val="normaltextrun scx88128021"/>
    <w:uiPriority w:val="0"/>
    <w:qFormat/>
    <w:rPr/>
  </w:style>
  <w:style w:type="character" w:styleId="Recuodecorpodetexto3Char" w:customStyle="1">
    <w:name w:val="Recuo de corpo de texto 3 Char"/>
    <w:basedOn w:val="DefaultParagraphFont"/>
    <w:uiPriority w:val="0"/>
    <w:qFormat/>
    <w:rPr>
      <w:rFonts w:ascii="Times New Roman" w:hAnsi="Times New Roman" w:eastAsia="Times New Roman"/>
      <w:sz w:val="16"/>
      <w:szCs w:val="16"/>
      <w:lang w:eastAsia="zh-CN"/>
    </w:rPr>
  </w:style>
  <w:style w:type="character" w:styleId="RecuodecorpodetextoChar" w:customStyle="1">
    <w:name w:val="Recuo de corpo de texto Char"/>
    <w:basedOn w:val="DefaultParagraphFont"/>
    <w:uiPriority w:val="0"/>
    <w:qFormat/>
    <w:rPr>
      <w:rFonts w:ascii="Times New Roman" w:hAnsi="Times New Roman" w:eastAsia="Times New Roman"/>
      <w:sz w:val="24"/>
      <w:szCs w:val="24"/>
      <w:lang w:eastAsia="zh-CN"/>
    </w:rPr>
  </w:style>
  <w:style w:type="character" w:styleId="Ttulo9Char" w:customStyle="1">
    <w:name w:val="Título 9 Char"/>
    <w:basedOn w:val="DefaultParagraphFont"/>
    <w:uiPriority w:val="0"/>
    <w:qFormat/>
    <w:rPr>
      <w:rFonts w:ascii="Arial" w:hAnsi="Arial" w:eastAsia="Times New Roman"/>
      <w:b/>
      <w:i/>
      <w:sz w:val="28"/>
      <w:szCs w:val="20"/>
    </w:rPr>
  </w:style>
  <w:style w:type="character" w:styleId="Ttulo8Char" w:customStyle="1">
    <w:name w:val="Título 8 Char"/>
    <w:basedOn w:val="DefaultParagraphFont"/>
    <w:uiPriority w:val="0"/>
    <w:qFormat/>
    <w:rPr>
      <w:rFonts w:ascii="Arial" w:hAnsi="Arial" w:eastAsia="Times New Roman"/>
      <w:b/>
      <w:sz w:val="24"/>
      <w:szCs w:val="20"/>
    </w:rPr>
  </w:style>
  <w:style w:type="character" w:styleId="Ttulo7Char" w:customStyle="1">
    <w:name w:val="Título 7 Char"/>
    <w:basedOn w:val="DefaultParagraphFont"/>
    <w:uiPriority w:val="0"/>
    <w:qFormat/>
    <w:rPr>
      <w:rFonts w:ascii="Arial" w:hAnsi="Arial" w:eastAsia="Times New Roman"/>
      <w:b/>
      <w:sz w:val="24"/>
      <w:szCs w:val="20"/>
    </w:rPr>
  </w:style>
  <w:style w:type="character" w:styleId="Ttulo6Char" w:customStyle="1">
    <w:name w:val="Título 6 Char"/>
    <w:basedOn w:val="DefaultParagraphFont"/>
    <w:uiPriority w:val="0"/>
    <w:qFormat/>
    <w:rPr>
      <w:rFonts w:ascii="Arial" w:hAnsi="Arial" w:eastAsia="Times New Roman"/>
      <w:b/>
      <w:sz w:val="24"/>
      <w:szCs w:val="20"/>
    </w:rPr>
  </w:style>
  <w:style w:type="character" w:styleId="Ttulo5Char" w:customStyle="1">
    <w:name w:val="Título 5 Char"/>
    <w:basedOn w:val="DefaultParagraphFont"/>
    <w:uiPriority w:val="0"/>
    <w:qFormat/>
    <w:rPr>
      <w:rFonts w:ascii="Arial" w:hAnsi="Arial" w:eastAsia="Times New Roman"/>
      <w:b/>
      <w:i/>
      <w:sz w:val="32"/>
      <w:szCs w:val="20"/>
    </w:rPr>
  </w:style>
  <w:style w:type="character" w:styleId="Corpodetexto3Char" w:customStyle="1">
    <w:name w:val="Corpo de texto 3 Char"/>
    <w:basedOn w:val="DefaultParagraphFont"/>
    <w:uiPriority w:val="0"/>
    <w:qFormat/>
    <w:rPr>
      <w:sz w:val="16"/>
      <w:szCs w:val="16"/>
    </w:rPr>
  </w:style>
  <w:style w:type="character" w:styleId="Corpodetexto2Char" w:customStyle="1">
    <w:name w:val="Corpo de texto 2 Char"/>
    <w:basedOn w:val="DefaultParagraphFont"/>
    <w:uiPriority w:val="0"/>
    <w:qFormat/>
    <w:rPr/>
  </w:style>
  <w:style w:type="character" w:styleId="Recuodecorpodetexto2Char" w:customStyle="1">
    <w:name w:val="Recuo de corpo de texto 2 Char"/>
    <w:basedOn w:val="DefaultParagraphFont"/>
    <w:uiPriority w:val="0"/>
    <w:qFormat/>
    <w:rPr/>
  </w:style>
  <w:style w:type="character" w:styleId="Ttulo3Char" w:customStyle="1">
    <w:name w:val="Título 3 Char"/>
    <w:basedOn w:val="DefaultParagraphFont"/>
    <w:uiPriority w:val="0"/>
    <w:qFormat/>
    <w:rPr>
      <w:rFonts w:ascii="Calibri Light" w:hAnsi="Calibri Light" w:eastAsia="Calibri"/>
      <w:color w:themeColor="accent1" w:themeShade="80" w:val="0C5202"/>
      <w:sz w:val="24"/>
      <w:szCs w:val="24"/>
    </w:rPr>
  </w:style>
  <w:style w:type="character" w:styleId="MenoPendente1" w:customStyle="1">
    <w:name w:val="Menção Pendente1"/>
    <w:basedOn w:val="DefaultParagraphFont"/>
    <w:uiPriority w:val="0"/>
    <w:qFormat/>
    <w:rPr>
      <w:color w:val="808080"/>
      <w:shd w:fill="E6E6E6" w:val="clear"/>
    </w:rPr>
  </w:style>
  <w:style w:type="character" w:styleId="TtuloChar" w:customStyle="1">
    <w:name w:val="Título Char"/>
    <w:basedOn w:val="DefaultParagraphFont"/>
    <w:uiPriority w:val="0"/>
    <w:qFormat/>
    <w:rPr>
      <w:rFonts w:ascii="Arial" w:hAnsi="Arial" w:eastAsia="Times New Roman"/>
      <w:b/>
      <w:bCs/>
      <w:szCs w:val="24"/>
      <w:u w:val="single"/>
      <w:lang w:eastAsia="zh-CN"/>
    </w:rPr>
  </w:style>
  <w:style w:type="character" w:styleId="Ttulo1Char" w:customStyle="1">
    <w:name w:val="Título 1 Char"/>
    <w:basedOn w:val="DefaultParagraphFont"/>
    <w:uiPriority w:val="0"/>
    <w:qFormat/>
    <w:rPr>
      <w:rFonts w:ascii="Arial" w:hAnsi="Arial" w:eastAsia="Calibri"/>
      <w:b/>
      <w:bCs/>
      <w:kern w:val="2"/>
      <w:sz w:val="24"/>
      <w:szCs w:val="32"/>
      <w:shd w:fill="BFBFBF" w:val="clear"/>
    </w:rPr>
  </w:style>
  <w:style w:type="character" w:styleId="FootnoteCharacters" w:customStyle="1">
    <w:name w:val="Footnote Characters"/>
    <w:basedOn w:val="DefaultParagraphFont"/>
    <w:uiPriority w:val="0"/>
    <w:qFormat/>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iPriority w:val="0"/>
    <w:qFormat/>
    <w:pPr>
      <w:jc w:val="both"/>
    </w:pPr>
    <w:rPr>
      <w:sz w:val="28"/>
      <w:szCs w:val="20"/>
    </w:rPr>
  </w:style>
  <w:style w:type="paragraph" w:styleId="List">
    <w:name w:val="List"/>
    <w:basedOn w:val="BodyText"/>
    <w:uiPriority w:val="0"/>
    <w:qFormat/>
    <w:pPr/>
    <w:rPr>
      <w:rFonts w:cs="Arial"/>
    </w:rPr>
  </w:style>
  <w:style w:type="paragraph" w:styleId="Caption">
    <w:name w:val="caption"/>
    <w:basedOn w:val="Normal"/>
    <w:uiPriority w:val="0"/>
    <w:qFormat/>
    <w:pPr>
      <w:suppressLineNumbers/>
      <w:spacing w:before="120" w:after="120"/>
    </w:pPr>
    <w:rPr>
      <w:rFonts w:cs="Arial"/>
      <w:i/>
      <w:iCs/>
    </w:rPr>
  </w:style>
  <w:style w:type="paragraph" w:styleId="ndice" w:customStyle="1">
    <w:name w:val="Índice"/>
    <w:basedOn w:val="Normal"/>
    <w:uiPriority w:val="0"/>
    <w:qFormat/>
    <w:pPr>
      <w:suppressLineNumbers/>
    </w:pPr>
    <w:rPr>
      <w:rFonts w:cs="Arial"/>
    </w:rPr>
  </w:style>
  <w:style w:type="paragraph" w:styleId="TOC2">
    <w:name w:val="toc 2"/>
    <w:basedOn w:val="Normal"/>
    <w:next w:val="Normal"/>
    <w:uiPriority w:val="0"/>
    <w:qFormat/>
    <w:pPr>
      <w:spacing w:lineRule="auto" w:line="276" w:before="0" w:after="100"/>
      <w:ind w:left="240"/>
    </w:pPr>
    <w:rPr>
      <w:rFonts w:ascii="Arial" w:hAnsi="Arial" w:eastAsia="Calibri"/>
      <w:lang w:eastAsia="en-US"/>
    </w:rPr>
  </w:style>
  <w:style w:type="paragraph" w:styleId="BlockText">
    <w:name w:val="Block Text"/>
    <w:basedOn w:val="Normal"/>
    <w:uiPriority w:val="0"/>
    <w:qFormat/>
    <w:pPr>
      <w:tabs>
        <w:tab w:val="clear" w:pos="708"/>
        <w:tab w:val="left" w:pos="1134" w:leader="none"/>
      </w:tabs>
      <w:ind w:hanging="709" w:left="1843" w:right="2"/>
      <w:jc w:val="both"/>
    </w:pPr>
    <w:rPr/>
  </w:style>
  <w:style w:type="paragraph" w:styleId="CommentText">
    <w:name w:val="annotation text"/>
    <w:basedOn w:val="Normal"/>
    <w:uiPriority w:val="0"/>
    <w:qFormat/>
    <w:pPr/>
    <w:rPr>
      <w:sz w:val="20"/>
      <w:szCs w:val="20"/>
    </w:rPr>
  </w:style>
  <w:style w:type="paragraph" w:styleId="BodyTextIndent2">
    <w:name w:val="Body Text Indent 2"/>
    <w:basedOn w:val="Normal"/>
    <w:uiPriority w:val="0"/>
    <w:qFormat/>
    <w:pPr>
      <w:spacing w:lineRule="auto" w:line="480" w:before="0" w:after="120"/>
      <w:ind w:left="283"/>
    </w:pPr>
    <w:rPr/>
  </w:style>
  <w:style w:type="paragraph" w:styleId="Title">
    <w:name w:val="Title"/>
    <w:basedOn w:val="Normal"/>
    <w:next w:val="BodyText"/>
    <w:uiPriority w:val="0"/>
    <w:qFormat/>
    <w:pPr>
      <w:jc w:val="center"/>
    </w:pPr>
    <w:rPr>
      <w:rFonts w:ascii="Arial" w:hAnsi="Arial"/>
      <w:b/>
      <w:bCs/>
      <w:u w:val="single"/>
      <w:lang w:eastAsia="zh-CN"/>
    </w:rPr>
  </w:style>
  <w:style w:type="paragraph" w:styleId="NormalWeb">
    <w:name w:val="Normal (Web)"/>
    <w:basedOn w:val="Normal"/>
    <w:uiPriority w:val="99"/>
    <w:semiHidden/>
    <w:unhideWhenUsed/>
    <w:qFormat/>
    <w:pPr>
      <w:spacing w:beforeAutospacing="1" w:afterAutospacing="1"/>
    </w:pPr>
    <w:rPr/>
  </w:style>
  <w:style w:type="paragraph" w:styleId="Index2">
    <w:name w:val="index 2"/>
    <w:basedOn w:val="Normal"/>
    <w:next w:val="Normal"/>
    <w:uiPriority w:val="0"/>
    <w:qFormat/>
    <w:pPr>
      <w:ind w:hanging="220" w:left="440"/>
    </w:pPr>
    <w:rPr/>
  </w:style>
  <w:style w:type="paragraph" w:styleId="EnvelopeAddress">
    <w:name w:val="envelope address"/>
    <w:basedOn w:val="Normal"/>
    <w:uiPriority w:val="0"/>
    <w:qFormat/>
    <w:pPr>
      <w:spacing w:lineRule="auto" w:line="276" w:before="0" w:after="200"/>
      <w:ind w:left="2835"/>
    </w:pPr>
    <w:rPr>
      <w:rFonts w:ascii="Comic Sans MS" w:hAnsi="Comic Sans MS" w:eastAsia="Calibri"/>
      <w:lang w:eastAsia="en-US"/>
    </w:rPr>
  </w:style>
  <w:style w:type="paragraph" w:styleId="BodyText3">
    <w:name w:val="Body Text 3"/>
    <w:basedOn w:val="Normal"/>
    <w:uiPriority w:val="0"/>
    <w:qFormat/>
    <w:pPr>
      <w:spacing w:before="0" w:after="120"/>
    </w:pPr>
    <w:rPr>
      <w:sz w:val="16"/>
      <w:szCs w:val="16"/>
    </w:rPr>
  </w:style>
  <w:style w:type="paragraph" w:styleId="HTMLPreformatted">
    <w:name w:val="HTML Preformatted"/>
    <w:basedOn w:val="Normal"/>
    <w:uiPriority w:val="0"/>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sz w:val="20"/>
      <w:szCs w:val="20"/>
    </w:rPr>
  </w:style>
  <w:style w:type="paragraph" w:styleId="BodyText2">
    <w:name w:val="Body Text 2"/>
    <w:basedOn w:val="Normal"/>
    <w:uiPriority w:val="0"/>
    <w:qFormat/>
    <w:pPr>
      <w:spacing w:lineRule="auto" w:line="480" w:before="0" w:after="120"/>
    </w:pPr>
    <w:rPr/>
  </w:style>
  <w:style w:type="paragraph" w:styleId="Cabealhoerodap">
    <w:name w:val="Cabeçalho e rodapé"/>
    <w:basedOn w:val="Normal"/>
    <w:qFormat/>
    <w:pPr/>
    <w:rPr/>
  </w:style>
  <w:style w:type="paragraph" w:styleId="Header">
    <w:name w:val="header"/>
    <w:basedOn w:val="Normal"/>
    <w:link w:val="CabealhoChar"/>
    <w:uiPriority w:val="0"/>
    <w:qFormat/>
    <w:pPr>
      <w:tabs>
        <w:tab w:val="clear" w:pos="708"/>
        <w:tab w:val="center" w:pos="4419" w:leader="none"/>
        <w:tab w:val="right" w:pos="8838" w:leader="none"/>
      </w:tabs>
    </w:pPr>
    <w:rPr/>
  </w:style>
  <w:style w:type="paragraph" w:styleId="annotationsubject">
    <w:name w:val="annotation subject"/>
    <w:basedOn w:val="CommentText"/>
    <w:next w:val="CommentText"/>
    <w:uiPriority w:val="0"/>
    <w:qFormat/>
    <w:pPr/>
    <w:rPr>
      <w:b/>
      <w:bCs/>
    </w:rPr>
  </w:style>
  <w:style w:type="paragraph" w:styleId="Footer">
    <w:name w:val="footer"/>
    <w:basedOn w:val="Normal"/>
    <w:link w:val="RodapChar"/>
    <w:uiPriority w:val="0"/>
    <w:qFormat/>
    <w:pPr>
      <w:tabs>
        <w:tab w:val="clear" w:pos="708"/>
        <w:tab w:val="center" w:pos="4419" w:leader="none"/>
        <w:tab w:val="right" w:pos="8838" w:leader="none"/>
      </w:tabs>
    </w:pPr>
    <w:rPr/>
  </w:style>
  <w:style w:type="paragraph" w:styleId="BodyTextIndent3">
    <w:name w:val="Body Text Indent 3"/>
    <w:basedOn w:val="Normal"/>
    <w:uiPriority w:val="0"/>
    <w:qFormat/>
    <w:pPr>
      <w:spacing w:before="0" w:after="120"/>
      <w:ind w:left="283"/>
    </w:pPr>
    <w:rPr>
      <w:sz w:val="16"/>
      <w:szCs w:val="16"/>
      <w:lang w:eastAsia="zh-CN"/>
    </w:rPr>
  </w:style>
  <w:style w:type="paragraph" w:styleId="Index1">
    <w:name w:val="index 1"/>
    <w:basedOn w:val="Normal"/>
    <w:next w:val="Normal"/>
    <w:uiPriority w:val="0"/>
    <w:qFormat/>
    <w:pPr>
      <w:ind w:hanging="220" w:left="220"/>
    </w:pPr>
    <w:rPr/>
  </w:style>
  <w:style w:type="paragraph" w:styleId="TOC3">
    <w:name w:val="toc 3"/>
    <w:basedOn w:val="Normal"/>
    <w:next w:val="Normal"/>
    <w:uiPriority w:val="0"/>
    <w:qFormat/>
    <w:pPr>
      <w:spacing w:before="0" w:after="100"/>
      <w:ind w:left="440"/>
    </w:pPr>
    <w:rPr/>
  </w:style>
  <w:style w:type="paragraph" w:styleId="BalloonText">
    <w:name w:val="Balloon Text"/>
    <w:basedOn w:val="Normal"/>
    <w:link w:val="TextodebaloChar"/>
    <w:uiPriority w:val="99"/>
    <w:semiHidden/>
    <w:unhideWhenUsed/>
    <w:qFormat/>
    <w:pPr/>
    <w:rPr>
      <w:rFonts w:ascii="Tahoma" w:hAnsi="Tahoma" w:cs="Tahoma"/>
      <w:sz w:val="16"/>
      <w:szCs w:val="16"/>
    </w:rPr>
  </w:style>
  <w:style w:type="paragraph" w:styleId="Subtitle">
    <w:name w:val="Subtitle"/>
    <w:basedOn w:val="Normal"/>
    <w:uiPriority w:val="0"/>
    <w:qFormat/>
    <w:pPr>
      <w:jc w:val="center"/>
    </w:pPr>
    <w:rPr>
      <w:b/>
      <w:sz w:val="26"/>
    </w:rPr>
  </w:style>
  <w:style w:type="paragraph" w:styleId="FootnoteText">
    <w:name w:val="footnote text"/>
    <w:basedOn w:val="Normal"/>
    <w:uiPriority w:val="0"/>
    <w:qFormat/>
    <w:pPr/>
    <w:rPr>
      <w:rFonts w:eastAsia="Calibri"/>
      <w:sz w:val="20"/>
      <w:szCs w:val="20"/>
      <w:lang w:eastAsia="en-US"/>
    </w:rPr>
  </w:style>
  <w:style w:type="paragraph" w:styleId="TOC1">
    <w:name w:val="toc 1"/>
    <w:basedOn w:val="Normal"/>
    <w:next w:val="Normal"/>
    <w:uiPriority w:val="0"/>
    <w:qFormat/>
    <w:pPr/>
    <w:rPr/>
  </w:style>
  <w:style w:type="paragraph" w:styleId="BodyTextIndent">
    <w:name w:val="Body Text Indent"/>
    <w:basedOn w:val="Normal"/>
    <w:uiPriority w:val="0"/>
    <w:qFormat/>
    <w:pPr>
      <w:widowControl w:val="false"/>
      <w:tabs>
        <w:tab w:val="clear" w:pos="708"/>
        <w:tab w:val="left" w:pos="1703" w:leader="none"/>
      </w:tabs>
      <w:ind w:left="2"/>
      <w:jc w:val="both"/>
    </w:pPr>
    <w:rPr>
      <w:lang w:eastAsia="zh-CN"/>
    </w:rPr>
  </w:style>
  <w:style w:type="paragraph" w:styleId="Quote">
    <w:name w:val="Quote"/>
    <w:basedOn w:val="Normal"/>
    <w:next w:val="Normal"/>
    <w:link w:val="CitaoChar"/>
    <w:uiPriority w:val="29"/>
    <w:qFormat/>
    <w:pPr/>
    <w:rPr>
      <w:i/>
      <w:iCs/>
      <w:color w:themeColor="text1" w:val="000000"/>
      <w14:textFill>
        <w14:solidFill>
          <w14:schemeClr w14:val="tx1"/>
        </w14:solidFill>
      </w14:textFill>
    </w:rPr>
  </w:style>
  <w:style w:type="paragraph" w:styleId="Ttulo1" w:customStyle="1">
    <w:name w:val="Título1"/>
    <w:basedOn w:val="Normal"/>
    <w:next w:val="BodyText"/>
    <w:uiPriority w:val="0"/>
    <w:qFormat/>
    <w:pPr>
      <w:keepNext w:val="true"/>
      <w:spacing w:before="240" w:after="120"/>
    </w:pPr>
    <w:rPr>
      <w:rFonts w:ascii="Liberation Sans" w:hAnsi="Liberation Sans" w:eastAsia="Microsoft YaHei" w:cs="Arial"/>
      <w:sz w:val="28"/>
      <w:szCs w:val="28"/>
    </w:rPr>
  </w:style>
  <w:style w:type="paragraph" w:styleId="CabealhoeRodap1" w:customStyle="1">
    <w:name w:val="Cabeçalho e Rodapé1"/>
    <w:basedOn w:val="Normal"/>
    <w:uiPriority w:val="0"/>
    <w:qFormat/>
    <w:pPr/>
    <w:rPr/>
  </w:style>
  <w:style w:type="paragraph" w:styleId="ListParagraph">
    <w:name w:val="List Paragraph"/>
    <w:basedOn w:val="Normal"/>
    <w:uiPriority w:val="34"/>
    <w:qFormat/>
    <w:pPr>
      <w:spacing w:before="0" w:after="0"/>
      <w:ind w:left="720"/>
      <w:contextualSpacing/>
    </w:pPr>
    <w:rPr/>
  </w:style>
  <w:style w:type="paragraph" w:styleId="Contedodatabela" w:customStyle="1">
    <w:name w:val="Conteúdo da tabela"/>
    <w:basedOn w:val="Normal"/>
    <w:uiPriority w:val="0"/>
    <w:qFormat/>
    <w:pPr>
      <w:widowControl w:val="false"/>
      <w:suppressLineNumbers/>
    </w:pPr>
    <w:rPr/>
  </w:style>
  <w:style w:type="paragraph" w:styleId="Ttulodetabela" w:customStyle="1">
    <w:name w:val="Título de tabela"/>
    <w:basedOn w:val="Contedodatabela"/>
    <w:uiPriority w:val="0"/>
    <w:qFormat/>
    <w:pPr>
      <w:jc w:val="center"/>
    </w:pPr>
    <w:rPr>
      <w:b/>
      <w:bCs/>
    </w:rPr>
  </w:style>
  <w:style w:type="paragraph" w:styleId="Contedodoquadro" w:customStyle="1">
    <w:name w:val="Conteúdo do quadro"/>
    <w:basedOn w:val="Normal"/>
    <w:uiPriority w:val="0"/>
    <w:qFormat/>
    <w:pPr/>
    <w:rPr/>
  </w:style>
  <w:style w:type="paragraph" w:styleId="content-textcontainer" w:customStyle="1">
    <w:name w:val="content-text__container"/>
    <w:basedOn w:val="Normal"/>
    <w:uiPriority w:val="0"/>
    <w:qFormat/>
    <w:pPr>
      <w:spacing w:before="280" w:after="280"/>
    </w:pPr>
    <w:rPr/>
  </w:style>
  <w:style w:type="paragraph" w:styleId="CabealhodoSumrio2" w:customStyle="1">
    <w:name w:val="Cabeçalho do Sumário2"/>
    <w:basedOn w:val="Heading1"/>
    <w:next w:val="Normal"/>
    <w:uiPriority w:val="0"/>
    <w:qFormat/>
    <w:pPr>
      <w:keepLines/>
      <w:shd w:val="clear" w:color="auto" w:fill="auto"/>
      <w:spacing w:lineRule="auto" w:line="259" w:before="240" w:after="0"/>
      <w:outlineLvl w:val="9"/>
    </w:pPr>
    <w:rPr>
      <w:rFonts w:ascii="Calibri Light" w:hAnsi="Calibri Light"/>
      <w:b w:val="false"/>
      <w:bCs w:val="false"/>
      <w:color w:themeColor="accent1" w:themeShade="bf" w:val="127A02"/>
      <w:kern w:val="0"/>
      <w:sz w:val="32"/>
    </w:rPr>
  </w:style>
  <w:style w:type="paragraph" w:styleId="abdul" w:customStyle="1">
    <w:name w:val="abdul"/>
    <w:basedOn w:val="Normal"/>
    <w:uiPriority w:val="0"/>
    <w:qFormat/>
    <w:pPr>
      <w:spacing w:before="280" w:after="280"/>
    </w:pPr>
    <w:rPr/>
  </w:style>
  <w:style w:type="paragraph" w:styleId="CabealhodoSumrio11" w:customStyle="1">
    <w:name w:val="Cabeçalho do Sumário11"/>
    <w:basedOn w:val="Heading1"/>
    <w:next w:val="Normal"/>
    <w:uiPriority w:val="0"/>
    <w:qFormat/>
    <w:pPr>
      <w:keepLines/>
      <w:spacing w:lineRule="auto" w:line="276" w:before="480" w:after="0"/>
      <w:outlineLvl w:val="9"/>
    </w:pPr>
    <w:rPr>
      <w:color w:themeColor="accent1" w:themeShade="bf" w:val="127A02"/>
      <w:kern w:val="0"/>
      <w:sz w:val="28"/>
      <w:szCs w:val="28"/>
    </w:rPr>
  </w:style>
  <w:style w:type="paragraph" w:styleId="PargrafodaLista1" w:customStyle="1">
    <w:name w:val="Parágrafo da Lista1"/>
    <w:basedOn w:val="Normal"/>
    <w:uiPriority w:val="0"/>
    <w:qFormat/>
    <w:pPr>
      <w:widowControl w:val="false"/>
      <w:spacing w:before="280" w:after="280"/>
      <w:jc w:val="both"/>
    </w:pPr>
    <w:rPr>
      <w:rFonts w:ascii="Arial" w:hAnsi="Arial" w:cs="Arial"/>
    </w:rPr>
  </w:style>
  <w:style w:type="paragraph" w:styleId="Corpo" w:customStyle="1">
    <w:name w:val="Corpo"/>
    <w:uiPriority w:val="0"/>
    <w:qFormat/>
    <w:pPr>
      <w:widowControl/>
      <w:suppressAutoHyphens w:val="true"/>
      <w:bidi w:val="0"/>
      <w:snapToGrid w:val="false"/>
      <w:spacing w:before="0" w:after="0"/>
      <w:jc w:val="left"/>
    </w:pPr>
    <w:rPr>
      <w:rFonts w:ascii="Times New Roman" w:hAnsi="Times New Roman" w:eastAsia="Times New Roman" w:cs="Times New Roman"/>
      <w:color w:val="000000"/>
      <w:kern w:val="0"/>
      <w:sz w:val="24"/>
      <w:szCs w:val="20"/>
      <w:lang w:val="pt-BR" w:eastAsia="pt-BR" w:bidi="ar-SA"/>
    </w:rPr>
  </w:style>
  <w:style w:type="paragraph" w:styleId="Recuodecorpodetexto32" w:customStyle="1">
    <w:name w:val="Recuo de corpo de texto 32"/>
    <w:basedOn w:val="Normal"/>
    <w:uiPriority w:val="0"/>
    <w:qFormat/>
    <w:pPr>
      <w:widowControl w:val="false"/>
      <w:ind w:left="1418"/>
      <w:jc w:val="both"/>
    </w:pPr>
    <w:rPr>
      <w:rFonts w:ascii="Arial" w:hAnsi="Arial"/>
      <w:szCs w:val="20"/>
    </w:rPr>
  </w:style>
  <w:style w:type="paragraph" w:styleId="CabealhodoSumrio1" w:customStyle="1">
    <w:name w:val="Cabeçalho do Sumário1"/>
    <w:basedOn w:val="Heading1"/>
    <w:next w:val="Normal"/>
    <w:uiPriority w:val="0"/>
    <w:qFormat/>
    <w:pPr>
      <w:keepLines/>
      <w:spacing w:lineRule="auto" w:line="276" w:before="480" w:after="0"/>
      <w:outlineLvl w:val="9"/>
    </w:pPr>
    <w:rPr>
      <w:color w:themeColor="accent1" w:themeShade="bf" w:val="127A02"/>
      <w:kern w:val="0"/>
      <w:sz w:val="28"/>
      <w:szCs w:val="28"/>
    </w:rPr>
  </w:style>
  <w:style w:type="paragraph" w:styleId="Ttulo12" w:customStyle="1">
    <w:name w:val="Título 12"/>
    <w:basedOn w:val="Normal"/>
    <w:uiPriority w:val="0"/>
    <w:qFormat/>
    <w:pPr>
      <w:widowControl w:val="false"/>
      <w:ind w:left="895"/>
      <w:outlineLvl w:val="1"/>
    </w:pPr>
    <w:rPr>
      <w:rFonts w:ascii="Arial" w:hAnsi="Arial" w:eastAsia="Arial"/>
      <w:b/>
      <w:bCs/>
      <w:sz w:val="20"/>
      <w:szCs w:val="20"/>
      <w:lang w:eastAsia="en-US"/>
    </w:rPr>
  </w:style>
  <w:style w:type="paragraph" w:styleId="Ttulo11" w:customStyle="1">
    <w:name w:val="Título 11"/>
    <w:basedOn w:val="Normal"/>
    <w:uiPriority w:val="0"/>
    <w:qFormat/>
    <w:pPr>
      <w:widowControl w:val="false"/>
      <w:ind w:left="895"/>
      <w:outlineLvl w:val="1"/>
    </w:pPr>
    <w:rPr>
      <w:rFonts w:ascii="Arial" w:hAnsi="Arial" w:eastAsia="Arial"/>
      <w:b/>
      <w:bCs/>
      <w:sz w:val="20"/>
      <w:szCs w:val="20"/>
      <w:lang w:eastAsia="en-US"/>
    </w:rPr>
  </w:style>
  <w:style w:type="paragraph" w:styleId="Corpodetexto22" w:customStyle="1">
    <w:name w:val="Corpo de texto 22"/>
    <w:basedOn w:val="Normal"/>
    <w:uiPriority w:val="0"/>
    <w:qFormat/>
    <w:pPr>
      <w:tabs>
        <w:tab w:val="clear" w:pos="708"/>
        <w:tab w:val="left" w:pos="-414" w:leader="none"/>
        <w:tab w:val="left" w:pos="0" w:leader="none"/>
        <w:tab w:val="left" w:pos="306" w:leader="none"/>
        <w:tab w:val="left" w:pos="1026" w:leader="none"/>
        <w:tab w:val="left" w:pos="1530" w:leader="none"/>
        <w:tab w:val="left" w:pos="2262" w:leader="none"/>
        <w:tab w:val="left" w:pos="2664" w:leader="none"/>
        <w:tab w:val="left" w:pos="3228" w:leader="none"/>
        <w:tab w:val="left" w:pos="6066" w:leader="none"/>
        <w:tab w:val="left" w:pos="6786" w:leader="none"/>
        <w:tab w:val="left" w:pos="7506" w:leader="none"/>
        <w:tab w:val="left" w:pos="8226" w:leader="none"/>
        <w:tab w:val="left" w:pos="8946" w:leader="none"/>
        <w:tab w:val="left" w:pos="9666" w:leader="none"/>
      </w:tabs>
      <w:jc w:val="both"/>
      <w:textAlignment w:val="baseline"/>
    </w:pPr>
    <w:rPr>
      <w:rFonts w:ascii="Arial" w:hAnsi="Arial"/>
      <w:szCs w:val="20"/>
      <w:lang w:eastAsia="en-US"/>
    </w:rPr>
  </w:style>
  <w:style w:type="paragraph" w:styleId="NoSpacing">
    <w:name w:val="No Spacing"/>
    <w:uiPriority w:val="0"/>
    <w:qFormat/>
    <w:pPr>
      <w:widowControl/>
      <w:suppressAutoHyphens w:val="true"/>
      <w:bidi w:val="0"/>
      <w:spacing w:before="0" w:after="0"/>
      <w:jc w:val="left"/>
    </w:pPr>
    <w:rPr>
      <w:rFonts w:ascii="Arial" w:hAnsi="Arial" w:eastAsia="Arial" w:cs="Times New Roman" w:asciiTheme="minorHAnsi" w:eastAsiaTheme="minorHAnsi" w:hAnsiTheme="minorHAnsi"/>
      <w:color w:val="auto"/>
      <w:kern w:val="0"/>
      <w:sz w:val="22"/>
      <w:szCs w:val="22"/>
      <w:lang w:val="pt-BR" w:eastAsia="en-US" w:bidi="ar-SA"/>
    </w:rPr>
  </w:style>
  <w:style w:type="paragraph" w:styleId="TextosemFormatao1" w:customStyle="1">
    <w:name w:val="Texto sem Formatação1"/>
    <w:basedOn w:val="Normal"/>
    <w:uiPriority w:val="0"/>
    <w:qFormat/>
    <w:pPr/>
    <w:rPr>
      <w:rFonts w:ascii="Courier New" w:hAnsi="Courier New"/>
      <w:sz w:val="20"/>
      <w:szCs w:val="20"/>
    </w:rPr>
  </w:style>
  <w:style w:type="paragraph" w:styleId="Corpodetexto21" w:customStyle="1">
    <w:name w:val="Corpo de texto 21"/>
    <w:basedOn w:val="Normal"/>
    <w:uiPriority w:val="0"/>
    <w:qFormat/>
    <w:pPr>
      <w:tabs>
        <w:tab w:val="clear" w:pos="708"/>
        <w:tab w:val="left" w:pos="-414" w:leader="none"/>
        <w:tab w:val="left" w:pos="0" w:leader="none"/>
        <w:tab w:val="left" w:pos="306" w:leader="none"/>
        <w:tab w:val="left" w:pos="1026" w:leader="none"/>
        <w:tab w:val="left" w:pos="1530" w:leader="none"/>
        <w:tab w:val="left" w:pos="2262" w:leader="none"/>
        <w:tab w:val="left" w:pos="2664" w:leader="none"/>
        <w:tab w:val="left" w:pos="3228" w:leader="none"/>
        <w:tab w:val="left" w:pos="6066" w:leader="none"/>
        <w:tab w:val="left" w:pos="6786" w:leader="none"/>
        <w:tab w:val="left" w:pos="7506" w:leader="none"/>
        <w:tab w:val="left" w:pos="8226" w:leader="none"/>
        <w:tab w:val="left" w:pos="8946" w:leader="none"/>
        <w:tab w:val="left" w:pos="9666" w:leader="none"/>
      </w:tabs>
      <w:jc w:val="both"/>
      <w:textAlignment w:val="baseline"/>
    </w:pPr>
    <w:rPr>
      <w:rFonts w:ascii="Arial" w:hAnsi="Arial"/>
      <w:szCs w:val="20"/>
      <w:lang w:eastAsia="en-US"/>
    </w:rPr>
  </w:style>
  <w:style w:type="paragraph" w:styleId="BodyText24" w:customStyle="1">
    <w:name w:val="Body Text 24"/>
    <w:basedOn w:val="Normal"/>
    <w:uiPriority w:val="0"/>
    <w:qFormat/>
    <w:pPr>
      <w:widowControl w:val="false"/>
      <w:jc w:val="both"/>
    </w:pPr>
    <w:rPr>
      <w:sz w:val="28"/>
      <w:szCs w:val="20"/>
    </w:rPr>
  </w:style>
  <w:style w:type="paragraph" w:styleId="Default" w:customStyle="1">
    <w:name w:val="Default"/>
    <w:uiPriority w:val="0"/>
    <w:qFormat/>
    <w:pPr>
      <w:widowControl/>
      <w:suppressAutoHyphens w:val="true"/>
      <w:bidi w:val="0"/>
      <w:spacing w:before="0" w:after="0"/>
      <w:jc w:val="left"/>
    </w:pPr>
    <w:rPr>
      <w:rFonts w:ascii="Times New Roman" w:hAnsi="Times New Roman" w:eastAsia="Times New Roman" w:cs="Times New Roman"/>
      <w:color w:val="000000"/>
      <w:kern w:val="0"/>
      <w:sz w:val="24"/>
      <w:szCs w:val="24"/>
      <w:lang w:val="pt-BR" w:eastAsia="pt-BR" w:bidi="ar-SA"/>
    </w:rPr>
  </w:style>
  <w:style w:type="paragraph" w:styleId="N21" w:customStyle="1">
    <w:name w:val="N21"/>
    <w:basedOn w:val="Normal"/>
    <w:uiPriority w:val="0"/>
    <w:qFormat/>
    <w:pPr>
      <w:spacing w:before="60" w:after="0"/>
      <w:ind w:hanging="425" w:left="2268"/>
      <w:jc w:val="both"/>
    </w:pPr>
    <w:rPr>
      <w:rFonts w:ascii="Arial" w:hAnsi="Arial" w:cs="Arial"/>
      <w:sz w:val="20"/>
      <w:szCs w:val="20"/>
    </w:rPr>
  </w:style>
  <w:style w:type="paragraph" w:styleId="P30" w:customStyle="1">
    <w:name w:val="P30"/>
    <w:basedOn w:val="Normal"/>
    <w:uiPriority w:val="0"/>
    <w:qFormat/>
    <w:pPr>
      <w:jc w:val="both"/>
    </w:pPr>
    <w:rPr>
      <w:b/>
      <w:bCs/>
    </w:rPr>
  </w:style>
  <w:style w:type="paragraph" w:styleId="Blockquote" w:customStyle="1">
    <w:name w:val="Blockquote"/>
    <w:basedOn w:val="Normal"/>
    <w:uiPriority w:val="0"/>
    <w:qFormat/>
    <w:pPr>
      <w:spacing w:before="100" w:after="100"/>
      <w:ind w:left="360" w:right="360"/>
    </w:pPr>
    <w:rPr/>
  </w:style>
  <w:style w:type="paragraph" w:styleId="Estilo1" w:customStyle="1">
    <w:name w:val="Estilo1"/>
    <w:basedOn w:val="Normal"/>
    <w:uiPriority w:val="0"/>
    <w:qFormat/>
    <w:pPr>
      <w:tabs>
        <w:tab w:val="clear" w:pos="708"/>
        <w:tab w:val="left" w:pos="2268" w:leader="none"/>
      </w:tabs>
      <w:ind w:hanging="992" w:left="2410"/>
      <w:jc w:val="both"/>
    </w:pPr>
    <w:rPr/>
  </w:style>
  <w:style w:type="paragraph" w:styleId="Estilo2" w:customStyle="1">
    <w:name w:val="Estilo2"/>
    <w:basedOn w:val="Estilo1"/>
    <w:uiPriority w:val="0"/>
    <w:qFormat/>
    <w:pPr>
      <w:ind w:hanging="284" w:left="2694"/>
    </w:pPr>
    <w:rPr/>
  </w:style>
  <w:style w:type="paragraph" w:styleId="Nvel2" w:customStyle="1">
    <w:name w:val="Nível 2"/>
    <w:basedOn w:val="Normal"/>
    <w:next w:val="Normal"/>
    <w:uiPriority w:val="0"/>
    <w:qFormat/>
    <w:pPr>
      <w:spacing w:before="0" w:after="120"/>
      <w:jc w:val="both"/>
    </w:pPr>
    <w:rPr>
      <w:rFonts w:ascii="Arial" w:hAnsi="Arial" w:cs="Arial"/>
      <w:b/>
      <w:bCs/>
    </w:rPr>
  </w:style>
  <w:style w:type="paragraph" w:styleId="TableParagraph" w:customStyle="1">
    <w:name w:val="Table Paragraph"/>
    <w:basedOn w:val="Normal"/>
    <w:uiPriority w:val="0"/>
    <w:qFormat/>
    <w:pPr>
      <w:widowControl w:val="false"/>
      <w:spacing w:lineRule="exact" w:line="223" w:before="11" w:after="0"/>
      <w:ind w:left="102" w:right="95"/>
      <w:jc w:val="center"/>
    </w:pPr>
    <w:rPr>
      <w:rFonts w:ascii="Arial" w:hAnsi="Arial" w:cs="Arial"/>
      <w:lang w:eastAsia="pt-PT"/>
    </w:rPr>
  </w:style>
  <w:style w:type="paragraph" w:styleId="caption111111" w:customStyle="1">
    <w:name w:val="caption111111"/>
    <w:basedOn w:val="Normal"/>
    <w:uiPriority w:val="0"/>
    <w:qFormat/>
    <w:pPr>
      <w:suppressLineNumbers/>
      <w:spacing w:before="120" w:after="120"/>
    </w:pPr>
    <w:rPr>
      <w:rFonts w:cs="Lucida Sans"/>
      <w:i/>
      <w:iCs/>
    </w:rPr>
  </w:style>
  <w:style w:type="paragraph" w:styleId="caption11111" w:customStyle="1">
    <w:name w:val="caption11111"/>
    <w:basedOn w:val="Normal"/>
    <w:uiPriority w:val="0"/>
    <w:qFormat/>
    <w:pPr>
      <w:suppressLineNumbers/>
      <w:spacing w:before="120" w:after="120"/>
    </w:pPr>
    <w:rPr>
      <w:rFonts w:cs="Lucida Sans"/>
      <w:i/>
      <w:iCs/>
    </w:rPr>
  </w:style>
  <w:style w:type="paragraph" w:styleId="caption1111" w:customStyle="1">
    <w:name w:val="caption1111"/>
    <w:basedOn w:val="Normal"/>
    <w:uiPriority w:val="0"/>
    <w:qFormat/>
    <w:pPr>
      <w:suppressLineNumbers/>
      <w:spacing w:before="120" w:after="120"/>
    </w:pPr>
    <w:rPr>
      <w:rFonts w:cs="Arial"/>
      <w:i/>
      <w:iCs/>
    </w:rPr>
  </w:style>
  <w:style w:type="paragraph" w:styleId="caption111" w:customStyle="1">
    <w:name w:val="caption111"/>
    <w:basedOn w:val="Normal"/>
    <w:uiPriority w:val="0"/>
    <w:qFormat/>
    <w:pPr>
      <w:suppressLineNumbers/>
      <w:spacing w:before="120" w:after="120"/>
    </w:pPr>
    <w:rPr>
      <w:rFonts w:cs="Arial"/>
      <w:i/>
      <w:iCs/>
    </w:rPr>
  </w:style>
  <w:style w:type="paragraph" w:styleId="caption11" w:customStyle="1">
    <w:name w:val="caption11"/>
    <w:basedOn w:val="Normal"/>
    <w:uiPriority w:val="0"/>
    <w:qFormat/>
    <w:pPr>
      <w:suppressLineNumbers/>
      <w:spacing w:before="120" w:after="120"/>
    </w:pPr>
    <w:rPr>
      <w:rFonts w:cs="Arial"/>
      <w:i/>
      <w:iCs/>
    </w:rPr>
  </w:style>
  <w:style w:type="paragraph" w:styleId="caption1" w:customStyle="1">
    <w:name w:val="caption1"/>
    <w:basedOn w:val="Normal"/>
    <w:uiPriority w:val="0"/>
    <w:qFormat/>
    <w:pPr>
      <w:suppressLineNumbers/>
      <w:spacing w:before="120" w:after="120"/>
    </w:pPr>
    <w:rPr>
      <w:rFonts w:cs="Arial"/>
      <w:i/>
      <w:iCs/>
    </w:rPr>
  </w:style>
  <w:style w:type="paragraph" w:styleId="msolistparagraph" w:customStyle="1">
    <w:name w:val="msolistparagraph"/>
    <w:uiPriority w:val="0"/>
    <w:qFormat/>
    <w:pPr>
      <w:widowControl/>
      <w:numPr>
        <w:ilvl w:val="0"/>
        <w:numId w:val="1"/>
      </w:numPr>
      <w:shd w:val="clear" w:color="auto" w:fill="D9D9D9"/>
      <w:suppressAutoHyphens w:val="true"/>
      <w:bidi w:val="0"/>
      <w:spacing w:before="120" w:after="120"/>
      <w:jc w:val="both"/>
    </w:pPr>
    <w:rPr>
      <w:rFonts w:ascii="Arial" w:hAnsi="Arial" w:eastAsia="Times New Roman" w:cs="Times New Roman"/>
      <w:b/>
      <w:bCs/>
      <w:color w:val="auto"/>
      <w:kern w:val="0"/>
      <w:sz w:val="24"/>
      <w:szCs w:val="24"/>
      <w:lang w:val="en-US" w:eastAsia="zh-CN" w:bidi="ar-SA"/>
    </w:rPr>
  </w:style>
  <w:style w:type="paragraph" w:styleId="Corpodetexto23" w:customStyle="1">
    <w:name w:val="Corpo de texto 23"/>
    <w:basedOn w:val="Normal"/>
    <w:uiPriority w:val="0"/>
    <w:qFormat/>
    <w:pPr>
      <w:jc w:val="both"/>
    </w:pPr>
    <w:rPr>
      <w:rFonts w:eastAsia="SimSun"/>
      <w:sz w:val="20"/>
      <w:szCs w:val="20"/>
      <w:lang w:eastAsia="zh-CN"/>
    </w:rPr>
  </w:style>
  <w:style w:type="paragraph" w:styleId="western" w:customStyle="1">
    <w:name w:val="western"/>
    <w:uiPriority w:val="0"/>
    <w:qFormat/>
    <w:pPr>
      <w:widowControl/>
      <w:suppressAutoHyphens w:val="true"/>
      <w:bidi w:val="0"/>
      <w:spacing w:before="0" w:after="0"/>
      <w:jc w:val="left"/>
    </w:pPr>
    <w:rPr>
      <w:rFonts w:ascii="Times New Roman" w:hAnsi="Times New Roman" w:eastAsia="SimSun" w:cs="Times New Roman"/>
      <w:color w:val="auto"/>
      <w:kern w:val="0"/>
      <w:sz w:val="28"/>
      <w:szCs w:val="28"/>
      <w:lang w:val="en-US" w:eastAsia="zh-CN" w:bidi="ar-SA"/>
    </w:rPr>
  </w:style>
  <w:style w:type="table" w:default="1" w:styleId="12">
    <w:name w:val="Normal Table"/>
    <w:uiPriority w:val="99"/>
    <w:semiHidden/>
    <w:unhideWhenUsed/>
    <w:qFormat/>
    <w:tblPr>
      <w:tblCellMar>
        <w:top w:w="0" w:type="dxa"/>
        <w:left w:w="108" w:type="dxa"/>
        <w:bottom w:w="0" w:type="dxa"/>
        <w:right w:w="108" w:type="dxa"/>
      </w:tblCellMar>
    </w:tblPr>
  </w:style>
  <w:style w:type="table" w:styleId="46">
    <w:name w:val="Table Grid"/>
    <w:basedOn w:val="12"/>
    <w:uiPriority w:val="5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LibreOffice/24.8.4.2$Windows_X86_64 LibreOffice_project/bb3cfa12c7b1bf994ecc5649a80400d06cd71002</Application>
  <AppVersion>15.0000</AppVersion>
  <Pages>10</Pages>
  <Words>3515</Words>
  <Characters>20559</Characters>
  <CharactersWithSpaces>23940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2022-07-06T11:45:00Z</dcterms:created>
  <dc:creator>Licitacao</dc:creator>
  <dc:description/>
  <dc:language>pt-BR</dc:language>
  <cp:lastModifiedBy/>
  <cp:lastPrinted>2024-06-13T08:20:00Z</cp:lastPrinted>
  <dcterms:modified xsi:type="dcterms:W3CDTF">2025-01-20T16:06:55Z</dcterms:modified>
  <cp:revision>40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35F62F239C074112B16F2BAD2E17FD47_13</vt:lpwstr>
  </property>
  <property fmtid="{D5CDD505-2E9C-101B-9397-08002B2CF9AE}" pid="3" name="KSOProductBuildVer">
    <vt:lpwstr>1046-12.2.0.19307</vt:lpwstr>
  </property>
</Properties>
</file>