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AA239">
      <w:pPr>
        <w:spacing w:before="0" w:after="0" w:line="360" w:lineRule="auto"/>
        <w:rPr>
          <w:rFonts w:ascii="Times New Roman" w:hAnsi="Times New Roman" w:cs="Arial"/>
          <w:sz w:val="22"/>
          <w:szCs w:val="22"/>
          <w:highlight w:val="none"/>
        </w:rPr>
      </w:pPr>
    </w:p>
    <w:p w14:paraId="774CE248">
      <w:pPr>
        <w:spacing w:before="0" w:after="0" w:line="360" w:lineRule="auto"/>
        <w:jc w:val="center"/>
        <w:rPr>
          <w:sz w:val="22"/>
          <w:szCs w:val="22"/>
          <w:highlight w:val="none"/>
        </w:rPr>
      </w:pPr>
      <w:r>
        <w:rPr>
          <w:rFonts w:ascii="Times New Roman" w:hAnsi="Times New Roman" w:cs="Arial"/>
          <w:b/>
          <w:sz w:val="22"/>
          <w:szCs w:val="22"/>
          <w:highlight w:val="none"/>
        </w:rPr>
        <w:t>TERMO DE REFERÊNCIA</w:t>
      </w:r>
    </w:p>
    <w:p w14:paraId="4E40025C">
      <w:pPr>
        <w:spacing w:before="0" w:after="0" w:line="360" w:lineRule="auto"/>
        <w:rPr>
          <w:rFonts w:ascii="Times New Roman" w:hAnsi="Times New Roman" w:cs="Arial"/>
          <w:sz w:val="22"/>
          <w:szCs w:val="22"/>
          <w:highlight w:val="none"/>
        </w:rPr>
      </w:pPr>
    </w:p>
    <w:p w14:paraId="17DD0D7B">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DESCRIÇÃO DO OBJETO E DA VIGÊNCIA</w:t>
      </w:r>
    </w:p>
    <w:p w14:paraId="20A0D83E">
      <w:pPr>
        <w:spacing w:before="0" w:after="0" w:line="360" w:lineRule="auto"/>
        <w:rPr>
          <w:rFonts w:ascii="Times New Roman" w:hAnsi="Times New Roman" w:cs="Arial"/>
          <w:sz w:val="22"/>
          <w:szCs w:val="22"/>
          <w:highlight w:val="none"/>
        </w:rPr>
      </w:pPr>
    </w:p>
    <w:p w14:paraId="6511E3DE">
      <w:pPr>
        <w:pStyle w:val="36"/>
        <w:numPr>
          <w:ilvl w:val="1"/>
          <w:numId w:val="1"/>
        </w:numPr>
        <w:shd w:val="clear" w:color="auto" w:fill="F1F1F1" w:themeFill="background1" w:themeFillShade="F2"/>
        <w:spacing w:before="0" w:after="0" w:line="360" w:lineRule="auto"/>
        <w:ind w:left="0" w:firstLine="0"/>
        <w:contextualSpacing/>
        <w:rPr>
          <w:sz w:val="22"/>
          <w:szCs w:val="22"/>
          <w:highlight w:val="none"/>
        </w:rPr>
      </w:pPr>
      <w:r>
        <w:rPr>
          <w:rFonts w:ascii="Times New Roman" w:hAnsi="Times New Roman" w:cs="Arial"/>
          <w:b/>
          <w:sz w:val="22"/>
          <w:szCs w:val="22"/>
          <w:highlight w:val="none"/>
        </w:rPr>
        <w:t>DA DESCRIÇÃO DO OBJETO</w:t>
      </w:r>
    </w:p>
    <w:p w14:paraId="3B2DCCB2">
      <w:pPr>
        <w:spacing w:before="0" w:after="0" w:line="360" w:lineRule="auto"/>
        <w:rPr>
          <w:rFonts w:ascii="Times New Roman" w:hAnsi="Times New Roman" w:cs="Arial"/>
          <w:sz w:val="22"/>
          <w:szCs w:val="22"/>
          <w:highlight w:val="none"/>
        </w:rPr>
      </w:pPr>
    </w:p>
    <w:p w14:paraId="4F75D2BA">
      <w:pPr>
        <w:pStyle w:val="36"/>
        <w:numPr>
          <w:ilvl w:val="2"/>
          <w:numId w:val="2"/>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Constitui objeto do presente Termo de Referência, estabelecer as condições e diretrizes que disciplinarão o empenho estimativo para </w:t>
      </w:r>
      <w:r>
        <w:rPr>
          <w:rFonts w:ascii="Times New Roman" w:hAnsi="Times New Roman" w:cs="Arial"/>
          <w:b/>
          <w:sz w:val="22"/>
          <w:szCs w:val="22"/>
          <w:highlight w:val="none"/>
        </w:rPr>
        <w:t>c</w:t>
      </w:r>
      <w:r>
        <w:rPr>
          <w:rFonts w:ascii="Times New Roman" w:hAnsi="Times New Roman" w:cs="Arial"/>
          <w:b/>
          <w:bCs/>
          <w:sz w:val="22"/>
          <w:szCs w:val="22"/>
          <w:highlight w:val="none"/>
        </w:rPr>
        <w:t>ustear as despesas</w:t>
      </w:r>
      <w:r>
        <w:rPr>
          <w:rFonts w:hint="default" w:ascii="Times New Roman" w:hAnsi="Times New Roman" w:cs="Arial"/>
          <w:b/>
          <w:bCs/>
          <w:sz w:val="22"/>
          <w:szCs w:val="22"/>
          <w:highlight w:val="none"/>
          <w:lang w:val="pt-BR"/>
        </w:rPr>
        <w:t xml:space="preserve"> adicionais</w:t>
      </w:r>
      <w:r>
        <w:rPr>
          <w:rFonts w:ascii="Times New Roman" w:hAnsi="Times New Roman" w:cs="Arial"/>
          <w:b/>
          <w:bCs/>
          <w:sz w:val="22"/>
          <w:szCs w:val="22"/>
          <w:highlight w:val="none"/>
        </w:rPr>
        <w:t xml:space="preserve"> decorrentes do consumo de energia elétrica pelas unidades relacionadas à Secretaria Municipal de </w:t>
      </w:r>
      <w:r>
        <w:rPr>
          <w:rFonts w:hint="default" w:ascii="Times New Roman" w:hAnsi="Times New Roman" w:cs="Arial"/>
          <w:b/>
          <w:bCs/>
          <w:sz w:val="22"/>
          <w:szCs w:val="22"/>
          <w:highlight w:val="none"/>
          <w:lang w:val="pt-BR"/>
        </w:rPr>
        <w:t>Turismo, Cultura, Esporte e Lazer</w:t>
      </w:r>
      <w:r>
        <w:rPr>
          <w:rFonts w:ascii="Times New Roman" w:hAnsi="Times New Roman" w:cs="Arial"/>
          <w:b/>
          <w:bCs/>
          <w:sz w:val="22"/>
          <w:szCs w:val="22"/>
          <w:highlight w:val="none"/>
        </w:rPr>
        <w:t>, no exercício de 202</w:t>
      </w:r>
      <w:r>
        <w:rPr>
          <w:rFonts w:hint="default" w:ascii="Times New Roman" w:hAnsi="Times New Roman" w:cs="Arial"/>
          <w:b/>
          <w:bCs/>
          <w:sz w:val="22"/>
          <w:szCs w:val="22"/>
          <w:highlight w:val="none"/>
          <w:lang w:val="pt-BR"/>
        </w:rPr>
        <w:t>5</w:t>
      </w:r>
      <w:r>
        <w:rPr>
          <w:rFonts w:ascii="Times New Roman" w:hAnsi="Times New Roman" w:cs="Arial"/>
          <w:bCs/>
          <w:sz w:val="22"/>
          <w:szCs w:val="22"/>
          <w:highlight w:val="none"/>
        </w:rPr>
        <w:t xml:space="preserve">, em virtude do desempenho de suas atividades, em favor </w:t>
      </w:r>
      <w:r>
        <w:rPr>
          <w:rFonts w:ascii="Times New Roman" w:hAnsi="Times New Roman" w:cs="Arial"/>
          <w:sz w:val="22"/>
          <w:szCs w:val="22"/>
          <w:highlight w:val="none"/>
        </w:rPr>
        <w:t xml:space="preserve">da empresa Luz e Força Santa Maria S/A, </w:t>
      </w:r>
      <w:r>
        <w:rPr>
          <w:rFonts w:ascii="Times New Roman" w:hAnsi="Times New Roman" w:cs="Arial"/>
          <w:bCs/>
          <w:sz w:val="22"/>
          <w:szCs w:val="22"/>
          <w:highlight w:val="none"/>
        </w:rPr>
        <w:t>com fulcro no</w:t>
      </w:r>
      <w:r>
        <w:rPr>
          <w:rFonts w:ascii="Times New Roman" w:hAnsi="Times New Roman" w:cs="Arial" w:eastAsiaTheme="minorEastAsia"/>
          <w:bCs/>
          <w:sz w:val="22"/>
          <w:szCs w:val="22"/>
          <w:highlight w:val="none"/>
          <w:shd w:val="clear" w:fill="auto"/>
        </w:rPr>
        <w:t xml:space="preserve"> art. 60, da Lei Federal nº </w:t>
      </w:r>
      <w:r>
        <w:rPr>
          <w:rFonts w:ascii="Times New Roman" w:hAnsi="Times New Roman" w:cs="Arial" w:eastAsiaTheme="minorEastAsia"/>
          <w:sz w:val="22"/>
          <w:szCs w:val="22"/>
          <w:highlight w:val="none"/>
          <w:shd w:val="clear" w:fill="auto"/>
        </w:rPr>
        <w:t xml:space="preserve">4.320/1964, art. 74, </w:t>
      </w:r>
      <w:r>
        <w:rPr>
          <w:rFonts w:ascii="Times New Roman" w:hAnsi="Times New Roman" w:cs="Arial" w:eastAsiaTheme="minorEastAsia"/>
          <w:i/>
          <w:sz w:val="22"/>
          <w:szCs w:val="22"/>
          <w:highlight w:val="none"/>
          <w:shd w:val="clear" w:fill="auto"/>
        </w:rPr>
        <w:t>caput</w:t>
      </w:r>
      <w:r>
        <w:rPr>
          <w:rFonts w:ascii="Times New Roman" w:hAnsi="Times New Roman" w:cs="Arial" w:eastAsiaTheme="minorEastAsia"/>
          <w:sz w:val="22"/>
          <w:szCs w:val="22"/>
          <w:highlight w:val="none"/>
          <w:shd w:val="clear" w:fill="auto"/>
        </w:rPr>
        <w:t>, da Lei Federal nº 14.133/2021.</w:t>
      </w:r>
    </w:p>
    <w:p w14:paraId="5F689076">
      <w:pPr>
        <w:pStyle w:val="36"/>
        <w:spacing w:before="0" w:after="0" w:line="360" w:lineRule="auto"/>
        <w:ind w:left="0" w:firstLine="0"/>
        <w:contextualSpacing/>
        <w:jc w:val="both"/>
        <w:rPr>
          <w:rFonts w:ascii="Times New Roman" w:hAnsi="Times New Roman" w:cs="Arial" w:eastAsiaTheme="minorEastAsia"/>
          <w:sz w:val="22"/>
          <w:szCs w:val="22"/>
          <w:highlight w:val="none"/>
          <w:shd w:val="clear" w:fill="FFFF00"/>
        </w:rPr>
      </w:pPr>
    </w:p>
    <w:p w14:paraId="39296940">
      <w:pPr>
        <w:pStyle w:val="36"/>
        <w:numPr>
          <w:ilvl w:val="1"/>
          <w:numId w:val="1"/>
        </w:numPr>
        <w:shd w:val="clear" w:color="auto" w:fill="F1F1F1" w:themeFill="background1" w:themeFillShade="F2"/>
        <w:spacing w:before="0" w:after="0" w:line="360" w:lineRule="auto"/>
        <w:ind w:left="0" w:firstLine="0"/>
        <w:contextualSpacing/>
        <w:rPr>
          <w:sz w:val="22"/>
          <w:szCs w:val="22"/>
          <w:highlight w:val="none"/>
        </w:rPr>
      </w:pPr>
      <w:r>
        <w:rPr>
          <w:rFonts w:ascii="Times New Roman" w:hAnsi="Times New Roman" w:cs="Arial"/>
          <w:b/>
          <w:sz w:val="22"/>
          <w:szCs w:val="22"/>
          <w:highlight w:val="none"/>
        </w:rPr>
        <w:t>DAS UNIDADES CONSUMIDORAS</w:t>
      </w:r>
    </w:p>
    <w:p w14:paraId="2074628A">
      <w:pPr>
        <w:pStyle w:val="36"/>
        <w:spacing w:before="0" w:after="0" w:line="360" w:lineRule="auto"/>
        <w:ind w:left="0" w:firstLine="0"/>
        <w:contextualSpacing/>
        <w:jc w:val="both"/>
        <w:rPr>
          <w:rFonts w:ascii="Times New Roman" w:hAnsi="Times New Roman" w:cs="Arial"/>
          <w:sz w:val="22"/>
          <w:szCs w:val="22"/>
          <w:highlight w:val="none"/>
        </w:rPr>
      </w:pPr>
    </w:p>
    <w:p w14:paraId="1C114F69">
      <w:pPr>
        <w:pStyle w:val="36"/>
        <w:numPr>
          <w:ilvl w:val="2"/>
          <w:numId w:val="2"/>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A demanda em questão objetiva o pleno e efetivo funcionamento dos estabelecimentos integrantes da Secretaria Municipal de </w:t>
      </w:r>
      <w:r>
        <w:rPr>
          <w:rFonts w:hint="default" w:ascii="Times New Roman" w:hAnsi="Times New Roman" w:cs="Arial"/>
          <w:sz w:val="22"/>
          <w:szCs w:val="22"/>
          <w:highlight w:val="none"/>
          <w:lang w:val="pt-BR"/>
        </w:rPr>
        <w:t>Turismo, Cultura, Esporte e Lazer</w:t>
      </w:r>
      <w:r>
        <w:rPr>
          <w:rFonts w:ascii="Times New Roman" w:hAnsi="Times New Roman" w:cs="Arial"/>
          <w:sz w:val="22"/>
          <w:szCs w:val="22"/>
          <w:highlight w:val="none"/>
        </w:rPr>
        <w:t>, quais sejam:</w:t>
      </w:r>
    </w:p>
    <w:p w14:paraId="04CFB90F">
      <w:pPr>
        <w:pStyle w:val="36"/>
        <w:spacing w:before="0" w:after="0" w:line="360" w:lineRule="auto"/>
        <w:ind w:left="0" w:firstLine="0"/>
        <w:contextualSpacing/>
        <w:jc w:val="both"/>
        <w:rPr>
          <w:rFonts w:ascii="Times New Roman" w:hAnsi="Times New Roman" w:cs="Arial"/>
          <w:sz w:val="22"/>
          <w:szCs w:val="22"/>
          <w:highlight w:val="none"/>
        </w:rPr>
      </w:pPr>
    </w:p>
    <w:p w14:paraId="4FC5D194">
      <w:pPr>
        <w:pStyle w:val="36"/>
        <w:numPr>
          <w:ilvl w:val="0"/>
          <w:numId w:val="3"/>
        </w:numPr>
        <w:spacing w:before="0" w:after="0" w:line="360" w:lineRule="auto"/>
        <w:ind w:left="0" w:firstLine="0"/>
        <w:contextualSpacing/>
        <w:jc w:val="both"/>
        <w:rPr>
          <w:rFonts w:ascii="Times New Roman" w:hAnsi="Times New Roman" w:cs="Arial"/>
          <w:b/>
          <w:sz w:val="22"/>
          <w:szCs w:val="22"/>
          <w:highlight w:val="none"/>
        </w:rPr>
      </w:pPr>
      <w:r>
        <w:rPr>
          <w:rFonts w:hint="default" w:ascii="Times New Roman" w:hAnsi="Times New Roman" w:cs="Arial"/>
          <w:sz w:val="22"/>
          <w:szCs w:val="22"/>
          <w:highlight w:val="none"/>
          <w:lang w:val="pt-BR"/>
        </w:rPr>
        <w:t>Campo Society Bom de Bola</w:t>
      </w:r>
      <w:r>
        <w:rPr>
          <w:rFonts w:ascii="Times New Roman" w:hAnsi="Times New Roman" w:cs="Arial"/>
          <w:sz w:val="22"/>
          <w:szCs w:val="22"/>
          <w:highlight w:val="none"/>
        </w:rPr>
        <w:t xml:space="preserve">: </w:t>
      </w:r>
      <w:r>
        <w:rPr>
          <w:rFonts w:ascii="Times New Roman" w:hAnsi="Times New Roman" w:cs="Arial"/>
          <w:b/>
          <w:sz w:val="22"/>
          <w:szCs w:val="22"/>
          <w:highlight w:val="none"/>
        </w:rPr>
        <w:t xml:space="preserve">identificação nº </w:t>
      </w:r>
      <w:r>
        <w:rPr>
          <w:rFonts w:ascii="Times New Roman" w:hAnsi="Times New Roman"/>
          <w:b/>
          <w:bCs/>
          <w:sz w:val="22"/>
          <w:szCs w:val="22"/>
          <w:highlight w:val="none"/>
        </w:rPr>
        <w:t>110921</w:t>
      </w:r>
      <w:r>
        <w:rPr>
          <w:rFonts w:ascii="Times New Roman" w:hAnsi="Times New Roman" w:cs="Arial"/>
          <w:b/>
          <w:sz w:val="22"/>
          <w:szCs w:val="22"/>
          <w:highlight w:val="none"/>
        </w:rPr>
        <w:t xml:space="preserve"> </w:t>
      </w:r>
    </w:p>
    <w:p w14:paraId="75CE68EC">
      <w:pPr>
        <w:pStyle w:val="36"/>
        <w:numPr>
          <w:ilvl w:val="0"/>
          <w:numId w:val="0"/>
        </w:numPr>
        <w:spacing w:before="0" w:after="0" w:line="360" w:lineRule="auto"/>
        <w:ind w:leftChars="0"/>
        <w:contextualSpacing/>
        <w:jc w:val="both"/>
        <w:rPr>
          <w:rFonts w:ascii="Times New Roman" w:hAnsi="Times New Roman" w:cs="Arial"/>
          <w:b w:val="0"/>
          <w:bCs w:val="0"/>
          <w:sz w:val="22"/>
          <w:szCs w:val="22"/>
          <w:highlight w:val="none"/>
        </w:rPr>
      </w:pPr>
      <w:r>
        <w:rPr>
          <w:rFonts w:ascii="Times New Roman" w:hAnsi="Times New Roman" w:cs="Arial"/>
          <w:sz w:val="22"/>
          <w:szCs w:val="22"/>
          <w:highlight w:val="none"/>
        </w:rPr>
        <w:t xml:space="preserve">b) </w:t>
      </w:r>
      <w:r>
        <w:rPr>
          <w:rFonts w:hint="default" w:ascii="Times New Roman" w:hAnsi="Times New Roman" w:cs="Arial"/>
          <w:b w:val="0"/>
          <w:bCs w:val="0"/>
          <w:sz w:val="22"/>
          <w:szCs w:val="22"/>
          <w:highlight w:val="none"/>
          <w:lang w:val="pt-BR"/>
        </w:rPr>
        <w:t>Ginásio Poliesportivo</w:t>
      </w:r>
      <w:r>
        <w:rPr>
          <w:rFonts w:ascii="Times New Roman" w:hAnsi="Times New Roman" w:cs="Arial"/>
          <w:b w:val="0"/>
          <w:bCs w:val="0"/>
          <w:sz w:val="22"/>
          <w:szCs w:val="22"/>
          <w:highlight w:val="none"/>
        </w:rPr>
        <w:t xml:space="preserve">: </w:t>
      </w:r>
      <w:r>
        <w:rPr>
          <w:rFonts w:ascii="Times New Roman" w:hAnsi="Times New Roman" w:cs="Arial"/>
          <w:b/>
          <w:sz w:val="22"/>
          <w:szCs w:val="22"/>
          <w:highlight w:val="none"/>
        </w:rPr>
        <w:t xml:space="preserve">identificação nº </w:t>
      </w:r>
      <w:r>
        <w:rPr>
          <w:rFonts w:ascii="Times New Roman" w:hAnsi="Times New Roman"/>
          <w:b/>
          <w:bCs/>
          <w:sz w:val="22"/>
          <w:szCs w:val="22"/>
          <w:highlight w:val="none"/>
        </w:rPr>
        <w:t>45871</w:t>
      </w:r>
      <w:r>
        <w:rPr>
          <w:rFonts w:ascii="Times New Roman" w:hAnsi="Times New Roman" w:cs="Arial"/>
          <w:b/>
          <w:sz w:val="22"/>
          <w:szCs w:val="22"/>
          <w:highlight w:val="none"/>
        </w:rPr>
        <w:t xml:space="preserve"> </w:t>
      </w:r>
    </w:p>
    <w:p w14:paraId="544071FB">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c) Quadra da Saúde:</w:t>
      </w:r>
      <w:r>
        <w:rPr>
          <w:rFonts w:hint="default" w:ascii="Times New Roman" w:hAnsi="Times New Roman" w:cs="Arial"/>
          <w:b/>
          <w:bCs/>
          <w:sz w:val="22"/>
          <w:szCs w:val="22"/>
          <w:highlight w:val="none"/>
          <w:lang w:val="pt-BR"/>
        </w:rPr>
        <w:t xml:space="preserve"> identificação n</w:t>
      </w:r>
      <w:r>
        <w:rPr>
          <w:rFonts w:hint="default" w:ascii="Times New Roman" w:hAnsi="Times New Roman" w:cs="Arial"/>
          <w:b w:val="0"/>
          <w:bCs w:val="0"/>
          <w:sz w:val="22"/>
          <w:szCs w:val="22"/>
          <w:highlight w:val="none"/>
          <w:lang w:val="pt-BR"/>
        </w:rPr>
        <w:t>°</w:t>
      </w:r>
      <w:r>
        <w:rPr>
          <w:rFonts w:hint="default" w:ascii="Times New Roman" w:hAnsi="Times New Roman" w:cs="Arial"/>
          <w:b/>
          <w:bCs/>
          <w:sz w:val="22"/>
          <w:szCs w:val="22"/>
          <w:highlight w:val="none"/>
          <w:lang w:val="pt-BR"/>
        </w:rPr>
        <w:t xml:space="preserve"> </w:t>
      </w:r>
      <w:r>
        <w:rPr>
          <w:rFonts w:ascii="Times New Roman" w:hAnsi="Times New Roman"/>
          <w:b/>
          <w:bCs/>
          <w:sz w:val="22"/>
          <w:szCs w:val="22"/>
          <w:highlight w:val="none"/>
        </w:rPr>
        <w:t>098887</w:t>
      </w:r>
    </w:p>
    <w:p w14:paraId="1DAB73CE">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d) Quadra São Bento: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107620</w:t>
      </w:r>
    </w:p>
    <w:p w14:paraId="2C3A299C">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e) Quadra de Alto Santa Júlia: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120289</w:t>
      </w:r>
    </w:p>
    <w:p w14:paraId="5CB1080C">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f) Quadra São Jacinto: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46693</w:t>
      </w:r>
    </w:p>
    <w:p w14:paraId="190FE49C">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g) Quadra Vila Verde: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46110</w:t>
      </w:r>
    </w:p>
    <w:p w14:paraId="22BC5E2B">
      <w:pPr>
        <w:pStyle w:val="36"/>
        <w:spacing w:before="0" w:after="0" w:line="360" w:lineRule="auto"/>
        <w:ind w:left="0" w:firstLine="0"/>
        <w:contextualSpacing/>
        <w:jc w:val="both"/>
        <w:rPr>
          <w:rFonts w:hint="default" w:ascii="Times New Roman" w:hAnsi="Times New Roman" w:cs="Arial"/>
          <w:b/>
          <w:bCs/>
          <w:sz w:val="22"/>
          <w:szCs w:val="22"/>
          <w:highlight w:val="none"/>
          <w:lang w:val="pt-BR"/>
        </w:rPr>
      </w:pPr>
      <w:r>
        <w:rPr>
          <w:rFonts w:hint="default" w:ascii="Times New Roman" w:hAnsi="Times New Roman" w:cs="Arial"/>
          <w:b w:val="0"/>
          <w:bCs w:val="0"/>
          <w:sz w:val="22"/>
          <w:szCs w:val="22"/>
          <w:highlight w:val="none"/>
          <w:lang w:val="pt-BR"/>
        </w:rPr>
        <w:t xml:space="preserve">h) Quadra Agrovila: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128297</w:t>
      </w:r>
    </w:p>
    <w:p w14:paraId="1A1E1F13">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i) Praça Municipal: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121108</w:t>
      </w:r>
    </w:p>
    <w:p w14:paraId="5FF0CF26">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j) Campo Society São jacinto: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132296</w:t>
      </w:r>
    </w:p>
    <w:p w14:paraId="08489CC6">
      <w:pPr>
        <w:pStyle w:val="36"/>
        <w:spacing w:before="0" w:after="0" w:line="360" w:lineRule="auto"/>
        <w:ind w:left="0" w:firstLine="0"/>
        <w:contextualSpacing/>
        <w:jc w:val="both"/>
        <w:rPr>
          <w:rFonts w:hint="default" w:ascii="Times New Roman" w:hAnsi="Times New Roman" w:cs="Arial"/>
          <w:b/>
          <w:bCs/>
          <w:sz w:val="22"/>
          <w:szCs w:val="22"/>
          <w:highlight w:val="none"/>
          <w:lang w:val="pt-BR"/>
        </w:rPr>
      </w:pPr>
      <w:r>
        <w:rPr>
          <w:rFonts w:hint="default" w:ascii="Times New Roman" w:hAnsi="Times New Roman" w:cs="Arial"/>
          <w:b w:val="0"/>
          <w:bCs w:val="0"/>
          <w:sz w:val="22"/>
          <w:szCs w:val="22"/>
          <w:highlight w:val="none"/>
          <w:lang w:val="pt-BR"/>
        </w:rPr>
        <w:t xml:space="preserve">k) Torre de TV Córrego Santa Júlia: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w:t>
      </w:r>
      <w:r>
        <w:rPr>
          <w:rFonts w:hint="default" w:ascii="Times New Roman" w:hAnsi="Times New Roman" w:cs="Arial"/>
          <w:b/>
          <w:bCs/>
          <w:sz w:val="22"/>
          <w:szCs w:val="22"/>
          <w:highlight w:val="none"/>
          <w:lang w:val="pt-BR"/>
        </w:rPr>
        <w:t xml:space="preserve"> </w:t>
      </w:r>
      <w:r>
        <w:rPr>
          <w:rFonts w:ascii="Times New Roman" w:hAnsi="Times New Roman"/>
          <w:b/>
          <w:bCs/>
          <w:sz w:val="22"/>
          <w:szCs w:val="22"/>
          <w:highlight w:val="none"/>
        </w:rPr>
        <w:t>01247</w:t>
      </w:r>
    </w:p>
    <w:p w14:paraId="425A75DF">
      <w:pPr>
        <w:pStyle w:val="36"/>
        <w:spacing w:before="0" w:after="0" w:line="360" w:lineRule="auto"/>
        <w:ind w:left="0" w:firstLine="0"/>
        <w:contextualSpacing/>
        <w:jc w:val="both"/>
        <w:rPr>
          <w:rFonts w:hint="default" w:ascii="Times New Roman" w:hAnsi="Times New Roman" w:cs="Arial"/>
          <w:b/>
          <w:bCs/>
          <w:sz w:val="22"/>
          <w:szCs w:val="22"/>
          <w:highlight w:val="none"/>
          <w:lang w:val="pt-BR"/>
        </w:rPr>
      </w:pPr>
      <w:r>
        <w:rPr>
          <w:rFonts w:hint="default" w:ascii="Times New Roman" w:hAnsi="Times New Roman" w:cs="Arial"/>
          <w:b w:val="0"/>
          <w:bCs w:val="0"/>
          <w:sz w:val="22"/>
          <w:szCs w:val="22"/>
          <w:highlight w:val="none"/>
          <w:lang w:val="pt-BR"/>
        </w:rPr>
        <w:t xml:space="preserve">l) Torre de TV: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46992</w:t>
      </w:r>
    </w:p>
    <w:p w14:paraId="463EC32F">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m) Campo Society Tancredo: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w:t>
      </w:r>
      <w:r>
        <w:rPr>
          <w:rFonts w:hint="default" w:ascii="Times New Roman" w:hAnsi="Times New Roman" w:cs="Arial"/>
          <w:b/>
          <w:bCs/>
          <w:sz w:val="22"/>
          <w:szCs w:val="22"/>
          <w:highlight w:val="none"/>
          <w:lang w:val="pt-BR"/>
        </w:rPr>
        <w:t xml:space="preserve"> </w:t>
      </w:r>
      <w:r>
        <w:rPr>
          <w:rFonts w:ascii="Times New Roman" w:hAnsi="Times New Roman"/>
          <w:b/>
          <w:bCs/>
          <w:sz w:val="22"/>
          <w:szCs w:val="22"/>
          <w:highlight w:val="none"/>
        </w:rPr>
        <w:t>143656</w:t>
      </w:r>
    </w:p>
    <w:p w14:paraId="3F974D22">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n) Quadra Vila Espanhola: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142046</w:t>
      </w:r>
    </w:p>
    <w:p w14:paraId="4ED2D3C6">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p>
    <w:p w14:paraId="2EED4FF3">
      <w:pPr>
        <w:pStyle w:val="36"/>
        <w:spacing w:before="0" w:after="0" w:line="360" w:lineRule="auto"/>
        <w:ind w:left="0" w:firstLine="0"/>
        <w:contextualSpacing/>
        <w:jc w:val="both"/>
        <w:rPr>
          <w:rFonts w:ascii="Times New Roman" w:hAnsi="Times New Roman" w:cs="Arial"/>
          <w:sz w:val="22"/>
          <w:szCs w:val="22"/>
          <w:highlight w:val="none"/>
        </w:rPr>
      </w:pPr>
    </w:p>
    <w:p w14:paraId="64756AA2">
      <w:pPr>
        <w:pStyle w:val="36"/>
        <w:numPr>
          <w:ilvl w:val="1"/>
          <w:numId w:val="1"/>
        </w:numPr>
        <w:shd w:val="clear" w:color="auto" w:fill="F1F1F1" w:themeFill="background1" w:themeFillShade="F2"/>
        <w:spacing w:before="0" w:after="0" w:line="360" w:lineRule="auto"/>
        <w:ind w:left="0" w:firstLine="0"/>
        <w:contextualSpacing/>
        <w:rPr>
          <w:sz w:val="22"/>
          <w:szCs w:val="22"/>
          <w:highlight w:val="none"/>
        </w:rPr>
      </w:pPr>
      <w:r>
        <w:rPr>
          <w:rFonts w:ascii="Times New Roman" w:hAnsi="Times New Roman" w:cs="Arial"/>
          <w:b/>
          <w:sz w:val="22"/>
          <w:szCs w:val="22"/>
          <w:highlight w:val="none"/>
        </w:rPr>
        <w:t>DA VIGÊNCIA</w:t>
      </w:r>
    </w:p>
    <w:p w14:paraId="33026925">
      <w:pPr>
        <w:spacing w:before="0" w:after="0" w:line="360" w:lineRule="auto"/>
        <w:rPr>
          <w:rFonts w:ascii="Times New Roman" w:hAnsi="Times New Roman" w:cs="Arial"/>
          <w:sz w:val="22"/>
          <w:szCs w:val="22"/>
          <w:highlight w:val="none"/>
        </w:rPr>
      </w:pPr>
    </w:p>
    <w:p w14:paraId="203FBA4D">
      <w:pPr>
        <w:pStyle w:val="36"/>
        <w:numPr>
          <w:ilvl w:val="2"/>
          <w:numId w:val="1"/>
        </w:numPr>
        <w:spacing w:before="0" w:after="0" w:line="360" w:lineRule="auto"/>
        <w:ind w:left="0" w:firstLine="0"/>
        <w:contextualSpacing/>
        <w:jc w:val="both"/>
        <w:rPr>
          <w:rFonts w:hint="default" w:ascii="Times New Roman" w:hAnsi="Times New Roman" w:cs="Times New Roman"/>
          <w:sz w:val="22"/>
          <w:szCs w:val="22"/>
          <w:highlight w:val="none"/>
        </w:rPr>
      </w:pPr>
      <w:r>
        <w:rPr>
          <w:rFonts w:hint="default" w:ascii="Times New Roman" w:hAnsi="Times New Roman" w:eastAsia="SimSun" w:cs="Times New Roman"/>
          <w:sz w:val="22"/>
          <w:szCs w:val="22"/>
          <w:highlight w:val="none"/>
        </w:rPr>
        <w:t>O empenho estimativo deverá ser efetuado para a conclusão do exercício da Secretaria Municipal de Turismo, Cultura, Esporte e Lazer no ano de 202</w:t>
      </w:r>
      <w:r>
        <w:rPr>
          <w:rFonts w:hint="default" w:ascii="Times New Roman" w:hAnsi="Times New Roman" w:eastAsia="SimSun" w:cs="Times New Roman"/>
          <w:sz w:val="22"/>
          <w:szCs w:val="22"/>
          <w:highlight w:val="none"/>
          <w:lang w:val="pt-BR"/>
        </w:rPr>
        <w:t>5</w:t>
      </w:r>
      <w:r>
        <w:rPr>
          <w:rFonts w:hint="default" w:ascii="Times New Roman" w:hAnsi="Times New Roman" w:eastAsia="SimSun" w:cs="Times New Roman"/>
          <w:sz w:val="22"/>
          <w:szCs w:val="22"/>
          <w:highlight w:val="none"/>
        </w:rPr>
        <w:t>. A vigência deste empenho está prevista para cobrir as despesas referentes ao consumo de energia elétrica até o término do referido an</w:t>
      </w:r>
      <w:r>
        <w:rPr>
          <w:rFonts w:hint="default" w:ascii="Times New Roman" w:hAnsi="Times New Roman" w:eastAsia="SimSun" w:cs="Times New Roman"/>
          <w:sz w:val="22"/>
          <w:szCs w:val="22"/>
          <w:highlight w:val="none"/>
          <w:lang w:val="pt-BR"/>
        </w:rPr>
        <w:t>o.</w:t>
      </w:r>
    </w:p>
    <w:p w14:paraId="54C92BFA">
      <w:pPr>
        <w:spacing w:before="0" w:after="0" w:line="360" w:lineRule="auto"/>
        <w:rPr>
          <w:rFonts w:ascii="Times New Roman" w:hAnsi="Times New Roman" w:cs="Arial"/>
          <w:sz w:val="22"/>
          <w:szCs w:val="22"/>
          <w:highlight w:val="none"/>
        </w:rPr>
      </w:pPr>
    </w:p>
    <w:p w14:paraId="29680252">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OBJETIVO E DA JUSTIFICATIVA</w:t>
      </w:r>
    </w:p>
    <w:p w14:paraId="6CF2ED4B">
      <w:pPr>
        <w:spacing w:before="0" w:after="0" w:line="360" w:lineRule="auto"/>
        <w:rPr>
          <w:rFonts w:ascii="Times New Roman" w:hAnsi="Times New Roman" w:cs="Arial"/>
          <w:sz w:val="22"/>
          <w:szCs w:val="22"/>
          <w:highlight w:val="none"/>
        </w:rPr>
      </w:pPr>
    </w:p>
    <w:p w14:paraId="1F2B3DAA">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14:paraId="7A98EA63">
      <w:pPr>
        <w:spacing w:before="0" w:after="0" w:line="360" w:lineRule="auto"/>
        <w:rPr>
          <w:rFonts w:ascii="Times New Roman" w:hAnsi="Times New Roman" w:cs="Arial"/>
          <w:sz w:val="22"/>
          <w:szCs w:val="22"/>
          <w:highlight w:val="none"/>
        </w:rPr>
      </w:pPr>
    </w:p>
    <w:p w14:paraId="47E77295">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14:paraId="4410110A">
      <w:pPr>
        <w:spacing w:before="0" w:after="0" w:line="360" w:lineRule="auto"/>
        <w:rPr>
          <w:rFonts w:ascii="Times New Roman" w:hAnsi="Times New Roman" w:cs="Arial"/>
          <w:sz w:val="22"/>
          <w:szCs w:val="22"/>
          <w:highlight w:val="none"/>
        </w:rPr>
      </w:pPr>
    </w:p>
    <w:p w14:paraId="20D52BF5">
      <w:pPr>
        <w:pStyle w:val="36"/>
        <w:numPr>
          <w:ilvl w:val="1"/>
          <w:numId w:val="4"/>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ascii="Times New Roman" w:hAnsi="Times New Roman" w:cs="Arial"/>
          <w:b/>
          <w:sz w:val="22"/>
          <w:szCs w:val="22"/>
          <w:highlight w:val="none"/>
        </w:rPr>
        <w:t>vedada a realização de despesas sem prévio empenho.</w:t>
      </w:r>
      <w:r>
        <w:rPr>
          <w:rFonts w:ascii="Times New Roman" w:hAnsi="Times New Roman" w:cs="Arial"/>
          <w:sz w:val="22"/>
          <w:szCs w:val="22"/>
          <w:highlight w:val="none"/>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14:paraId="6F0F605B">
      <w:pPr>
        <w:pStyle w:val="12"/>
        <w:spacing w:before="0" w:beforeAutospacing="0" w:after="0" w:afterAutospacing="0" w:line="360" w:lineRule="auto"/>
        <w:jc w:val="both"/>
        <w:rPr>
          <w:rFonts w:ascii="Times New Roman" w:hAnsi="Times New Roman" w:cs="Arial"/>
          <w:sz w:val="22"/>
          <w:szCs w:val="22"/>
          <w:highlight w:val="none"/>
        </w:rPr>
      </w:pPr>
    </w:p>
    <w:p w14:paraId="545EFC05">
      <w:pPr>
        <w:pStyle w:val="12"/>
        <w:numPr>
          <w:ilvl w:val="1"/>
          <w:numId w:val="4"/>
        </w:numPr>
        <w:spacing w:before="0" w:beforeAutospacing="0" w:after="0" w:afterAutospacing="0" w:line="360" w:lineRule="auto"/>
        <w:ind w:left="0" w:firstLine="0"/>
        <w:jc w:val="both"/>
        <w:rPr>
          <w:sz w:val="22"/>
          <w:szCs w:val="22"/>
          <w:highlight w:val="none"/>
        </w:rPr>
      </w:pPr>
      <w:r>
        <w:rPr>
          <w:rFonts w:cs="Arial"/>
          <w:sz w:val="22"/>
          <w:szCs w:val="22"/>
          <w:highlight w:val="none"/>
        </w:rPr>
        <w:t xml:space="preserve">Nessa perspectiva, o art. 60, §2º, da Lei Federal nº 4.320/1964, disciplina que, nas hipóteses de o montante da despesa não for possível ser determinado, será feito o </w:t>
      </w:r>
      <w:r>
        <w:rPr>
          <w:rFonts w:cs="Arial"/>
          <w:b/>
          <w:sz w:val="22"/>
          <w:szCs w:val="22"/>
          <w:highlight w:val="none"/>
        </w:rPr>
        <w:t>empenho por estimativa.</w:t>
      </w:r>
      <w:r>
        <w:rPr>
          <w:rFonts w:cs="Arial"/>
          <w:sz w:val="22"/>
          <w:szCs w:val="22"/>
          <w:highlight w:val="none"/>
        </w:rPr>
        <w:t xml:space="preserve"> Tem-se, portanto, como aquele em que </w:t>
      </w:r>
      <w:r>
        <w:rPr>
          <w:rFonts w:cs="Arial"/>
          <w:b/>
          <w:sz w:val="22"/>
          <w:szCs w:val="22"/>
          <w:highlight w:val="none"/>
        </w:rPr>
        <w:t>não se pode determinar previamente o montante exato a ser pago</w:t>
      </w:r>
      <w:r>
        <w:rPr>
          <w:rFonts w:cs="Arial"/>
          <w:sz w:val="22"/>
          <w:szCs w:val="22"/>
          <w:highlight w:val="none"/>
        </w:rPr>
        <w:t>, como ocorre, em particular, com as contas de água, luz, gás e telefone.</w:t>
      </w:r>
    </w:p>
    <w:p w14:paraId="3128F8EC">
      <w:pPr>
        <w:pStyle w:val="12"/>
        <w:spacing w:before="0" w:beforeAutospacing="0" w:after="0" w:afterAutospacing="0" w:line="360" w:lineRule="auto"/>
        <w:jc w:val="both"/>
        <w:rPr>
          <w:rFonts w:ascii="Times New Roman" w:hAnsi="Times New Roman" w:cs="Arial"/>
          <w:sz w:val="22"/>
          <w:szCs w:val="22"/>
          <w:highlight w:val="none"/>
        </w:rPr>
      </w:pPr>
    </w:p>
    <w:p w14:paraId="4258B6BD">
      <w:pPr>
        <w:pStyle w:val="12"/>
        <w:numPr>
          <w:ilvl w:val="1"/>
          <w:numId w:val="4"/>
        </w:numPr>
        <w:spacing w:before="0" w:beforeAutospacing="0" w:after="0" w:afterAutospacing="0" w:line="360" w:lineRule="auto"/>
        <w:ind w:left="0" w:firstLine="0"/>
        <w:jc w:val="both"/>
        <w:rPr>
          <w:sz w:val="22"/>
          <w:szCs w:val="22"/>
          <w:highlight w:val="none"/>
        </w:rPr>
      </w:pPr>
      <w:r>
        <w:rPr>
          <w:rFonts w:cs="Arial"/>
          <w:sz w:val="22"/>
          <w:szCs w:val="22"/>
          <w:highlight w:val="none"/>
        </w:rPr>
        <w:t xml:space="preserve">Ademais, a Lei Federal nº 14.133, por meio do art. 74, </w:t>
      </w:r>
      <w:r>
        <w:rPr>
          <w:rFonts w:cs="Arial"/>
          <w:i/>
          <w:sz w:val="22"/>
          <w:szCs w:val="22"/>
          <w:highlight w:val="none"/>
        </w:rPr>
        <w:t>caput</w:t>
      </w:r>
      <w:r>
        <w:rPr>
          <w:rFonts w:cs="Arial"/>
          <w:sz w:val="22"/>
          <w:szCs w:val="22"/>
          <w:highlight w:val="none"/>
        </w:rPr>
        <w:t>, determina a inexigibilidade de licitação nas hipóteses de ser inviável a competição. Desse modo, com base no Contrato de Concessão de Distribuição nº 20/99, celebrado entre a União e a Empresa Luz e Força Santa Maria S.A., cuja vigência se estende até 07 de julho de 2045, do qual o Município de São Roque do Canaã é integrante das áreas de concessão, torna-se evidente a exceção à regra.</w:t>
      </w:r>
    </w:p>
    <w:p w14:paraId="799AFE27">
      <w:pPr>
        <w:pStyle w:val="12"/>
        <w:spacing w:before="0" w:beforeAutospacing="0" w:after="0" w:afterAutospacing="0" w:line="360" w:lineRule="auto"/>
        <w:jc w:val="both"/>
        <w:rPr>
          <w:rFonts w:ascii="Times New Roman" w:hAnsi="Times New Roman" w:cs="Arial"/>
          <w:sz w:val="22"/>
          <w:szCs w:val="22"/>
          <w:highlight w:val="none"/>
        </w:rPr>
      </w:pPr>
    </w:p>
    <w:p w14:paraId="6B03189A">
      <w:pPr>
        <w:pStyle w:val="12"/>
        <w:numPr>
          <w:ilvl w:val="1"/>
          <w:numId w:val="4"/>
        </w:numPr>
        <w:spacing w:before="0" w:beforeAutospacing="0" w:after="0" w:afterAutospacing="0" w:line="360" w:lineRule="auto"/>
        <w:ind w:left="0" w:firstLine="0"/>
        <w:jc w:val="both"/>
        <w:rPr>
          <w:sz w:val="22"/>
          <w:szCs w:val="22"/>
          <w:highlight w:val="none"/>
        </w:rPr>
      </w:pPr>
      <w:r>
        <w:rPr>
          <w:rFonts w:cs="Arial"/>
          <w:sz w:val="22"/>
          <w:szCs w:val="22"/>
          <w:highlight w:val="none"/>
        </w:rPr>
        <w:t xml:space="preserve">Assim, por consequência, dada à natureza do objeto em questão, </w:t>
      </w:r>
      <w:r>
        <w:rPr>
          <w:rFonts w:cs="Arial"/>
          <w:b/>
          <w:sz w:val="22"/>
          <w:szCs w:val="22"/>
          <w:highlight w:val="none"/>
        </w:rPr>
        <w:t>dispensa-se a elaboração do Estudo Técnico Preliminar (ETP)</w:t>
      </w:r>
      <w:r>
        <w:rPr>
          <w:rFonts w:cs="Arial"/>
          <w:sz w:val="22"/>
          <w:szCs w:val="22"/>
          <w:highlight w:val="none"/>
        </w:rPr>
        <w:t xml:space="preserve">, vez que a </w:t>
      </w:r>
      <w:r>
        <w:rPr>
          <w:rFonts w:cs="Arial"/>
          <w:b/>
          <w:sz w:val="22"/>
          <w:szCs w:val="22"/>
          <w:highlight w:val="none"/>
        </w:rPr>
        <w:t>solução adequada</w:t>
      </w:r>
      <w:r>
        <w:rPr>
          <w:rFonts w:cs="Arial"/>
          <w:sz w:val="22"/>
          <w:szCs w:val="22"/>
          <w:highlight w:val="none"/>
        </w:rPr>
        <w:t xml:space="preserve"> para o custeio das despesas decorrentes do consumo de energia elétrica pelas unidades relativas à Secretaria Municipal de Saúde, </w:t>
      </w:r>
      <w:r>
        <w:rPr>
          <w:rFonts w:cs="Arial"/>
          <w:b/>
          <w:sz w:val="22"/>
          <w:szCs w:val="22"/>
          <w:highlight w:val="none"/>
        </w:rPr>
        <w:t>é a realização de</w:t>
      </w:r>
      <w:r>
        <w:rPr>
          <w:rFonts w:cs="Arial"/>
          <w:sz w:val="22"/>
          <w:szCs w:val="22"/>
          <w:highlight w:val="none"/>
        </w:rPr>
        <w:t xml:space="preserve"> </w:t>
      </w:r>
      <w:r>
        <w:rPr>
          <w:rFonts w:cs="Arial"/>
          <w:b/>
          <w:sz w:val="22"/>
          <w:szCs w:val="22"/>
          <w:highlight w:val="none"/>
        </w:rPr>
        <w:t>empenho estimativo</w:t>
      </w:r>
      <w:r>
        <w:rPr>
          <w:rFonts w:cs="Arial"/>
          <w:bCs/>
          <w:sz w:val="22"/>
          <w:szCs w:val="22"/>
          <w:highlight w:val="none"/>
        </w:rPr>
        <w:t xml:space="preserve">, com fulcro no art. 60, da Lei Federal nº </w:t>
      </w:r>
      <w:r>
        <w:rPr>
          <w:rFonts w:cs="Arial"/>
          <w:sz w:val="22"/>
          <w:szCs w:val="22"/>
          <w:highlight w:val="none"/>
        </w:rPr>
        <w:t xml:space="preserve">4.320/1964 e art. 74, </w:t>
      </w:r>
      <w:r>
        <w:rPr>
          <w:rFonts w:cs="Arial"/>
          <w:i/>
          <w:sz w:val="22"/>
          <w:szCs w:val="22"/>
          <w:highlight w:val="none"/>
        </w:rPr>
        <w:t>caput</w:t>
      </w:r>
      <w:r>
        <w:rPr>
          <w:rFonts w:cs="Arial"/>
          <w:sz w:val="22"/>
          <w:szCs w:val="22"/>
          <w:highlight w:val="none"/>
        </w:rPr>
        <w:t>, da Lei Federal nº 14.133/2021.</w:t>
      </w:r>
    </w:p>
    <w:p w14:paraId="276670FC">
      <w:pPr>
        <w:pStyle w:val="36"/>
        <w:spacing w:before="0" w:after="0" w:line="360" w:lineRule="auto"/>
        <w:ind w:left="0" w:firstLine="0"/>
        <w:contextualSpacing/>
        <w:jc w:val="both"/>
        <w:rPr>
          <w:rFonts w:ascii="Times New Roman" w:hAnsi="Times New Roman" w:cs="Arial"/>
          <w:sz w:val="22"/>
          <w:szCs w:val="22"/>
          <w:highlight w:val="none"/>
        </w:rPr>
      </w:pPr>
    </w:p>
    <w:p w14:paraId="6073B7B5">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Justificando, o presente Termo de Referência visa </w:t>
      </w:r>
      <w:r>
        <w:rPr>
          <w:rFonts w:ascii="Times New Roman" w:hAnsi="Times New Roman" w:cs="Arial"/>
          <w:b/>
          <w:sz w:val="22"/>
          <w:szCs w:val="22"/>
          <w:highlight w:val="none"/>
        </w:rPr>
        <w:t xml:space="preserve">esclarecer e direcionar os procedimentos essenciais para a Inexigibilidade de Licitação e realização de Empenho por estimativa, </w:t>
      </w:r>
      <w:r>
        <w:rPr>
          <w:rFonts w:ascii="Times New Roman" w:hAnsi="Times New Roman" w:cs="Arial"/>
          <w:sz w:val="22"/>
          <w:szCs w:val="22"/>
          <w:highlight w:val="none"/>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14:paraId="1239CA11">
      <w:pPr>
        <w:spacing w:before="0" w:after="0" w:line="360" w:lineRule="auto"/>
        <w:rPr>
          <w:rFonts w:ascii="Times New Roman" w:hAnsi="Times New Roman" w:cs="Arial"/>
          <w:sz w:val="22"/>
          <w:szCs w:val="22"/>
          <w:highlight w:val="none"/>
        </w:rPr>
      </w:pPr>
    </w:p>
    <w:p w14:paraId="2200F903">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FORMALIZAÇÃO DA ATA DE REGISTRO DE PREÇOS, DOS USUÁRIOS DO REGISTRO DE PREÇOS E DO FORNECIMENTO</w:t>
      </w:r>
    </w:p>
    <w:p w14:paraId="4E8ACA58">
      <w:pPr>
        <w:spacing w:before="0" w:after="0" w:line="360" w:lineRule="auto"/>
        <w:rPr>
          <w:rFonts w:ascii="Times New Roman" w:hAnsi="Times New Roman" w:cs="Arial"/>
          <w:sz w:val="22"/>
          <w:szCs w:val="22"/>
          <w:highlight w:val="none"/>
        </w:rPr>
      </w:pPr>
    </w:p>
    <w:p w14:paraId="02F0612C">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r>
        <w:rPr>
          <w:rFonts w:ascii="Times New Roman" w:hAnsi="Times New Roman" w:cs="Arial"/>
          <w:sz w:val="22"/>
          <w:szCs w:val="22"/>
          <w:highlight w:val="none"/>
        </w:rPr>
        <w:t>.</w:t>
      </w:r>
    </w:p>
    <w:p w14:paraId="33E22D01">
      <w:pPr>
        <w:spacing w:before="0" w:after="0" w:line="360" w:lineRule="auto"/>
        <w:rPr>
          <w:rFonts w:ascii="Times New Roman" w:hAnsi="Times New Roman" w:cs="Arial"/>
          <w:sz w:val="22"/>
          <w:szCs w:val="22"/>
          <w:highlight w:val="none"/>
        </w:rPr>
      </w:pPr>
    </w:p>
    <w:p w14:paraId="3DE4F72B">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OBJETO LICITADO</w:t>
      </w:r>
    </w:p>
    <w:p w14:paraId="468EFAF8">
      <w:pPr>
        <w:spacing w:before="0" w:after="0" w:line="360" w:lineRule="auto"/>
        <w:rPr>
          <w:rFonts w:ascii="Times New Roman" w:hAnsi="Times New Roman" w:cs="Arial"/>
          <w:sz w:val="22"/>
          <w:szCs w:val="22"/>
          <w:highlight w:val="none"/>
        </w:rPr>
      </w:pPr>
    </w:p>
    <w:p w14:paraId="0911FFC7">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 SOLUÇÃO E DO CICLO DE VIDA DO OBJETO</w:t>
      </w:r>
    </w:p>
    <w:p w14:paraId="400DB8AC">
      <w:pPr>
        <w:spacing w:before="0" w:after="0" w:line="360" w:lineRule="auto"/>
        <w:rPr>
          <w:rFonts w:ascii="Times New Roman" w:hAnsi="Times New Roman" w:cs="Arial"/>
          <w:sz w:val="22"/>
          <w:szCs w:val="22"/>
          <w:highlight w:val="none"/>
        </w:rPr>
      </w:pPr>
    </w:p>
    <w:p w14:paraId="71D4C916">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 xml:space="preserve">A descrição da solução como um todo se encontra pormenorizada na Lei Federal nº 14.133/2021, na Lei Federal nº 4.320/1964, no </w:t>
      </w:r>
      <w:r>
        <w:rPr>
          <w:rFonts w:ascii="Times New Roman" w:hAnsi="Times New Roman" w:cs="Arial"/>
          <w:sz w:val="22"/>
          <w:szCs w:val="22"/>
          <w:highlight w:val="none"/>
        </w:rPr>
        <w:t>Concessão de Distribuição nº 20/99</w:t>
      </w:r>
      <w:r>
        <w:rPr>
          <w:rFonts w:ascii="Times New Roman" w:hAnsi="Times New Roman" w:cs="Arial"/>
          <w:b/>
          <w:sz w:val="22"/>
          <w:szCs w:val="22"/>
          <w:highlight w:val="none"/>
        </w:rPr>
        <w:t xml:space="preserve"> e demais normativas vigentes, inclusive municipais, bem como no Documento de Formalização de Demanda</w:t>
      </w:r>
      <w:r>
        <w:rPr>
          <w:rFonts w:ascii="Times New Roman" w:hAnsi="Times New Roman" w:cs="Arial"/>
          <w:sz w:val="22"/>
          <w:szCs w:val="22"/>
          <w:highlight w:val="none"/>
        </w:rPr>
        <w:t>, qual seja a inexigibilidade de licitação e a realização de empenho por estimativa para custear as despesas decorrentes do consumo de energia elétrica.</w:t>
      </w:r>
    </w:p>
    <w:p w14:paraId="2F089E8B">
      <w:pPr>
        <w:pStyle w:val="36"/>
        <w:spacing w:before="0" w:after="0" w:line="360" w:lineRule="auto"/>
        <w:ind w:left="0" w:firstLine="0"/>
        <w:contextualSpacing/>
        <w:jc w:val="both"/>
        <w:rPr>
          <w:rFonts w:ascii="Times New Roman" w:hAnsi="Times New Roman" w:cs="Arial"/>
          <w:sz w:val="22"/>
          <w:szCs w:val="22"/>
          <w:highlight w:val="none"/>
        </w:rPr>
      </w:pPr>
    </w:p>
    <w:p w14:paraId="1CB7185F">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DOS REQUISITOS DA CONTRATAÇÃO</w:t>
      </w:r>
    </w:p>
    <w:p w14:paraId="1E0FA41F">
      <w:pPr>
        <w:spacing w:before="0" w:after="0" w:line="360" w:lineRule="auto"/>
        <w:jc w:val="both"/>
        <w:rPr>
          <w:rFonts w:ascii="Times New Roman" w:hAnsi="Times New Roman" w:cs="Arial"/>
          <w:sz w:val="22"/>
          <w:szCs w:val="22"/>
          <w:highlight w:val="none"/>
        </w:rPr>
      </w:pPr>
    </w:p>
    <w:p w14:paraId="05811C70">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A contratação será realizada em razão da necessidade de custeio das despesas decorrentes do consumo de energia elétrica pelas unidades relacionadas à Secretaria Municipal de </w:t>
      </w:r>
      <w:r>
        <w:rPr>
          <w:rFonts w:hint="default" w:ascii="Times New Roman" w:hAnsi="Times New Roman" w:cs="Arial"/>
          <w:sz w:val="22"/>
          <w:szCs w:val="22"/>
          <w:highlight w:val="none"/>
          <w:lang w:val="pt-BR"/>
        </w:rPr>
        <w:t>Turismo, Cultura, Esporte e Lazer</w:t>
      </w:r>
      <w:r>
        <w:rPr>
          <w:rFonts w:ascii="Times New Roman" w:hAnsi="Times New Roman" w:cs="Arial"/>
          <w:sz w:val="22"/>
          <w:szCs w:val="22"/>
          <w:highlight w:val="none"/>
        </w:rPr>
        <w:t>, no exercício de 202</w:t>
      </w:r>
      <w:r>
        <w:rPr>
          <w:rFonts w:hint="default" w:ascii="Times New Roman" w:hAnsi="Times New Roman" w:cs="Arial"/>
          <w:sz w:val="22"/>
          <w:szCs w:val="22"/>
          <w:highlight w:val="none"/>
          <w:lang w:val="pt-BR"/>
        </w:rPr>
        <w:t>5</w:t>
      </w:r>
      <w:r>
        <w:rPr>
          <w:rFonts w:ascii="Times New Roman" w:hAnsi="Times New Roman" w:cs="Arial"/>
          <w:sz w:val="22"/>
          <w:szCs w:val="22"/>
          <w:highlight w:val="none"/>
        </w:rPr>
        <w:t>, em virtude do desempenho de suas atividades.</w:t>
      </w:r>
    </w:p>
    <w:p w14:paraId="3BCE4D9B">
      <w:pPr>
        <w:spacing w:before="0" w:after="0" w:line="360" w:lineRule="auto"/>
        <w:jc w:val="both"/>
        <w:rPr>
          <w:rFonts w:ascii="Times New Roman" w:hAnsi="Times New Roman" w:cs="Arial"/>
          <w:sz w:val="22"/>
          <w:szCs w:val="22"/>
          <w:highlight w:val="none"/>
        </w:rPr>
      </w:pPr>
    </w:p>
    <w:p w14:paraId="243E2122">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A demanda em comento leva em conta a necessidade da Secretaria para o exercício financeiro de 202</w:t>
      </w:r>
      <w:r>
        <w:rPr>
          <w:rFonts w:hint="default" w:ascii="Times New Roman" w:hAnsi="Times New Roman" w:cs="Arial"/>
          <w:sz w:val="22"/>
          <w:szCs w:val="22"/>
          <w:highlight w:val="none"/>
          <w:lang w:val="pt-BR"/>
        </w:rPr>
        <w:t>5</w:t>
      </w:r>
      <w:r>
        <w:rPr>
          <w:rFonts w:ascii="Times New Roman" w:hAnsi="Times New Roman" w:cs="Arial"/>
          <w:sz w:val="22"/>
          <w:szCs w:val="22"/>
          <w:highlight w:val="none"/>
        </w:rPr>
        <w:t>.</w:t>
      </w:r>
    </w:p>
    <w:p w14:paraId="09263A73">
      <w:pPr>
        <w:pStyle w:val="36"/>
        <w:spacing w:before="0" w:after="0" w:line="360" w:lineRule="auto"/>
        <w:ind w:left="0" w:firstLine="0"/>
        <w:contextualSpacing/>
        <w:jc w:val="both"/>
        <w:rPr>
          <w:rFonts w:ascii="Times New Roman" w:hAnsi="Times New Roman" w:cs="Arial"/>
          <w:sz w:val="22"/>
          <w:szCs w:val="22"/>
          <w:highlight w:val="none"/>
        </w:rPr>
      </w:pPr>
    </w:p>
    <w:p w14:paraId="3C70A1AB">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Para a demanda em questão, se necessário, será aferida a verificação da habilitação social, fiscal, trabalhista e técnica da empresa, de acordo com as premissas da Lei Federal nº 14.133/2021, em seu Capítulo VI.</w:t>
      </w:r>
    </w:p>
    <w:p w14:paraId="172C055E">
      <w:pPr>
        <w:pStyle w:val="36"/>
        <w:spacing w:before="0" w:after="0" w:line="360" w:lineRule="auto"/>
        <w:ind w:left="0" w:firstLine="0"/>
        <w:contextualSpacing/>
        <w:jc w:val="both"/>
        <w:rPr>
          <w:rFonts w:ascii="Times New Roman" w:hAnsi="Times New Roman" w:cs="Arial"/>
          <w:sz w:val="22"/>
          <w:szCs w:val="22"/>
          <w:highlight w:val="none"/>
        </w:rPr>
      </w:pPr>
    </w:p>
    <w:p w14:paraId="531B0BD2">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 FORNECIMENTO E RECEBIMENTO</w:t>
      </w:r>
    </w:p>
    <w:p w14:paraId="2BC8A96C">
      <w:pPr>
        <w:spacing w:before="0" w:after="0" w:line="360" w:lineRule="auto"/>
        <w:jc w:val="both"/>
        <w:rPr>
          <w:rFonts w:ascii="Times New Roman" w:hAnsi="Times New Roman" w:cs="Arial"/>
          <w:sz w:val="22"/>
          <w:szCs w:val="22"/>
          <w:highlight w:val="none"/>
        </w:rPr>
      </w:pPr>
    </w:p>
    <w:p w14:paraId="44DA43C7">
      <w:pPr>
        <w:pStyle w:val="36"/>
        <w:numPr>
          <w:ilvl w:val="2"/>
          <w:numId w:val="1"/>
        </w:numPr>
        <w:tabs>
          <w:tab w:val="left" w:pos="-414"/>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28353EE4">
      <w:pPr>
        <w:pStyle w:val="36"/>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before="0" w:after="0" w:line="360" w:lineRule="auto"/>
        <w:ind w:left="0" w:firstLine="0"/>
        <w:contextualSpacing/>
        <w:jc w:val="both"/>
        <w:rPr>
          <w:rFonts w:ascii="Times New Roman" w:hAnsi="Times New Roman" w:cs="Arial"/>
          <w:sz w:val="22"/>
          <w:szCs w:val="22"/>
          <w:highlight w:val="none"/>
        </w:rPr>
      </w:pPr>
    </w:p>
    <w:p w14:paraId="5BBC99A0">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DAS CONDIÇÕES DE RECEBIMENTO DO OBJETO</w:t>
      </w:r>
    </w:p>
    <w:p w14:paraId="7739F8A9">
      <w:pPr>
        <w:spacing w:before="0" w:after="0" w:line="360" w:lineRule="auto"/>
        <w:jc w:val="both"/>
        <w:rPr>
          <w:rFonts w:ascii="Times New Roman" w:hAnsi="Times New Roman" w:cs="Arial"/>
          <w:sz w:val="22"/>
          <w:szCs w:val="22"/>
          <w:highlight w:val="none"/>
        </w:rPr>
      </w:pPr>
    </w:p>
    <w:p w14:paraId="660273CC">
      <w:pPr>
        <w:pStyle w:val="36"/>
        <w:numPr>
          <w:ilvl w:val="2"/>
          <w:numId w:val="1"/>
        </w:numPr>
        <w:tabs>
          <w:tab w:val="left" w:pos="-414"/>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3824A42D">
      <w:pPr>
        <w:spacing w:before="0" w:after="0" w:line="360" w:lineRule="auto"/>
        <w:jc w:val="both"/>
        <w:rPr>
          <w:rFonts w:ascii="Times New Roman" w:hAnsi="Times New Roman" w:cs="Arial"/>
          <w:sz w:val="22"/>
          <w:szCs w:val="22"/>
          <w:highlight w:val="none"/>
        </w:rPr>
      </w:pPr>
    </w:p>
    <w:p w14:paraId="137DF712">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DAS OBRIGAÇÕES E RESPONSABILIDADES</w:t>
      </w:r>
    </w:p>
    <w:p w14:paraId="4DA76737">
      <w:pPr>
        <w:spacing w:before="0" w:after="0" w:line="360" w:lineRule="auto"/>
        <w:jc w:val="both"/>
        <w:rPr>
          <w:rFonts w:ascii="Times New Roman" w:hAnsi="Times New Roman" w:cs="Arial"/>
          <w:sz w:val="22"/>
          <w:szCs w:val="22"/>
          <w:highlight w:val="none"/>
        </w:rPr>
      </w:pPr>
    </w:p>
    <w:p w14:paraId="1E2CA545">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DAS OBRIGAÇÕES E RESPONSABILIDADES DA EMPRESA CONTRATADA</w:t>
      </w:r>
    </w:p>
    <w:p w14:paraId="496F8380">
      <w:pPr>
        <w:spacing w:before="0" w:after="0" w:line="360" w:lineRule="auto"/>
        <w:jc w:val="both"/>
        <w:rPr>
          <w:rFonts w:ascii="Times New Roman" w:hAnsi="Times New Roman" w:cs="Arial"/>
          <w:sz w:val="22"/>
          <w:szCs w:val="22"/>
          <w:highlight w:val="none"/>
        </w:rPr>
      </w:pPr>
    </w:p>
    <w:p w14:paraId="7E64EC1C">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Caberá ao CONTRATADO o cumprimento das seguintes obrigações: </w:t>
      </w:r>
    </w:p>
    <w:p w14:paraId="53C6C59C">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1 - Prestar os serviços, objeto da Contratação; </w:t>
      </w:r>
    </w:p>
    <w:p w14:paraId="3254588F">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2 - Não subcontratar, ceder ou transferir, total ou parcialmente, o objeto da Contratação; </w:t>
      </w:r>
    </w:p>
    <w:p w14:paraId="0DCF83E8">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3 - Responsabilizar-se pelos encargos trabalhistas, previdenciários, fiscais e comerciais, resultantes da execução do objeto deste projeto;</w:t>
      </w:r>
    </w:p>
    <w:p w14:paraId="157FD642">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4 - Executar fielmente o objeto da Contratação com fornecimento ininterrupto de energia durante 365 (trezentos e sessenta e cinco) dias do ano de 202</w:t>
      </w:r>
      <w:r>
        <w:rPr>
          <w:rFonts w:hint="default" w:ascii="Times New Roman" w:hAnsi="Times New Roman" w:cs="Arial"/>
          <w:sz w:val="22"/>
          <w:szCs w:val="22"/>
          <w:highlight w:val="none"/>
          <w:lang w:val="pt-BR"/>
        </w:rPr>
        <w:t>5</w:t>
      </w:r>
      <w:r>
        <w:rPr>
          <w:rFonts w:ascii="Times New Roman" w:hAnsi="Times New Roman" w:cs="Arial"/>
          <w:sz w:val="22"/>
          <w:szCs w:val="22"/>
          <w:highlight w:val="none"/>
        </w:rPr>
        <w:t xml:space="preserve">; </w:t>
      </w:r>
    </w:p>
    <w:p w14:paraId="30FF0266">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5 - Dar plena garantia e qualidade do serviço prestado; </w:t>
      </w:r>
    </w:p>
    <w:p w14:paraId="05292CE7">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6 - Manter durante toda a execução do Contrato, em compatibilidade com as obrigações por ele assumidas, todas as condições de habilitação e qualificação legalmente exigidas;</w:t>
      </w:r>
    </w:p>
    <w:p w14:paraId="0BC9FD5E">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7 - Prestar, de imediato, todos os esclarecimentos que forem solicitados pela contratante, obrigando-se a atender todas as reclamações a respeito da qualidade do serviço prestado; </w:t>
      </w:r>
    </w:p>
    <w:p w14:paraId="16801CD9">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8 - Comunicar a contratante, de imediato e por escrito, qualquer irregularidade verificada durante a execução do serviço, para a adoção das medidas necessárias à sua regularização; </w:t>
      </w:r>
    </w:p>
    <w:p w14:paraId="0D27FC27">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9 - Acatar as determinações feitas pela Contratante no que tange ao cumprimento do objeto do Contrato.</w:t>
      </w:r>
    </w:p>
    <w:p w14:paraId="60478CA3">
      <w:pPr>
        <w:pStyle w:val="40"/>
        <w:spacing w:before="0" w:beforeAutospacing="0" w:after="0" w:line="360" w:lineRule="auto"/>
        <w:jc w:val="both"/>
        <w:rPr>
          <w:rFonts w:ascii="Times New Roman" w:hAnsi="Times New Roman" w:cs="Arial"/>
          <w:sz w:val="22"/>
          <w:szCs w:val="22"/>
          <w:highlight w:val="none"/>
        </w:rPr>
      </w:pPr>
    </w:p>
    <w:p w14:paraId="097B7925">
      <w:pPr>
        <w:pStyle w:val="36"/>
        <w:numPr>
          <w:ilvl w:val="2"/>
          <w:numId w:val="5"/>
        </w:numPr>
        <w:suppressAutoHyphens/>
        <w:spacing w:before="0" w:after="0" w:line="360" w:lineRule="auto"/>
        <w:contextualSpacing/>
        <w:jc w:val="both"/>
        <w:rPr>
          <w:sz w:val="22"/>
          <w:szCs w:val="22"/>
          <w:highlight w:val="none"/>
        </w:rPr>
      </w:pPr>
      <w:r>
        <w:rPr>
          <w:rFonts w:ascii="Times New Roman" w:hAnsi="Times New Roman" w:cs="Arial"/>
          <w:b/>
          <w:sz w:val="22"/>
          <w:szCs w:val="22"/>
          <w:highlight w:val="none"/>
        </w:rPr>
        <w:t>DAS OBRIGAÇÕES E RESPONSABILIDADES DO MUNICÍPIO</w:t>
      </w:r>
    </w:p>
    <w:p w14:paraId="32EFC48C">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Caberá a Prefeitura Municipal de São Roque do Canaã/ES, como CONTRATANTE: </w:t>
      </w:r>
    </w:p>
    <w:p w14:paraId="3EBE942F">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1 - Fornecer à Contratada todas as informações relacionadas ao objeto da Contratação; </w:t>
      </w:r>
    </w:p>
    <w:p w14:paraId="54D7ECAF">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2 - Notificar por escrito a Contratada, a respeito de qualquer irregularidade constatada na execução do objeto da Contratação; </w:t>
      </w:r>
    </w:p>
    <w:p w14:paraId="55C78280">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3 - Assegurar os recursos orçamentários e financeiros para custear as despesas do empenho estimativo; </w:t>
      </w:r>
    </w:p>
    <w:p w14:paraId="5CECBA40">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4 - Efetuar o pagamento nas condições e preços pactuados; </w:t>
      </w:r>
    </w:p>
    <w:p w14:paraId="739EAFB4">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5 - Acompanhar, verificar, fiscalizar e intervir na execução do serviço, para assegurar a fiel observância de suas cláusulas, bem como do que consta das especificações do presente Termo de Referência.</w:t>
      </w:r>
    </w:p>
    <w:p w14:paraId="28F17392">
      <w:pPr>
        <w:spacing w:before="0" w:after="0" w:line="360" w:lineRule="auto"/>
        <w:rPr>
          <w:rFonts w:ascii="Times New Roman" w:hAnsi="Times New Roman" w:cs="Arial"/>
          <w:sz w:val="22"/>
          <w:szCs w:val="22"/>
          <w:highlight w:val="none"/>
        </w:rPr>
      </w:pPr>
    </w:p>
    <w:p w14:paraId="6C7012D5">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FISCALIZAÇÃO E ACOMPANHAMENTO</w:t>
      </w:r>
    </w:p>
    <w:p w14:paraId="52CD4E98">
      <w:pPr>
        <w:spacing w:before="0" w:after="0" w:line="360" w:lineRule="auto"/>
        <w:rPr>
          <w:rFonts w:ascii="Times New Roman" w:hAnsi="Times New Roman" w:cs="Arial"/>
          <w:sz w:val="22"/>
          <w:szCs w:val="22"/>
          <w:highlight w:val="none"/>
        </w:rPr>
      </w:pPr>
    </w:p>
    <w:p w14:paraId="16AF0AB4">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6174ED16">
      <w:pPr>
        <w:pStyle w:val="41"/>
        <w:spacing w:line="360" w:lineRule="auto"/>
        <w:rPr>
          <w:rFonts w:ascii="Times New Roman" w:hAnsi="Times New Roman" w:cs="Arial"/>
          <w:sz w:val="22"/>
          <w:szCs w:val="22"/>
          <w:highlight w:val="none"/>
        </w:rPr>
      </w:pPr>
    </w:p>
    <w:p w14:paraId="112CADCE">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GARANTIA PELO FORNECIMENTO</w:t>
      </w:r>
    </w:p>
    <w:p w14:paraId="76FC1523">
      <w:pPr>
        <w:spacing w:before="0" w:after="0" w:line="360" w:lineRule="auto"/>
        <w:rPr>
          <w:rFonts w:ascii="Times New Roman" w:hAnsi="Times New Roman" w:cs="Arial"/>
          <w:sz w:val="22"/>
          <w:szCs w:val="22"/>
          <w:highlight w:val="none"/>
        </w:rPr>
      </w:pPr>
    </w:p>
    <w:p w14:paraId="1C823B5E">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58D39541">
      <w:pPr>
        <w:spacing w:before="0" w:after="0" w:line="360" w:lineRule="auto"/>
        <w:rPr>
          <w:rFonts w:ascii="Times New Roman" w:hAnsi="Times New Roman" w:cs="Arial"/>
          <w:sz w:val="22"/>
          <w:szCs w:val="22"/>
          <w:highlight w:val="none"/>
        </w:rPr>
      </w:pPr>
    </w:p>
    <w:p w14:paraId="10966C4D">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DAS AMOSTRAS</w:t>
      </w:r>
    </w:p>
    <w:p w14:paraId="5BF90317">
      <w:pPr>
        <w:spacing w:before="0" w:after="0" w:line="360" w:lineRule="auto"/>
        <w:rPr>
          <w:rFonts w:ascii="Times New Roman" w:hAnsi="Times New Roman" w:cs="Arial"/>
          <w:sz w:val="22"/>
          <w:szCs w:val="22"/>
          <w:highlight w:val="none"/>
        </w:rPr>
      </w:pPr>
    </w:p>
    <w:p w14:paraId="5E40C792">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488B75F7">
      <w:pPr>
        <w:spacing w:before="0" w:after="0" w:line="360" w:lineRule="auto"/>
        <w:rPr>
          <w:rFonts w:ascii="Times New Roman" w:hAnsi="Times New Roman" w:cs="Arial"/>
          <w:sz w:val="22"/>
          <w:szCs w:val="22"/>
          <w:highlight w:val="none"/>
        </w:rPr>
      </w:pPr>
    </w:p>
    <w:p w14:paraId="5EC9CC7C">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GESTÃO DO CONTRATO</w:t>
      </w:r>
    </w:p>
    <w:p w14:paraId="4FB4007D">
      <w:pPr>
        <w:spacing w:before="0" w:after="0" w:line="360" w:lineRule="auto"/>
        <w:rPr>
          <w:rFonts w:ascii="Times New Roman" w:hAnsi="Times New Roman" w:cs="Arial"/>
          <w:sz w:val="22"/>
          <w:szCs w:val="22"/>
          <w:highlight w:val="none"/>
        </w:rPr>
      </w:pPr>
    </w:p>
    <w:p w14:paraId="125B0E86">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2AC39E1D">
      <w:pPr>
        <w:spacing w:before="0" w:after="0" w:line="360" w:lineRule="auto"/>
        <w:rPr>
          <w:rFonts w:ascii="Times New Roman" w:hAnsi="Times New Roman" w:cs="Arial"/>
          <w:sz w:val="22"/>
          <w:szCs w:val="22"/>
          <w:highlight w:val="none"/>
        </w:rPr>
      </w:pPr>
    </w:p>
    <w:p w14:paraId="639D761B">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FATURAMENTO E DO PAGAMENTO</w:t>
      </w:r>
    </w:p>
    <w:p w14:paraId="440F32DF">
      <w:pPr>
        <w:spacing w:before="0" w:after="0" w:line="360" w:lineRule="auto"/>
        <w:rPr>
          <w:rFonts w:ascii="Times New Roman" w:hAnsi="Times New Roman" w:cs="Arial"/>
          <w:sz w:val="22"/>
          <w:szCs w:val="22"/>
          <w:highlight w:val="none"/>
        </w:rPr>
      </w:pPr>
    </w:p>
    <w:p w14:paraId="7EE8D05F">
      <w:pPr>
        <w:spacing w:before="0" w:after="0" w:line="360" w:lineRule="auto"/>
        <w:jc w:val="both"/>
        <w:rPr>
          <w:sz w:val="22"/>
          <w:szCs w:val="22"/>
          <w:highlight w:val="none"/>
        </w:rPr>
      </w:pPr>
      <w:bookmarkStart w:id="0" w:name="_Hlk151990632"/>
      <w:r>
        <w:rPr>
          <w:rFonts w:ascii="Times New Roman" w:hAnsi="Times New Roman" w:cs="Arial"/>
          <w:sz w:val="22"/>
          <w:szCs w:val="22"/>
          <w:highlight w:val="none"/>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14:paraId="0E01F798">
      <w:pPr>
        <w:spacing w:before="0" w:after="0" w:line="360" w:lineRule="auto"/>
        <w:jc w:val="both"/>
        <w:rPr>
          <w:rFonts w:ascii="Times New Roman" w:hAnsi="Times New Roman" w:cs="Arial"/>
          <w:sz w:val="22"/>
          <w:szCs w:val="22"/>
          <w:highlight w:val="none"/>
        </w:rPr>
      </w:pPr>
    </w:p>
    <w:p w14:paraId="6C566BD5">
      <w:pPr>
        <w:spacing w:before="0" w:after="0" w:line="360" w:lineRule="auto"/>
        <w:jc w:val="both"/>
        <w:rPr>
          <w:sz w:val="22"/>
          <w:szCs w:val="22"/>
          <w:highlight w:val="none"/>
        </w:rPr>
      </w:pPr>
      <w:r>
        <w:rPr>
          <w:rFonts w:ascii="Times New Roman" w:hAnsi="Times New Roman" w:cs="Arial"/>
          <w:sz w:val="22"/>
          <w:szCs w:val="22"/>
          <w:highlight w:val="none"/>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14:paraId="0E3811AE">
      <w:pPr>
        <w:spacing w:before="0" w:after="0" w:line="360" w:lineRule="auto"/>
        <w:jc w:val="both"/>
        <w:rPr>
          <w:rFonts w:ascii="Times New Roman" w:hAnsi="Times New Roman" w:cs="Arial"/>
          <w:sz w:val="22"/>
          <w:szCs w:val="22"/>
          <w:highlight w:val="none"/>
        </w:rPr>
      </w:pPr>
    </w:p>
    <w:p w14:paraId="2C52A1C3">
      <w:pPr>
        <w:spacing w:before="0" w:after="0" w:line="360" w:lineRule="auto"/>
        <w:jc w:val="both"/>
        <w:rPr>
          <w:sz w:val="22"/>
          <w:szCs w:val="22"/>
          <w:highlight w:val="none"/>
        </w:rPr>
      </w:pPr>
      <w:r>
        <w:rPr>
          <w:rFonts w:ascii="Times New Roman" w:hAnsi="Times New Roman" w:cs="Arial"/>
          <w:sz w:val="22"/>
          <w:szCs w:val="22"/>
          <w:highlight w:val="none"/>
        </w:rPr>
        <w:t>Na ocorrência de rejeição da Nota Fiscal/Fatura, motivada por erro ou incorreções, o prazo para pagamento estipulado no item acima passará a ser contado a partir da data da sua reapresentação.</w:t>
      </w:r>
    </w:p>
    <w:p w14:paraId="1DA62A71">
      <w:pPr>
        <w:spacing w:before="0" w:after="0" w:line="360" w:lineRule="auto"/>
        <w:jc w:val="both"/>
        <w:rPr>
          <w:rFonts w:ascii="Times New Roman" w:hAnsi="Times New Roman" w:cs="Arial"/>
          <w:sz w:val="22"/>
          <w:szCs w:val="22"/>
          <w:highlight w:val="none"/>
        </w:rPr>
      </w:pPr>
    </w:p>
    <w:p w14:paraId="4B19911B">
      <w:pPr>
        <w:spacing w:before="0" w:after="0" w:line="360" w:lineRule="auto"/>
        <w:jc w:val="both"/>
        <w:rPr>
          <w:sz w:val="22"/>
          <w:szCs w:val="22"/>
          <w:highlight w:val="none"/>
        </w:rPr>
      </w:pPr>
      <w:r>
        <w:rPr>
          <w:rFonts w:ascii="Times New Roman" w:hAnsi="Times New Roman" w:cs="Arial"/>
          <w:sz w:val="22"/>
          <w:szCs w:val="22"/>
          <w:highlight w:val="none"/>
        </w:rPr>
        <w:t xml:space="preserve">Para efeito de pagamento, junto com o Recibo, deverá ser anexado: </w:t>
      </w:r>
    </w:p>
    <w:p w14:paraId="137C35D5">
      <w:pPr>
        <w:spacing w:before="0" w:after="0" w:line="360" w:lineRule="auto"/>
        <w:jc w:val="both"/>
        <w:rPr>
          <w:sz w:val="22"/>
          <w:szCs w:val="22"/>
          <w:highlight w:val="none"/>
        </w:rPr>
      </w:pPr>
      <w:r>
        <w:rPr>
          <w:rFonts w:ascii="Times New Roman" w:hAnsi="Times New Roman" w:cs="Arial"/>
          <w:sz w:val="22"/>
          <w:szCs w:val="22"/>
          <w:highlight w:val="none"/>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14:paraId="048DE7EA">
      <w:pPr>
        <w:spacing w:before="0" w:after="0" w:line="360" w:lineRule="auto"/>
        <w:jc w:val="both"/>
        <w:rPr>
          <w:sz w:val="22"/>
          <w:szCs w:val="22"/>
          <w:highlight w:val="none"/>
        </w:rPr>
      </w:pPr>
      <w:r>
        <w:rPr>
          <w:rFonts w:ascii="Times New Roman" w:hAnsi="Times New Roman" w:cs="Arial"/>
          <w:sz w:val="22"/>
          <w:szCs w:val="22"/>
          <w:highlight w:val="none"/>
        </w:rPr>
        <w:t xml:space="preserve">II - Certificado de Regularidade do Fundo de Garantia por Tempo de Serviço – FGTS, fornecido pela CEF – Caixa Econômica Federal, devidamente atualizado (Lei n.º 8.036/90); </w:t>
      </w:r>
    </w:p>
    <w:p w14:paraId="1F323D59">
      <w:pPr>
        <w:spacing w:before="0" w:after="0" w:line="360" w:lineRule="auto"/>
        <w:jc w:val="both"/>
        <w:rPr>
          <w:sz w:val="22"/>
          <w:szCs w:val="22"/>
          <w:highlight w:val="none"/>
        </w:rPr>
      </w:pPr>
      <w:r>
        <w:rPr>
          <w:rFonts w:ascii="Times New Roman" w:hAnsi="Times New Roman" w:cs="Arial"/>
          <w:sz w:val="22"/>
          <w:szCs w:val="22"/>
          <w:highlight w:val="none"/>
        </w:rPr>
        <w:t xml:space="preserve">III - Certidão de Regularidade com a Fazenda do Estado; </w:t>
      </w:r>
    </w:p>
    <w:p w14:paraId="212E5B13">
      <w:pPr>
        <w:spacing w:before="0" w:after="0" w:line="360" w:lineRule="auto"/>
        <w:jc w:val="both"/>
        <w:rPr>
          <w:sz w:val="22"/>
          <w:szCs w:val="22"/>
          <w:highlight w:val="none"/>
        </w:rPr>
      </w:pPr>
      <w:r>
        <w:rPr>
          <w:rFonts w:ascii="Times New Roman" w:hAnsi="Times New Roman" w:cs="Arial"/>
          <w:sz w:val="22"/>
          <w:szCs w:val="22"/>
          <w:highlight w:val="none"/>
        </w:rPr>
        <w:t xml:space="preserve">IV - Prova de regularidade com a Fazenda Federal por meio de Certidão Conjunto de débitos relativo aos tributos federais e a Dívida Ativa da União, expedida pelo Ministério da Fazenda/Secretaria da Receita Federal do Brasil; </w:t>
      </w:r>
    </w:p>
    <w:p w14:paraId="5991B534">
      <w:pPr>
        <w:spacing w:before="0" w:after="0" w:line="360" w:lineRule="auto"/>
        <w:jc w:val="both"/>
        <w:rPr>
          <w:sz w:val="22"/>
          <w:szCs w:val="22"/>
          <w:highlight w:val="none"/>
        </w:rPr>
      </w:pPr>
      <w:r>
        <w:rPr>
          <w:rFonts w:ascii="Times New Roman" w:hAnsi="Times New Roman" w:cs="Arial"/>
          <w:sz w:val="22"/>
          <w:szCs w:val="22"/>
          <w:highlight w:val="none"/>
        </w:rPr>
        <w:t>V - Prova de regularidade relativa a débitos inadimplidos perante a Justiça do Trabalho, mediante a apresentação de certidão negativa ou positiva com efeito de negativa que poderá ser obtida no site www.tst.jus.br/certidão.</w:t>
      </w:r>
    </w:p>
    <w:p w14:paraId="158A44BE">
      <w:pPr>
        <w:spacing w:before="0" w:after="0" w:line="360" w:lineRule="auto"/>
        <w:rPr>
          <w:rFonts w:ascii="Times New Roman" w:hAnsi="Times New Roman" w:cs="Arial"/>
          <w:sz w:val="22"/>
          <w:szCs w:val="22"/>
          <w:highlight w:val="none"/>
        </w:rPr>
      </w:pPr>
    </w:p>
    <w:p w14:paraId="16925831">
      <w:pPr>
        <w:spacing w:before="0" w:after="0" w:line="360" w:lineRule="auto"/>
        <w:rPr>
          <w:rFonts w:ascii="Times New Roman" w:hAnsi="Times New Roman" w:cs="Arial"/>
          <w:sz w:val="22"/>
          <w:szCs w:val="22"/>
          <w:highlight w:val="none"/>
        </w:rPr>
      </w:pPr>
    </w:p>
    <w:p w14:paraId="519CAAEB">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 ANTECIPAÇÃO DO PAGAMENTO</w:t>
      </w:r>
    </w:p>
    <w:p w14:paraId="530F58B8">
      <w:pPr>
        <w:spacing w:before="0" w:after="0" w:line="360" w:lineRule="auto"/>
        <w:rPr>
          <w:rFonts w:ascii="Times New Roman" w:hAnsi="Times New Roman" w:cs="Arial"/>
          <w:sz w:val="22"/>
          <w:szCs w:val="22"/>
          <w:highlight w:val="none"/>
        </w:rPr>
      </w:pPr>
    </w:p>
    <w:p w14:paraId="0BA16911">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0C6D0E25">
      <w:pPr>
        <w:spacing w:before="0" w:after="0" w:line="360" w:lineRule="auto"/>
        <w:rPr>
          <w:rFonts w:ascii="Times New Roman" w:hAnsi="Times New Roman" w:cs="Arial"/>
          <w:sz w:val="22"/>
          <w:szCs w:val="22"/>
          <w:highlight w:val="none"/>
        </w:rPr>
      </w:pPr>
    </w:p>
    <w:p w14:paraId="5E7EB719">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FORMA E CRITÉRIOS DE SELEÇÃO DO FORNECEDOR</w:t>
      </w:r>
    </w:p>
    <w:p w14:paraId="3AC3A39C">
      <w:pPr>
        <w:spacing w:before="0" w:after="0" w:line="360" w:lineRule="auto"/>
        <w:rPr>
          <w:rFonts w:ascii="Times New Roman" w:hAnsi="Times New Roman" w:cs="Arial"/>
          <w:sz w:val="22"/>
          <w:szCs w:val="22"/>
          <w:highlight w:val="none"/>
        </w:rPr>
      </w:pPr>
    </w:p>
    <w:p w14:paraId="73B1E46F">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72570F95">
      <w:pPr>
        <w:spacing w:before="0" w:after="0" w:line="360" w:lineRule="auto"/>
        <w:rPr>
          <w:rFonts w:ascii="Times New Roman" w:hAnsi="Times New Roman" w:cs="Arial"/>
          <w:sz w:val="22"/>
          <w:szCs w:val="22"/>
          <w:highlight w:val="none"/>
        </w:rPr>
      </w:pPr>
    </w:p>
    <w:p w14:paraId="27D2AEF4">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VALOR MÁXIMO E DOS RECURSOS ORÇAMENTÁRIOS</w:t>
      </w:r>
    </w:p>
    <w:p w14:paraId="34B8A29D">
      <w:pPr>
        <w:spacing w:before="0" w:after="0" w:line="360" w:lineRule="auto"/>
        <w:jc w:val="both"/>
        <w:rPr>
          <w:rFonts w:ascii="Times New Roman" w:hAnsi="Times New Roman" w:cs="Arial"/>
          <w:sz w:val="22"/>
          <w:szCs w:val="22"/>
          <w:highlight w:val="none"/>
        </w:rPr>
      </w:pPr>
    </w:p>
    <w:p w14:paraId="6B1A03C8">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 VALOR ESTIMADO</w:t>
      </w:r>
    </w:p>
    <w:p w14:paraId="500671EC">
      <w:pPr>
        <w:spacing w:before="0" w:after="0" w:line="360" w:lineRule="auto"/>
        <w:jc w:val="both"/>
        <w:rPr>
          <w:rFonts w:ascii="Times New Roman" w:hAnsi="Times New Roman" w:cs="Arial"/>
          <w:sz w:val="22"/>
          <w:szCs w:val="22"/>
          <w:highlight w:val="none"/>
        </w:rPr>
      </w:pPr>
    </w:p>
    <w:p w14:paraId="700CDB58">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color w:val="FF0000"/>
          <w:sz w:val="22"/>
          <w:szCs w:val="22"/>
          <w:highlight w:val="none"/>
        </w:rPr>
        <w:t xml:space="preserve"> </w:t>
      </w:r>
      <w:r>
        <w:rPr>
          <w:rFonts w:ascii="Times New Roman" w:hAnsi="Times New Roman" w:cs="Arial"/>
          <w:color w:val="000000"/>
          <w:sz w:val="22"/>
          <w:szCs w:val="22"/>
          <w:highlight w:val="none"/>
        </w:rPr>
        <w:t xml:space="preserve">O </w:t>
      </w:r>
      <w:r>
        <w:rPr>
          <w:rFonts w:ascii="Times New Roman" w:hAnsi="Times New Roman" w:cs="Arial"/>
          <w:b/>
          <w:color w:val="000000"/>
          <w:sz w:val="22"/>
          <w:szCs w:val="22"/>
          <w:highlight w:val="none"/>
        </w:rPr>
        <w:t>valor máximo estimado</w:t>
      </w:r>
      <w:r>
        <w:rPr>
          <w:rFonts w:ascii="Times New Roman" w:hAnsi="Times New Roman" w:cs="Arial"/>
          <w:color w:val="000000"/>
          <w:sz w:val="22"/>
          <w:szCs w:val="22"/>
          <w:highlight w:val="none"/>
        </w:rPr>
        <w:t xml:space="preserve"> para custeio</w:t>
      </w:r>
      <w:r>
        <w:rPr>
          <w:rFonts w:hint="default" w:ascii="Times New Roman" w:hAnsi="Times New Roman" w:cs="Arial"/>
          <w:color w:val="000000"/>
          <w:sz w:val="22"/>
          <w:szCs w:val="22"/>
          <w:highlight w:val="none"/>
          <w:lang w:val="pt-BR"/>
        </w:rPr>
        <w:t xml:space="preserve"> adicional</w:t>
      </w:r>
      <w:r>
        <w:rPr>
          <w:rFonts w:ascii="Times New Roman" w:hAnsi="Times New Roman" w:cs="Arial"/>
          <w:color w:val="000000"/>
          <w:sz w:val="22"/>
          <w:szCs w:val="22"/>
          <w:highlight w:val="none"/>
        </w:rPr>
        <w:t xml:space="preserve"> das despesas com o consumo de energia elétrica pelas unidades relativas à Secretaria </w:t>
      </w:r>
      <w:r>
        <w:rPr>
          <w:rFonts w:hint="default" w:ascii="Times New Roman" w:hAnsi="Times New Roman" w:cs="Arial"/>
          <w:color w:val="000000"/>
          <w:sz w:val="22"/>
          <w:szCs w:val="22"/>
          <w:highlight w:val="none"/>
          <w:lang w:val="pt-BR"/>
        </w:rPr>
        <w:t>Municipal de Turismo, Cultura, Esporte e Lazer</w:t>
      </w:r>
      <w:r>
        <w:rPr>
          <w:rFonts w:ascii="Times New Roman" w:hAnsi="Times New Roman" w:cs="Arial"/>
          <w:color w:val="000000"/>
          <w:sz w:val="22"/>
          <w:szCs w:val="22"/>
          <w:highlight w:val="none"/>
        </w:rPr>
        <w:t xml:space="preserve">, </w:t>
      </w:r>
      <w:r>
        <w:rPr>
          <w:rFonts w:hint="default" w:ascii="Times New Roman" w:hAnsi="Times New Roman" w:cs="Arial"/>
          <w:color w:val="000000"/>
          <w:sz w:val="22"/>
          <w:szCs w:val="22"/>
          <w:highlight w:val="none"/>
          <w:lang w:val="pt-BR"/>
        </w:rPr>
        <w:t xml:space="preserve">para </w:t>
      </w:r>
      <w:r>
        <w:rPr>
          <w:rFonts w:ascii="Times New Roman" w:hAnsi="Times New Roman" w:cs="Arial"/>
          <w:color w:val="000000"/>
          <w:sz w:val="22"/>
          <w:szCs w:val="22"/>
          <w:highlight w:val="none"/>
        </w:rPr>
        <w:t>o exercício de 202</w:t>
      </w:r>
      <w:r>
        <w:rPr>
          <w:rFonts w:hint="default" w:ascii="Times New Roman" w:hAnsi="Times New Roman" w:cs="Arial"/>
          <w:color w:val="000000"/>
          <w:sz w:val="22"/>
          <w:szCs w:val="22"/>
          <w:highlight w:val="none"/>
          <w:lang w:val="pt-BR"/>
        </w:rPr>
        <w:t>5</w:t>
      </w:r>
      <w:r>
        <w:rPr>
          <w:rFonts w:ascii="Times New Roman" w:hAnsi="Times New Roman" w:cs="Arial"/>
          <w:color w:val="000000"/>
          <w:sz w:val="22"/>
          <w:szCs w:val="22"/>
          <w:highlight w:val="none"/>
        </w:rPr>
        <w:t xml:space="preserve">, </w:t>
      </w:r>
      <w:r>
        <w:rPr>
          <w:rFonts w:ascii="Times New Roman" w:hAnsi="Times New Roman" w:cs="Arial"/>
          <w:b/>
          <w:color w:val="000000"/>
          <w:sz w:val="22"/>
          <w:szCs w:val="22"/>
          <w:highlight w:val="none"/>
        </w:rPr>
        <w:t xml:space="preserve">é de </w:t>
      </w:r>
      <w:r>
        <w:rPr>
          <w:rFonts w:ascii="Times New Roman" w:hAnsi="Times New Roman" w:eastAsia="Calibri" w:cs="Arial"/>
          <w:b/>
          <w:color w:val="000000"/>
          <w:kern w:val="0"/>
          <w:sz w:val="22"/>
          <w:szCs w:val="22"/>
          <w:highlight w:val="none"/>
          <w:lang w:val="pt-BR" w:bidi="ar-SA"/>
        </w:rPr>
        <w:t>R$</w:t>
      </w:r>
      <w:r>
        <w:rPr>
          <w:rFonts w:hint="default" w:ascii="Times New Roman" w:hAnsi="Times New Roman" w:eastAsia="Calibri" w:cs="Arial"/>
          <w:b/>
          <w:color w:val="000000"/>
          <w:kern w:val="0"/>
          <w:sz w:val="22"/>
          <w:szCs w:val="22"/>
          <w:highlight w:val="none"/>
          <w:lang w:val="pt-BR" w:bidi="ar-SA"/>
        </w:rPr>
        <w:t xml:space="preserve"> 80.000,00</w:t>
      </w:r>
      <w:r>
        <w:rPr>
          <w:rFonts w:ascii="Times New Roman" w:hAnsi="Times New Roman" w:cs="Arial"/>
          <w:b/>
          <w:color w:val="000000"/>
          <w:sz w:val="22"/>
          <w:szCs w:val="22"/>
          <w:highlight w:val="none"/>
        </w:rPr>
        <w:t xml:space="preserve">  (</w:t>
      </w:r>
      <w:r>
        <w:rPr>
          <w:rFonts w:hint="default" w:ascii="Times New Roman" w:hAnsi="Times New Roman" w:cs="Arial"/>
          <w:b/>
          <w:color w:val="000000"/>
          <w:sz w:val="22"/>
          <w:szCs w:val="22"/>
          <w:highlight w:val="none"/>
          <w:lang w:val="pt-BR"/>
        </w:rPr>
        <w:t>oitenta mil reais</w:t>
      </w:r>
      <w:r>
        <w:rPr>
          <w:rFonts w:ascii="Times New Roman" w:hAnsi="Times New Roman" w:cs="Arial"/>
          <w:b/>
          <w:color w:val="000000"/>
          <w:sz w:val="22"/>
          <w:szCs w:val="22"/>
          <w:highlight w:val="none"/>
        </w:rPr>
        <w:t>).</w:t>
      </w:r>
    </w:p>
    <w:p w14:paraId="6394CD37">
      <w:pPr>
        <w:spacing w:before="0" w:after="0" w:line="360" w:lineRule="auto"/>
        <w:jc w:val="both"/>
        <w:rPr>
          <w:rFonts w:ascii="Times New Roman" w:hAnsi="Times New Roman" w:cs="Arial"/>
          <w:color w:val="000000"/>
          <w:sz w:val="22"/>
          <w:szCs w:val="22"/>
          <w:highlight w:val="none"/>
        </w:rPr>
      </w:pPr>
    </w:p>
    <w:p w14:paraId="2656EB7B">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DOS RECURSOS ORÇAMENTÁRIOS</w:t>
      </w:r>
    </w:p>
    <w:p w14:paraId="1081FDED">
      <w:pPr>
        <w:spacing w:before="0" w:after="0" w:line="360" w:lineRule="auto"/>
        <w:jc w:val="both"/>
        <w:rPr>
          <w:rFonts w:ascii="Times New Roman" w:hAnsi="Times New Roman" w:cs="Arial"/>
          <w:sz w:val="22"/>
          <w:szCs w:val="22"/>
          <w:highlight w:val="none"/>
        </w:rPr>
      </w:pPr>
    </w:p>
    <w:p w14:paraId="50733DD9">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color w:val="000000"/>
          <w:sz w:val="22"/>
          <w:szCs w:val="22"/>
          <w:highlight w:val="none"/>
        </w:rPr>
        <w:t xml:space="preserve">Para fins de cumprimento dos requisitos operacionais inerentes ao atendimento da realização do Empenho por estimativa, as despesas decorrentes do custeio em questão correrão por conta da dotação orçamentária consignada na </w:t>
      </w:r>
      <w:r>
        <w:rPr>
          <w:rFonts w:ascii="Times New Roman" w:hAnsi="Times New Roman" w:cs="Arial"/>
          <w:b/>
          <w:color w:val="000000"/>
          <w:sz w:val="22"/>
          <w:szCs w:val="22"/>
          <w:highlight w:val="none"/>
        </w:rPr>
        <w:t xml:space="preserve"> Lei Orçamentária Anual (LOA) vinculada para o exercício financeiro de 202</w:t>
      </w:r>
      <w:r>
        <w:rPr>
          <w:rFonts w:hint="default" w:ascii="Times New Roman" w:hAnsi="Times New Roman" w:cs="Arial"/>
          <w:b/>
          <w:color w:val="000000"/>
          <w:sz w:val="22"/>
          <w:szCs w:val="22"/>
          <w:highlight w:val="none"/>
          <w:lang w:val="pt-BR"/>
        </w:rPr>
        <w:t>5</w:t>
      </w:r>
      <w:r>
        <w:rPr>
          <w:rFonts w:ascii="Times New Roman" w:hAnsi="Times New Roman" w:cs="Arial"/>
          <w:color w:val="000000"/>
          <w:sz w:val="22"/>
          <w:szCs w:val="22"/>
          <w:highlight w:val="none"/>
        </w:rPr>
        <w:t>, a qual será informada pelo requerente, após a aprovação da respectiva Lei.</w:t>
      </w:r>
    </w:p>
    <w:p w14:paraId="746487FF">
      <w:pPr>
        <w:spacing w:before="0" w:after="0" w:line="360" w:lineRule="auto"/>
        <w:jc w:val="both"/>
        <w:rPr>
          <w:rFonts w:ascii="Times New Roman" w:hAnsi="Times New Roman" w:cs="Arial"/>
          <w:sz w:val="22"/>
          <w:szCs w:val="22"/>
          <w:highlight w:val="none"/>
        </w:rPr>
      </w:pPr>
    </w:p>
    <w:tbl>
      <w:tblPr>
        <w:tblStyle w:val="5"/>
        <w:tblW w:w="9627" w:type="dxa"/>
        <w:tblInd w:w="108" w:type="dxa"/>
        <w:tblLayout w:type="fixed"/>
        <w:tblCellMar>
          <w:top w:w="0" w:type="dxa"/>
          <w:left w:w="108" w:type="dxa"/>
          <w:bottom w:w="0" w:type="dxa"/>
          <w:right w:w="108" w:type="dxa"/>
        </w:tblCellMar>
      </w:tblPr>
      <w:tblGrid>
        <w:gridCol w:w="7512"/>
        <w:gridCol w:w="2114"/>
      </w:tblGrid>
      <w:tr w14:paraId="5F091E26">
        <w:tblPrEx>
          <w:tblCellMar>
            <w:top w:w="0" w:type="dxa"/>
            <w:left w:w="108" w:type="dxa"/>
            <w:bottom w:w="0" w:type="dxa"/>
            <w:right w:w="108" w:type="dxa"/>
          </w:tblCellMar>
        </w:tblPrEx>
        <w:trPr>
          <w:trHeight w:val="567" w:hRule="atLeast"/>
        </w:trPr>
        <w:tc>
          <w:tcPr>
            <w:tcW w:w="9626" w:type="dxa"/>
            <w:gridSpan w:val="2"/>
            <w:shd w:val="clear" w:color="auto" w:fill="D8D8D8" w:themeFill="background1" w:themeFillShade="D9"/>
            <w:vAlign w:val="center"/>
          </w:tcPr>
          <w:p w14:paraId="1534CB80">
            <w:pPr>
              <w:widowControl w:val="0"/>
              <w:spacing w:before="0" w:after="0" w:line="360" w:lineRule="auto"/>
              <w:jc w:val="center"/>
              <w:rPr>
                <w:rFonts w:hint="default"/>
                <w:sz w:val="22"/>
                <w:szCs w:val="22"/>
                <w:highlight w:val="none"/>
                <w:lang w:val="pt-BR"/>
              </w:rPr>
            </w:pPr>
            <w:r>
              <w:rPr>
                <w:rFonts w:ascii="Times New Roman" w:hAnsi="Times New Roman" w:eastAsia="Calibri" w:cs="Arial"/>
                <w:b/>
                <w:color w:val="000000"/>
                <w:kern w:val="0"/>
                <w:sz w:val="22"/>
                <w:szCs w:val="22"/>
                <w:highlight w:val="none"/>
                <w:lang w:val="pt-BR" w:bidi="ar-SA"/>
              </w:rPr>
              <w:t xml:space="preserve">GESTÃO DAS ATIVIDADES DA </w:t>
            </w:r>
            <w:r>
              <w:rPr>
                <w:rFonts w:hint="default" w:ascii="Times New Roman" w:hAnsi="Times New Roman" w:eastAsia="Calibri" w:cs="Arial"/>
                <w:b/>
                <w:color w:val="000000"/>
                <w:kern w:val="0"/>
                <w:sz w:val="22"/>
                <w:szCs w:val="22"/>
                <w:highlight w:val="none"/>
                <w:lang w:val="pt-BR" w:bidi="ar-SA"/>
              </w:rPr>
              <w:t>SECRETARIA MUNICIPAL DE TURISMO, CULTURA, ESPORTE E LAZER</w:t>
            </w:r>
          </w:p>
          <w:p w14:paraId="0FE15ACD">
            <w:pPr>
              <w:widowControl w:val="0"/>
              <w:spacing w:before="0" w:after="0" w:line="360" w:lineRule="auto"/>
              <w:jc w:val="center"/>
              <w:rPr>
                <w:sz w:val="22"/>
                <w:szCs w:val="22"/>
                <w:highlight w:val="none"/>
              </w:rPr>
            </w:pPr>
            <w:r>
              <w:rPr>
                <w:rFonts w:ascii="Times New Roman" w:hAnsi="Times New Roman" w:eastAsia="Calibri" w:cs="Arial"/>
                <w:color w:val="000000"/>
                <w:kern w:val="0"/>
                <w:sz w:val="22"/>
                <w:szCs w:val="22"/>
                <w:highlight w:val="none"/>
                <w:lang w:val="pt-BR" w:bidi="ar-SA"/>
              </w:rPr>
              <w:t>OUTROS SERVIÇOS DE TERCEIROS – PESSOA JURÍDICA</w:t>
            </w:r>
          </w:p>
        </w:tc>
      </w:tr>
      <w:tr w14:paraId="7260E9C5">
        <w:tblPrEx>
          <w:tblCellMar>
            <w:top w:w="0" w:type="dxa"/>
            <w:left w:w="108" w:type="dxa"/>
            <w:bottom w:w="0" w:type="dxa"/>
            <w:right w:w="108" w:type="dxa"/>
          </w:tblCellMar>
        </w:tblPrEx>
        <w:trPr>
          <w:trHeight w:val="340" w:hRule="atLeast"/>
        </w:trPr>
        <w:tc>
          <w:tcPr>
            <w:tcW w:w="7512" w:type="dxa"/>
            <w:shd w:val="clear" w:color="auto" w:fill="FFFFFF" w:themeFill="background1"/>
            <w:vAlign w:val="center"/>
          </w:tcPr>
          <w:p w14:paraId="7681B12E">
            <w:pPr>
              <w:widowControl w:val="0"/>
              <w:spacing w:before="0" w:after="0" w:line="360" w:lineRule="auto"/>
              <w:jc w:val="center"/>
              <w:rPr>
                <w:rFonts w:hint="default"/>
                <w:sz w:val="22"/>
                <w:szCs w:val="22"/>
                <w:highlight w:val="none"/>
                <w:lang w:val="pt-BR"/>
              </w:rPr>
            </w:pPr>
            <w:r>
              <w:rPr>
                <w:rFonts w:hint="default" w:ascii="Times New Roman" w:hAnsi="Times New Roman" w:eastAsia="Calibri" w:cs="Arial"/>
                <w:color w:val="000000"/>
                <w:kern w:val="0"/>
                <w:sz w:val="22"/>
                <w:szCs w:val="22"/>
                <w:highlight w:val="none"/>
                <w:lang w:val="pt-BR" w:bidi="ar-SA"/>
              </w:rPr>
              <w:t>0606.2781200092.018</w:t>
            </w:r>
            <w:r>
              <w:rPr>
                <w:rFonts w:ascii="Times New Roman" w:hAnsi="Times New Roman" w:eastAsia="Calibri" w:cs="Arial"/>
                <w:color w:val="000000"/>
                <w:kern w:val="0"/>
                <w:sz w:val="22"/>
                <w:szCs w:val="22"/>
                <w:highlight w:val="none"/>
                <w:lang w:val="pt-BR" w:bidi="ar-SA"/>
              </w:rPr>
              <w:t xml:space="preserve"> – 33903900000 – FR </w:t>
            </w:r>
            <w:r>
              <w:rPr>
                <w:rFonts w:hint="default" w:ascii="Times New Roman" w:hAnsi="Times New Roman" w:eastAsia="Calibri" w:cs="Arial"/>
                <w:color w:val="000000"/>
                <w:kern w:val="0"/>
                <w:sz w:val="22"/>
                <w:szCs w:val="22"/>
                <w:highlight w:val="none"/>
                <w:lang w:val="pt-BR" w:bidi="ar-SA"/>
              </w:rPr>
              <w:t>150</w:t>
            </w:r>
            <w:r>
              <w:rPr>
                <w:rFonts w:ascii="Times New Roman" w:hAnsi="Times New Roman" w:eastAsia="Calibri" w:cs="Arial"/>
                <w:color w:val="000000"/>
                <w:kern w:val="0"/>
                <w:sz w:val="22"/>
                <w:szCs w:val="22"/>
                <w:highlight w:val="none"/>
                <w:lang w:val="pt-BR" w:bidi="ar-SA"/>
              </w:rPr>
              <w:t xml:space="preserve">– F </w:t>
            </w:r>
            <w:r>
              <w:rPr>
                <w:rFonts w:hint="default" w:ascii="Times New Roman" w:hAnsi="Times New Roman" w:eastAsia="Calibri" w:cs="Arial"/>
                <w:color w:val="000000"/>
                <w:kern w:val="0"/>
                <w:sz w:val="22"/>
                <w:szCs w:val="22"/>
                <w:highlight w:val="none"/>
                <w:lang w:val="pt-BR" w:bidi="ar-SA"/>
              </w:rPr>
              <w:t>157</w:t>
            </w:r>
          </w:p>
        </w:tc>
        <w:tc>
          <w:tcPr>
            <w:tcW w:w="2114" w:type="dxa"/>
            <w:vAlign w:val="center"/>
          </w:tcPr>
          <w:p w14:paraId="743F7863">
            <w:pPr>
              <w:widowControl w:val="0"/>
              <w:spacing w:before="0" w:after="0" w:line="360" w:lineRule="auto"/>
              <w:jc w:val="center"/>
              <w:rPr>
                <w:rFonts w:hint="default"/>
                <w:sz w:val="22"/>
                <w:szCs w:val="22"/>
                <w:highlight w:val="none"/>
                <w:lang w:val="pt-BR"/>
              </w:rPr>
            </w:pPr>
            <w:r>
              <w:rPr>
                <w:rFonts w:ascii="Times New Roman" w:hAnsi="Times New Roman" w:eastAsia="Calibri" w:cs="Arial"/>
                <w:b/>
                <w:color w:val="auto"/>
                <w:kern w:val="0"/>
                <w:sz w:val="22"/>
                <w:szCs w:val="22"/>
                <w:highlight w:val="none"/>
                <w:lang w:val="pt-BR" w:bidi="ar-SA"/>
              </w:rPr>
              <w:t>R$</w:t>
            </w:r>
            <w:r>
              <w:rPr>
                <w:rFonts w:hint="default" w:ascii="Times New Roman" w:hAnsi="Times New Roman" w:eastAsia="Calibri" w:cs="Arial"/>
                <w:b/>
                <w:color w:val="auto"/>
                <w:kern w:val="0"/>
                <w:sz w:val="22"/>
                <w:szCs w:val="22"/>
                <w:highlight w:val="none"/>
                <w:lang w:val="pt-BR" w:bidi="ar-SA"/>
              </w:rPr>
              <w:t xml:space="preserve"> 80.000,00</w:t>
            </w:r>
          </w:p>
        </w:tc>
      </w:tr>
    </w:tbl>
    <w:p w14:paraId="48119DD7">
      <w:pPr>
        <w:spacing w:before="0" w:after="0" w:line="360" w:lineRule="auto"/>
        <w:jc w:val="both"/>
        <w:rPr>
          <w:rFonts w:ascii="Times New Roman" w:hAnsi="Times New Roman" w:cs="Arial"/>
          <w:sz w:val="22"/>
          <w:szCs w:val="22"/>
          <w:highlight w:val="none"/>
        </w:rPr>
      </w:pPr>
    </w:p>
    <w:p w14:paraId="77C4A160">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DAS SANÇÕES E PENALIDAS</w:t>
      </w:r>
    </w:p>
    <w:p w14:paraId="316617BF">
      <w:pPr>
        <w:spacing w:before="0" w:after="0" w:line="360" w:lineRule="auto"/>
        <w:jc w:val="both"/>
        <w:rPr>
          <w:rFonts w:ascii="Times New Roman" w:hAnsi="Times New Roman" w:cs="Arial"/>
          <w:sz w:val="22"/>
          <w:szCs w:val="22"/>
          <w:highlight w:val="none"/>
        </w:rPr>
      </w:pPr>
    </w:p>
    <w:p w14:paraId="5AC93E5A">
      <w:pPr>
        <w:pStyle w:val="36"/>
        <w:numPr>
          <w:ilvl w:val="1"/>
          <w:numId w:val="1"/>
        </w:numPr>
        <w:spacing w:before="0" w:after="0" w:line="360" w:lineRule="auto"/>
        <w:contextualSpacing/>
        <w:jc w:val="both"/>
        <w:rPr>
          <w:sz w:val="22"/>
          <w:szCs w:val="22"/>
          <w:highlight w:val="none"/>
        </w:rPr>
      </w:pPr>
      <w:bookmarkStart w:id="1" w:name="_Hlk151990699"/>
      <w:r>
        <w:rPr>
          <w:rFonts w:ascii="Times New Roman" w:hAnsi="Times New Roman" w:cs="Arial"/>
          <w:bCs/>
          <w:color w:val="000000"/>
          <w:sz w:val="22"/>
          <w:szCs w:val="22"/>
          <w:highlight w:val="none"/>
        </w:rPr>
        <w:t>Serão aplicadas as infrações administrativas disciplinadas na Lei Federal nº 14.133/2021, na forma de regulamento municipal.</w:t>
      </w:r>
      <w:bookmarkEnd w:id="1"/>
    </w:p>
    <w:p w14:paraId="2190200B">
      <w:pPr>
        <w:pStyle w:val="36"/>
        <w:spacing w:line="360" w:lineRule="auto"/>
        <w:rPr>
          <w:rFonts w:ascii="Times New Roman" w:hAnsi="Times New Roman" w:cs="Arial"/>
          <w:bCs/>
          <w:color w:val="000000"/>
          <w:sz w:val="22"/>
          <w:szCs w:val="22"/>
          <w:highlight w:val="none"/>
        </w:rPr>
      </w:pPr>
    </w:p>
    <w:p w14:paraId="7A4E23C4">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QUALIFICAÇÃO TÉCNICA</w:t>
      </w:r>
    </w:p>
    <w:p w14:paraId="516AE9B7">
      <w:pPr>
        <w:spacing w:before="0" w:after="0" w:line="360" w:lineRule="auto"/>
        <w:jc w:val="both"/>
        <w:rPr>
          <w:rFonts w:ascii="Times New Roman" w:hAnsi="Times New Roman" w:cs="Arial"/>
          <w:sz w:val="22"/>
          <w:szCs w:val="22"/>
          <w:highlight w:val="none"/>
        </w:rPr>
      </w:pPr>
    </w:p>
    <w:p w14:paraId="069E5504">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1D039E34">
      <w:pPr>
        <w:spacing w:before="0" w:after="0" w:line="360" w:lineRule="auto"/>
        <w:jc w:val="both"/>
        <w:rPr>
          <w:rFonts w:ascii="Times New Roman" w:hAnsi="Times New Roman" w:cs="Arial"/>
          <w:sz w:val="22"/>
          <w:szCs w:val="22"/>
          <w:highlight w:val="none"/>
        </w:rPr>
      </w:pPr>
    </w:p>
    <w:p w14:paraId="327965DA">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UNIDADE REQUISITANTE</w:t>
      </w:r>
    </w:p>
    <w:p w14:paraId="6DEB7082">
      <w:pPr>
        <w:spacing w:before="0" w:after="0" w:line="360" w:lineRule="auto"/>
        <w:rPr>
          <w:rFonts w:ascii="Times New Roman" w:hAnsi="Times New Roman" w:cs="Arial"/>
          <w:sz w:val="22"/>
          <w:szCs w:val="22"/>
          <w:highlight w:val="none"/>
        </w:rPr>
      </w:pPr>
    </w:p>
    <w:p w14:paraId="565F9905">
      <w:pPr>
        <w:pStyle w:val="36"/>
        <w:numPr>
          <w:ilvl w:val="1"/>
          <w:numId w:val="1"/>
        </w:numPr>
        <w:spacing w:before="0" w:after="0" w:line="360" w:lineRule="auto"/>
        <w:ind w:left="0" w:firstLine="0"/>
        <w:contextualSpacing/>
        <w:jc w:val="left"/>
        <w:rPr>
          <w:sz w:val="22"/>
          <w:szCs w:val="22"/>
          <w:highlight w:val="none"/>
        </w:rPr>
      </w:pPr>
      <w:r>
        <w:rPr>
          <w:rFonts w:ascii="Times New Roman" w:hAnsi="Times New Roman" w:cs="Arial"/>
          <w:sz w:val="22"/>
          <w:szCs w:val="22"/>
          <w:highlight w:val="none"/>
        </w:rPr>
        <w:t xml:space="preserve">Constitui unidade requisitante da presente demanda a </w:t>
      </w:r>
      <w:r>
        <w:rPr>
          <w:rFonts w:ascii="Times New Roman" w:hAnsi="Times New Roman" w:cs="Arial"/>
          <w:b/>
          <w:sz w:val="22"/>
          <w:szCs w:val="22"/>
          <w:highlight w:val="none"/>
        </w:rPr>
        <w:t xml:space="preserve">Secretaria Municipal de </w:t>
      </w:r>
      <w:r>
        <w:rPr>
          <w:rFonts w:hint="default" w:ascii="Times New Roman" w:hAnsi="Times New Roman" w:cs="Arial"/>
          <w:b/>
          <w:sz w:val="22"/>
          <w:szCs w:val="22"/>
          <w:highlight w:val="none"/>
          <w:lang w:val="pt-BR"/>
        </w:rPr>
        <w:t>Turismo, Cultura, Esporte e Lazer</w:t>
      </w:r>
      <w:r>
        <w:rPr>
          <w:rFonts w:ascii="Times New Roman" w:hAnsi="Times New Roman" w:cs="Arial"/>
          <w:b/>
          <w:sz w:val="22"/>
          <w:szCs w:val="22"/>
          <w:highlight w:val="none"/>
        </w:rPr>
        <w:t>.</w:t>
      </w:r>
    </w:p>
    <w:p w14:paraId="5AAB16DF">
      <w:pPr>
        <w:spacing w:before="0" w:after="0" w:line="360" w:lineRule="auto"/>
        <w:rPr>
          <w:rFonts w:ascii="Times New Roman" w:hAnsi="Times New Roman" w:cs="Arial"/>
          <w:sz w:val="22"/>
          <w:szCs w:val="22"/>
          <w:highlight w:val="none"/>
        </w:rPr>
      </w:pPr>
    </w:p>
    <w:p w14:paraId="519DE8EC">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RESPONSÁVEL PELA ELABORAÇÃO DO TERMO DE REFERÊNCIA</w:t>
      </w:r>
    </w:p>
    <w:p w14:paraId="6AFCA947">
      <w:pPr>
        <w:pStyle w:val="12"/>
        <w:spacing w:before="0" w:beforeAutospacing="0" w:after="0" w:afterAutospacing="0" w:line="360" w:lineRule="auto"/>
        <w:jc w:val="both"/>
        <w:rPr>
          <w:rFonts w:ascii="Times New Roman" w:hAnsi="Times New Roman" w:cs="Arial"/>
          <w:sz w:val="22"/>
          <w:szCs w:val="22"/>
          <w:highlight w:val="none"/>
        </w:rPr>
      </w:pPr>
    </w:p>
    <w:p w14:paraId="1C8310D5">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Responsável pela Elaboração:</w:t>
      </w:r>
      <w:r>
        <w:rPr>
          <w:rFonts w:ascii="Times New Roman" w:hAnsi="Times New Roman" w:cs="Arial"/>
          <w:sz w:val="22"/>
          <w:szCs w:val="22"/>
          <w:highlight w:val="none"/>
        </w:rPr>
        <w:t xml:space="preserve"> </w:t>
      </w:r>
      <w:r>
        <w:rPr>
          <w:rFonts w:hint="default" w:ascii="Times New Roman" w:hAnsi="Times New Roman" w:cs="Arial"/>
          <w:sz w:val="22"/>
          <w:szCs w:val="22"/>
          <w:highlight w:val="none"/>
          <w:lang w:val="pt-BR"/>
        </w:rPr>
        <w:t>AMANDA MIELKE</w:t>
      </w:r>
    </w:p>
    <w:p w14:paraId="0397599B">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Gestor da Unidade Requisitante:</w:t>
      </w:r>
      <w:r>
        <w:rPr>
          <w:rFonts w:ascii="Times New Roman" w:hAnsi="Times New Roman" w:cs="Arial"/>
          <w:sz w:val="22"/>
          <w:szCs w:val="22"/>
          <w:highlight w:val="none"/>
        </w:rPr>
        <w:t xml:space="preserve"> </w:t>
      </w:r>
      <w:r>
        <w:rPr>
          <w:rFonts w:hint="default" w:ascii="Times New Roman" w:hAnsi="Times New Roman" w:cs="Arial"/>
          <w:sz w:val="22"/>
          <w:szCs w:val="22"/>
          <w:highlight w:val="none"/>
          <w:lang w:val="pt-BR"/>
        </w:rPr>
        <w:t>ROBERTO ALVES MEIRELES.</w:t>
      </w:r>
    </w:p>
    <w:p w14:paraId="21E8A500">
      <w:pPr>
        <w:pStyle w:val="12"/>
        <w:spacing w:before="0" w:beforeAutospacing="0" w:after="0" w:afterAutospacing="0" w:line="360" w:lineRule="auto"/>
        <w:jc w:val="both"/>
        <w:rPr>
          <w:rFonts w:ascii="Times New Roman" w:hAnsi="Times New Roman" w:cs="Arial"/>
          <w:sz w:val="22"/>
          <w:szCs w:val="22"/>
          <w:highlight w:val="none"/>
        </w:rPr>
      </w:pPr>
    </w:p>
    <w:p w14:paraId="785A6F02">
      <w:pPr>
        <w:pStyle w:val="12"/>
        <w:spacing w:before="0" w:beforeAutospacing="0" w:after="0" w:afterAutospacing="0" w:line="360" w:lineRule="auto"/>
        <w:jc w:val="right"/>
        <w:rPr>
          <w:sz w:val="22"/>
          <w:szCs w:val="22"/>
          <w:highlight w:val="none"/>
        </w:rPr>
      </w:pPr>
      <w:r>
        <w:rPr>
          <w:rFonts w:cs="Arial"/>
          <w:b/>
          <w:sz w:val="22"/>
          <w:szCs w:val="22"/>
          <w:highlight w:val="none"/>
        </w:rPr>
        <w:t>São Roque do Canaã/ES</w:t>
      </w:r>
      <w:r>
        <w:rPr>
          <w:rFonts w:cs="Arial"/>
          <w:sz w:val="22"/>
          <w:szCs w:val="22"/>
          <w:highlight w:val="none"/>
        </w:rPr>
        <w:t xml:space="preserve">, </w:t>
      </w:r>
      <w:r>
        <w:rPr>
          <w:rFonts w:hint="default" w:cs="Arial"/>
          <w:sz w:val="22"/>
          <w:szCs w:val="22"/>
          <w:highlight w:val="none"/>
          <w:lang w:val="pt-BR"/>
        </w:rPr>
        <w:t xml:space="preserve">27 </w:t>
      </w:r>
      <w:bookmarkStart w:id="2" w:name="_GoBack"/>
      <w:bookmarkEnd w:id="2"/>
      <w:r>
        <w:rPr>
          <w:rFonts w:cs="Arial"/>
          <w:sz w:val="22"/>
          <w:szCs w:val="22"/>
          <w:highlight w:val="none"/>
        </w:rPr>
        <w:t xml:space="preserve">de </w:t>
      </w:r>
      <w:r>
        <w:rPr>
          <w:rFonts w:hint="default" w:cs="Arial"/>
          <w:sz w:val="22"/>
          <w:szCs w:val="22"/>
          <w:highlight w:val="none"/>
          <w:lang w:val="pt-BR"/>
        </w:rPr>
        <w:t xml:space="preserve">Janeiro </w:t>
      </w:r>
      <w:r>
        <w:rPr>
          <w:rFonts w:cs="Arial"/>
          <w:sz w:val="22"/>
          <w:szCs w:val="22"/>
          <w:highlight w:val="none"/>
        </w:rPr>
        <w:t>de 202</w:t>
      </w:r>
      <w:r>
        <w:rPr>
          <w:rFonts w:hint="default" w:cs="Arial"/>
          <w:sz w:val="22"/>
          <w:szCs w:val="22"/>
          <w:highlight w:val="none"/>
          <w:lang w:val="pt-BR"/>
        </w:rPr>
        <w:t>5</w:t>
      </w:r>
      <w:r>
        <w:rPr>
          <w:rFonts w:cs="Arial"/>
          <w:sz w:val="22"/>
          <w:szCs w:val="22"/>
          <w:highlight w:val="none"/>
        </w:rPr>
        <w:t>.</w:t>
      </w:r>
    </w:p>
    <w:tbl>
      <w:tblPr>
        <w:tblStyle w:val="5"/>
        <w:tblW w:w="9211" w:type="dxa"/>
        <w:tblInd w:w="0" w:type="dxa"/>
        <w:tblLayout w:type="fixed"/>
        <w:tblCellMar>
          <w:top w:w="0" w:type="dxa"/>
          <w:left w:w="108" w:type="dxa"/>
          <w:bottom w:w="0" w:type="dxa"/>
          <w:right w:w="108" w:type="dxa"/>
        </w:tblCellMar>
      </w:tblPr>
      <w:tblGrid>
        <w:gridCol w:w="4605"/>
        <w:gridCol w:w="4605"/>
      </w:tblGrid>
      <w:tr w14:paraId="742203D3">
        <w:tblPrEx>
          <w:tblCellMar>
            <w:top w:w="0" w:type="dxa"/>
            <w:left w:w="108" w:type="dxa"/>
            <w:bottom w:w="0" w:type="dxa"/>
            <w:right w:w="108" w:type="dxa"/>
          </w:tblCellMar>
        </w:tblPrEx>
        <w:tc>
          <w:tcPr>
            <w:tcW w:w="4605" w:type="dxa"/>
          </w:tcPr>
          <w:p w14:paraId="620296F3">
            <w:pPr>
              <w:pStyle w:val="12"/>
              <w:widowControl w:val="0"/>
              <w:suppressAutoHyphens/>
              <w:spacing w:before="0" w:beforeAutospacing="0" w:after="0" w:afterAutospacing="0" w:line="360" w:lineRule="auto"/>
              <w:jc w:val="center"/>
              <w:rPr>
                <w:rFonts w:ascii="Times New Roman" w:hAnsi="Times New Roman" w:cs="Arial"/>
                <w:color w:val="000000" w:themeColor="text1"/>
                <w:sz w:val="22"/>
                <w:szCs w:val="22"/>
                <w:highlight w:val="none"/>
              </w:rPr>
            </w:pPr>
          </w:p>
          <w:p w14:paraId="61354577">
            <w:pPr>
              <w:pStyle w:val="12"/>
              <w:widowControl w:val="0"/>
              <w:suppressAutoHyphens/>
              <w:spacing w:before="0" w:beforeAutospacing="0" w:after="0" w:afterAutospacing="0" w:line="360" w:lineRule="auto"/>
              <w:jc w:val="center"/>
              <w:rPr>
                <w:rFonts w:ascii="Times New Roman" w:hAnsi="Times New Roman" w:cs="Arial"/>
                <w:color w:val="000000" w:themeColor="text1"/>
                <w:sz w:val="22"/>
                <w:szCs w:val="22"/>
                <w:highlight w:val="none"/>
              </w:rPr>
            </w:pPr>
          </w:p>
          <w:p w14:paraId="7B48A956">
            <w:pPr>
              <w:pStyle w:val="12"/>
              <w:widowControl w:val="0"/>
              <w:suppressAutoHyphens/>
              <w:spacing w:before="0" w:beforeAutospacing="0" w:after="0" w:afterAutospacing="0" w:line="360" w:lineRule="auto"/>
              <w:jc w:val="center"/>
              <w:rPr>
                <w:rFonts w:ascii="Times New Roman" w:hAnsi="Times New Roman" w:cs="Arial"/>
                <w:color w:val="000000" w:themeColor="text1"/>
                <w:sz w:val="22"/>
                <w:szCs w:val="22"/>
                <w:highlight w:val="none"/>
              </w:rPr>
            </w:pPr>
          </w:p>
          <w:p w14:paraId="663801AF">
            <w:pPr>
              <w:pStyle w:val="12"/>
              <w:widowControl w:val="0"/>
              <w:suppressAutoHyphens/>
              <w:spacing w:before="0" w:beforeAutospacing="0" w:after="0" w:afterAutospacing="0" w:line="360" w:lineRule="auto"/>
              <w:jc w:val="center"/>
              <w:rPr>
                <w:rFonts w:hint="default" w:cs="Arial"/>
                <w:b/>
                <w:color w:val="000000" w:themeColor="text1"/>
                <w:kern w:val="0"/>
                <w:sz w:val="22"/>
                <w:szCs w:val="22"/>
                <w:highlight w:val="none"/>
                <w:lang w:val="pt-BR" w:bidi="ar-SA"/>
              </w:rPr>
            </w:pPr>
            <w:r>
              <w:rPr>
                <w:rFonts w:hint="default" w:cs="Arial"/>
                <w:b/>
                <w:color w:val="000000" w:themeColor="text1"/>
                <w:kern w:val="0"/>
                <w:sz w:val="22"/>
                <w:szCs w:val="22"/>
                <w:highlight w:val="none"/>
                <w:lang w:val="pt-BR" w:bidi="ar-SA"/>
              </w:rPr>
              <w:t>AMANDA MIELKE</w:t>
            </w:r>
          </w:p>
          <w:p w14:paraId="5CBE2ADD">
            <w:pPr>
              <w:pStyle w:val="12"/>
              <w:widowControl w:val="0"/>
              <w:suppressAutoHyphens/>
              <w:spacing w:before="0" w:beforeAutospacing="0" w:after="0" w:afterAutospacing="0" w:line="360" w:lineRule="auto"/>
              <w:jc w:val="center"/>
              <w:rPr>
                <w:rFonts w:hint="default"/>
                <w:sz w:val="22"/>
                <w:szCs w:val="22"/>
                <w:highlight w:val="none"/>
                <w:lang w:val="pt-BR"/>
              </w:rPr>
            </w:pPr>
            <w:r>
              <w:rPr>
                <w:rFonts w:hint="default" w:cs="Times New Roman"/>
                <w:color w:val="000000" w:themeColor="text1"/>
                <w:kern w:val="0"/>
                <w:sz w:val="24"/>
                <w:szCs w:val="24"/>
                <w:highlight w:val="none"/>
                <w:lang w:val="pt-BR" w:bidi="ar-SA"/>
              </w:rPr>
              <w:t>Assessora do Executivo I</w:t>
            </w:r>
          </w:p>
        </w:tc>
        <w:tc>
          <w:tcPr>
            <w:tcW w:w="4605" w:type="dxa"/>
          </w:tcPr>
          <w:p w14:paraId="39CEB20C">
            <w:pPr>
              <w:pStyle w:val="12"/>
              <w:widowControl w:val="0"/>
              <w:suppressAutoHyphens/>
              <w:spacing w:before="0" w:beforeAutospacing="0" w:after="0" w:afterAutospacing="0" w:line="360" w:lineRule="auto"/>
              <w:jc w:val="center"/>
              <w:rPr>
                <w:rFonts w:ascii="Times New Roman" w:hAnsi="Times New Roman" w:cs="Arial"/>
                <w:b/>
                <w:color w:val="000000" w:themeColor="text1"/>
                <w:kern w:val="0"/>
                <w:sz w:val="22"/>
                <w:szCs w:val="22"/>
                <w:highlight w:val="none"/>
                <w:lang w:val="pt-BR" w:bidi="ar-SA"/>
              </w:rPr>
            </w:pPr>
          </w:p>
          <w:p w14:paraId="39233717">
            <w:pPr>
              <w:pStyle w:val="12"/>
              <w:widowControl w:val="0"/>
              <w:suppressAutoHyphens/>
              <w:spacing w:before="0" w:beforeAutospacing="0" w:after="0" w:afterAutospacing="0" w:line="360" w:lineRule="auto"/>
              <w:jc w:val="both"/>
              <w:rPr>
                <w:rFonts w:ascii="Times New Roman" w:hAnsi="Times New Roman" w:cs="Arial"/>
                <w:b/>
                <w:color w:val="000000" w:themeColor="text1"/>
                <w:kern w:val="0"/>
                <w:sz w:val="22"/>
                <w:szCs w:val="22"/>
                <w:highlight w:val="none"/>
                <w:lang w:val="pt-BR" w:bidi="ar-SA"/>
              </w:rPr>
            </w:pPr>
          </w:p>
          <w:p w14:paraId="1F5687C3">
            <w:pPr>
              <w:pStyle w:val="12"/>
              <w:widowControl w:val="0"/>
              <w:suppressAutoHyphens/>
              <w:spacing w:before="0" w:beforeAutospacing="0" w:after="0" w:afterAutospacing="0" w:line="360" w:lineRule="auto"/>
              <w:jc w:val="center"/>
              <w:rPr>
                <w:rFonts w:ascii="Times New Roman" w:hAnsi="Times New Roman" w:cs="Arial"/>
                <w:b/>
                <w:color w:val="000000" w:themeColor="text1"/>
                <w:kern w:val="0"/>
                <w:sz w:val="22"/>
                <w:szCs w:val="22"/>
                <w:highlight w:val="none"/>
                <w:lang w:val="pt-BR" w:bidi="ar-SA"/>
              </w:rPr>
            </w:pPr>
          </w:p>
          <w:p w14:paraId="26BC178F">
            <w:pPr>
              <w:pStyle w:val="12"/>
              <w:widowControl w:val="0"/>
              <w:suppressAutoHyphens/>
              <w:spacing w:before="0" w:beforeAutospacing="0" w:after="0" w:afterAutospacing="0" w:line="360" w:lineRule="auto"/>
              <w:jc w:val="center"/>
              <w:rPr>
                <w:rFonts w:hint="default" w:cs="Arial"/>
                <w:b/>
                <w:bCs/>
                <w:sz w:val="22"/>
                <w:szCs w:val="22"/>
                <w:highlight w:val="none"/>
                <w:lang w:val="pt-BR"/>
              </w:rPr>
            </w:pPr>
            <w:r>
              <w:rPr>
                <w:rFonts w:hint="default" w:cs="Arial"/>
                <w:b/>
                <w:bCs/>
                <w:sz w:val="22"/>
                <w:szCs w:val="22"/>
                <w:highlight w:val="none"/>
                <w:lang w:val="pt-BR"/>
              </w:rPr>
              <w:t>ROBERTO ALVES MEIRELES</w:t>
            </w:r>
          </w:p>
          <w:p w14:paraId="7513871E">
            <w:pPr>
              <w:pStyle w:val="12"/>
              <w:widowControl w:val="0"/>
              <w:suppressAutoHyphens/>
              <w:spacing w:before="0" w:beforeAutospacing="0" w:after="0" w:afterAutospacing="0" w:line="360" w:lineRule="auto"/>
              <w:jc w:val="center"/>
              <w:rPr>
                <w:rFonts w:hint="default"/>
                <w:sz w:val="22"/>
                <w:szCs w:val="22"/>
                <w:highlight w:val="none"/>
                <w:lang w:val="pt-BR"/>
              </w:rPr>
            </w:pPr>
            <w:r>
              <w:rPr>
                <w:rFonts w:cs="Arial"/>
                <w:color w:val="000000" w:themeColor="text1"/>
                <w:kern w:val="0"/>
                <w:sz w:val="22"/>
                <w:szCs w:val="22"/>
                <w:highlight w:val="none"/>
                <w:lang w:val="pt-BR" w:bidi="ar-SA"/>
              </w:rPr>
              <w:t>S</w:t>
            </w:r>
            <w:r>
              <w:rPr>
                <w:rFonts w:hint="default" w:cs="Arial"/>
                <w:color w:val="000000" w:themeColor="text1"/>
                <w:kern w:val="0"/>
                <w:sz w:val="22"/>
                <w:szCs w:val="22"/>
                <w:highlight w:val="none"/>
                <w:lang w:val="pt-BR" w:bidi="ar-SA"/>
              </w:rPr>
              <w:t>ubs</w:t>
            </w:r>
            <w:r>
              <w:rPr>
                <w:rFonts w:cs="Arial"/>
                <w:color w:val="000000" w:themeColor="text1"/>
                <w:kern w:val="0"/>
                <w:sz w:val="22"/>
                <w:szCs w:val="22"/>
                <w:highlight w:val="none"/>
                <w:lang w:val="pt-BR" w:bidi="ar-SA"/>
              </w:rPr>
              <w:t xml:space="preserve">ecretário Municipal de </w:t>
            </w:r>
            <w:r>
              <w:rPr>
                <w:rFonts w:hint="default" w:cs="Arial"/>
                <w:color w:val="000000" w:themeColor="text1"/>
                <w:kern w:val="0"/>
                <w:sz w:val="22"/>
                <w:szCs w:val="22"/>
                <w:highlight w:val="none"/>
                <w:lang w:val="pt-BR" w:bidi="ar-SA"/>
              </w:rPr>
              <w:t>Turismo, Cultura, Esporte e Lazer</w:t>
            </w:r>
          </w:p>
          <w:p w14:paraId="37E43AB4">
            <w:pPr>
              <w:pStyle w:val="12"/>
              <w:widowControl w:val="0"/>
              <w:suppressAutoHyphens/>
              <w:spacing w:before="0" w:beforeAutospacing="0" w:after="0" w:afterAutospacing="0" w:line="360" w:lineRule="auto"/>
              <w:jc w:val="center"/>
              <w:rPr>
                <w:rFonts w:hint="default"/>
                <w:sz w:val="22"/>
                <w:szCs w:val="22"/>
                <w:highlight w:val="none"/>
                <w:lang w:val="pt-BR"/>
              </w:rPr>
            </w:pPr>
          </w:p>
        </w:tc>
      </w:tr>
    </w:tbl>
    <w:p w14:paraId="0B09629D">
      <w:pPr>
        <w:pStyle w:val="12"/>
        <w:spacing w:before="0" w:beforeAutospacing="0" w:after="0" w:afterAutospacing="0" w:line="360" w:lineRule="auto"/>
        <w:jc w:val="both"/>
        <w:rPr>
          <w:sz w:val="22"/>
          <w:szCs w:val="22"/>
        </w:rPr>
      </w:pPr>
    </w:p>
    <w:sectPr>
      <w:headerReference r:id="rId5" w:type="default"/>
      <w:footerReference r:id="rId6" w:type="default"/>
      <w:pgSz w:w="11906" w:h="16838"/>
      <w:pgMar w:top="1134" w:right="1134" w:bottom="1134" w:left="1134" w:header="0" w:footer="0" w:gutter="0"/>
      <w:pgNumType w:fmt="decimal"/>
      <w:cols w:space="720" w:num="1"/>
      <w:formProt w:val="0"/>
      <w:docGrid w:linePitch="10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0002AFF" w:usb1="C0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Calibri Light">
    <w:panose1 w:val="020F0302020204030204"/>
    <w:charset w:val="00"/>
    <w:family w:val="roman"/>
    <w:pitch w:val="default"/>
    <w:sig w:usb0="E0002AFF" w:usb1="C000247B" w:usb2="00000009" w:usb3="00000000" w:csb0="200001FF" w:csb1="00000000"/>
  </w:font>
  <w:font w:name="Lucida Sans">
    <w:panose1 w:val="020B0602030504020204"/>
    <w:charset w:val="00"/>
    <w:family w:val="auto"/>
    <w:pitch w:val="default"/>
    <w:sig w:usb0="00000003" w:usb1="00000000" w:usb2="00000000" w:usb3="00000000" w:csb0="20000001" w:csb1="00000000"/>
  </w:font>
  <w:font w:name="Tahoma">
    <w:panose1 w:val="020B0604030504040204"/>
    <w:charset w:val="00"/>
    <w:family w:val="roman"/>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93542">
    <w:pPr>
      <w:pStyle w:val="15"/>
      <w:jc w:val="center"/>
      <w:rPr>
        <w:rFonts w:ascii="Arial" w:hAnsi="Arial" w:cs="Arial"/>
        <w:sz w:val="20"/>
        <w:szCs w:val="16"/>
      </w:rPr>
    </w:pPr>
    <w:r>
      <w:rPr>
        <w:rFonts w:ascii="Arial" w:hAnsi="Arial" w:cs="Arial"/>
        <w:sz w:val="20"/>
        <w:szCs w:val="16"/>
      </w:rPr>
      <w:t>Rua Lourenço Roldi n.º 88,São Roquinho, São Roque do Canaã/ES, CEP: 29665-000</w:t>
    </w:r>
  </w:p>
  <w:p w14:paraId="172E64CD">
    <w:pPr>
      <w:pStyle w:val="15"/>
      <w:spacing w:before="0" w:after="160"/>
      <w:jc w:val="center"/>
      <w:rPr>
        <w:sz w:val="20"/>
        <w:szCs w:val="20"/>
      </w:rPr>
    </w:pPr>
    <w:r>
      <w:rPr>
        <w:rFonts w:ascii="Arial" w:hAnsi="Arial" w:cs="Arial"/>
        <w:bCs/>
        <w:i/>
        <w:color w:val="000000"/>
        <w:sz w:val="22"/>
        <w:szCs w:val="16"/>
      </w:rPr>
      <w:t>Telefone: (27) 3729-1</w:t>
    </w:r>
    <w:r>
      <w:rPr>
        <w:rFonts w:hint="default" w:ascii="Arial" w:hAnsi="Arial" w:cs="Arial"/>
        <w:bCs/>
        <w:i/>
        <w:color w:val="000000"/>
        <w:sz w:val="22"/>
        <w:szCs w:val="16"/>
        <w:lang w:val="pt-BR"/>
      </w:rPr>
      <w:t>997</w:t>
    </w:r>
    <w:r>
      <w:rPr>
        <w:rFonts w:ascii="Arial" w:hAnsi="Arial" w:cs="Arial"/>
        <w:bCs/>
        <w:i/>
        <w:color w:val="000000"/>
        <w:sz w:val="22"/>
        <w:szCs w:val="16"/>
      </w:rPr>
      <w:t xml:space="preserve"> | E-mail: </w:t>
    </w:r>
    <w:r>
      <w:rPr>
        <w:rFonts w:hint="default" w:ascii="Arial" w:hAnsi="Arial" w:cs="Arial"/>
        <w:bCs/>
        <w:i/>
        <w:color w:val="000000"/>
        <w:sz w:val="22"/>
        <w:szCs w:val="22"/>
        <w:lang w:val="pt-BR"/>
      </w:rPr>
      <w:t>turismo</w:t>
    </w:r>
    <w:r>
      <w:rPr>
        <w:rFonts w:ascii="Arial" w:hAnsi="Arial" w:cs="Arial"/>
        <w:bCs/>
        <w:i/>
        <w:color w:val="000000"/>
        <w:sz w:val="22"/>
        <w:szCs w:val="22"/>
      </w:rPr>
      <w:t>@saoroquedocanaa.es.gov.br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C9FFF">
    <w:pPr>
      <w:pStyle w:val="14"/>
      <w:spacing w:before="0" w:after="0" w:line="240" w:lineRule="auto"/>
      <w:jc w:val="center"/>
      <w:rPr>
        <w:rFonts w:ascii="Times New Roman" w:hAnsi="Times New Roman"/>
      </w:rPr>
    </w:pPr>
  </w:p>
  <w:p w14:paraId="1E4F37FC">
    <w:pPr>
      <w:pStyle w:val="14"/>
      <w:spacing w:before="0" w:after="0" w:line="240" w:lineRule="auto"/>
      <w:jc w:val="center"/>
      <w:rPr>
        <w:rFonts w:ascii="Times New Roman" w:hAnsi="Times New Roman"/>
        <w:sz w:val="36"/>
        <w:szCs w:val="36"/>
      </w:rPr>
    </w:pPr>
    <w:r>
      <w:rPr>
        <w:rFonts w:ascii="Times New Roman" w:hAnsi="Times New Roman"/>
      </w:rPr>
      <w:drawing>
        <wp:anchor distT="0" distB="0" distL="0" distR="0" simplePos="0" relativeHeight="251659264" behindDoc="1" locked="0" layoutInCell="0" allowOverlap="1">
          <wp:simplePos x="0" y="0"/>
          <wp:positionH relativeFrom="column">
            <wp:posOffset>2674620</wp:posOffset>
          </wp:positionH>
          <wp:positionV relativeFrom="paragraph">
            <wp:posOffset>30480</wp:posOffset>
          </wp:positionV>
          <wp:extent cx="647700" cy="650240"/>
          <wp:effectExtent l="0" t="0" r="0" b="16510"/>
          <wp:wrapNone/>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a:xfrm>
                    <a:off x="0" y="0"/>
                    <a:ext cx="647700" cy="650240"/>
                  </a:xfrm>
                  <a:prstGeom prst="rect">
                    <a:avLst/>
                  </a:prstGeom>
                </pic:spPr>
              </pic:pic>
            </a:graphicData>
          </a:graphic>
        </wp:anchor>
      </w:drawing>
    </w:r>
  </w:p>
  <w:p w14:paraId="4C9268B5">
    <w:pPr>
      <w:pStyle w:val="14"/>
      <w:spacing w:before="0" w:after="0" w:line="240" w:lineRule="auto"/>
      <w:jc w:val="center"/>
      <w:rPr>
        <w:rFonts w:ascii="Times New Roman" w:hAnsi="Times New Roman"/>
        <w:sz w:val="32"/>
        <w:szCs w:val="32"/>
      </w:rPr>
    </w:pPr>
  </w:p>
  <w:p w14:paraId="4569F0E0">
    <w:pPr>
      <w:pStyle w:val="14"/>
      <w:spacing w:before="0" w:after="0" w:line="240" w:lineRule="auto"/>
      <w:jc w:val="center"/>
      <w:rPr>
        <w:rFonts w:ascii="Times New Roman" w:hAnsi="Times New Roman"/>
        <w:sz w:val="32"/>
        <w:szCs w:val="32"/>
      </w:rPr>
    </w:pPr>
  </w:p>
  <w:p w14:paraId="0B520A66">
    <w:pPr>
      <w:pStyle w:val="14"/>
      <w:spacing w:before="0" w:after="0" w:line="240" w:lineRule="auto"/>
      <w:jc w:val="center"/>
      <w:rPr>
        <w:rFonts w:ascii="Times New Roman" w:hAnsi="Times New Roman"/>
      </w:rPr>
    </w:pPr>
    <w:r>
      <w:rPr>
        <w:rFonts w:ascii="Times New Roman" w:hAnsi="Times New Roman"/>
      </w:rPr>
      <w:t>PREFEITURA MUNICIPAL DE SÃO ROQUE DO CANAÃ</w:t>
    </w:r>
  </w:p>
  <w:p w14:paraId="409BCDDD">
    <w:pPr>
      <w:pStyle w:val="14"/>
      <w:spacing w:before="0" w:after="0" w:line="240" w:lineRule="auto"/>
      <w:jc w:val="center"/>
      <w:rPr>
        <w:rFonts w:ascii="Times New Roman" w:hAnsi="Times New Roman"/>
      </w:rPr>
    </w:pPr>
    <w:r>
      <w:rPr>
        <w:rFonts w:ascii="Times New Roman" w:hAnsi="Times New Roman"/>
      </w:rPr>
      <w:t>ESTADO DO ESPÍRITO SANTO</w:t>
    </w:r>
  </w:p>
  <w:p w14:paraId="23B50D94">
    <w:pPr>
      <w:pStyle w:val="14"/>
      <w:spacing w:before="0" w:after="0" w:line="240" w:lineRule="auto"/>
      <w:jc w:val="center"/>
      <w:rPr>
        <w:rFonts w:hint="default" w:ascii="Times New Roman" w:hAnsi="Times New Roman"/>
        <w:lang w:val="pt-BR"/>
      </w:rPr>
    </w:pPr>
    <w:r>
      <w:rPr>
        <w:rFonts w:hint="default" w:ascii="Times New Roman" w:hAnsi="Times New Roman"/>
        <w:lang w:val="pt-BR"/>
      </w:rPr>
      <w:t>SECRETARIA MUNICIPAL DE TURISMO, CULTURA, ESPORTE E LAZER</w:t>
    </w:r>
  </w:p>
  <w:p w14:paraId="48AB57F3">
    <w:pPr>
      <w:widowControl/>
      <w:suppressAutoHyphens/>
      <w:bidi w:val="0"/>
      <w:spacing w:before="0" w:after="160" w:line="259"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rFonts w:ascii="Arial" w:hAnsi="Arial" w:cs="Arial"/>
        <w:b w:val="0"/>
        <w:i w:val="0"/>
        <w:color w:val="000000"/>
      </w:rPr>
    </w:lvl>
    <w:lvl w:ilvl="2" w:tentative="0">
      <w:start w:val="1"/>
      <w:numFmt w:val="decimal"/>
      <w:lvlText w:val="%1.%2.%3."/>
      <w:lvlJc w:val="left"/>
      <w:pPr>
        <w:tabs>
          <w:tab w:val="left" w:pos="0"/>
        </w:tabs>
        <w:ind w:left="2631" w:hanging="504"/>
      </w:pPr>
      <w:rPr>
        <w:b w:val="0"/>
        <w:i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upperRoman"/>
      <w:lvlText w:val="%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
    <w:nsid w:val="03D62ECE"/>
    <w:multiLevelType w:val="multilevel"/>
    <w:tmpl w:val="03D62ECE"/>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rFonts w:ascii="Arial" w:hAnsi="Arial" w:cs="Arial"/>
        <w:b w:val="0"/>
      </w:rPr>
    </w:lvl>
    <w:lvl w:ilvl="2" w:tentative="0">
      <w:start w:val="1"/>
      <w:numFmt w:val="decimal"/>
      <w:lvlText w:val="%1.%2.%3."/>
      <w:lvlJc w:val="left"/>
      <w:pPr>
        <w:tabs>
          <w:tab w:val="left" w:pos="0"/>
        </w:tabs>
        <w:ind w:left="504" w:hanging="504"/>
      </w:pPr>
      <w:rPr>
        <w:b w:val="0"/>
      </w:rPr>
    </w:lvl>
    <w:lvl w:ilvl="3" w:tentative="0">
      <w:start w:val="1"/>
      <w:numFmt w:val="decimal"/>
      <w:lvlText w:val="%1.%2.%3.%4."/>
      <w:lvlJc w:val="left"/>
      <w:pPr>
        <w:tabs>
          <w:tab w:val="left" w:pos="0"/>
        </w:tabs>
        <w:ind w:left="1728" w:hanging="648"/>
      </w:pPr>
      <w:rPr>
        <w:b w:val="0"/>
      </w:r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
    <w:nsid w:val="1C676BB6"/>
    <w:multiLevelType w:val="singleLevel"/>
    <w:tmpl w:val="1C676BB6"/>
    <w:lvl w:ilvl="0" w:tentative="0">
      <w:start w:val="1"/>
      <w:numFmt w:val="lowerLetter"/>
      <w:suff w:val="space"/>
      <w:lvlText w:val="%1)"/>
      <w:lvlJc w:val="left"/>
      <w:rPr>
        <w:rFonts w:hint="default"/>
        <w:b w:val="0"/>
        <w:bCs w:val="0"/>
      </w:rPr>
    </w:lvl>
  </w:abstractNum>
  <w:abstractNum w:abstractNumId="3">
    <w:nsid w:val="25B654F3"/>
    <w:multiLevelType w:val="multilevel"/>
    <w:tmpl w:val="25B654F3"/>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rFonts w:ascii="Arial" w:hAnsi="Arial" w:cs="Arial"/>
        <w:b w:val="0"/>
      </w:rPr>
    </w:lvl>
    <w:lvl w:ilvl="2" w:tentative="0">
      <w:start w:val="1"/>
      <w:numFmt w:val="decimal"/>
      <w:lvlText w:val="%1.%2.%3."/>
      <w:lvlJc w:val="left"/>
      <w:pPr>
        <w:tabs>
          <w:tab w:val="left" w:pos="0"/>
        </w:tabs>
        <w:ind w:left="504" w:hanging="504"/>
      </w:pPr>
      <w:rPr>
        <w:b w:val="0"/>
      </w:rPr>
    </w:lvl>
    <w:lvl w:ilvl="3" w:tentative="0">
      <w:start w:val="1"/>
      <w:numFmt w:val="decimal"/>
      <w:lvlText w:val="%1.%2.%3.%4."/>
      <w:lvlJc w:val="left"/>
      <w:pPr>
        <w:tabs>
          <w:tab w:val="left" w:pos="0"/>
        </w:tabs>
        <w:ind w:left="1728" w:hanging="648"/>
      </w:pPr>
      <w:rPr>
        <w:b w:val="0"/>
      </w:r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4">
    <w:nsid w:val="72183CF9"/>
    <w:multiLevelType w:val="multilevel"/>
    <w:tmpl w:val="72183CF9"/>
    <w:lvl w:ilvl="0" w:tentative="0">
      <w:start w:val="5"/>
      <w:numFmt w:val="decimal"/>
      <w:lvlText w:val="%1."/>
      <w:lvlJc w:val="left"/>
      <w:pPr>
        <w:tabs>
          <w:tab w:val="left" w:pos="0"/>
        </w:tabs>
        <w:ind w:left="585" w:hanging="585"/>
      </w:pPr>
    </w:lvl>
    <w:lvl w:ilvl="1" w:tentative="0">
      <w:start w:val="1"/>
      <w:numFmt w:val="decimal"/>
      <w:lvlText w:val="%1.%2."/>
      <w:lvlJc w:val="left"/>
      <w:pPr>
        <w:tabs>
          <w:tab w:val="left" w:pos="0"/>
        </w:tabs>
        <w:ind w:left="720" w:hanging="720"/>
      </w:pPr>
    </w:lvl>
    <w:lvl w:ilvl="2" w:tentative="0">
      <w:start w:val="2"/>
      <w:numFmt w:val="decimal"/>
      <w:lvlText w:val="%1.%2.%3."/>
      <w:lvlJc w:val="left"/>
      <w:pPr>
        <w:tabs>
          <w:tab w:val="left" w:pos="0"/>
        </w:tabs>
        <w:ind w:left="720" w:hanging="720"/>
      </w:pPr>
    </w:lvl>
    <w:lvl w:ilvl="3" w:tentative="0">
      <w:start w:val="1"/>
      <w:numFmt w:val="decimal"/>
      <w:lvlText w:val="%1.%2.%3.%4."/>
      <w:lvlJc w:val="left"/>
      <w:pPr>
        <w:tabs>
          <w:tab w:val="left" w:pos="0"/>
        </w:tabs>
        <w:ind w:left="1080" w:hanging="1080"/>
      </w:pPr>
    </w:lvl>
    <w:lvl w:ilvl="4" w:tentative="0">
      <w:start w:val="1"/>
      <w:numFmt w:val="decimal"/>
      <w:lvlText w:val="%1.%2.%3.%4.%5."/>
      <w:lvlJc w:val="left"/>
      <w:pPr>
        <w:tabs>
          <w:tab w:val="left" w:pos="0"/>
        </w:tabs>
        <w:ind w:left="1080" w:hanging="1080"/>
      </w:pPr>
    </w:lvl>
    <w:lvl w:ilvl="5" w:tentative="0">
      <w:start w:val="1"/>
      <w:numFmt w:val="decimal"/>
      <w:lvlText w:val="%1.%2.%3.%4.%5.%6."/>
      <w:lvlJc w:val="left"/>
      <w:pPr>
        <w:tabs>
          <w:tab w:val="left" w:pos="0"/>
        </w:tabs>
        <w:ind w:left="1440" w:hanging="1440"/>
      </w:pPr>
    </w:lvl>
    <w:lvl w:ilvl="6" w:tentative="0">
      <w:start w:val="1"/>
      <w:numFmt w:val="decimal"/>
      <w:lvlText w:val="%1.%2.%3.%4.%5.%6.%7."/>
      <w:lvlJc w:val="left"/>
      <w:pPr>
        <w:tabs>
          <w:tab w:val="left" w:pos="0"/>
        </w:tabs>
        <w:ind w:left="1440" w:hanging="1440"/>
      </w:pPr>
    </w:lvl>
    <w:lvl w:ilvl="7" w:tentative="0">
      <w:start w:val="1"/>
      <w:numFmt w:val="decimal"/>
      <w:lvlText w:val="%1.%2.%3.%4.%5.%6.%7.%8."/>
      <w:lvlJc w:val="left"/>
      <w:pPr>
        <w:tabs>
          <w:tab w:val="left" w:pos="0"/>
        </w:tabs>
        <w:ind w:left="1800" w:hanging="1800"/>
      </w:pPr>
    </w:lvl>
    <w:lvl w:ilvl="8" w:tentative="0">
      <w:start w:val="1"/>
      <w:numFmt w:val="decimal"/>
      <w:lvlText w:val="%1.%2.%3.%4.%5.%6.%7.%8.%9."/>
      <w:lvlJc w:val="left"/>
      <w:pPr>
        <w:tabs>
          <w:tab w:val="left" w:pos="0"/>
        </w:tabs>
        <w:ind w:left="2160" w:hanging="216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autoHyphenation/>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000000"/>
    <w:rsid w:val="08982933"/>
    <w:rsid w:val="0F616FF8"/>
    <w:rsid w:val="241E094C"/>
    <w:rsid w:val="326E5D20"/>
    <w:rsid w:val="35316883"/>
    <w:rsid w:val="3AE34093"/>
    <w:rsid w:val="42B73C8E"/>
    <w:rsid w:val="465020D4"/>
    <w:rsid w:val="46A6731E"/>
    <w:rsid w:val="46E16D2B"/>
    <w:rsid w:val="5296503D"/>
    <w:rsid w:val="55EF2E27"/>
    <w:rsid w:val="5AA31917"/>
    <w:rsid w:val="738878C8"/>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iPriority="99" w:name="page number"/>
    <w:lsdException w:qFormat="1" w:unhideWhenUsed="0" w:uiPriority="0" w:semiHidden="0"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0"/>
    <w:pPr>
      <w:widowControl/>
      <w:suppressAutoHyphens/>
      <w:bidi w:val="0"/>
      <w:spacing w:before="0" w:after="160" w:line="259" w:lineRule="auto"/>
      <w:jc w:val="left"/>
    </w:pPr>
    <w:rPr>
      <w:rFonts w:cs="Times New Roman" w:asciiTheme="minorHAnsi" w:hAnsiTheme="minorHAnsi" w:eastAsiaTheme="minorEastAsia"/>
      <w:color w:val="auto"/>
      <w:kern w:val="0"/>
      <w:sz w:val="22"/>
      <w:szCs w:val="22"/>
      <w:lang w:val="pt-BR" w:eastAsia="pt-BR" w:bidi="ar-SA"/>
    </w:rPr>
  </w:style>
  <w:style w:type="paragraph" w:styleId="2">
    <w:name w:val="heading 1"/>
    <w:basedOn w:val="1"/>
    <w:next w:val="1"/>
    <w:qFormat/>
    <w:uiPriority w:val="9"/>
    <w:pPr>
      <w:keepNext/>
      <w:spacing w:before="240" w:after="60"/>
      <w:outlineLvl w:val="0"/>
    </w:pPr>
    <w:rPr>
      <w:rFonts w:asciiTheme="majorHAnsi" w:hAnsiTheme="majorHAnsi" w:eastAsiaTheme="majorEastAsia"/>
      <w:b/>
      <w:bCs/>
      <w:kern w:val="2"/>
      <w:sz w:val="32"/>
      <w:szCs w:val="32"/>
    </w:rPr>
  </w:style>
  <w:style w:type="paragraph" w:styleId="3">
    <w:name w:val="heading 2"/>
    <w:basedOn w:val="1"/>
    <w:unhideWhenUsed/>
    <w:qFormat/>
    <w:uiPriority w:val="9"/>
    <w:pPr>
      <w:widowControl w:val="0"/>
      <w:spacing w:before="0" w:after="0" w:line="240" w:lineRule="auto"/>
      <w:ind w:left="196" w:firstLine="0"/>
      <w:outlineLvl w:val="1"/>
    </w:pPr>
    <w:rPr>
      <w:rFonts w:ascii="Arial" w:hAnsi="Arial" w:eastAsia="Times New Roman" w:cs="Arial"/>
      <w:b/>
      <w:bCs/>
      <w:sz w:val="20"/>
      <w:szCs w:val="20"/>
      <w:lang w:val="pt-PT" w:eastAsia="pt-PT"/>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ndnote reference"/>
    <w:qFormat/>
    <w:uiPriority w:val="0"/>
    <w:rPr>
      <w:vertAlign w:val="superscript"/>
    </w:rPr>
  </w:style>
  <w:style w:type="character" w:styleId="7">
    <w:name w:val="Strong"/>
    <w:qFormat/>
    <w:uiPriority w:val="0"/>
    <w:rPr>
      <w:rFonts w:ascii="Times New Roman" w:hAnsi="Times New Roman" w:eastAsia="Times New Roman" w:cs="Times New Roman"/>
      <w:b/>
      <w:bCs/>
      <w:color w:val="000000"/>
      <w:sz w:val="24"/>
      <w:szCs w:val="24"/>
    </w:rPr>
  </w:style>
  <w:style w:type="character" w:styleId="8">
    <w:name w:val="footnote reference"/>
    <w:qFormat/>
    <w:uiPriority w:val="0"/>
    <w:rPr>
      <w:vertAlign w:val="superscript"/>
    </w:rPr>
  </w:style>
  <w:style w:type="character" w:styleId="9">
    <w:name w:val="page number"/>
    <w:basedOn w:val="4"/>
    <w:semiHidden/>
    <w:unhideWhenUsed/>
    <w:qFormat/>
    <w:uiPriority w:val="99"/>
    <w:rPr>
      <w:rFonts w:cs="Times New Roman"/>
    </w:rPr>
  </w:style>
  <w:style w:type="paragraph" w:styleId="10">
    <w:name w:val="List"/>
    <w:basedOn w:val="11"/>
    <w:qFormat/>
    <w:uiPriority w:val="0"/>
    <w:rPr>
      <w:rFonts w:cs="Lucida Sans"/>
    </w:rPr>
  </w:style>
  <w:style w:type="paragraph" w:styleId="11">
    <w:name w:val="Body Text"/>
    <w:basedOn w:val="1"/>
    <w:link w:val="23"/>
    <w:qFormat/>
    <w:uiPriority w:val="1"/>
    <w:pPr>
      <w:widowControl w:val="0"/>
      <w:spacing w:before="0" w:after="0" w:line="240" w:lineRule="auto"/>
    </w:pPr>
    <w:rPr>
      <w:rFonts w:ascii="Arial" w:hAnsi="Arial" w:eastAsia="Times New Roman" w:cs="Arial"/>
      <w:sz w:val="20"/>
      <w:szCs w:val="20"/>
      <w:lang w:val="pt-PT" w:eastAsia="pt-PT"/>
    </w:rPr>
  </w:style>
  <w:style w:type="paragraph" w:styleId="12">
    <w:name w:val="Normal (Web)"/>
    <w:basedOn w:val="1"/>
    <w:qFormat/>
    <w:uiPriority w:val="0"/>
    <w:pPr>
      <w:spacing w:beforeAutospacing="1" w:afterAutospacing="1" w:line="240" w:lineRule="exact"/>
    </w:pPr>
    <w:rPr>
      <w:rFonts w:ascii="Times New Roman" w:hAnsi="Times New Roman" w:eastAsia="Times New Roman" w:cs="Times New Roman"/>
      <w:lang w:eastAsia="pt-BR"/>
    </w:rPr>
  </w:style>
  <w:style w:type="paragraph" w:styleId="13">
    <w:name w:val="Body Text 3"/>
    <w:basedOn w:val="1"/>
    <w:qFormat/>
    <w:uiPriority w:val="0"/>
    <w:pPr>
      <w:spacing w:before="0" w:after="120" w:line="240" w:lineRule="exact"/>
    </w:pPr>
    <w:rPr>
      <w:rFonts w:ascii="Times New Roman" w:hAnsi="Times New Roman" w:eastAsia="Times New Roman" w:cs="Times New Roman"/>
      <w:sz w:val="16"/>
      <w:szCs w:val="16"/>
      <w:lang w:eastAsia="pt-BR"/>
    </w:rPr>
  </w:style>
  <w:style w:type="paragraph" w:styleId="14">
    <w:name w:val="header"/>
    <w:basedOn w:val="1"/>
    <w:link w:val="21"/>
    <w:unhideWhenUsed/>
    <w:qFormat/>
    <w:uiPriority w:val="99"/>
    <w:pPr>
      <w:tabs>
        <w:tab w:val="center" w:pos="4252"/>
        <w:tab w:val="right" w:pos="8504"/>
      </w:tabs>
    </w:pPr>
  </w:style>
  <w:style w:type="paragraph" w:styleId="15">
    <w:name w:val="footer"/>
    <w:basedOn w:val="1"/>
    <w:link w:val="22"/>
    <w:unhideWhenUsed/>
    <w:qFormat/>
    <w:uiPriority w:val="99"/>
    <w:pPr>
      <w:tabs>
        <w:tab w:val="center" w:pos="4252"/>
        <w:tab w:val="right" w:pos="8504"/>
      </w:tabs>
    </w:pPr>
  </w:style>
  <w:style w:type="paragraph" w:styleId="16">
    <w:name w:val="caption"/>
    <w:basedOn w:val="1"/>
    <w:qFormat/>
    <w:uiPriority w:val="0"/>
    <w:pPr>
      <w:suppressLineNumbers/>
      <w:spacing w:before="120" w:after="120"/>
    </w:pPr>
    <w:rPr>
      <w:rFonts w:cs="Lucida Sans"/>
      <w:i/>
      <w:iCs/>
      <w:sz w:val="24"/>
      <w:szCs w:val="24"/>
    </w:rPr>
  </w:style>
  <w:style w:type="paragraph" w:styleId="17">
    <w:name w:val="Balloon Text"/>
    <w:basedOn w:val="1"/>
    <w:qFormat/>
    <w:uiPriority w:val="0"/>
    <w:pPr>
      <w:spacing w:before="0" w:after="0" w:line="240" w:lineRule="exact"/>
    </w:pPr>
    <w:rPr>
      <w:rFonts w:ascii="Tahoma" w:hAnsi="Tahoma" w:cs="Tahoma"/>
      <w:sz w:val="16"/>
      <w:szCs w:val="16"/>
    </w:rPr>
  </w:style>
  <w:style w:type="paragraph" w:styleId="18">
    <w:name w:val="footnote text"/>
    <w:basedOn w:val="1"/>
    <w:qFormat/>
    <w:uiPriority w:val="0"/>
  </w:style>
  <w:style w:type="character" w:customStyle="1" w:styleId="19">
    <w:name w:val="Título 1 Char"/>
    <w:basedOn w:val="4"/>
    <w:qFormat/>
    <w:locked/>
    <w:uiPriority w:val="9"/>
    <w:rPr>
      <w:rFonts w:cs="Times New Roman" w:asciiTheme="majorHAnsi" w:hAnsiTheme="majorHAnsi" w:eastAsiaTheme="majorEastAsia"/>
      <w:b/>
      <w:bCs/>
      <w:kern w:val="2"/>
      <w:sz w:val="32"/>
      <w:szCs w:val="32"/>
    </w:rPr>
  </w:style>
  <w:style w:type="character" w:customStyle="1" w:styleId="20">
    <w:name w:val="Título 2 Char"/>
    <w:basedOn w:val="4"/>
    <w:qFormat/>
    <w:locked/>
    <w:uiPriority w:val="9"/>
    <w:rPr>
      <w:rFonts w:ascii="Arial" w:hAnsi="Arial" w:eastAsia="Times New Roman" w:cs="Arial"/>
      <w:b/>
      <w:bCs/>
      <w:sz w:val="20"/>
      <w:szCs w:val="20"/>
      <w:lang w:val="pt-PT" w:eastAsia="pt-PT"/>
    </w:rPr>
  </w:style>
  <w:style w:type="character" w:customStyle="1" w:styleId="21">
    <w:name w:val="Cabeçalho Char"/>
    <w:basedOn w:val="4"/>
    <w:link w:val="14"/>
    <w:qFormat/>
    <w:locked/>
    <w:uiPriority w:val="99"/>
    <w:rPr>
      <w:rFonts w:cs="Times New Roman"/>
    </w:rPr>
  </w:style>
  <w:style w:type="character" w:customStyle="1" w:styleId="22">
    <w:name w:val="Rodapé Char"/>
    <w:basedOn w:val="4"/>
    <w:link w:val="15"/>
    <w:qFormat/>
    <w:locked/>
    <w:uiPriority w:val="99"/>
    <w:rPr>
      <w:rFonts w:cs="Times New Roman"/>
    </w:rPr>
  </w:style>
  <w:style w:type="character" w:customStyle="1" w:styleId="23">
    <w:name w:val="Corpo de texto Char"/>
    <w:basedOn w:val="4"/>
    <w:link w:val="11"/>
    <w:qFormat/>
    <w:locked/>
    <w:uiPriority w:val="1"/>
    <w:rPr>
      <w:rFonts w:ascii="Arial" w:hAnsi="Arial" w:eastAsia="Times New Roman" w:cs="Arial"/>
      <w:sz w:val="20"/>
      <w:szCs w:val="20"/>
      <w:lang w:val="pt-PT" w:eastAsia="pt-PT"/>
    </w:rPr>
  </w:style>
  <w:style w:type="character" w:customStyle="1" w:styleId="24">
    <w:name w:val="Texto de balão Char"/>
    <w:qFormat/>
    <w:uiPriority w:val="0"/>
    <w:rPr>
      <w:rFonts w:ascii="Tahoma" w:hAnsi="Tahoma" w:eastAsia="Times New Roman" w:cs="Tahoma"/>
      <w:color w:val="000000"/>
      <w:sz w:val="16"/>
      <w:szCs w:val="16"/>
    </w:rPr>
  </w:style>
  <w:style w:type="character" w:customStyle="1" w:styleId="25">
    <w:name w:val="Texto de nota de rodapé Char"/>
    <w:qFormat/>
    <w:uiPriority w:val="0"/>
    <w:rPr>
      <w:rFonts w:ascii="Times New Roman" w:hAnsi="Times New Roman" w:eastAsia="Times New Roman" w:cs="Times New Roman"/>
      <w:color w:val="000000"/>
      <w:sz w:val="24"/>
      <w:szCs w:val="24"/>
    </w:rPr>
  </w:style>
  <w:style w:type="character" w:customStyle="1" w:styleId="26">
    <w:name w:val="Corpo de texto 3 Char"/>
    <w:qFormat/>
    <w:uiPriority w:val="0"/>
    <w:rPr>
      <w:rFonts w:ascii="Times New Roman" w:hAnsi="Times New Roman" w:eastAsia="Times New Roman" w:cs="Times New Roman"/>
      <w:color w:val="000000"/>
      <w:sz w:val="16"/>
      <w:szCs w:val="16"/>
    </w:rPr>
  </w:style>
  <w:style w:type="character" w:customStyle="1" w:styleId="27">
    <w:name w:val="Título Char"/>
    <w:qFormat/>
    <w:uiPriority w:val="0"/>
    <w:rPr>
      <w:rFonts w:ascii="Cambria" w:hAnsi="Cambria" w:eastAsia="Times New Roman" w:cs="Times New Roman"/>
      <w:b/>
      <w:color w:val="000000"/>
      <w:sz w:val="32"/>
      <w:szCs w:val="24"/>
    </w:rPr>
  </w:style>
  <w:style w:type="character" w:customStyle="1" w:styleId="28">
    <w:name w:val="Parágrafo da Lista Char"/>
    <w:qFormat/>
    <w:uiPriority w:val="0"/>
    <w:rPr>
      <w:sz w:val="22"/>
      <w:szCs w:val="22"/>
      <w:lang w:eastAsia="en-US"/>
    </w:rPr>
  </w:style>
  <w:style w:type="character" w:customStyle="1" w:styleId="29">
    <w:name w:val="Subtítulo Char"/>
    <w:qFormat/>
    <w:uiPriority w:val="0"/>
    <w:rPr>
      <w:rFonts w:ascii="Cambria" w:hAnsi="Cambria" w:eastAsia="Times New Roman" w:cs="Times New Roman"/>
      <w:color w:val="000000"/>
      <w:szCs w:val="24"/>
    </w:rPr>
  </w:style>
  <w:style w:type="character" w:customStyle="1" w:styleId="30">
    <w:name w:val="markedcontent"/>
    <w:qFormat/>
    <w:uiPriority w:val="0"/>
    <w:rPr>
      <w:rFonts w:ascii="Times New Roman" w:hAnsi="Times New Roman" w:eastAsia="Times New Roman" w:cs="Times New Roman"/>
      <w:color w:val="000000"/>
      <w:sz w:val="24"/>
      <w:szCs w:val="24"/>
    </w:rPr>
  </w:style>
  <w:style w:type="character" w:customStyle="1" w:styleId="31">
    <w:name w:val="Caracteres de nota de rodapé"/>
    <w:qFormat/>
    <w:uiPriority w:val="0"/>
    <w:rPr>
      <w:vertAlign w:val="superscript"/>
    </w:rPr>
  </w:style>
  <w:style w:type="character" w:customStyle="1" w:styleId="32">
    <w:name w:val="Caracteres de nota de fim"/>
    <w:qFormat/>
    <w:uiPriority w:val="0"/>
    <w:rPr>
      <w:vertAlign w:val="superscript"/>
    </w:rPr>
  </w:style>
  <w:style w:type="paragraph" w:customStyle="1" w:styleId="33">
    <w:name w:val="Título1"/>
    <w:basedOn w:val="1"/>
    <w:next w:val="11"/>
    <w:qFormat/>
    <w:uiPriority w:val="0"/>
    <w:pPr>
      <w:keepNext/>
      <w:spacing w:before="240" w:after="120"/>
    </w:pPr>
    <w:rPr>
      <w:rFonts w:ascii="Liberation Sans" w:hAnsi="Liberation Sans" w:eastAsia="Microsoft YaHei" w:cs="Lucida Sans"/>
      <w:sz w:val="28"/>
      <w:szCs w:val="28"/>
    </w:rPr>
  </w:style>
  <w:style w:type="paragraph" w:customStyle="1" w:styleId="34">
    <w:name w:val="Índice"/>
    <w:basedOn w:val="1"/>
    <w:qFormat/>
    <w:uiPriority w:val="0"/>
    <w:pPr>
      <w:suppressLineNumbers/>
    </w:pPr>
    <w:rPr>
      <w:rFonts w:cs="Lucida Sans"/>
      <w:lang w:val="zh-CN" w:eastAsia="zh-CN" w:bidi="zh-CN"/>
    </w:rPr>
  </w:style>
  <w:style w:type="paragraph" w:customStyle="1" w:styleId="35">
    <w:name w:val="Cabeçalho e Rodapé"/>
    <w:basedOn w:val="1"/>
    <w:qFormat/>
    <w:uiPriority w:val="0"/>
  </w:style>
  <w:style w:type="paragraph" w:styleId="36">
    <w:name w:val="List Paragraph"/>
    <w:basedOn w:val="1"/>
    <w:qFormat/>
    <w:uiPriority w:val="1"/>
    <w:pPr>
      <w:widowControl w:val="0"/>
      <w:spacing w:before="0" w:after="0" w:line="240" w:lineRule="auto"/>
      <w:ind w:left="196" w:firstLine="0"/>
      <w:jc w:val="both"/>
    </w:pPr>
    <w:rPr>
      <w:rFonts w:ascii="Arial" w:hAnsi="Arial" w:eastAsia="Times New Roman" w:cs="Arial"/>
      <w:lang w:val="pt-PT" w:eastAsia="pt-PT"/>
    </w:rPr>
  </w:style>
  <w:style w:type="paragraph" w:customStyle="1" w:styleId="37">
    <w:name w:val="Table Paragraph"/>
    <w:basedOn w:val="1"/>
    <w:qFormat/>
    <w:uiPriority w:val="1"/>
    <w:pPr>
      <w:widowControl w:val="0"/>
      <w:spacing w:before="11" w:after="0" w:line="223" w:lineRule="exact"/>
      <w:ind w:left="102" w:right="95" w:firstLine="0"/>
      <w:jc w:val="center"/>
    </w:pPr>
    <w:rPr>
      <w:rFonts w:ascii="Arial" w:hAnsi="Arial" w:eastAsia="Times New Roman" w:cs="Arial"/>
      <w:lang w:val="pt-PT" w:eastAsia="pt-PT"/>
    </w:rPr>
  </w:style>
  <w:style w:type="paragraph" w:customStyle="1" w:styleId="38">
    <w:name w:val="Conteúdo do quadro"/>
    <w:basedOn w:val="1"/>
    <w:qFormat/>
    <w:uiPriority w:val="0"/>
  </w:style>
  <w:style w:type="paragraph" w:customStyle="1" w:styleId="39">
    <w:name w:val="Conteúdo da tabela"/>
    <w:basedOn w:val="1"/>
    <w:qFormat/>
    <w:uiPriority w:val="0"/>
  </w:style>
  <w:style w:type="paragraph" w:customStyle="1" w:styleId="40">
    <w:name w:val="western"/>
    <w:basedOn w:val="1"/>
    <w:qFormat/>
    <w:uiPriority w:val="0"/>
    <w:pPr>
      <w:spacing w:beforeAutospacing="1" w:after="119" w:line="240" w:lineRule="exact"/>
    </w:pPr>
    <w:rPr>
      <w:rFonts w:ascii="Times New Roman" w:hAnsi="Times New Roman" w:eastAsia="Times New Roman" w:cs="Times New Roman"/>
      <w:color w:val="000000"/>
      <w:lang w:eastAsia="pt-BR"/>
    </w:rPr>
  </w:style>
  <w:style w:type="paragraph" w:customStyle="1" w:styleId="41">
    <w:name w:val="Corpo de texto 23"/>
    <w:basedOn w:val="1"/>
    <w:qFormat/>
    <w:uiPriority w:val="0"/>
    <w:pPr>
      <w:spacing w:before="0" w:after="0" w:line="240" w:lineRule="exact"/>
      <w:jc w:val="both"/>
    </w:pPr>
    <w:rPr>
      <w:rFonts w:ascii="Times New Roman" w:hAnsi="Times New Roman" w:eastAsia="SimSun" w:cs="Times New Roman"/>
      <w:sz w:val="20"/>
      <w:szCs w:val="20"/>
      <w:lang w:eastAsia="zh-CN"/>
    </w:rPr>
  </w:style>
  <w:style w:type="paragraph" w:customStyle="1" w:styleId="42">
    <w:name w:val="WW-Corpo de texto 3"/>
    <w:basedOn w:val="1"/>
    <w:qFormat/>
    <w:uiPriority w:val="0"/>
    <w:pPr>
      <w:spacing w:before="0" w:after="0" w:line="240" w:lineRule="exact"/>
      <w:jc w:val="both"/>
    </w:pPr>
    <w:rPr>
      <w:rFonts w:ascii="Times New Roman" w:hAnsi="Times New Roman" w:eastAsia="Times New Roman" w:cs="Times New Roman"/>
      <w:szCs w:val="20"/>
      <w:lang w:eastAsia="pt-BR"/>
    </w:rPr>
  </w:style>
  <w:style w:type="paragraph" w:customStyle="1" w:styleId="43">
    <w:name w:val="Título de tabela"/>
    <w:basedOn w:val="39"/>
    <w:qFormat/>
    <w:uiPriority w:val="0"/>
    <w:pPr>
      <w:suppressLineNumbers/>
      <w:jc w:val="center"/>
    </w:pPr>
    <w:rPr>
      <w:b/>
      <w:bCs/>
    </w:rPr>
  </w:style>
  <w:style w:type="table" w:customStyle="1" w:styleId="44">
    <w:name w:val="Table Normal"/>
    <w:semiHidden/>
    <w:unhideWhenUsed/>
    <w:qFormat/>
    <w:uiPriority w:val="2"/>
    <w:pPr>
      <w:spacing w:after="0" w:line="240" w:lineRule="auto"/>
    </w:pPr>
    <w:rPr>
      <w:lang w:val="en-US"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2D7D0-11D7-4D85-AD0D-18217DF9893D}">
  <ds:schemaRefs/>
</ds:datastoreItem>
</file>

<file path=docProps/app.xml><?xml version="1.0" encoding="utf-8"?>
<Properties xmlns="http://schemas.openxmlformats.org/officeDocument/2006/extended-properties" xmlns:vt="http://schemas.openxmlformats.org/officeDocument/2006/docPropsVTypes">
  <Template>Normal</Template>
  <Pages>8</Pages>
  <Words>3193</Words>
  <Characters>18067</Characters>
  <Paragraphs>151</Paragraphs>
  <TotalTime>3</TotalTime>
  <ScaleCrop>false</ScaleCrop>
  <LinksUpToDate>false</LinksUpToDate>
  <CharactersWithSpaces>21072</CharactersWithSpaces>
  <Application>WPS Office_12.2.0.19805_F1E327BC-269C-435d-A152-05C5408002CA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2024-01-03T10:46:00Z</dcterms:created>
  <dc:creator>user</dc:creator>
  <cp:lastModifiedBy>senhas wps</cp:lastModifiedBy>
  <cp:lastPrinted>2025-01-27T10:48:33Z</cp:lastPrinted>
  <dcterms:modified xsi:type="dcterms:W3CDTF">2025-01-27T10:51:35Z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99F27F4511E048A1AA4EF4B4CAE1C372_12</vt:lpwstr>
  </property>
</Properties>
</file>