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E1504E">
      <w:pPr>
        <w:spacing w:line="360" w:lineRule="auto"/>
        <w:jc w:val="center"/>
        <w:rPr>
          <w:rFonts w:ascii="Arial" w:hAnsi="Arial" w:cs="Arial"/>
          <w:highlight w:val="none"/>
        </w:rPr>
      </w:pPr>
    </w:p>
    <w:p w14:paraId="7D5A2643">
      <w:pPr>
        <w:spacing w:before="0" w:after="0" w:line="360" w:lineRule="auto"/>
        <w:rPr>
          <w:rFonts w:hint="default"/>
          <w:sz w:val="22"/>
          <w:szCs w:val="22"/>
          <w:highlight w:val="none"/>
          <w:lang w:val="pt-BR"/>
        </w:rPr>
      </w:pPr>
      <w:r>
        <w:rPr>
          <w:rFonts w:ascii="Times New Roman" w:hAnsi="Times New Roman" w:cs="Arial"/>
          <w:b/>
          <w:sz w:val="22"/>
          <w:szCs w:val="22"/>
          <w:highlight w:val="none"/>
        </w:rPr>
        <w:t>DFD/S</w:t>
      </w:r>
      <w:r>
        <w:rPr>
          <w:rFonts w:hint="default" w:ascii="Times New Roman" w:hAnsi="Times New Roman" w:cs="Arial"/>
          <w:b/>
          <w:sz w:val="22"/>
          <w:szCs w:val="22"/>
          <w:highlight w:val="none"/>
          <w:lang w:val="pt-BR"/>
        </w:rPr>
        <w:t>MTCEL</w:t>
      </w:r>
      <w:r>
        <w:rPr>
          <w:rFonts w:ascii="Times New Roman" w:hAnsi="Times New Roman" w:cs="Arial"/>
          <w:b/>
          <w:sz w:val="22"/>
          <w:szCs w:val="22"/>
          <w:highlight w:val="none"/>
        </w:rPr>
        <w:t xml:space="preserve"> Nº. 0</w:t>
      </w:r>
      <w:r>
        <w:rPr>
          <w:rFonts w:hint="default" w:ascii="Times New Roman" w:hAnsi="Times New Roman" w:cs="Arial"/>
          <w:b/>
          <w:sz w:val="22"/>
          <w:szCs w:val="22"/>
          <w:highlight w:val="none"/>
          <w:lang w:val="pt-BR"/>
        </w:rPr>
        <w:t>03</w:t>
      </w:r>
      <w:r>
        <w:rPr>
          <w:rFonts w:ascii="Times New Roman" w:hAnsi="Times New Roman" w:cs="Arial"/>
          <w:b/>
          <w:sz w:val="22"/>
          <w:szCs w:val="22"/>
          <w:highlight w:val="none"/>
        </w:rPr>
        <w:t>/202</w:t>
      </w:r>
      <w:r>
        <w:rPr>
          <w:rFonts w:hint="default" w:ascii="Times New Roman" w:hAnsi="Times New Roman" w:cs="Arial"/>
          <w:b/>
          <w:sz w:val="22"/>
          <w:szCs w:val="22"/>
          <w:highlight w:val="none"/>
          <w:lang w:val="pt-BR"/>
        </w:rPr>
        <w:t>5</w:t>
      </w:r>
    </w:p>
    <w:p w14:paraId="7266B09C">
      <w:pPr>
        <w:spacing w:before="0" w:after="0" w:line="360" w:lineRule="auto"/>
        <w:jc w:val="both"/>
        <w:rPr>
          <w:sz w:val="22"/>
          <w:szCs w:val="22"/>
          <w:highlight w:val="none"/>
        </w:rPr>
      </w:pPr>
      <w:r>
        <w:rPr>
          <w:rFonts w:ascii="Times New Roman" w:hAnsi="Times New Roman" w:cs="Arial"/>
          <w:sz w:val="22"/>
          <w:szCs w:val="22"/>
          <w:highlight w:val="none"/>
        </w:rPr>
        <w:t>Ao Exmo. Senhor,</w:t>
      </w:r>
    </w:p>
    <w:p w14:paraId="1A310736">
      <w:pPr>
        <w:widowControl w:val="0"/>
        <w:tabs>
          <w:tab w:val="left" w:pos="1701"/>
        </w:tabs>
        <w:spacing w:before="0" w:after="0" w:line="360" w:lineRule="auto"/>
        <w:rPr>
          <w:sz w:val="22"/>
          <w:szCs w:val="22"/>
          <w:highlight w:val="none"/>
        </w:rPr>
      </w:pPr>
      <w:r>
        <w:rPr>
          <w:rFonts w:ascii="Times New Roman" w:hAnsi="Times New Roman" w:cs="Arial"/>
          <w:b/>
          <w:sz w:val="22"/>
          <w:szCs w:val="22"/>
          <w:highlight w:val="none"/>
        </w:rPr>
        <w:t>MARCOS GERALDO GUERRA</w:t>
      </w:r>
    </w:p>
    <w:p w14:paraId="07CDD150">
      <w:pPr>
        <w:widowControl w:val="0"/>
        <w:tabs>
          <w:tab w:val="left" w:pos="1701"/>
        </w:tabs>
        <w:spacing w:before="0" w:after="0" w:line="360" w:lineRule="auto"/>
        <w:rPr>
          <w:sz w:val="22"/>
          <w:szCs w:val="22"/>
          <w:highlight w:val="none"/>
        </w:rPr>
      </w:pPr>
      <w:r>
        <w:rPr>
          <w:rFonts w:ascii="Times New Roman" w:hAnsi="Times New Roman" w:cs="Arial"/>
          <w:sz w:val="22"/>
          <w:szCs w:val="22"/>
          <w:highlight w:val="none"/>
        </w:rPr>
        <w:t>Prefeito Municipal de São Roque do Canaã/ES</w:t>
      </w:r>
    </w:p>
    <w:p w14:paraId="29582E3A">
      <w:pPr>
        <w:widowControl w:val="0"/>
        <w:tabs>
          <w:tab w:val="left" w:pos="1701"/>
        </w:tabs>
        <w:spacing w:before="0" w:after="0" w:line="360" w:lineRule="auto"/>
        <w:rPr>
          <w:rFonts w:ascii="Times New Roman" w:hAnsi="Times New Roman" w:cs="Arial"/>
          <w:sz w:val="22"/>
          <w:szCs w:val="22"/>
          <w:highlight w:val="none"/>
        </w:rPr>
      </w:pPr>
    </w:p>
    <w:p w14:paraId="360599A7">
      <w:pPr>
        <w:widowControl w:val="0"/>
        <w:pBdr>
          <w:bottom w:val="single" w:color="000000" w:sz="4" w:space="1"/>
        </w:pBdr>
        <w:tabs>
          <w:tab w:val="left" w:pos="1701"/>
        </w:tabs>
        <w:spacing w:before="0" w:after="0" w:line="360" w:lineRule="auto"/>
        <w:jc w:val="both"/>
        <w:rPr>
          <w:rFonts w:hint="default"/>
          <w:sz w:val="22"/>
          <w:szCs w:val="22"/>
          <w:highlight w:val="none"/>
          <w:lang w:val="pt-BR"/>
        </w:rPr>
      </w:pPr>
      <w:r>
        <w:rPr>
          <w:rFonts w:ascii="Times New Roman" w:hAnsi="Times New Roman" w:cs="Arial"/>
          <w:b/>
          <w:sz w:val="22"/>
          <w:szCs w:val="22"/>
          <w:highlight w:val="none"/>
        </w:rPr>
        <w:t>Ref.:</w:t>
      </w:r>
      <w:r>
        <w:rPr>
          <w:rFonts w:ascii="Times New Roman" w:hAnsi="Times New Roman" w:cs="Arial"/>
          <w:sz w:val="22"/>
          <w:szCs w:val="22"/>
          <w:highlight w:val="none"/>
        </w:rPr>
        <w:t xml:space="preserve"> Empenho por Estimativa – Energia Elétrica – LUZ E FORÇA SANTA MARIA 202</w:t>
      </w:r>
      <w:r>
        <w:rPr>
          <w:rFonts w:hint="default" w:ascii="Times New Roman" w:hAnsi="Times New Roman" w:cs="Arial"/>
          <w:sz w:val="22"/>
          <w:szCs w:val="22"/>
          <w:highlight w:val="none"/>
          <w:lang w:val="pt-BR"/>
        </w:rPr>
        <w:t>5</w:t>
      </w:r>
    </w:p>
    <w:p w14:paraId="6F727037">
      <w:pPr>
        <w:pStyle w:val="12"/>
        <w:spacing w:before="0" w:beforeAutospacing="0" w:after="0" w:afterAutospacing="0" w:line="360" w:lineRule="auto"/>
        <w:jc w:val="both"/>
        <w:rPr>
          <w:rFonts w:ascii="Times New Roman" w:hAnsi="Times New Roman" w:cs="Arial"/>
          <w:bCs/>
          <w:sz w:val="22"/>
          <w:szCs w:val="22"/>
          <w:highlight w:val="none"/>
        </w:rPr>
      </w:pPr>
    </w:p>
    <w:p w14:paraId="039122A0">
      <w:pPr>
        <w:pStyle w:val="12"/>
        <w:spacing w:before="0" w:beforeAutospacing="0" w:after="0" w:afterAutospacing="0" w:line="360" w:lineRule="auto"/>
        <w:jc w:val="both"/>
        <w:rPr>
          <w:rFonts w:hint="default"/>
          <w:sz w:val="22"/>
          <w:szCs w:val="22"/>
          <w:highlight w:val="none"/>
          <w:lang w:val="pt-BR"/>
        </w:rPr>
      </w:pPr>
      <w:r>
        <w:rPr>
          <w:rFonts w:cs="Arial"/>
          <w:b/>
          <w:bCs/>
          <w:sz w:val="22"/>
          <w:szCs w:val="22"/>
          <w:highlight w:val="none"/>
          <w:shd w:val="clear" w:fill="D9D9D9"/>
        </w:rPr>
        <w:t>UNIDADE REQUISITANTE</w:t>
      </w:r>
      <w:r>
        <w:rPr>
          <w:rFonts w:cs="Arial"/>
          <w:b/>
          <w:sz w:val="22"/>
          <w:szCs w:val="22"/>
          <w:highlight w:val="none"/>
          <w:shd w:val="clear" w:fill="D9D9D9"/>
        </w:rPr>
        <w:t>:</w:t>
      </w:r>
      <w:r>
        <w:rPr>
          <w:rFonts w:cs="Arial"/>
          <w:sz w:val="22"/>
          <w:szCs w:val="22"/>
          <w:highlight w:val="none"/>
        </w:rPr>
        <w:t xml:space="preserve"> Secretaria Municipal de </w:t>
      </w:r>
      <w:r>
        <w:rPr>
          <w:rFonts w:hint="default" w:cs="Arial"/>
          <w:sz w:val="22"/>
          <w:szCs w:val="22"/>
          <w:highlight w:val="none"/>
          <w:lang w:val="pt-BR"/>
        </w:rPr>
        <w:t>Turismo, Cultura, Esporte e Lazer.</w:t>
      </w:r>
    </w:p>
    <w:p w14:paraId="27F6791C">
      <w:pPr>
        <w:pStyle w:val="12"/>
        <w:spacing w:before="0" w:beforeAutospacing="0" w:after="0" w:afterAutospacing="0" w:line="360" w:lineRule="auto"/>
        <w:jc w:val="both"/>
        <w:rPr>
          <w:rFonts w:ascii="Times New Roman" w:hAnsi="Times New Roman" w:cs="Arial"/>
          <w:sz w:val="22"/>
          <w:szCs w:val="22"/>
          <w:highlight w:val="none"/>
        </w:rPr>
      </w:pPr>
    </w:p>
    <w:p w14:paraId="1D271C1D">
      <w:pPr>
        <w:pStyle w:val="12"/>
        <w:spacing w:before="0" w:beforeAutospacing="0" w:after="0" w:afterAutospacing="0" w:line="360" w:lineRule="auto"/>
        <w:jc w:val="both"/>
        <w:rPr>
          <w:sz w:val="22"/>
          <w:szCs w:val="22"/>
          <w:highlight w:val="none"/>
        </w:rPr>
      </w:pPr>
      <w:r>
        <w:rPr>
          <w:rFonts w:cs="Arial"/>
          <w:b/>
          <w:bCs/>
          <w:sz w:val="22"/>
          <w:szCs w:val="22"/>
          <w:highlight w:val="none"/>
          <w:shd w:val="clear" w:fill="D9D9D9"/>
        </w:rPr>
        <w:t>RESPONSÁVEL PELA DEMANDA:</w:t>
      </w:r>
      <w:r>
        <w:rPr>
          <w:rFonts w:cs="Arial"/>
          <w:bCs/>
          <w:sz w:val="22"/>
          <w:szCs w:val="22"/>
          <w:highlight w:val="none"/>
        </w:rPr>
        <w:t xml:space="preserve"> </w:t>
      </w:r>
      <w:r>
        <w:rPr>
          <w:rFonts w:cs="Arial"/>
          <w:bCs/>
          <w:color w:val="000000"/>
          <w:sz w:val="22"/>
          <w:szCs w:val="22"/>
          <w:highlight w:val="none"/>
        </w:rPr>
        <w:t xml:space="preserve">Responsabilizar-se-á, pela presente demanda, o servidor </w:t>
      </w:r>
      <w:r>
        <w:rPr>
          <w:rFonts w:hint="default" w:cs="Arial"/>
          <w:b/>
          <w:bCs/>
          <w:color w:val="000000"/>
          <w:sz w:val="22"/>
          <w:szCs w:val="22"/>
          <w:highlight w:val="none"/>
          <w:lang w:val="pt-BR"/>
        </w:rPr>
        <w:t>ROBERTO ALVES MEIRELES,</w:t>
      </w:r>
      <w:r>
        <w:rPr>
          <w:rFonts w:cs="Arial"/>
          <w:bCs/>
          <w:color w:val="000000"/>
          <w:sz w:val="22"/>
          <w:szCs w:val="22"/>
          <w:highlight w:val="none"/>
        </w:rPr>
        <w:t xml:space="preserve"> ocupante do cargo de S</w:t>
      </w:r>
      <w:r>
        <w:rPr>
          <w:rFonts w:hint="default" w:cs="Arial"/>
          <w:bCs/>
          <w:color w:val="000000"/>
          <w:sz w:val="22"/>
          <w:szCs w:val="22"/>
          <w:highlight w:val="none"/>
          <w:lang w:val="pt-BR"/>
        </w:rPr>
        <w:t>ubs</w:t>
      </w:r>
      <w:r>
        <w:rPr>
          <w:rFonts w:cs="Arial"/>
          <w:bCs/>
          <w:color w:val="000000"/>
          <w:sz w:val="22"/>
          <w:szCs w:val="22"/>
          <w:highlight w:val="none"/>
        </w:rPr>
        <w:t xml:space="preserve">ecretário Municipal de </w:t>
      </w:r>
      <w:r>
        <w:rPr>
          <w:rFonts w:hint="default" w:cs="Arial"/>
          <w:bCs/>
          <w:color w:val="000000"/>
          <w:sz w:val="22"/>
          <w:szCs w:val="22"/>
          <w:highlight w:val="none"/>
          <w:lang w:val="pt-BR"/>
        </w:rPr>
        <w:t>Turismo, Cultura, Esporte e Lazer</w:t>
      </w:r>
      <w:r>
        <w:rPr>
          <w:rFonts w:cs="Arial"/>
          <w:bCs/>
          <w:color w:val="000000"/>
          <w:sz w:val="22"/>
          <w:szCs w:val="22"/>
          <w:highlight w:val="none"/>
        </w:rPr>
        <w:t>, integrante da Unidade Requisitante.</w:t>
      </w:r>
    </w:p>
    <w:p w14:paraId="063684FC">
      <w:pPr>
        <w:pStyle w:val="12"/>
        <w:spacing w:before="0" w:beforeAutospacing="0" w:after="0" w:afterAutospacing="0" w:line="360" w:lineRule="auto"/>
        <w:jc w:val="both"/>
        <w:rPr>
          <w:rFonts w:ascii="Times New Roman" w:hAnsi="Times New Roman" w:cs="Arial"/>
          <w:bCs/>
          <w:sz w:val="22"/>
          <w:szCs w:val="22"/>
          <w:highlight w:val="none"/>
        </w:rPr>
      </w:pPr>
    </w:p>
    <w:p w14:paraId="216A3FFA">
      <w:pPr>
        <w:pStyle w:val="12"/>
        <w:spacing w:before="0" w:beforeAutospacing="0" w:after="0" w:afterAutospacing="0" w:line="360" w:lineRule="auto"/>
        <w:jc w:val="both"/>
        <w:rPr>
          <w:rFonts w:hint="default"/>
          <w:sz w:val="22"/>
          <w:szCs w:val="22"/>
          <w:highlight w:val="none"/>
          <w:lang w:val="pt-BR"/>
        </w:rPr>
      </w:pPr>
      <w:r>
        <w:rPr>
          <w:rFonts w:cs="Arial"/>
          <w:b/>
          <w:bCs/>
          <w:sz w:val="22"/>
          <w:szCs w:val="22"/>
          <w:highlight w:val="none"/>
          <w:shd w:val="clear" w:fill="D9D9D9"/>
        </w:rPr>
        <w:t>CONTATO DA UNIDADE REQUISITANTE:</w:t>
      </w:r>
      <w:r>
        <w:rPr>
          <w:rFonts w:cs="Arial"/>
          <w:bCs/>
          <w:sz w:val="22"/>
          <w:szCs w:val="22"/>
          <w:highlight w:val="none"/>
        </w:rPr>
        <w:t xml:space="preserve"> </w:t>
      </w:r>
      <w:r>
        <w:rPr>
          <w:rFonts w:cs="Arial"/>
          <w:bCs/>
          <w:color w:val="000000"/>
          <w:sz w:val="22"/>
          <w:szCs w:val="22"/>
          <w:highlight w:val="none"/>
        </w:rPr>
        <w:t xml:space="preserve">Os contatos com a unidade requisitante podem ser realizados pelo </w:t>
      </w:r>
      <w:r>
        <w:rPr>
          <w:rFonts w:cs="Arial"/>
          <w:bCs/>
          <w:color w:val="000000"/>
          <w:sz w:val="22"/>
          <w:szCs w:val="22"/>
          <w:highlight w:val="none"/>
          <w:shd w:val="clear" w:fill="auto"/>
        </w:rPr>
        <w:t xml:space="preserve">telefone </w:t>
      </w:r>
      <w:r>
        <w:rPr>
          <w:rFonts w:cs="Arial"/>
          <w:b w:val="0"/>
          <w:bCs/>
          <w:i w:val="0"/>
          <w:caps w:val="0"/>
          <w:smallCaps w:val="0"/>
          <w:color w:val="000000"/>
          <w:spacing w:val="0"/>
          <w:sz w:val="22"/>
          <w:szCs w:val="22"/>
          <w:highlight w:val="none"/>
          <w:shd w:val="clear" w:fill="auto"/>
        </w:rPr>
        <w:t>(27) 3729-1</w:t>
      </w:r>
      <w:r>
        <w:rPr>
          <w:rFonts w:hint="default" w:cs="Arial"/>
          <w:b w:val="0"/>
          <w:bCs/>
          <w:i w:val="0"/>
          <w:caps w:val="0"/>
          <w:smallCaps w:val="0"/>
          <w:color w:val="000000"/>
          <w:spacing w:val="0"/>
          <w:sz w:val="22"/>
          <w:szCs w:val="22"/>
          <w:highlight w:val="none"/>
          <w:shd w:val="clear" w:fill="auto"/>
          <w:lang w:val="pt-BR"/>
        </w:rPr>
        <w:t>997</w:t>
      </w:r>
      <w:r>
        <w:rPr>
          <w:rFonts w:cs="Arial"/>
          <w:b w:val="0"/>
          <w:bCs/>
          <w:i w:val="0"/>
          <w:caps w:val="0"/>
          <w:smallCaps w:val="0"/>
          <w:color w:val="000000"/>
          <w:spacing w:val="0"/>
          <w:sz w:val="22"/>
          <w:szCs w:val="22"/>
          <w:highlight w:val="none"/>
          <w:shd w:val="clear" w:fill="auto"/>
        </w:rPr>
        <w:t xml:space="preserve">, </w:t>
      </w:r>
      <w:r>
        <w:rPr>
          <w:rFonts w:hint="default" w:cs="Arial"/>
          <w:b w:val="0"/>
          <w:bCs/>
          <w:i w:val="0"/>
          <w:caps w:val="0"/>
          <w:smallCaps w:val="0"/>
          <w:color w:val="000000"/>
          <w:spacing w:val="0"/>
          <w:sz w:val="22"/>
          <w:szCs w:val="22"/>
          <w:highlight w:val="none"/>
          <w:shd w:val="clear" w:fill="auto"/>
          <w:lang w:val="pt-BR"/>
        </w:rPr>
        <w:t>pelo</w:t>
      </w:r>
      <w:r>
        <w:rPr>
          <w:rFonts w:cs="Arial"/>
          <w:bCs/>
          <w:color w:val="000000"/>
          <w:sz w:val="22"/>
          <w:szCs w:val="22"/>
          <w:highlight w:val="none"/>
        </w:rPr>
        <w:t xml:space="preserve"> e-mail: </w:t>
      </w:r>
      <w:r>
        <w:rPr>
          <w:rFonts w:hint="default" w:cs="Arial"/>
          <w:bCs/>
          <w:color w:val="000000"/>
          <w:sz w:val="22"/>
          <w:szCs w:val="22"/>
          <w:highlight w:val="none"/>
          <w:lang w:val="pt-BR"/>
        </w:rPr>
        <w:t>turismo</w:t>
      </w:r>
      <w:r>
        <w:rPr>
          <w:rFonts w:cs="Arial"/>
          <w:bCs/>
          <w:color w:val="000000"/>
          <w:sz w:val="22"/>
          <w:szCs w:val="22"/>
          <w:highlight w:val="none"/>
        </w:rPr>
        <w:t xml:space="preserve">@saoroquedocanaa.es.gov.br. ou por meio do atendimento presencial, na sede localizada na </w:t>
      </w:r>
      <w:r>
        <w:rPr>
          <w:rFonts w:cs="Arial"/>
          <w:b w:val="0"/>
          <w:bCs/>
          <w:i w:val="0"/>
          <w:caps w:val="0"/>
          <w:smallCaps w:val="0"/>
          <w:color w:val="000000"/>
          <w:spacing w:val="0"/>
          <w:sz w:val="22"/>
          <w:szCs w:val="22"/>
          <w:highlight w:val="none"/>
        </w:rPr>
        <w:t>Rua Lourenço Roldi, nº 88 – Bairro São Roquinho – CEP: 29665000</w:t>
      </w:r>
      <w:r>
        <w:rPr>
          <w:rFonts w:hint="default" w:cs="Arial"/>
          <w:b w:val="0"/>
          <w:bCs/>
          <w:i w:val="0"/>
          <w:caps w:val="0"/>
          <w:smallCaps w:val="0"/>
          <w:color w:val="000000"/>
          <w:spacing w:val="0"/>
          <w:sz w:val="22"/>
          <w:szCs w:val="22"/>
          <w:highlight w:val="none"/>
          <w:lang w:val="pt-BR"/>
        </w:rPr>
        <w:t>.</w:t>
      </w:r>
    </w:p>
    <w:p w14:paraId="47D3B3E0">
      <w:pPr>
        <w:pStyle w:val="12"/>
        <w:spacing w:before="0" w:beforeAutospacing="0" w:after="0" w:afterAutospacing="0" w:line="360" w:lineRule="auto"/>
        <w:jc w:val="both"/>
        <w:rPr>
          <w:rFonts w:ascii="Times New Roman" w:hAnsi="Times New Roman" w:cs="Arial"/>
          <w:sz w:val="22"/>
          <w:szCs w:val="22"/>
          <w:highlight w:val="none"/>
        </w:rPr>
      </w:pPr>
    </w:p>
    <w:p w14:paraId="34ECE405">
      <w:pPr>
        <w:pStyle w:val="12"/>
        <w:numPr>
          <w:ilvl w:val="0"/>
          <w:numId w:val="1"/>
        </w:numPr>
        <w:shd w:val="clear" w:color="auto" w:fill="D8D8D8" w:themeFill="background1" w:themeFillShade="D9"/>
        <w:spacing w:before="0" w:beforeAutospacing="0" w:after="0" w:afterAutospacing="0" w:line="360" w:lineRule="auto"/>
        <w:ind w:left="0" w:firstLine="0"/>
        <w:jc w:val="both"/>
        <w:rPr>
          <w:sz w:val="22"/>
          <w:szCs w:val="22"/>
          <w:highlight w:val="none"/>
        </w:rPr>
      </w:pPr>
      <w:r>
        <w:rPr>
          <w:rFonts w:cs="Arial"/>
          <w:b/>
          <w:bCs/>
          <w:sz w:val="22"/>
          <w:szCs w:val="22"/>
          <w:highlight w:val="none"/>
        </w:rPr>
        <w:t>DESCRIÇÃO SUCINTA DO OBJETO E/OU OBJETIVO</w:t>
      </w:r>
    </w:p>
    <w:p w14:paraId="35A14371">
      <w:pPr>
        <w:pStyle w:val="12"/>
        <w:spacing w:before="0" w:beforeAutospacing="0" w:after="0" w:afterAutospacing="0" w:line="360" w:lineRule="auto"/>
        <w:jc w:val="both"/>
        <w:rPr>
          <w:rFonts w:ascii="Times New Roman" w:hAnsi="Times New Roman" w:cs="Arial"/>
          <w:bCs/>
          <w:sz w:val="22"/>
          <w:szCs w:val="22"/>
          <w:highlight w:val="none"/>
        </w:rPr>
      </w:pPr>
    </w:p>
    <w:p w14:paraId="0D3E4E0E">
      <w:pPr>
        <w:pStyle w:val="12"/>
        <w:numPr>
          <w:ilvl w:val="1"/>
          <w:numId w:val="1"/>
        </w:numPr>
        <w:spacing w:before="0" w:beforeAutospacing="0" w:after="0" w:afterAutospacing="0" w:line="360" w:lineRule="auto"/>
        <w:ind w:left="0" w:firstLine="0"/>
        <w:jc w:val="both"/>
        <w:rPr>
          <w:sz w:val="22"/>
          <w:szCs w:val="22"/>
          <w:highlight w:val="none"/>
        </w:rPr>
      </w:pPr>
      <w:r>
        <w:rPr>
          <w:rFonts w:cs="Arial"/>
          <w:bCs/>
          <w:sz w:val="22"/>
          <w:szCs w:val="22"/>
          <w:highlight w:val="none"/>
        </w:rPr>
        <w:t xml:space="preserve">Constitui objeto da presente demanda a necessidade de </w:t>
      </w:r>
      <w:r>
        <w:rPr>
          <w:rFonts w:cs="Arial"/>
          <w:b/>
          <w:bCs/>
          <w:sz w:val="22"/>
          <w:szCs w:val="22"/>
          <w:highlight w:val="none"/>
        </w:rPr>
        <w:t>custear</w:t>
      </w:r>
      <w:r>
        <w:rPr>
          <w:rFonts w:hint="default" w:cs="Arial"/>
          <w:b/>
          <w:bCs/>
          <w:sz w:val="22"/>
          <w:szCs w:val="22"/>
          <w:highlight w:val="none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b/>
          <w:bCs/>
          <w:sz w:val="22"/>
          <w:szCs w:val="22"/>
          <w:highlight w:val="none"/>
        </w:rPr>
        <w:t xml:space="preserve">serviço </w:t>
      </w:r>
      <w:r>
        <w:rPr>
          <w:rFonts w:hint="default" w:eastAsia="SimSun" w:cs="Times New Roman"/>
          <w:b/>
          <w:bCs/>
          <w:sz w:val="22"/>
          <w:szCs w:val="22"/>
          <w:highlight w:val="none"/>
          <w:lang w:val="pt-BR"/>
        </w:rPr>
        <w:t xml:space="preserve">adicional </w:t>
      </w:r>
      <w:r>
        <w:rPr>
          <w:rFonts w:hint="default" w:ascii="Times New Roman" w:hAnsi="Times New Roman" w:eastAsia="SimSun" w:cs="Times New Roman"/>
          <w:b/>
          <w:bCs/>
          <w:sz w:val="22"/>
          <w:szCs w:val="22"/>
          <w:highlight w:val="none"/>
        </w:rPr>
        <w:t>de</w:t>
      </w:r>
      <w:r>
        <w:rPr>
          <w:rFonts w:hint="default" w:eastAsia="SimSun" w:cs="Times New Roman"/>
          <w:sz w:val="22"/>
          <w:szCs w:val="22"/>
          <w:highlight w:val="none"/>
          <w:lang w:val="pt-BR"/>
        </w:rPr>
        <w:t xml:space="preserve"> </w:t>
      </w:r>
      <w:r>
        <w:rPr>
          <w:rFonts w:cs="Arial"/>
          <w:b/>
          <w:bCs/>
          <w:sz w:val="22"/>
          <w:szCs w:val="22"/>
          <w:highlight w:val="none"/>
        </w:rPr>
        <w:t xml:space="preserve">energia elétrica pelas unidades relacionadas à </w:t>
      </w:r>
      <w:r>
        <w:rPr>
          <w:rFonts w:hint="default" w:cs="Arial"/>
          <w:b/>
          <w:bCs/>
          <w:sz w:val="22"/>
          <w:szCs w:val="22"/>
          <w:highlight w:val="none"/>
          <w:lang w:val="pt-BR"/>
        </w:rPr>
        <w:t>Secretaria Municipal de Turismo, Cultura, Esporte e Lazer</w:t>
      </w:r>
      <w:r>
        <w:rPr>
          <w:rFonts w:cs="Arial"/>
          <w:b/>
          <w:bCs/>
          <w:sz w:val="22"/>
          <w:szCs w:val="22"/>
          <w:highlight w:val="none"/>
        </w:rPr>
        <w:t>, no exercício de 202</w:t>
      </w:r>
      <w:r>
        <w:rPr>
          <w:rFonts w:hint="default" w:cs="Arial"/>
          <w:b/>
          <w:bCs/>
          <w:sz w:val="22"/>
          <w:szCs w:val="22"/>
          <w:highlight w:val="none"/>
          <w:lang w:val="pt-BR"/>
        </w:rPr>
        <w:t>5</w:t>
      </w:r>
      <w:r>
        <w:rPr>
          <w:rFonts w:cs="Arial"/>
          <w:bCs/>
          <w:sz w:val="22"/>
          <w:szCs w:val="22"/>
          <w:highlight w:val="none"/>
        </w:rPr>
        <w:t xml:space="preserve">, em virtude do desempenho de suas atividades, com fulcro no art. 60, da Lei Federal nº </w:t>
      </w:r>
      <w:r>
        <w:rPr>
          <w:rFonts w:cs="Arial"/>
          <w:sz w:val="22"/>
          <w:szCs w:val="22"/>
          <w:highlight w:val="none"/>
        </w:rPr>
        <w:t xml:space="preserve">4.320/1964, art. 74, </w:t>
      </w:r>
      <w:r>
        <w:rPr>
          <w:rFonts w:cs="Arial"/>
          <w:i/>
          <w:sz w:val="22"/>
          <w:szCs w:val="22"/>
          <w:highlight w:val="none"/>
        </w:rPr>
        <w:t>caput</w:t>
      </w:r>
      <w:r>
        <w:rPr>
          <w:rFonts w:cs="Arial"/>
          <w:sz w:val="22"/>
          <w:szCs w:val="22"/>
          <w:highlight w:val="none"/>
        </w:rPr>
        <w:t>, da Lei Federal nº 14.133/2021.</w:t>
      </w:r>
    </w:p>
    <w:p w14:paraId="22A27A0B">
      <w:pPr>
        <w:pStyle w:val="12"/>
        <w:spacing w:before="0" w:beforeAutospacing="0" w:after="0" w:afterAutospacing="0" w:line="360" w:lineRule="auto"/>
        <w:jc w:val="both"/>
        <w:rPr>
          <w:rFonts w:ascii="Times New Roman" w:hAnsi="Times New Roman" w:cs="Arial"/>
          <w:bCs/>
          <w:sz w:val="22"/>
          <w:szCs w:val="22"/>
          <w:highlight w:val="none"/>
        </w:rPr>
      </w:pPr>
    </w:p>
    <w:p w14:paraId="49901AA2">
      <w:pPr>
        <w:pStyle w:val="12"/>
        <w:numPr>
          <w:ilvl w:val="0"/>
          <w:numId w:val="1"/>
        </w:numPr>
        <w:shd w:val="clear" w:color="auto" w:fill="D8D8D8" w:themeFill="background1" w:themeFillShade="D9"/>
        <w:spacing w:before="0" w:beforeAutospacing="0" w:after="0" w:afterAutospacing="0" w:line="360" w:lineRule="auto"/>
        <w:ind w:left="0" w:firstLine="0"/>
        <w:jc w:val="both"/>
        <w:rPr>
          <w:sz w:val="22"/>
          <w:szCs w:val="22"/>
          <w:highlight w:val="none"/>
        </w:rPr>
      </w:pPr>
      <w:r>
        <w:rPr>
          <w:rFonts w:cs="Arial"/>
          <w:b/>
          <w:bCs/>
          <w:sz w:val="22"/>
          <w:szCs w:val="22"/>
          <w:highlight w:val="none"/>
        </w:rPr>
        <w:t>JUSTIFICATIVA DA NECESSIDADE/IMPORTÂNCIA DA COMPRA DO BEM/MATERIAL OU PRESTAÇÃO DE SERVIÇOS, CONSIDERANDO O PLANEJAMENTO ESTRATÉGICO, SE FOR O CASO.</w:t>
      </w:r>
    </w:p>
    <w:p w14:paraId="38F2D824">
      <w:pPr>
        <w:pStyle w:val="12"/>
        <w:spacing w:before="0" w:beforeAutospacing="0" w:after="0" w:afterAutospacing="0" w:line="360" w:lineRule="auto"/>
        <w:jc w:val="both"/>
        <w:rPr>
          <w:rFonts w:ascii="Times New Roman" w:hAnsi="Times New Roman" w:cs="Arial"/>
          <w:sz w:val="22"/>
          <w:szCs w:val="22"/>
          <w:highlight w:val="none"/>
        </w:rPr>
      </w:pPr>
    </w:p>
    <w:p w14:paraId="795406D0">
      <w:pPr>
        <w:pStyle w:val="12"/>
        <w:numPr>
          <w:ilvl w:val="1"/>
          <w:numId w:val="1"/>
        </w:numPr>
        <w:spacing w:before="0" w:beforeAutospacing="0" w:after="0" w:afterAutospacing="0" w:line="360" w:lineRule="auto"/>
        <w:ind w:left="0" w:firstLine="0"/>
        <w:jc w:val="both"/>
        <w:rPr>
          <w:sz w:val="22"/>
          <w:szCs w:val="22"/>
          <w:highlight w:val="none"/>
        </w:rPr>
      </w:pPr>
      <w:r>
        <w:rPr>
          <w:rFonts w:cs="Arial" w:eastAsiaTheme="minorHAnsi"/>
          <w:b w:val="0"/>
          <w:i w:val="0"/>
          <w:caps w:val="0"/>
          <w:smallCaps w:val="0"/>
          <w:color w:val="000000"/>
          <w:spacing w:val="0"/>
          <w:sz w:val="22"/>
          <w:szCs w:val="22"/>
          <w:highlight w:val="none"/>
          <w:lang w:eastAsia="en-US"/>
        </w:rPr>
        <w:t xml:space="preserve"> </w:t>
      </w:r>
      <w:r>
        <w:rPr>
          <w:rFonts w:hint="default" w:ascii="Times New Roman" w:hAnsi="Times New Roman" w:eastAsia="SimSun" w:cs="Times New Roman"/>
          <w:sz w:val="22"/>
          <w:szCs w:val="22"/>
          <w:highlight w:val="none"/>
        </w:rPr>
        <w:t>A Secretaria de Turismo, Cultura, Esporte e Lazer desempenha um papel crucial na promoção e realização de eventos e atividades que enriquecem a vida cultural e social da comunidade. Com o planejamento estratégico para o ano de 202</w:t>
      </w:r>
      <w:r>
        <w:rPr>
          <w:rFonts w:hint="default" w:eastAsia="SimSun" w:cs="Times New Roman"/>
          <w:sz w:val="22"/>
          <w:szCs w:val="22"/>
          <w:highlight w:val="none"/>
          <w:lang w:val="pt-BR"/>
        </w:rPr>
        <w:t>5</w:t>
      </w:r>
      <w:r>
        <w:rPr>
          <w:rFonts w:hint="default" w:ascii="Times New Roman" w:hAnsi="Times New Roman" w:eastAsia="SimSun" w:cs="Times New Roman"/>
          <w:sz w:val="22"/>
          <w:szCs w:val="22"/>
          <w:highlight w:val="none"/>
        </w:rPr>
        <w:t>, há uma necessidade premente de garantir um fornecimento de energia elétrica adequado para suportar o aumento das atividades e eventos programados.</w:t>
      </w:r>
      <w:r>
        <w:rPr>
          <w:rFonts w:hint="default" w:ascii="Times New Roman" w:hAnsi="Times New Roman" w:eastAsia="SimSun" w:cs="Times New Roman"/>
          <w:sz w:val="22"/>
          <w:szCs w:val="22"/>
          <w:highlight w:val="none"/>
          <w:lang w:eastAsia="en-US"/>
        </w:rPr>
        <w:t xml:space="preserve"> </w:t>
      </w:r>
    </w:p>
    <w:p w14:paraId="05E7E1B0">
      <w:pPr>
        <w:pStyle w:val="12"/>
        <w:numPr>
          <w:ilvl w:val="0"/>
          <w:numId w:val="0"/>
        </w:numPr>
        <w:spacing w:before="0" w:beforeAutospacing="0" w:after="0" w:afterAutospacing="0" w:line="360" w:lineRule="auto"/>
        <w:jc w:val="both"/>
        <w:rPr>
          <w:rFonts w:ascii="Times New Roman" w:hAnsi="Times New Roman" w:cs="Arial"/>
          <w:color w:val="000000"/>
          <w:sz w:val="22"/>
          <w:szCs w:val="22"/>
          <w:highlight w:val="none"/>
        </w:rPr>
      </w:pPr>
    </w:p>
    <w:p w14:paraId="38C854E9">
      <w:pPr>
        <w:pStyle w:val="12"/>
        <w:numPr>
          <w:ilvl w:val="0"/>
          <w:numId w:val="0"/>
        </w:numPr>
        <w:spacing w:before="0" w:beforeAutospacing="0" w:after="0" w:afterAutospacing="0" w:line="360" w:lineRule="auto"/>
        <w:ind w:left="360" w:firstLine="0"/>
        <w:jc w:val="both"/>
        <w:rPr>
          <w:rFonts w:ascii="Times New Roman" w:hAnsi="Times New Roman" w:cs="Arial"/>
          <w:color w:val="000000"/>
          <w:sz w:val="22"/>
          <w:szCs w:val="22"/>
          <w:highlight w:val="none"/>
        </w:rPr>
      </w:pPr>
    </w:p>
    <w:p w14:paraId="7ACBA994">
      <w:pPr>
        <w:pStyle w:val="12"/>
        <w:numPr>
          <w:ilvl w:val="1"/>
          <w:numId w:val="1"/>
        </w:numPr>
        <w:spacing w:before="0" w:beforeAutospacing="0" w:after="0" w:afterAutospacing="0" w:line="360" w:lineRule="auto"/>
        <w:ind w:left="0" w:firstLine="0"/>
        <w:jc w:val="both"/>
        <w:rPr>
          <w:rFonts w:hint="default" w:ascii="Times New Roman" w:hAnsi="Times New Roman" w:cs="Times New Roman"/>
          <w:sz w:val="22"/>
          <w:szCs w:val="22"/>
          <w:highlight w:val="none"/>
        </w:rPr>
      </w:pPr>
      <w:r>
        <w:rPr>
          <w:rFonts w:hint="default" w:ascii="Times New Roman" w:hAnsi="Times New Roman" w:eastAsia="SimSun" w:cs="Times New Roman"/>
          <w:sz w:val="22"/>
          <w:szCs w:val="22"/>
          <w:highlight w:val="none"/>
        </w:rPr>
        <w:t>Nos últimos anos, a Secretaria tem experimentado um crescimento significativo nas suas atividades e eventos</w:t>
      </w:r>
      <w:r>
        <w:rPr>
          <w:rFonts w:hint="default" w:ascii="Times New Roman" w:hAnsi="Times New Roman" w:eastAsia="SimSun" w:cs="Times New Roman"/>
          <w:sz w:val="22"/>
          <w:szCs w:val="22"/>
          <w:highlight w:val="none"/>
          <w:lang w:val="pt-BR"/>
        </w:rPr>
        <w:t>, tal como o a</w:t>
      </w:r>
      <w:r>
        <w:rPr>
          <w:rFonts w:hint="default" w:ascii="Times New Roman" w:hAnsi="Times New Roman" w:eastAsia="SimSun" w:cs="Times New Roman"/>
          <w:sz w:val="22"/>
          <w:szCs w:val="22"/>
          <w:highlight w:val="none"/>
        </w:rPr>
        <w:t>umento na quantidade e na escala de eventos culturais, esportivos e de lazer, que demandam maior consumo de energia para iluminação, som e equipamentos diversos.</w:t>
      </w:r>
      <w:r>
        <w:rPr>
          <w:rFonts w:hint="default" w:eastAsia="SimSun" w:cs="Times New Roman"/>
          <w:sz w:val="22"/>
          <w:szCs w:val="22"/>
          <w:highlight w:val="none"/>
          <w:lang w:val="pt-BR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  <w:highlight w:val="none"/>
        </w:rPr>
        <w:t xml:space="preserve">Além disso, a inauguração de um novo campo </w:t>
      </w:r>
      <w:r>
        <w:rPr>
          <w:rFonts w:hint="default" w:cs="Times New Roman"/>
          <w:sz w:val="22"/>
          <w:szCs w:val="22"/>
          <w:highlight w:val="none"/>
          <w:lang w:val="pt-BR"/>
        </w:rPr>
        <w:t xml:space="preserve">“Campo Bom de Bola”, </w:t>
      </w:r>
      <w:r>
        <w:rPr>
          <w:rFonts w:hint="default" w:ascii="Times New Roman" w:hAnsi="Times New Roman" w:cs="Times New Roman"/>
          <w:sz w:val="22"/>
          <w:szCs w:val="22"/>
          <w:highlight w:val="none"/>
        </w:rPr>
        <w:t>destinado ao lazer e à recreação dos moradores, que promove momentos únicos de interação com amigos e familiares, também demanda um maior consumo de energia elétrica devido aos seus horários de funcionamento ampliados.</w:t>
      </w:r>
    </w:p>
    <w:p w14:paraId="054AB387">
      <w:pPr>
        <w:pStyle w:val="12"/>
        <w:numPr>
          <w:ilvl w:val="0"/>
          <w:numId w:val="0"/>
        </w:numPr>
        <w:spacing w:before="0" w:beforeAutospacing="0" w:after="0" w:afterAutospacing="0" w:line="360" w:lineRule="auto"/>
        <w:ind w:left="360" w:firstLine="0"/>
        <w:jc w:val="both"/>
        <w:rPr>
          <w:rFonts w:hint="default" w:ascii="Times New Roman" w:hAnsi="Times New Roman" w:cs="Times New Roman"/>
          <w:color w:val="000000"/>
          <w:sz w:val="22"/>
          <w:szCs w:val="22"/>
          <w:highlight w:val="none"/>
        </w:rPr>
      </w:pPr>
    </w:p>
    <w:p w14:paraId="57057DBE">
      <w:pPr>
        <w:pStyle w:val="12"/>
        <w:numPr>
          <w:ilvl w:val="1"/>
          <w:numId w:val="1"/>
        </w:numPr>
        <w:spacing w:before="0" w:beforeAutospacing="0" w:after="0" w:afterAutospacing="0" w:line="360" w:lineRule="auto"/>
        <w:ind w:left="0" w:firstLine="0"/>
        <w:jc w:val="both"/>
        <w:rPr>
          <w:rFonts w:hint="default" w:ascii="Times New Roman" w:hAnsi="Times New Roman" w:cs="Times New Roman"/>
          <w:sz w:val="22"/>
          <w:szCs w:val="22"/>
          <w:highlight w:val="none"/>
        </w:rPr>
      </w:pPr>
      <w:r>
        <w:rPr>
          <w:rFonts w:hint="default" w:ascii="Times New Roman" w:hAnsi="Times New Roman" w:eastAsia="SimSun" w:cs="Times New Roman"/>
          <w:sz w:val="22"/>
          <w:szCs w:val="22"/>
          <w:highlight w:val="none"/>
        </w:rPr>
        <w:t>Implementação de novas tecnologias para a realização de eventos de grande porte, como o Rodeio Festival Show, que inclui um espetáculo pirotécnico e o uso de tecnologias audiovisuais avançadas. Além disso, melhorias nas instalações existentes, como praças, ginásios e arenas esportivas,</w:t>
      </w:r>
      <w:r>
        <w:rPr>
          <w:rFonts w:hint="default" w:eastAsia="SimSun" w:cs="Times New Roman"/>
          <w:sz w:val="22"/>
          <w:szCs w:val="22"/>
          <w:highlight w:val="none"/>
          <w:lang w:val="pt-BR"/>
        </w:rPr>
        <w:t xml:space="preserve"> que </w:t>
      </w:r>
      <w:r>
        <w:rPr>
          <w:rFonts w:hint="default" w:ascii="Times New Roman" w:hAnsi="Times New Roman" w:eastAsia="SimSun" w:cs="Times New Roman"/>
          <w:sz w:val="22"/>
          <w:szCs w:val="22"/>
          <w:highlight w:val="none"/>
        </w:rPr>
        <w:t>exigem um fornecimento de energia mais robusto. A continuidade e a qualidade desses serviços estão diretamente dependentes de um fornecimento de energia ininterrupto</w:t>
      </w:r>
      <w:r>
        <w:rPr>
          <w:rFonts w:ascii="SimSun" w:hAnsi="SimSun" w:eastAsia="SimSun" w:cs="SimSun"/>
          <w:sz w:val="24"/>
          <w:szCs w:val="24"/>
          <w:highlight w:val="none"/>
        </w:rPr>
        <w:t>.</w:t>
      </w:r>
    </w:p>
    <w:p w14:paraId="012ADB24">
      <w:pPr>
        <w:pStyle w:val="12"/>
        <w:numPr>
          <w:ilvl w:val="0"/>
          <w:numId w:val="0"/>
        </w:numPr>
        <w:spacing w:before="0" w:beforeAutospacing="0" w:after="0" w:afterAutospacing="0" w:line="360" w:lineRule="auto"/>
        <w:ind w:left="360" w:firstLine="0"/>
        <w:jc w:val="both"/>
        <w:rPr>
          <w:rFonts w:hint="default" w:ascii="Times New Roman" w:hAnsi="Times New Roman" w:cs="Times New Roman" w:eastAsiaTheme="minorHAnsi"/>
          <w:color w:val="000000"/>
          <w:sz w:val="22"/>
          <w:szCs w:val="22"/>
          <w:highlight w:val="none"/>
          <w:lang w:eastAsia="en-US"/>
        </w:rPr>
      </w:pPr>
    </w:p>
    <w:p w14:paraId="76DB81E4">
      <w:pPr>
        <w:pStyle w:val="12"/>
        <w:numPr>
          <w:ilvl w:val="1"/>
          <w:numId w:val="1"/>
        </w:numPr>
        <w:spacing w:before="0" w:beforeAutospacing="0" w:after="0" w:afterAutospacing="0" w:line="360" w:lineRule="auto"/>
        <w:ind w:left="0" w:firstLine="0"/>
        <w:jc w:val="both"/>
        <w:rPr>
          <w:rFonts w:hint="default" w:ascii="Times New Roman" w:hAnsi="Times New Roman" w:cs="Times New Roman"/>
          <w:sz w:val="22"/>
          <w:szCs w:val="22"/>
          <w:highlight w:val="none"/>
        </w:rPr>
      </w:pPr>
      <w:r>
        <w:rPr>
          <w:rFonts w:hint="default" w:ascii="Times New Roman" w:hAnsi="Times New Roman" w:eastAsia="SimSun" w:cs="Times New Roman"/>
          <w:sz w:val="22"/>
          <w:szCs w:val="22"/>
          <w:highlight w:val="none"/>
        </w:rPr>
        <w:t>Projeção de eventos especiais e festivais destinados a engajar a comunidade, que requerem um suporte energético adicional para assegurar uma execução sem problemas. Entre estes eventos, estão incluídas feiras ao ar livre com apresentações musicais, que necessitam de estruturas específicas e um maior consumo de energia elétrica para iluminação, som e equipamentos técnicos. Além disso, barracas de comidas e bebidas de empreendedores locais precisam de instalações elétricas adequadas para o funcionamento de equipamentos essenciais, como freezers, fritadeiras elétricas e iluminação, garantindo a operação eficiente e segura desses empreendimentos.</w:t>
      </w:r>
    </w:p>
    <w:p w14:paraId="3C8139E1">
      <w:pPr>
        <w:pStyle w:val="12"/>
        <w:numPr>
          <w:ilvl w:val="0"/>
          <w:numId w:val="0"/>
        </w:numPr>
        <w:spacing w:before="0" w:beforeAutospacing="0" w:after="0" w:afterAutospacing="0" w:line="360" w:lineRule="auto"/>
        <w:ind w:leftChars="0"/>
        <w:jc w:val="both"/>
        <w:rPr>
          <w:sz w:val="22"/>
          <w:szCs w:val="22"/>
          <w:highlight w:val="none"/>
        </w:rPr>
      </w:pPr>
    </w:p>
    <w:p w14:paraId="1B788CF8">
      <w:pPr>
        <w:pStyle w:val="12"/>
        <w:numPr>
          <w:ilvl w:val="1"/>
          <w:numId w:val="1"/>
        </w:numPr>
        <w:spacing w:before="0" w:beforeAutospacing="0" w:after="0" w:afterAutospacing="0" w:line="360" w:lineRule="auto"/>
        <w:ind w:left="0" w:firstLine="0"/>
        <w:jc w:val="both"/>
        <w:rPr>
          <w:sz w:val="22"/>
          <w:szCs w:val="22"/>
          <w:highlight w:val="none"/>
        </w:rPr>
      </w:pPr>
      <w:r>
        <w:rPr>
          <w:rFonts w:cs="Arial" w:eastAsiaTheme="minorHAnsi"/>
          <w:b w:val="0"/>
          <w:i w:val="0"/>
          <w:caps w:val="0"/>
          <w:smallCaps w:val="0"/>
          <w:color w:val="000000"/>
          <w:spacing w:val="0"/>
          <w:sz w:val="22"/>
          <w:szCs w:val="22"/>
          <w:highlight w:val="none"/>
          <w:lang w:eastAsia="en-US"/>
        </w:rPr>
        <w:t>Escolas municipais dependem da energia para operar efetivamente. Equipamentos educacionais, sistemas de iluminação, climatização e a infraestrutura necessária para atividades culturais demand</w:t>
      </w:r>
      <w:r>
        <w:rPr>
          <w:rFonts w:hint="default" w:cs="Arial" w:eastAsiaTheme="minorHAnsi"/>
          <w:b w:val="0"/>
          <w:i w:val="0"/>
          <w:caps w:val="0"/>
          <w:smallCaps w:val="0"/>
          <w:color w:val="000000"/>
          <w:spacing w:val="0"/>
          <w:sz w:val="22"/>
          <w:szCs w:val="22"/>
          <w:highlight w:val="none"/>
          <w:lang w:val="pt-BR" w:eastAsia="en-US"/>
        </w:rPr>
        <w:t>a</w:t>
      </w:r>
      <w:r>
        <w:rPr>
          <w:rFonts w:cs="Arial" w:eastAsiaTheme="minorHAnsi"/>
          <w:b w:val="0"/>
          <w:i w:val="0"/>
          <w:caps w:val="0"/>
          <w:smallCaps w:val="0"/>
          <w:color w:val="000000"/>
          <w:spacing w:val="0"/>
          <w:sz w:val="22"/>
          <w:szCs w:val="22"/>
          <w:highlight w:val="none"/>
          <w:lang w:eastAsia="en-US"/>
        </w:rPr>
        <w:t>m uma fonte estável de energia.</w:t>
      </w:r>
    </w:p>
    <w:p w14:paraId="5D315092">
      <w:pPr>
        <w:pStyle w:val="12"/>
        <w:numPr>
          <w:ilvl w:val="0"/>
          <w:numId w:val="0"/>
        </w:numPr>
        <w:spacing w:before="0" w:beforeAutospacing="0" w:after="0" w:afterAutospacing="0" w:line="360" w:lineRule="auto"/>
        <w:ind w:left="0" w:firstLine="0"/>
        <w:jc w:val="both"/>
        <w:rPr>
          <w:rFonts w:ascii="Times New Roman" w:hAnsi="Times New Roman"/>
          <w:color w:val="000000"/>
          <w:sz w:val="22"/>
          <w:szCs w:val="22"/>
          <w:highlight w:val="none"/>
        </w:rPr>
      </w:pPr>
    </w:p>
    <w:p w14:paraId="56561FDF">
      <w:pPr>
        <w:pStyle w:val="12"/>
        <w:numPr>
          <w:ilvl w:val="1"/>
          <w:numId w:val="1"/>
        </w:numPr>
        <w:spacing w:before="0" w:beforeAutospacing="0" w:after="0" w:afterAutospacing="0" w:line="360" w:lineRule="auto"/>
        <w:ind w:left="0" w:firstLine="0"/>
        <w:jc w:val="both"/>
        <w:rPr>
          <w:sz w:val="22"/>
          <w:szCs w:val="22"/>
          <w:highlight w:val="none"/>
        </w:rPr>
      </w:pPr>
      <w:r>
        <w:rPr>
          <w:rFonts w:cs="Arial" w:eastAsiaTheme="minorHAnsi"/>
          <w:b w:val="0"/>
          <w:i w:val="0"/>
          <w:caps w:val="0"/>
          <w:smallCaps w:val="0"/>
          <w:color w:val="000000"/>
          <w:spacing w:val="0"/>
          <w:sz w:val="22"/>
          <w:szCs w:val="22"/>
          <w:highlight w:val="none"/>
          <w:lang w:eastAsia="en-US"/>
        </w:rPr>
        <w:t>Portanto, é evidente que a energia elétrica é um elemento vital para o funcionamento integrado e eficaz de nossa prefeitura, impactando diretamente a qualidade de vida de nossos servidores e munícipes. Estamos comprometidos em garantir o fornecimento seguro e contínuo de energia para atender às necessidades da comunidade.</w:t>
      </w:r>
    </w:p>
    <w:p w14:paraId="3EE325F0">
      <w:pPr>
        <w:pStyle w:val="12"/>
        <w:numPr>
          <w:ilvl w:val="0"/>
          <w:numId w:val="0"/>
        </w:numPr>
        <w:spacing w:before="0" w:beforeAutospacing="0" w:after="0" w:afterAutospacing="0" w:line="360" w:lineRule="auto"/>
        <w:ind w:left="360" w:firstLine="0"/>
        <w:jc w:val="both"/>
        <w:rPr>
          <w:rFonts w:ascii="Times New Roman" w:hAnsi="Times New Roman" w:cs="Arial" w:eastAsiaTheme="minorHAnsi"/>
          <w:color w:val="000000"/>
          <w:sz w:val="22"/>
          <w:szCs w:val="22"/>
          <w:highlight w:val="none"/>
          <w:lang w:eastAsia="en-US"/>
        </w:rPr>
      </w:pPr>
    </w:p>
    <w:p w14:paraId="0080C906">
      <w:pPr>
        <w:pStyle w:val="12"/>
        <w:numPr>
          <w:ilvl w:val="1"/>
          <w:numId w:val="1"/>
        </w:numPr>
        <w:spacing w:before="0" w:beforeAutospacing="0" w:after="0" w:afterAutospacing="0" w:line="360" w:lineRule="auto"/>
        <w:ind w:left="0" w:firstLine="0"/>
        <w:jc w:val="both"/>
        <w:rPr>
          <w:sz w:val="22"/>
          <w:szCs w:val="22"/>
          <w:highlight w:val="none"/>
        </w:rPr>
      </w:pPr>
      <w:r>
        <w:rPr>
          <w:rFonts w:cs="Arial"/>
          <w:sz w:val="22"/>
          <w:szCs w:val="22"/>
          <w:highlight w:val="none"/>
        </w:rPr>
        <w:t xml:space="preserve">Nesse contexto, </w:t>
      </w:r>
      <w:r>
        <w:rPr>
          <w:rFonts w:cs="Arial"/>
          <w:b/>
          <w:sz w:val="22"/>
          <w:szCs w:val="22"/>
          <w:highlight w:val="none"/>
        </w:rPr>
        <w:t>entende-se necessário custear as despesas decorrentes d</w:t>
      </w:r>
      <w:r>
        <w:rPr>
          <w:rFonts w:hint="default" w:cs="Arial"/>
          <w:b/>
          <w:sz w:val="22"/>
          <w:szCs w:val="22"/>
          <w:highlight w:val="none"/>
          <w:lang w:val="pt-BR"/>
        </w:rPr>
        <w:t>o aumento do</w:t>
      </w:r>
      <w:r>
        <w:rPr>
          <w:rFonts w:cs="Arial"/>
          <w:b/>
          <w:sz w:val="22"/>
          <w:szCs w:val="22"/>
          <w:highlight w:val="none"/>
        </w:rPr>
        <w:t xml:space="preserve"> consumo de energia pelas unidades relacionadas à Secretaria Municipal de </w:t>
      </w:r>
      <w:r>
        <w:rPr>
          <w:rFonts w:hint="default" w:cs="Arial"/>
          <w:b/>
          <w:sz w:val="22"/>
          <w:szCs w:val="22"/>
          <w:highlight w:val="none"/>
          <w:lang w:val="pt-BR"/>
        </w:rPr>
        <w:t>Turismo, Cultura, Esporte e Lazer</w:t>
      </w:r>
      <w:r>
        <w:rPr>
          <w:rFonts w:cs="Arial"/>
          <w:b/>
          <w:sz w:val="22"/>
          <w:szCs w:val="22"/>
          <w:highlight w:val="none"/>
        </w:rPr>
        <w:t>, no exercício de 202</w:t>
      </w:r>
      <w:r>
        <w:rPr>
          <w:rFonts w:hint="default" w:cs="Arial"/>
          <w:b/>
          <w:sz w:val="22"/>
          <w:szCs w:val="22"/>
          <w:highlight w:val="none"/>
          <w:lang w:val="pt-BR"/>
        </w:rPr>
        <w:t>5</w:t>
      </w:r>
      <w:r>
        <w:rPr>
          <w:rFonts w:cs="Arial"/>
          <w:sz w:val="22"/>
          <w:szCs w:val="22"/>
          <w:highlight w:val="none"/>
        </w:rPr>
        <w:t xml:space="preserve">, </w:t>
      </w:r>
      <w:r>
        <w:rPr>
          <w:rFonts w:cs="Arial"/>
          <w:bCs/>
          <w:sz w:val="22"/>
          <w:szCs w:val="22"/>
          <w:highlight w:val="none"/>
        </w:rPr>
        <w:t>em virtude do desempenho de suas atividades</w:t>
      </w:r>
      <w:r>
        <w:rPr>
          <w:rFonts w:cs="Arial"/>
          <w:sz w:val="22"/>
          <w:szCs w:val="22"/>
          <w:highlight w:val="none"/>
        </w:rPr>
        <w:t>, objetivando uma medida administrativa que se releva essencial à gestão eficiente e eficaz dos recursos públicos, de acordo com as diretrizes da Lei nº 14.133/2021. Essa demanda é respaldada pela premente necessidade de se garantir um direito fundamental e consequente funcionamento pleno das atividades desempenhadas pela Secretaria em questão.</w:t>
      </w:r>
    </w:p>
    <w:p w14:paraId="16A58292">
      <w:pPr>
        <w:pStyle w:val="12"/>
        <w:numPr>
          <w:ilvl w:val="0"/>
          <w:numId w:val="0"/>
        </w:numPr>
        <w:spacing w:before="0" w:beforeAutospacing="0" w:after="0" w:afterAutospacing="0" w:line="360" w:lineRule="auto"/>
        <w:ind w:left="360" w:firstLine="0"/>
        <w:jc w:val="both"/>
        <w:rPr>
          <w:rFonts w:ascii="Times New Roman" w:hAnsi="Times New Roman" w:cs="Arial"/>
          <w:sz w:val="22"/>
          <w:szCs w:val="22"/>
          <w:highlight w:val="none"/>
        </w:rPr>
      </w:pPr>
    </w:p>
    <w:p w14:paraId="3292E549">
      <w:pPr>
        <w:pStyle w:val="12"/>
        <w:numPr>
          <w:ilvl w:val="1"/>
          <w:numId w:val="1"/>
        </w:numPr>
        <w:spacing w:before="0" w:beforeAutospacing="0" w:after="0" w:afterAutospacing="0" w:line="360" w:lineRule="auto"/>
        <w:ind w:left="0" w:firstLine="0"/>
        <w:jc w:val="both"/>
        <w:rPr>
          <w:sz w:val="22"/>
          <w:szCs w:val="22"/>
          <w:highlight w:val="none"/>
        </w:rPr>
      </w:pPr>
      <w:r>
        <w:rPr>
          <w:rFonts w:cs="Arial"/>
          <w:sz w:val="22"/>
          <w:szCs w:val="22"/>
          <w:highlight w:val="none"/>
        </w:rPr>
        <w:t xml:space="preserve">Todavia, em regra, segundo o art. 60 da Lei Federal nº 4.320/1964, não se podem realizar despesas sem prévio empenho. Outrossim, considerando a </w:t>
      </w:r>
      <w:r>
        <w:rPr>
          <w:rFonts w:hint="default" w:cs="Arial"/>
          <w:sz w:val="22"/>
          <w:szCs w:val="22"/>
          <w:highlight w:val="none"/>
          <w:lang w:val="pt-BR"/>
        </w:rPr>
        <w:t>necessidade de aquisição adicional para findar o</w:t>
      </w:r>
      <w:r>
        <w:rPr>
          <w:rFonts w:cs="Arial"/>
          <w:sz w:val="22"/>
          <w:szCs w:val="22"/>
          <w:highlight w:val="none"/>
        </w:rPr>
        <w:t xml:space="preserve"> exercício financeiro,</w:t>
      </w:r>
      <w:r>
        <w:rPr>
          <w:rFonts w:hint="default" w:cs="Arial"/>
          <w:sz w:val="22"/>
          <w:szCs w:val="22"/>
          <w:highlight w:val="none"/>
          <w:lang w:val="pt-BR"/>
        </w:rPr>
        <w:t xml:space="preserve"> </w:t>
      </w:r>
      <w:r>
        <w:rPr>
          <w:rFonts w:cs="Arial"/>
          <w:sz w:val="22"/>
          <w:szCs w:val="22"/>
          <w:highlight w:val="none"/>
        </w:rPr>
        <w:t>qual seja de 202</w:t>
      </w:r>
      <w:r>
        <w:rPr>
          <w:rFonts w:hint="default" w:cs="Arial"/>
          <w:sz w:val="22"/>
          <w:szCs w:val="22"/>
          <w:highlight w:val="none"/>
          <w:lang w:val="pt-BR"/>
        </w:rPr>
        <w:t>5</w:t>
      </w:r>
      <w:r>
        <w:rPr>
          <w:rFonts w:cs="Arial"/>
          <w:sz w:val="22"/>
          <w:szCs w:val="22"/>
          <w:highlight w:val="none"/>
        </w:rPr>
        <w:t xml:space="preserve">, </w:t>
      </w:r>
      <w:r>
        <w:rPr>
          <w:rFonts w:cs="Arial"/>
          <w:b/>
          <w:sz w:val="22"/>
          <w:szCs w:val="22"/>
          <w:highlight w:val="none"/>
        </w:rPr>
        <w:t>é essencial que a Administração estime</w:t>
      </w:r>
      <w:r>
        <w:rPr>
          <w:rFonts w:cs="Arial"/>
          <w:sz w:val="22"/>
          <w:szCs w:val="22"/>
          <w:highlight w:val="none"/>
        </w:rPr>
        <w:t xml:space="preserve">, com bases nas despesas dos últimos 12 (doze) meses, </w:t>
      </w:r>
      <w:r>
        <w:rPr>
          <w:rFonts w:cs="Arial"/>
          <w:b/>
          <w:sz w:val="22"/>
          <w:szCs w:val="22"/>
          <w:highlight w:val="none"/>
        </w:rPr>
        <w:t xml:space="preserve">as despesas para </w:t>
      </w:r>
      <w:r>
        <w:rPr>
          <w:rFonts w:hint="default" w:cs="Arial"/>
          <w:b/>
          <w:sz w:val="22"/>
          <w:szCs w:val="22"/>
          <w:highlight w:val="none"/>
          <w:lang w:val="pt-BR"/>
        </w:rPr>
        <w:t>complementar o</w:t>
      </w:r>
      <w:r>
        <w:rPr>
          <w:rFonts w:cs="Arial"/>
          <w:b/>
          <w:sz w:val="22"/>
          <w:szCs w:val="22"/>
          <w:highlight w:val="none"/>
        </w:rPr>
        <w:t xml:space="preserve"> exercício</w:t>
      </w:r>
      <w:r>
        <w:rPr>
          <w:rFonts w:cs="Arial"/>
          <w:sz w:val="22"/>
          <w:szCs w:val="22"/>
          <w:highlight w:val="none"/>
        </w:rPr>
        <w:t>, para que assim, se possam empenhar os recursos estimados necessários, objetivando melhor gestão do pagamento parcelado de tais despesas.</w:t>
      </w:r>
    </w:p>
    <w:p w14:paraId="498085A1">
      <w:pPr>
        <w:pStyle w:val="12"/>
        <w:numPr>
          <w:ilvl w:val="0"/>
          <w:numId w:val="0"/>
        </w:numPr>
        <w:spacing w:before="0" w:beforeAutospacing="0" w:after="0" w:afterAutospacing="0" w:line="360" w:lineRule="auto"/>
        <w:ind w:left="360" w:firstLine="0"/>
        <w:jc w:val="both"/>
        <w:rPr>
          <w:rFonts w:ascii="Times New Roman" w:hAnsi="Times New Roman" w:cs="Arial"/>
          <w:sz w:val="22"/>
          <w:szCs w:val="22"/>
          <w:highlight w:val="none"/>
        </w:rPr>
      </w:pPr>
    </w:p>
    <w:p w14:paraId="4C9CF98C">
      <w:pPr>
        <w:pStyle w:val="12"/>
        <w:numPr>
          <w:ilvl w:val="0"/>
          <w:numId w:val="0"/>
        </w:numPr>
        <w:spacing w:before="0" w:beforeAutospacing="0" w:after="0" w:afterAutospacing="0" w:line="360" w:lineRule="auto"/>
        <w:ind w:left="0" w:firstLine="0"/>
        <w:jc w:val="both"/>
        <w:rPr>
          <w:sz w:val="22"/>
          <w:szCs w:val="22"/>
          <w:highlight w:val="none"/>
        </w:rPr>
      </w:pPr>
      <w:r>
        <w:rPr>
          <w:rFonts w:cs="Arial"/>
          <w:sz w:val="22"/>
          <w:szCs w:val="22"/>
          <w:highlight w:val="none"/>
        </w:rPr>
        <w:t>2.9.</w:t>
      </w:r>
      <w:r>
        <w:rPr>
          <w:rFonts w:cs="Arial"/>
          <w:sz w:val="22"/>
          <w:szCs w:val="22"/>
          <w:highlight w:val="none"/>
        </w:rPr>
        <w:tab/>
      </w:r>
      <w:r>
        <w:rPr>
          <w:rFonts w:cs="Arial"/>
          <w:sz w:val="22"/>
          <w:szCs w:val="22"/>
          <w:highlight w:val="none"/>
        </w:rPr>
        <w:t xml:space="preserve">Conceitualmente, o </w:t>
      </w:r>
      <w:r>
        <w:rPr>
          <w:rFonts w:cs="Arial"/>
          <w:b/>
          <w:sz w:val="22"/>
          <w:szCs w:val="22"/>
          <w:highlight w:val="none"/>
        </w:rPr>
        <w:t>empenho por estimativa</w:t>
      </w:r>
      <w:r>
        <w:rPr>
          <w:rFonts w:cs="Arial"/>
          <w:sz w:val="22"/>
          <w:szCs w:val="22"/>
          <w:highlight w:val="none"/>
        </w:rPr>
        <w:t xml:space="preserve">, é aquele em que </w:t>
      </w:r>
      <w:r>
        <w:rPr>
          <w:rFonts w:cs="Arial"/>
          <w:b/>
          <w:sz w:val="22"/>
          <w:szCs w:val="22"/>
          <w:highlight w:val="none"/>
        </w:rPr>
        <w:t>não se pode determinar previamente o montante exato a ser pago (art. 60, §2º, Lei Federal nº 4.320/1964)</w:t>
      </w:r>
      <w:r>
        <w:rPr>
          <w:rFonts w:cs="Arial"/>
          <w:sz w:val="22"/>
          <w:szCs w:val="22"/>
          <w:highlight w:val="none"/>
        </w:rPr>
        <w:t xml:space="preserve">, como ocorre, em particular, com as contas de água, luz, gás e telefone. Desse modo, objetivando o pleno e efetivo funcionamento dos estabelecimentos integrantes da Secretaria Municipal de </w:t>
      </w:r>
      <w:r>
        <w:rPr>
          <w:rFonts w:hint="default" w:cs="Arial"/>
          <w:sz w:val="22"/>
          <w:szCs w:val="22"/>
          <w:highlight w:val="none"/>
          <w:lang w:val="pt-BR"/>
        </w:rPr>
        <w:t>Turismo, Cultura, Esporte e Lazer</w:t>
      </w:r>
      <w:r>
        <w:rPr>
          <w:rFonts w:cs="Arial"/>
          <w:sz w:val="22"/>
          <w:szCs w:val="22"/>
          <w:highlight w:val="none"/>
        </w:rPr>
        <w:t xml:space="preserve">, </w:t>
      </w:r>
      <w:r>
        <w:rPr>
          <w:rFonts w:cs="Arial"/>
          <w:b/>
          <w:bCs/>
          <w:sz w:val="22"/>
          <w:szCs w:val="22"/>
          <w:highlight w:val="none"/>
        </w:rPr>
        <w:t>revela-se evidente que o atendimento da demanda em questão se dará mediante empenho por estimativa</w:t>
      </w:r>
      <w:r>
        <w:rPr>
          <w:rFonts w:cs="Arial"/>
          <w:bCs/>
          <w:sz w:val="22"/>
          <w:szCs w:val="22"/>
          <w:highlight w:val="none"/>
        </w:rPr>
        <w:t>, dada a natureza da despesa.</w:t>
      </w:r>
    </w:p>
    <w:p w14:paraId="5C2AF7BA">
      <w:pPr>
        <w:pStyle w:val="12"/>
        <w:numPr>
          <w:ilvl w:val="0"/>
          <w:numId w:val="0"/>
        </w:numPr>
        <w:spacing w:before="0" w:beforeAutospacing="0" w:after="0" w:afterAutospacing="0" w:line="360" w:lineRule="auto"/>
        <w:ind w:left="360" w:firstLine="0"/>
        <w:jc w:val="both"/>
        <w:rPr>
          <w:rFonts w:ascii="Times New Roman" w:hAnsi="Times New Roman" w:cs="Arial"/>
          <w:sz w:val="22"/>
          <w:szCs w:val="22"/>
          <w:highlight w:val="none"/>
        </w:rPr>
      </w:pPr>
    </w:p>
    <w:p w14:paraId="687E8639">
      <w:pPr>
        <w:pStyle w:val="12"/>
        <w:numPr>
          <w:ilvl w:val="0"/>
          <w:numId w:val="0"/>
        </w:numPr>
        <w:spacing w:before="0" w:beforeAutospacing="0" w:after="0" w:afterAutospacing="0" w:line="360" w:lineRule="auto"/>
        <w:ind w:left="360" w:firstLine="0"/>
        <w:jc w:val="both"/>
        <w:rPr>
          <w:rFonts w:ascii="Times New Roman" w:hAnsi="Times New Roman" w:cs="Arial"/>
          <w:sz w:val="22"/>
          <w:szCs w:val="22"/>
          <w:highlight w:val="none"/>
        </w:rPr>
      </w:pPr>
    </w:p>
    <w:p w14:paraId="7F991081">
      <w:pPr>
        <w:pStyle w:val="12"/>
        <w:numPr>
          <w:ilvl w:val="0"/>
          <w:numId w:val="0"/>
        </w:numPr>
        <w:spacing w:before="0" w:beforeAutospacing="0" w:after="0" w:afterAutospacing="0" w:line="360" w:lineRule="auto"/>
        <w:ind w:left="0" w:firstLine="0"/>
        <w:jc w:val="both"/>
        <w:rPr>
          <w:sz w:val="22"/>
          <w:szCs w:val="22"/>
          <w:highlight w:val="none"/>
        </w:rPr>
      </w:pPr>
      <w:r>
        <w:rPr>
          <w:rFonts w:cs="Arial"/>
          <w:sz w:val="22"/>
          <w:szCs w:val="22"/>
          <w:highlight w:val="none"/>
        </w:rPr>
        <w:t>2.10.</w:t>
      </w:r>
      <w:r>
        <w:rPr>
          <w:rFonts w:cs="Arial"/>
          <w:sz w:val="22"/>
          <w:szCs w:val="22"/>
          <w:highlight w:val="none"/>
        </w:rPr>
        <w:tab/>
      </w:r>
      <w:r>
        <w:rPr>
          <w:rFonts w:cs="Arial"/>
          <w:sz w:val="22"/>
          <w:szCs w:val="22"/>
          <w:highlight w:val="none"/>
        </w:rPr>
        <w:t xml:space="preserve">O objeto aqui </w:t>
      </w:r>
      <w:r>
        <w:rPr>
          <w:rFonts w:cs="Arial" w:eastAsiaTheme="minorHAnsi"/>
          <w:sz w:val="22"/>
          <w:szCs w:val="22"/>
          <w:highlight w:val="none"/>
          <w:lang w:eastAsia="en-US"/>
        </w:rPr>
        <w:t>consignado</w:t>
      </w:r>
      <w:r>
        <w:rPr>
          <w:rFonts w:cs="Arial"/>
          <w:sz w:val="22"/>
          <w:szCs w:val="22"/>
          <w:highlight w:val="none"/>
        </w:rPr>
        <w:t>, objetiva, portanto, o empenho por estimativa das despesas</w:t>
      </w:r>
      <w:r>
        <w:rPr>
          <w:rFonts w:hint="default" w:cs="Arial"/>
          <w:sz w:val="22"/>
          <w:szCs w:val="22"/>
          <w:highlight w:val="none"/>
          <w:lang w:val="pt-BR"/>
        </w:rPr>
        <w:t xml:space="preserve"> adicionais </w:t>
      </w:r>
      <w:r>
        <w:rPr>
          <w:rFonts w:cs="Arial"/>
          <w:sz w:val="22"/>
          <w:szCs w:val="22"/>
          <w:highlight w:val="none"/>
        </w:rPr>
        <w:t xml:space="preserve">decorrentes do consumo de </w:t>
      </w:r>
      <w:r>
        <w:rPr>
          <w:rFonts w:hint="default" w:cs="Arial"/>
          <w:sz w:val="22"/>
          <w:szCs w:val="22"/>
          <w:highlight w:val="none"/>
          <w:lang w:val="pt-BR"/>
        </w:rPr>
        <w:t>energia</w:t>
      </w:r>
      <w:r>
        <w:rPr>
          <w:rFonts w:cs="Arial"/>
          <w:sz w:val="22"/>
          <w:szCs w:val="22"/>
          <w:highlight w:val="none"/>
        </w:rPr>
        <w:t xml:space="preserve"> pelas unidades relativas à Secretaria Municipal de </w:t>
      </w:r>
      <w:r>
        <w:rPr>
          <w:rFonts w:hint="default" w:cs="Arial"/>
          <w:sz w:val="22"/>
          <w:szCs w:val="22"/>
          <w:highlight w:val="none"/>
          <w:lang w:val="pt-BR"/>
        </w:rPr>
        <w:t>Turismo, Cultura, Esporte e Lazer</w:t>
      </w:r>
      <w:r>
        <w:rPr>
          <w:rFonts w:cs="Arial"/>
          <w:sz w:val="22"/>
          <w:szCs w:val="22"/>
          <w:highlight w:val="none"/>
        </w:rPr>
        <w:t xml:space="preserve">, </w:t>
      </w:r>
      <w:r>
        <w:rPr>
          <w:rFonts w:cs="Arial"/>
          <w:bCs/>
          <w:sz w:val="22"/>
          <w:szCs w:val="22"/>
          <w:highlight w:val="none"/>
        </w:rPr>
        <w:t xml:space="preserve">com fulcro no art. 60, da Lei Federal nº </w:t>
      </w:r>
      <w:r>
        <w:rPr>
          <w:rFonts w:cs="Arial"/>
          <w:sz w:val="22"/>
          <w:szCs w:val="22"/>
          <w:highlight w:val="none"/>
        </w:rPr>
        <w:t xml:space="preserve">4.320/1964, art. 74, </w:t>
      </w:r>
      <w:r>
        <w:rPr>
          <w:rFonts w:cs="Arial"/>
          <w:i/>
          <w:sz w:val="22"/>
          <w:szCs w:val="22"/>
          <w:highlight w:val="none"/>
        </w:rPr>
        <w:t>caput</w:t>
      </w:r>
      <w:r>
        <w:rPr>
          <w:rFonts w:cs="Arial"/>
          <w:sz w:val="22"/>
          <w:szCs w:val="22"/>
          <w:highlight w:val="none"/>
        </w:rPr>
        <w:t>, da Lei Federal nº 14.133/2021.</w:t>
      </w:r>
      <w:r>
        <w:rPr>
          <w:rFonts w:cs="Arial"/>
          <w:color w:val="FF0000"/>
          <w:sz w:val="22"/>
          <w:szCs w:val="22"/>
          <w:highlight w:val="none"/>
        </w:rPr>
        <w:t xml:space="preserve"> </w:t>
      </w:r>
      <w:r>
        <w:rPr>
          <w:rFonts w:cs="Arial"/>
          <w:sz w:val="22"/>
          <w:szCs w:val="22"/>
          <w:highlight w:val="none"/>
        </w:rPr>
        <w:t xml:space="preserve">Nesse sentido, a análise exaustiva da situação atual revela que a Secretaria Municipal de </w:t>
      </w:r>
      <w:r>
        <w:rPr>
          <w:rFonts w:hint="default" w:cs="Arial"/>
          <w:sz w:val="22"/>
          <w:szCs w:val="22"/>
          <w:highlight w:val="none"/>
          <w:lang w:val="pt-BR"/>
        </w:rPr>
        <w:t>Turismo, Cultura, Esporte e Lazer</w:t>
      </w:r>
      <w:r>
        <w:rPr>
          <w:rFonts w:cs="Arial"/>
          <w:sz w:val="22"/>
          <w:szCs w:val="22"/>
          <w:highlight w:val="none"/>
        </w:rPr>
        <w:t xml:space="preserve"> já realizou outros empenhos estimativos dessa natureza.</w:t>
      </w:r>
    </w:p>
    <w:p w14:paraId="560BD7E2">
      <w:pPr>
        <w:pStyle w:val="12"/>
        <w:numPr>
          <w:ilvl w:val="0"/>
          <w:numId w:val="0"/>
        </w:numPr>
        <w:spacing w:before="0" w:beforeAutospacing="0" w:after="0" w:afterAutospacing="0" w:line="360" w:lineRule="auto"/>
        <w:ind w:left="360" w:firstLine="0"/>
        <w:jc w:val="both"/>
        <w:rPr>
          <w:rFonts w:ascii="Times New Roman" w:hAnsi="Times New Roman" w:cs="Arial"/>
          <w:sz w:val="22"/>
          <w:szCs w:val="22"/>
          <w:highlight w:val="none"/>
        </w:rPr>
      </w:pPr>
    </w:p>
    <w:p w14:paraId="095B257F">
      <w:pPr>
        <w:pStyle w:val="12"/>
        <w:numPr>
          <w:ilvl w:val="0"/>
          <w:numId w:val="0"/>
        </w:numPr>
        <w:spacing w:before="0" w:beforeAutospacing="0" w:after="0" w:afterAutospacing="0" w:line="360" w:lineRule="auto"/>
        <w:ind w:left="360" w:firstLine="0"/>
        <w:jc w:val="both"/>
        <w:rPr>
          <w:rFonts w:ascii="Times New Roman" w:hAnsi="Times New Roman" w:cs="Arial"/>
          <w:sz w:val="22"/>
          <w:szCs w:val="22"/>
          <w:highlight w:val="none"/>
        </w:rPr>
      </w:pPr>
    </w:p>
    <w:p w14:paraId="767273EF">
      <w:pPr>
        <w:pStyle w:val="12"/>
        <w:numPr>
          <w:ilvl w:val="0"/>
          <w:numId w:val="0"/>
        </w:numPr>
        <w:spacing w:before="0" w:beforeAutospacing="0" w:after="0" w:afterAutospacing="0" w:line="360" w:lineRule="auto"/>
        <w:ind w:left="0" w:firstLine="0"/>
        <w:jc w:val="both"/>
        <w:rPr>
          <w:sz w:val="22"/>
          <w:szCs w:val="22"/>
          <w:highlight w:val="none"/>
        </w:rPr>
      </w:pPr>
      <w:r>
        <w:rPr>
          <w:rFonts w:cs="Arial" w:eastAsiaTheme="minorHAnsi"/>
          <w:sz w:val="22"/>
          <w:szCs w:val="22"/>
          <w:highlight w:val="none"/>
          <w:shd w:val="clear" w:fill="auto"/>
          <w:lang w:eastAsia="en-US"/>
        </w:rPr>
        <w:t>2.11.</w:t>
      </w:r>
      <w:r>
        <w:rPr>
          <w:rFonts w:cs="Arial" w:eastAsiaTheme="minorHAnsi"/>
          <w:sz w:val="22"/>
          <w:szCs w:val="22"/>
          <w:highlight w:val="none"/>
          <w:shd w:val="clear" w:fill="auto"/>
          <w:lang w:eastAsia="en-US"/>
        </w:rPr>
        <w:tab/>
      </w:r>
      <w:r>
        <w:rPr>
          <w:rFonts w:cs="Arial" w:eastAsiaTheme="minorHAnsi"/>
          <w:sz w:val="22"/>
          <w:szCs w:val="22"/>
          <w:highlight w:val="none"/>
          <w:shd w:val="clear" w:fill="auto"/>
          <w:lang w:eastAsia="en-US"/>
        </w:rPr>
        <w:t xml:space="preserve">Com base nesses dados históricos, torna-se patente que empenho estimativo para custear as despesas decorrentes do consumo de </w:t>
      </w:r>
      <w:r>
        <w:rPr>
          <w:rFonts w:hint="default" w:cs="Arial" w:eastAsiaTheme="minorHAnsi"/>
          <w:sz w:val="22"/>
          <w:szCs w:val="22"/>
          <w:highlight w:val="none"/>
          <w:shd w:val="clear" w:fill="auto"/>
          <w:lang w:val="pt-BR" w:eastAsia="en-US"/>
        </w:rPr>
        <w:t>energia</w:t>
      </w:r>
      <w:r>
        <w:rPr>
          <w:rFonts w:cs="Arial" w:eastAsiaTheme="minorHAnsi"/>
          <w:sz w:val="22"/>
          <w:szCs w:val="22"/>
          <w:highlight w:val="none"/>
          <w:shd w:val="clear" w:fill="auto"/>
          <w:lang w:eastAsia="en-US"/>
        </w:rPr>
        <w:t xml:space="preserve"> em questão, constitui um reflexo da inafastável responsabilidade da Secretaria Municipal de </w:t>
      </w:r>
      <w:r>
        <w:rPr>
          <w:rFonts w:hint="default" w:cs="Arial" w:eastAsiaTheme="minorHAnsi"/>
          <w:sz w:val="22"/>
          <w:szCs w:val="22"/>
          <w:highlight w:val="none"/>
          <w:shd w:val="clear" w:fill="auto"/>
          <w:lang w:val="pt-BR" w:eastAsia="en-US"/>
        </w:rPr>
        <w:t>Turismo, Cultura, Esporte e Lazer</w:t>
      </w:r>
      <w:r>
        <w:rPr>
          <w:rFonts w:cs="Arial" w:eastAsiaTheme="minorHAnsi"/>
          <w:sz w:val="22"/>
          <w:szCs w:val="22"/>
          <w:highlight w:val="none"/>
          <w:shd w:val="clear" w:fill="auto"/>
          <w:lang w:eastAsia="en-US"/>
        </w:rPr>
        <w:t xml:space="preserve"> com o dever de zelar pela economicidade na gestão dos recursos públicos (art. 70, CF/88). Tal empenho, ainda, atende ao mandamento constitucional que impõe ao Estado o dever de garantir o acesso universal e igualitário à saúde (art. 196, CF/88), reforçando, assim, a imperiosa necessidade do pleno e efetivo funcionamento das unidades inerentes à Secretaria Municipal de </w:t>
      </w:r>
      <w:r>
        <w:rPr>
          <w:rFonts w:hint="default" w:cs="Arial" w:eastAsiaTheme="minorHAnsi"/>
          <w:sz w:val="22"/>
          <w:szCs w:val="22"/>
          <w:highlight w:val="none"/>
          <w:shd w:val="clear" w:fill="auto"/>
          <w:lang w:val="pt-BR" w:eastAsia="en-US"/>
        </w:rPr>
        <w:t>Turismo, Cultura, Esporte e Lazer</w:t>
      </w:r>
      <w:r>
        <w:rPr>
          <w:rFonts w:cs="Arial" w:eastAsiaTheme="minorHAnsi"/>
          <w:sz w:val="22"/>
          <w:szCs w:val="22"/>
          <w:highlight w:val="none"/>
          <w:shd w:val="clear" w:fill="auto"/>
          <w:lang w:eastAsia="en-US"/>
        </w:rPr>
        <w:t>.</w:t>
      </w:r>
    </w:p>
    <w:p w14:paraId="4D1897D3">
      <w:pPr>
        <w:pStyle w:val="12"/>
        <w:numPr>
          <w:ilvl w:val="0"/>
          <w:numId w:val="0"/>
        </w:numPr>
        <w:spacing w:before="0" w:beforeAutospacing="0" w:after="0" w:afterAutospacing="0" w:line="360" w:lineRule="auto"/>
        <w:ind w:left="0" w:firstLine="0"/>
        <w:jc w:val="both"/>
        <w:rPr>
          <w:rFonts w:ascii="Times New Roman" w:hAnsi="Times New Roman"/>
          <w:sz w:val="22"/>
          <w:szCs w:val="22"/>
          <w:highlight w:val="none"/>
        </w:rPr>
      </w:pPr>
    </w:p>
    <w:p w14:paraId="5C5075F7">
      <w:pPr>
        <w:pStyle w:val="12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cs="Arial"/>
          <w:b w:val="0"/>
          <w:bCs w:val="0"/>
          <w:sz w:val="22"/>
          <w:szCs w:val="22"/>
          <w:highlight w:val="none"/>
          <w:shd w:val="clear" w:fill="auto"/>
        </w:rPr>
      </w:pPr>
      <w:r>
        <w:rPr>
          <w:rFonts w:cs="Arial"/>
          <w:b/>
          <w:bCs/>
          <w:sz w:val="22"/>
          <w:szCs w:val="22"/>
          <w:highlight w:val="none"/>
          <w:shd w:val="clear" w:fill="auto"/>
        </w:rPr>
        <w:t>SM</w:t>
      </w:r>
      <w:r>
        <w:rPr>
          <w:rFonts w:hint="default" w:cs="Arial"/>
          <w:b/>
          <w:bCs/>
          <w:sz w:val="22"/>
          <w:szCs w:val="22"/>
          <w:highlight w:val="none"/>
          <w:shd w:val="clear" w:fill="auto"/>
          <w:lang w:val="pt-BR"/>
        </w:rPr>
        <w:t>TCEL</w:t>
      </w:r>
      <w:r>
        <w:rPr>
          <w:rFonts w:cs="Arial"/>
          <w:b/>
          <w:bCs/>
          <w:sz w:val="22"/>
          <w:szCs w:val="22"/>
          <w:highlight w:val="none"/>
          <w:shd w:val="clear" w:fill="auto"/>
        </w:rPr>
        <w:t>/SRC MEMO Nº 0</w:t>
      </w:r>
      <w:r>
        <w:rPr>
          <w:rFonts w:hint="default" w:cs="Arial"/>
          <w:b/>
          <w:bCs/>
          <w:sz w:val="22"/>
          <w:szCs w:val="22"/>
          <w:highlight w:val="none"/>
          <w:shd w:val="clear" w:fill="auto"/>
          <w:lang w:val="pt-BR"/>
        </w:rPr>
        <w:t>81</w:t>
      </w:r>
      <w:r>
        <w:rPr>
          <w:rFonts w:cs="Arial"/>
          <w:b/>
          <w:bCs/>
          <w:sz w:val="22"/>
          <w:szCs w:val="22"/>
          <w:highlight w:val="none"/>
          <w:shd w:val="clear" w:fill="auto"/>
        </w:rPr>
        <w:t>/202</w:t>
      </w:r>
      <w:r>
        <w:rPr>
          <w:rFonts w:hint="default" w:cs="Arial"/>
          <w:b/>
          <w:bCs/>
          <w:sz w:val="22"/>
          <w:szCs w:val="22"/>
          <w:highlight w:val="none"/>
          <w:shd w:val="clear" w:fill="auto"/>
          <w:lang w:val="pt-BR"/>
        </w:rPr>
        <w:t>2</w:t>
      </w:r>
      <w:r>
        <w:rPr>
          <w:rFonts w:cs="Arial"/>
          <w:sz w:val="22"/>
          <w:szCs w:val="22"/>
          <w:highlight w:val="none"/>
          <w:shd w:val="clear" w:fill="auto"/>
        </w:rPr>
        <w:t xml:space="preserve"> – </w:t>
      </w:r>
      <w:r>
        <w:rPr>
          <w:rFonts w:cs="Arial"/>
          <w:b w:val="0"/>
          <w:bCs w:val="0"/>
          <w:sz w:val="22"/>
          <w:szCs w:val="22"/>
          <w:highlight w:val="none"/>
          <w:shd w:val="clear" w:fill="auto"/>
        </w:rPr>
        <w:t>Empenho estimativo, LUZ E FORÇA SANTA MARIA 202</w:t>
      </w:r>
      <w:r>
        <w:rPr>
          <w:rFonts w:hint="default" w:cs="Arial"/>
          <w:b w:val="0"/>
          <w:bCs w:val="0"/>
          <w:sz w:val="22"/>
          <w:szCs w:val="22"/>
          <w:highlight w:val="none"/>
          <w:shd w:val="clear" w:fill="auto"/>
          <w:lang w:val="pt-BR"/>
        </w:rPr>
        <w:t>2</w:t>
      </w:r>
      <w:r>
        <w:rPr>
          <w:rFonts w:cs="Arial"/>
          <w:b w:val="0"/>
          <w:bCs w:val="0"/>
          <w:sz w:val="22"/>
          <w:szCs w:val="22"/>
          <w:highlight w:val="none"/>
          <w:shd w:val="clear" w:fill="auto"/>
        </w:rPr>
        <w:t>;</w:t>
      </w:r>
    </w:p>
    <w:p w14:paraId="4B8F7048">
      <w:pPr>
        <w:pStyle w:val="12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cs="Arial"/>
          <w:b w:val="0"/>
          <w:bCs w:val="0"/>
          <w:sz w:val="22"/>
          <w:szCs w:val="22"/>
          <w:highlight w:val="none"/>
          <w:shd w:val="clear" w:fill="auto"/>
        </w:rPr>
      </w:pPr>
      <w:r>
        <w:rPr>
          <w:rFonts w:hint="default" w:cs="Arial"/>
          <w:b/>
          <w:bCs/>
          <w:sz w:val="22"/>
          <w:szCs w:val="22"/>
          <w:highlight w:val="none"/>
          <w:shd w:val="clear" w:fill="auto"/>
          <w:lang w:val="pt-BR"/>
        </w:rPr>
        <w:t>SMTCEL/SRC DFD Nº 001/2024</w:t>
      </w:r>
      <w:r>
        <w:rPr>
          <w:rFonts w:hint="default" w:cs="Arial"/>
          <w:b w:val="0"/>
          <w:bCs w:val="0"/>
          <w:sz w:val="22"/>
          <w:szCs w:val="22"/>
          <w:highlight w:val="none"/>
          <w:shd w:val="clear" w:fill="auto"/>
          <w:lang w:val="pt-BR"/>
        </w:rPr>
        <w:t xml:space="preserve"> </w:t>
      </w:r>
      <w:r>
        <w:rPr>
          <w:rFonts w:cs="Arial"/>
          <w:sz w:val="22"/>
          <w:szCs w:val="22"/>
          <w:highlight w:val="none"/>
          <w:shd w:val="clear" w:fill="auto"/>
        </w:rPr>
        <w:t xml:space="preserve"> – </w:t>
      </w:r>
      <w:r>
        <w:rPr>
          <w:rFonts w:cs="Arial"/>
          <w:b w:val="0"/>
          <w:bCs w:val="0"/>
          <w:sz w:val="22"/>
          <w:szCs w:val="22"/>
          <w:highlight w:val="none"/>
          <w:shd w:val="clear" w:fill="auto"/>
        </w:rPr>
        <w:t>Empenho estimativo, LUZ E FORÇA SANTA MARIA 202</w:t>
      </w:r>
      <w:r>
        <w:rPr>
          <w:rFonts w:hint="default" w:cs="Arial"/>
          <w:b w:val="0"/>
          <w:bCs w:val="0"/>
          <w:sz w:val="22"/>
          <w:szCs w:val="22"/>
          <w:highlight w:val="none"/>
          <w:shd w:val="clear" w:fill="auto"/>
          <w:lang w:val="pt-BR"/>
        </w:rPr>
        <w:t>4</w:t>
      </w:r>
      <w:r>
        <w:rPr>
          <w:rFonts w:cs="Arial"/>
          <w:b w:val="0"/>
          <w:bCs w:val="0"/>
          <w:sz w:val="22"/>
          <w:szCs w:val="22"/>
          <w:highlight w:val="none"/>
          <w:shd w:val="clear" w:fill="auto"/>
        </w:rPr>
        <w:t>;</w:t>
      </w:r>
      <w:r>
        <w:rPr>
          <w:rFonts w:hint="default" w:cs="Arial"/>
          <w:b w:val="0"/>
          <w:bCs w:val="0"/>
          <w:sz w:val="22"/>
          <w:szCs w:val="22"/>
          <w:highlight w:val="none"/>
          <w:shd w:val="clear" w:fill="auto"/>
          <w:lang w:val="pt-BR"/>
        </w:rPr>
        <w:t xml:space="preserve">  </w:t>
      </w:r>
    </w:p>
    <w:p w14:paraId="68F0EB38">
      <w:pPr>
        <w:pStyle w:val="12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cs="Arial"/>
          <w:b w:val="0"/>
          <w:bCs w:val="0"/>
          <w:sz w:val="22"/>
          <w:szCs w:val="22"/>
          <w:highlight w:val="none"/>
          <w:shd w:val="clear" w:fill="auto"/>
        </w:rPr>
      </w:pPr>
      <w:r>
        <w:rPr>
          <w:rFonts w:hint="default" w:cs="Arial"/>
          <w:b/>
          <w:bCs/>
          <w:sz w:val="22"/>
          <w:szCs w:val="22"/>
          <w:highlight w:val="none"/>
          <w:shd w:val="clear" w:fill="auto"/>
          <w:lang w:val="pt-BR"/>
        </w:rPr>
        <w:t>SMTCEL/SRC DFD Nº 0013/2024</w:t>
      </w:r>
      <w:r>
        <w:rPr>
          <w:rFonts w:hint="default" w:cs="Arial"/>
          <w:b w:val="0"/>
          <w:bCs w:val="0"/>
          <w:sz w:val="22"/>
          <w:szCs w:val="22"/>
          <w:highlight w:val="none"/>
          <w:shd w:val="clear" w:fill="auto"/>
          <w:lang w:val="pt-BR"/>
        </w:rPr>
        <w:t xml:space="preserve"> </w:t>
      </w:r>
      <w:r>
        <w:rPr>
          <w:rFonts w:cs="Arial"/>
          <w:sz w:val="22"/>
          <w:szCs w:val="22"/>
          <w:highlight w:val="none"/>
          <w:shd w:val="clear" w:fill="auto"/>
        </w:rPr>
        <w:t xml:space="preserve"> – </w:t>
      </w:r>
      <w:r>
        <w:rPr>
          <w:rFonts w:cs="Arial"/>
          <w:b w:val="0"/>
          <w:bCs w:val="0"/>
          <w:sz w:val="22"/>
          <w:szCs w:val="22"/>
          <w:highlight w:val="none"/>
          <w:shd w:val="clear" w:fill="auto"/>
        </w:rPr>
        <w:t>Empenho estimativo, LUZ E FORÇA SANTA MARIA 202</w:t>
      </w:r>
      <w:r>
        <w:rPr>
          <w:rFonts w:hint="default" w:cs="Arial"/>
          <w:b w:val="0"/>
          <w:bCs w:val="0"/>
          <w:sz w:val="22"/>
          <w:szCs w:val="22"/>
          <w:highlight w:val="none"/>
          <w:shd w:val="clear" w:fill="auto"/>
          <w:lang w:val="pt-BR"/>
        </w:rPr>
        <w:t>4</w:t>
      </w:r>
      <w:r>
        <w:rPr>
          <w:rFonts w:cs="Arial"/>
          <w:b w:val="0"/>
          <w:bCs w:val="0"/>
          <w:sz w:val="22"/>
          <w:szCs w:val="22"/>
          <w:highlight w:val="none"/>
          <w:shd w:val="clear" w:fill="auto"/>
        </w:rPr>
        <w:t>;</w:t>
      </w:r>
      <w:r>
        <w:rPr>
          <w:rFonts w:hint="default" w:cs="Arial"/>
          <w:b w:val="0"/>
          <w:bCs w:val="0"/>
          <w:sz w:val="22"/>
          <w:szCs w:val="22"/>
          <w:highlight w:val="none"/>
          <w:shd w:val="clear" w:fill="auto"/>
          <w:lang w:val="pt-BR"/>
        </w:rPr>
        <w:t xml:space="preserve"> </w:t>
      </w:r>
    </w:p>
    <w:p w14:paraId="0C21B32D">
      <w:pPr>
        <w:pStyle w:val="12"/>
        <w:spacing w:before="0" w:beforeAutospacing="0" w:after="0" w:afterAutospacing="0" w:line="360" w:lineRule="auto"/>
        <w:jc w:val="both"/>
        <w:rPr>
          <w:rFonts w:ascii="Times New Roman" w:hAnsi="Times New Roman" w:cs="Arial"/>
          <w:sz w:val="22"/>
          <w:szCs w:val="22"/>
          <w:highlight w:val="none"/>
        </w:rPr>
      </w:pPr>
    </w:p>
    <w:p w14:paraId="5096CDB3">
      <w:pPr>
        <w:pStyle w:val="12"/>
        <w:numPr>
          <w:ilvl w:val="0"/>
          <w:numId w:val="1"/>
        </w:numPr>
        <w:shd w:val="clear" w:color="auto" w:fill="D8D8D8" w:themeFill="background1" w:themeFillShade="D9"/>
        <w:spacing w:before="0" w:beforeAutospacing="0" w:after="0" w:afterAutospacing="0" w:line="360" w:lineRule="auto"/>
        <w:ind w:left="0" w:firstLine="0"/>
        <w:jc w:val="both"/>
        <w:rPr>
          <w:sz w:val="22"/>
          <w:szCs w:val="22"/>
          <w:highlight w:val="none"/>
        </w:rPr>
      </w:pPr>
      <w:r>
        <w:rPr>
          <w:rFonts w:cs="Arial"/>
          <w:b/>
          <w:bCs/>
          <w:sz w:val="22"/>
          <w:szCs w:val="22"/>
          <w:highlight w:val="none"/>
        </w:rPr>
        <w:t>QUANTIDADE DE COMPRA DO BEM/MATERIAL A SER ADQUIRIDO OU PRESTAÇÃO DE SERVIÇOS A SEREM CONTRATADAS, QUANDO COUBER, CONSIDERADA A EXPECTATIVA DE CONSUMO ANUAL E LOCAIS DE ENTREGA/EXECUÇÃO.</w:t>
      </w:r>
    </w:p>
    <w:p w14:paraId="637B412B">
      <w:pPr>
        <w:pStyle w:val="12"/>
        <w:spacing w:before="0" w:beforeAutospacing="0" w:after="0" w:afterAutospacing="0" w:line="360" w:lineRule="auto"/>
        <w:jc w:val="both"/>
        <w:rPr>
          <w:rFonts w:ascii="Times New Roman" w:hAnsi="Times New Roman" w:cs="Arial"/>
          <w:sz w:val="22"/>
          <w:szCs w:val="22"/>
          <w:highlight w:val="none"/>
        </w:rPr>
      </w:pPr>
    </w:p>
    <w:p w14:paraId="64BBA5A1">
      <w:pPr>
        <w:pStyle w:val="12"/>
        <w:numPr>
          <w:ilvl w:val="1"/>
          <w:numId w:val="1"/>
        </w:numPr>
        <w:spacing w:before="0" w:beforeAutospacing="0" w:after="0" w:afterAutospacing="0" w:line="360" w:lineRule="auto"/>
        <w:ind w:left="0" w:firstLine="0"/>
        <w:jc w:val="both"/>
        <w:rPr>
          <w:sz w:val="22"/>
          <w:szCs w:val="22"/>
          <w:highlight w:val="none"/>
        </w:rPr>
      </w:pPr>
      <w:r>
        <w:rPr>
          <w:rFonts w:cs="Arial"/>
          <w:i/>
          <w:sz w:val="22"/>
          <w:szCs w:val="22"/>
          <w:highlight w:val="none"/>
        </w:rPr>
        <w:t>Não se aplica a presente contratação.</w:t>
      </w:r>
    </w:p>
    <w:p w14:paraId="58706FBA">
      <w:pPr>
        <w:pStyle w:val="12"/>
        <w:spacing w:before="0" w:beforeAutospacing="0" w:after="0" w:afterAutospacing="0" w:line="360" w:lineRule="auto"/>
        <w:jc w:val="both"/>
        <w:rPr>
          <w:rFonts w:ascii="Times New Roman" w:hAnsi="Times New Roman" w:cs="Arial"/>
          <w:sz w:val="22"/>
          <w:szCs w:val="22"/>
          <w:highlight w:val="none"/>
        </w:rPr>
      </w:pPr>
    </w:p>
    <w:p w14:paraId="4CD348A0">
      <w:pPr>
        <w:pStyle w:val="12"/>
        <w:numPr>
          <w:ilvl w:val="0"/>
          <w:numId w:val="1"/>
        </w:numPr>
        <w:shd w:val="clear" w:color="auto" w:fill="D8D8D8" w:themeFill="background1" w:themeFillShade="D9"/>
        <w:spacing w:before="0" w:beforeAutospacing="0" w:after="0" w:afterAutospacing="0" w:line="360" w:lineRule="auto"/>
        <w:ind w:left="0" w:firstLine="0"/>
        <w:jc w:val="both"/>
        <w:rPr>
          <w:sz w:val="22"/>
          <w:szCs w:val="22"/>
          <w:highlight w:val="none"/>
        </w:rPr>
      </w:pPr>
      <w:r>
        <w:rPr>
          <w:rFonts w:cs="Arial"/>
          <w:b/>
          <w:bCs/>
          <w:sz w:val="22"/>
          <w:szCs w:val="22"/>
          <w:highlight w:val="none"/>
        </w:rPr>
        <w:t>PREVISÃO DE DATA EM QUE DEVE SER INICIADA A CONCLUSÃO DA CONTRATAÇÃO OU REQUISIÇÃO DO BEM</w:t>
      </w:r>
    </w:p>
    <w:p w14:paraId="1621066E">
      <w:pPr>
        <w:pStyle w:val="12"/>
        <w:spacing w:before="0" w:beforeAutospacing="0" w:after="0" w:afterAutospacing="0" w:line="360" w:lineRule="auto"/>
        <w:jc w:val="both"/>
        <w:rPr>
          <w:rFonts w:ascii="Times New Roman" w:hAnsi="Times New Roman" w:cs="Arial"/>
          <w:color w:val="000000"/>
          <w:sz w:val="22"/>
          <w:szCs w:val="22"/>
          <w:highlight w:val="none"/>
        </w:rPr>
      </w:pPr>
    </w:p>
    <w:p w14:paraId="2C83A04A">
      <w:pPr>
        <w:pStyle w:val="12"/>
        <w:numPr>
          <w:ilvl w:val="1"/>
          <w:numId w:val="1"/>
        </w:numPr>
        <w:spacing w:before="0" w:beforeAutospacing="0" w:after="0" w:afterAutospacing="0" w:line="360" w:lineRule="auto"/>
        <w:ind w:left="0" w:firstLine="0"/>
        <w:jc w:val="both"/>
        <w:rPr>
          <w:sz w:val="22"/>
          <w:szCs w:val="22"/>
          <w:highlight w:val="none"/>
        </w:rPr>
      </w:pPr>
      <w:r>
        <w:rPr>
          <w:rFonts w:cs="Arial"/>
          <w:sz w:val="22"/>
          <w:szCs w:val="22"/>
          <w:highlight w:val="none"/>
        </w:rPr>
        <w:t xml:space="preserve">A concretização do empenho em questão </w:t>
      </w:r>
      <w:r>
        <w:rPr>
          <w:rFonts w:cs="Arial"/>
          <w:b/>
          <w:sz w:val="22"/>
          <w:szCs w:val="22"/>
          <w:highlight w:val="none"/>
        </w:rPr>
        <w:t xml:space="preserve">deverá ocorrer, </w:t>
      </w:r>
      <w:r>
        <w:rPr>
          <w:rFonts w:hint="default" w:cs="Arial"/>
          <w:b/>
          <w:sz w:val="22"/>
          <w:szCs w:val="22"/>
          <w:highlight w:val="none"/>
          <w:lang w:val="pt-BR"/>
        </w:rPr>
        <w:t>especificamente</w:t>
      </w:r>
      <w:r>
        <w:rPr>
          <w:rFonts w:cs="Arial"/>
          <w:b/>
          <w:sz w:val="22"/>
          <w:szCs w:val="22"/>
          <w:highlight w:val="none"/>
        </w:rPr>
        <w:t xml:space="preserve">, </w:t>
      </w:r>
      <w:r>
        <w:rPr>
          <w:rFonts w:hint="default" w:cs="Arial"/>
          <w:b/>
          <w:sz w:val="22"/>
          <w:szCs w:val="22"/>
          <w:highlight w:val="none"/>
          <w:lang w:val="pt-BR"/>
        </w:rPr>
        <w:t>para o exercício de</w:t>
      </w:r>
      <w:r>
        <w:rPr>
          <w:rFonts w:cs="Arial"/>
          <w:b/>
          <w:sz w:val="22"/>
          <w:szCs w:val="22"/>
          <w:highlight w:val="none"/>
        </w:rPr>
        <w:t xml:space="preserve"> 202</w:t>
      </w:r>
      <w:r>
        <w:rPr>
          <w:rFonts w:hint="default" w:cs="Arial"/>
          <w:b/>
          <w:sz w:val="22"/>
          <w:szCs w:val="22"/>
          <w:highlight w:val="none"/>
          <w:lang w:val="pt-BR"/>
        </w:rPr>
        <w:t>5</w:t>
      </w:r>
      <w:r>
        <w:rPr>
          <w:rFonts w:cs="Arial"/>
          <w:sz w:val="22"/>
          <w:szCs w:val="22"/>
          <w:highlight w:val="none"/>
        </w:rPr>
        <w:t>, com vigência programada para o custeio das despesas relativas ao consumo de energia elétrica no</w:t>
      </w:r>
      <w:r>
        <w:rPr>
          <w:rFonts w:hint="default" w:cs="Arial"/>
          <w:sz w:val="22"/>
          <w:szCs w:val="22"/>
          <w:highlight w:val="none"/>
          <w:lang w:val="pt-BR"/>
        </w:rPr>
        <w:t xml:space="preserve"> </w:t>
      </w:r>
      <w:r>
        <w:rPr>
          <w:rFonts w:cs="Arial"/>
          <w:sz w:val="22"/>
          <w:szCs w:val="22"/>
          <w:highlight w:val="none"/>
        </w:rPr>
        <w:t xml:space="preserve">período </w:t>
      </w:r>
      <w:r>
        <w:rPr>
          <w:rFonts w:hint="default" w:cs="Arial"/>
          <w:sz w:val="22"/>
          <w:szCs w:val="22"/>
          <w:highlight w:val="none"/>
          <w:lang w:val="pt-BR"/>
        </w:rPr>
        <w:t>até</w:t>
      </w:r>
      <w:r>
        <w:rPr>
          <w:rFonts w:cs="Arial"/>
          <w:sz w:val="22"/>
          <w:szCs w:val="22"/>
          <w:highlight w:val="none"/>
        </w:rPr>
        <w:t xml:space="preserve"> 31/12/202</w:t>
      </w:r>
      <w:r>
        <w:rPr>
          <w:rFonts w:hint="default" w:cs="Arial"/>
          <w:sz w:val="22"/>
          <w:szCs w:val="22"/>
          <w:highlight w:val="none"/>
          <w:lang w:val="pt-BR"/>
        </w:rPr>
        <w:t>5</w:t>
      </w:r>
      <w:r>
        <w:rPr>
          <w:rFonts w:cs="Arial"/>
          <w:sz w:val="22"/>
          <w:szCs w:val="22"/>
          <w:highlight w:val="none"/>
        </w:rPr>
        <w:t>, estando incluída no PAC 202</w:t>
      </w:r>
      <w:r>
        <w:rPr>
          <w:rFonts w:hint="default" w:cs="Arial"/>
          <w:sz w:val="22"/>
          <w:szCs w:val="22"/>
          <w:highlight w:val="none"/>
          <w:lang w:val="pt-BR"/>
        </w:rPr>
        <w:t>5</w:t>
      </w:r>
      <w:r>
        <w:rPr>
          <w:rFonts w:cs="Arial"/>
          <w:sz w:val="22"/>
          <w:szCs w:val="22"/>
          <w:highlight w:val="none"/>
        </w:rPr>
        <w:t>.</w:t>
      </w:r>
    </w:p>
    <w:p w14:paraId="067A0BC2">
      <w:pPr>
        <w:pStyle w:val="12"/>
        <w:spacing w:before="0" w:beforeAutospacing="0" w:after="0" w:afterAutospacing="0" w:line="360" w:lineRule="auto"/>
        <w:jc w:val="both"/>
        <w:rPr>
          <w:rFonts w:ascii="Times New Roman" w:hAnsi="Times New Roman" w:cs="Arial"/>
          <w:sz w:val="22"/>
          <w:szCs w:val="22"/>
          <w:highlight w:val="none"/>
        </w:rPr>
      </w:pPr>
    </w:p>
    <w:p w14:paraId="1931F2EF">
      <w:pPr>
        <w:pStyle w:val="12"/>
        <w:numPr>
          <w:ilvl w:val="0"/>
          <w:numId w:val="1"/>
        </w:numPr>
        <w:shd w:val="clear" w:color="auto" w:fill="D8D8D8" w:themeFill="background1" w:themeFillShade="D9"/>
        <w:spacing w:before="0" w:beforeAutospacing="0" w:after="0" w:afterAutospacing="0" w:line="360" w:lineRule="auto"/>
        <w:ind w:left="0" w:firstLine="0"/>
        <w:jc w:val="both"/>
        <w:rPr>
          <w:sz w:val="22"/>
          <w:szCs w:val="22"/>
          <w:highlight w:val="none"/>
        </w:rPr>
      </w:pPr>
      <w:r>
        <w:rPr>
          <w:rFonts w:cs="Arial"/>
          <w:b/>
          <w:bCs/>
          <w:sz w:val="22"/>
          <w:szCs w:val="22"/>
          <w:highlight w:val="none"/>
        </w:rPr>
        <w:t>DA DISPENSABILIDADE DE ESTUDO TÉCNICO PRELIMINAR</w:t>
      </w:r>
    </w:p>
    <w:p w14:paraId="38846BB8">
      <w:pPr>
        <w:pStyle w:val="12"/>
        <w:spacing w:before="0" w:beforeAutospacing="0" w:after="0" w:afterAutospacing="0" w:line="360" w:lineRule="auto"/>
        <w:jc w:val="both"/>
        <w:rPr>
          <w:rFonts w:ascii="Times New Roman" w:hAnsi="Times New Roman" w:cs="Arial"/>
          <w:sz w:val="22"/>
          <w:szCs w:val="22"/>
          <w:highlight w:val="none"/>
        </w:rPr>
      </w:pPr>
    </w:p>
    <w:p w14:paraId="7A10F515">
      <w:pPr>
        <w:pStyle w:val="12"/>
        <w:numPr>
          <w:ilvl w:val="1"/>
          <w:numId w:val="1"/>
        </w:numPr>
        <w:spacing w:before="0" w:beforeAutospacing="0" w:after="0" w:afterAutospacing="0" w:line="360" w:lineRule="auto"/>
        <w:ind w:left="0" w:firstLine="0"/>
        <w:jc w:val="both"/>
        <w:rPr>
          <w:sz w:val="22"/>
          <w:szCs w:val="22"/>
          <w:highlight w:val="none"/>
        </w:rPr>
      </w:pPr>
      <w:r>
        <w:rPr>
          <w:rFonts w:cs="Arial"/>
          <w:sz w:val="22"/>
          <w:szCs w:val="22"/>
          <w:highlight w:val="none"/>
        </w:rPr>
        <w:t xml:space="preserve">A dispensa do Estudo Técnico Preliminar (ETP), neste caso, fundamenta-se em uma série de circunstâncias específicas e de ordem jurídica. Veja, inicialmente, a Lei Federal nº 4.320/1964 dispõe em seu art. 60, que é </w:t>
      </w:r>
      <w:r>
        <w:rPr>
          <w:rFonts w:cs="Arial"/>
          <w:b/>
          <w:sz w:val="22"/>
          <w:szCs w:val="22"/>
          <w:highlight w:val="none"/>
        </w:rPr>
        <w:t>vedada a realização de despesas sem prévio empenho.</w:t>
      </w:r>
      <w:r>
        <w:rPr>
          <w:rFonts w:cs="Arial"/>
          <w:sz w:val="22"/>
          <w:szCs w:val="22"/>
          <w:highlight w:val="none"/>
        </w:rPr>
        <w:t xml:space="preserve"> O empenho, conceitualmente, trata-se do primeiro estágio da execução da despesa pública, o qual se caracteriza como um ato emanado da autoridade competente que compromete parcela de dotação orçamentária disponível, funcionando como uma garantia ao credor do ente público de que existe o crédito necessário para a liquidação de um compromisso assumido (art. 58, LRF).</w:t>
      </w:r>
    </w:p>
    <w:p w14:paraId="74ED11D9">
      <w:pPr>
        <w:pStyle w:val="12"/>
        <w:spacing w:before="0" w:beforeAutospacing="0" w:after="0" w:afterAutospacing="0" w:line="360" w:lineRule="auto"/>
        <w:jc w:val="both"/>
        <w:rPr>
          <w:rFonts w:ascii="Times New Roman" w:hAnsi="Times New Roman" w:cs="Arial"/>
          <w:sz w:val="22"/>
          <w:szCs w:val="22"/>
          <w:highlight w:val="none"/>
        </w:rPr>
      </w:pPr>
    </w:p>
    <w:p w14:paraId="20BA79D3">
      <w:pPr>
        <w:pStyle w:val="12"/>
        <w:numPr>
          <w:ilvl w:val="1"/>
          <w:numId w:val="1"/>
        </w:numPr>
        <w:spacing w:before="0" w:beforeAutospacing="0" w:after="0" w:afterAutospacing="0" w:line="360" w:lineRule="auto"/>
        <w:ind w:left="0" w:firstLine="0"/>
        <w:jc w:val="both"/>
        <w:rPr>
          <w:sz w:val="22"/>
          <w:szCs w:val="22"/>
          <w:highlight w:val="none"/>
        </w:rPr>
      </w:pPr>
      <w:r>
        <w:rPr>
          <w:rFonts w:cs="Arial"/>
          <w:sz w:val="22"/>
          <w:szCs w:val="22"/>
          <w:highlight w:val="none"/>
        </w:rPr>
        <w:t xml:space="preserve">Nessa perspectiva, o art. 60, §2º, da Lei Federal nº 4.320/1964, disciplina que, nas hipóteses de o montante da despesa não for possível ser determinado, será feito o </w:t>
      </w:r>
      <w:r>
        <w:rPr>
          <w:rFonts w:cs="Arial"/>
          <w:b/>
          <w:sz w:val="22"/>
          <w:szCs w:val="22"/>
          <w:highlight w:val="none"/>
        </w:rPr>
        <w:t>empenho por estimativa.</w:t>
      </w:r>
      <w:r>
        <w:rPr>
          <w:rFonts w:cs="Arial"/>
          <w:sz w:val="22"/>
          <w:szCs w:val="22"/>
          <w:highlight w:val="none"/>
        </w:rPr>
        <w:t xml:space="preserve"> Tem-se, portanto, como aquele em que </w:t>
      </w:r>
      <w:r>
        <w:rPr>
          <w:rFonts w:cs="Arial"/>
          <w:b/>
          <w:sz w:val="22"/>
          <w:szCs w:val="22"/>
          <w:highlight w:val="none"/>
        </w:rPr>
        <w:t>não se pode determinar previamente o montante exato a ser pago</w:t>
      </w:r>
      <w:r>
        <w:rPr>
          <w:rFonts w:cs="Arial"/>
          <w:sz w:val="22"/>
          <w:szCs w:val="22"/>
          <w:highlight w:val="none"/>
        </w:rPr>
        <w:t>, como ocorre, em particular, com as contas de água, luz, gás e telefone.</w:t>
      </w:r>
    </w:p>
    <w:p w14:paraId="27110A83">
      <w:pPr>
        <w:pStyle w:val="12"/>
        <w:spacing w:before="0" w:beforeAutospacing="0" w:after="0" w:afterAutospacing="0" w:line="360" w:lineRule="auto"/>
        <w:jc w:val="both"/>
        <w:rPr>
          <w:rFonts w:ascii="Times New Roman" w:hAnsi="Times New Roman" w:cs="Arial"/>
          <w:sz w:val="22"/>
          <w:szCs w:val="22"/>
          <w:highlight w:val="none"/>
        </w:rPr>
      </w:pPr>
    </w:p>
    <w:p w14:paraId="2EBAED7D">
      <w:pPr>
        <w:pStyle w:val="12"/>
        <w:numPr>
          <w:ilvl w:val="1"/>
          <w:numId w:val="1"/>
        </w:numPr>
        <w:spacing w:before="0" w:beforeAutospacing="0" w:after="0" w:afterAutospacing="0" w:line="360" w:lineRule="auto"/>
        <w:ind w:left="0" w:firstLine="0"/>
        <w:jc w:val="both"/>
        <w:rPr>
          <w:sz w:val="22"/>
          <w:szCs w:val="22"/>
          <w:highlight w:val="none"/>
        </w:rPr>
      </w:pPr>
      <w:r>
        <w:rPr>
          <w:rFonts w:cs="Arial"/>
          <w:sz w:val="22"/>
          <w:szCs w:val="22"/>
          <w:highlight w:val="none"/>
        </w:rPr>
        <w:t xml:space="preserve">Ademais, a Lei Federal nº 14.133, por meio do art. 74, </w:t>
      </w:r>
      <w:r>
        <w:rPr>
          <w:rFonts w:cs="Arial"/>
          <w:i/>
          <w:sz w:val="22"/>
          <w:szCs w:val="22"/>
          <w:highlight w:val="none"/>
        </w:rPr>
        <w:t>caput</w:t>
      </w:r>
      <w:r>
        <w:rPr>
          <w:rFonts w:cs="Arial"/>
          <w:sz w:val="22"/>
          <w:szCs w:val="22"/>
          <w:highlight w:val="none"/>
        </w:rPr>
        <w:t>, determina a inexigibilidade de licitação nas hipóteses de ser inviável a competição. Desse modo, com base no Contrato de Concessão de Distribuição nº 20/99, celebrado entre a União e a Empresa Luz e Força Santa Maria S.A., cuja vigência se estende até 07 de julho de 2045, do qual o Município de São Roque do Canaã é integrante das áreas de concessão, torna-se evidente a exceção à regra.</w:t>
      </w:r>
    </w:p>
    <w:p w14:paraId="67F34ED8">
      <w:pPr>
        <w:pStyle w:val="12"/>
        <w:spacing w:before="0" w:beforeAutospacing="0" w:after="0" w:afterAutospacing="0" w:line="360" w:lineRule="auto"/>
        <w:jc w:val="both"/>
        <w:rPr>
          <w:rFonts w:ascii="Times New Roman" w:hAnsi="Times New Roman" w:cs="Arial"/>
          <w:sz w:val="22"/>
          <w:szCs w:val="22"/>
          <w:highlight w:val="none"/>
        </w:rPr>
      </w:pPr>
    </w:p>
    <w:p w14:paraId="7CA8478B">
      <w:pPr>
        <w:pStyle w:val="12"/>
        <w:numPr>
          <w:ilvl w:val="1"/>
          <w:numId w:val="1"/>
        </w:numPr>
        <w:spacing w:before="0" w:beforeAutospacing="0" w:after="0" w:afterAutospacing="0" w:line="360" w:lineRule="auto"/>
        <w:ind w:left="0" w:firstLine="0"/>
        <w:jc w:val="both"/>
        <w:rPr>
          <w:sz w:val="22"/>
          <w:szCs w:val="22"/>
          <w:highlight w:val="none"/>
        </w:rPr>
      </w:pPr>
      <w:r>
        <w:rPr>
          <w:rFonts w:cs="Arial"/>
          <w:sz w:val="22"/>
          <w:szCs w:val="22"/>
          <w:highlight w:val="none"/>
        </w:rPr>
        <w:t xml:space="preserve">Assim, por consequência, dada à natureza do objeto em questão, </w:t>
      </w:r>
      <w:r>
        <w:rPr>
          <w:rFonts w:cs="Arial"/>
          <w:b/>
          <w:sz w:val="22"/>
          <w:szCs w:val="22"/>
          <w:highlight w:val="none"/>
        </w:rPr>
        <w:t>dispensa-se a elaboração do Estudo Técnico Preliminar (ETP)</w:t>
      </w:r>
      <w:r>
        <w:rPr>
          <w:rFonts w:cs="Arial"/>
          <w:sz w:val="22"/>
          <w:szCs w:val="22"/>
          <w:highlight w:val="none"/>
        </w:rPr>
        <w:t xml:space="preserve">, vez que a </w:t>
      </w:r>
      <w:r>
        <w:rPr>
          <w:rFonts w:cs="Arial"/>
          <w:b/>
          <w:sz w:val="22"/>
          <w:szCs w:val="22"/>
          <w:highlight w:val="none"/>
        </w:rPr>
        <w:t>solução adequada</w:t>
      </w:r>
      <w:r>
        <w:rPr>
          <w:rFonts w:cs="Arial"/>
          <w:sz w:val="22"/>
          <w:szCs w:val="22"/>
          <w:highlight w:val="none"/>
        </w:rPr>
        <w:t xml:space="preserve"> para o custeio das despesas decorrentes do consumo de energia elétrica pelas unidades relativas à Secretaria Municipal de </w:t>
      </w:r>
      <w:r>
        <w:rPr>
          <w:rFonts w:hint="default" w:cs="Arial"/>
          <w:sz w:val="22"/>
          <w:szCs w:val="22"/>
          <w:highlight w:val="none"/>
          <w:lang w:val="pt-BR"/>
        </w:rPr>
        <w:t>Turismo, Cultura, Esporte e Lazer</w:t>
      </w:r>
      <w:r>
        <w:rPr>
          <w:rFonts w:cs="Arial"/>
          <w:sz w:val="22"/>
          <w:szCs w:val="22"/>
          <w:highlight w:val="none"/>
        </w:rPr>
        <w:t xml:space="preserve">, </w:t>
      </w:r>
      <w:r>
        <w:rPr>
          <w:rFonts w:cs="Arial"/>
          <w:b/>
          <w:sz w:val="22"/>
          <w:szCs w:val="22"/>
          <w:highlight w:val="none"/>
        </w:rPr>
        <w:t>é a realização de</w:t>
      </w:r>
      <w:r>
        <w:rPr>
          <w:rFonts w:cs="Arial"/>
          <w:sz w:val="22"/>
          <w:szCs w:val="22"/>
          <w:highlight w:val="none"/>
        </w:rPr>
        <w:t xml:space="preserve"> </w:t>
      </w:r>
      <w:r>
        <w:rPr>
          <w:rFonts w:cs="Arial"/>
          <w:b/>
          <w:sz w:val="22"/>
          <w:szCs w:val="22"/>
          <w:highlight w:val="none"/>
        </w:rPr>
        <w:t>empenho</w:t>
      </w:r>
      <w:r>
        <w:rPr>
          <w:rFonts w:cs="Arial"/>
          <w:bCs/>
          <w:sz w:val="22"/>
          <w:szCs w:val="22"/>
          <w:highlight w:val="none"/>
        </w:rPr>
        <w:t xml:space="preserve">, com fulcro no art. 60, da Lei Federal nº </w:t>
      </w:r>
      <w:r>
        <w:rPr>
          <w:rFonts w:cs="Arial"/>
          <w:sz w:val="22"/>
          <w:szCs w:val="22"/>
          <w:highlight w:val="none"/>
        </w:rPr>
        <w:t xml:space="preserve">4.320/1964, art. 74, </w:t>
      </w:r>
      <w:r>
        <w:rPr>
          <w:rFonts w:cs="Arial"/>
          <w:i/>
          <w:sz w:val="22"/>
          <w:szCs w:val="22"/>
          <w:highlight w:val="none"/>
        </w:rPr>
        <w:t>caput</w:t>
      </w:r>
      <w:r>
        <w:rPr>
          <w:rFonts w:cs="Arial"/>
          <w:sz w:val="22"/>
          <w:szCs w:val="22"/>
          <w:highlight w:val="none"/>
        </w:rPr>
        <w:t>, da Lei Federal nº 14.133/2021.</w:t>
      </w:r>
    </w:p>
    <w:p w14:paraId="0B8D840E">
      <w:pPr>
        <w:pStyle w:val="12"/>
        <w:spacing w:before="0" w:beforeAutospacing="0" w:after="0" w:afterAutospacing="0" w:line="360" w:lineRule="auto"/>
        <w:jc w:val="both"/>
        <w:rPr>
          <w:rFonts w:ascii="Times New Roman" w:hAnsi="Times New Roman" w:cs="Arial"/>
          <w:sz w:val="22"/>
          <w:szCs w:val="22"/>
          <w:highlight w:val="none"/>
        </w:rPr>
      </w:pPr>
    </w:p>
    <w:p w14:paraId="1E8E1AB0">
      <w:pPr>
        <w:pStyle w:val="12"/>
        <w:numPr>
          <w:ilvl w:val="0"/>
          <w:numId w:val="1"/>
        </w:numPr>
        <w:shd w:val="clear" w:color="auto" w:fill="D8D8D8" w:themeFill="background1" w:themeFillShade="D9"/>
        <w:spacing w:before="0" w:beforeAutospacing="0" w:after="0" w:afterAutospacing="0" w:line="360" w:lineRule="auto"/>
        <w:ind w:left="0" w:firstLine="0"/>
        <w:jc w:val="both"/>
        <w:rPr>
          <w:sz w:val="22"/>
          <w:szCs w:val="22"/>
          <w:highlight w:val="none"/>
        </w:rPr>
      </w:pPr>
      <w:r>
        <w:rPr>
          <w:rFonts w:cs="Arial"/>
          <w:b/>
          <w:bCs/>
          <w:sz w:val="22"/>
          <w:szCs w:val="22"/>
          <w:highlight w:val="none"/>
        </w:rPr>
        <w:t>DADOS DE ASSINATURAS</w:t>
      </w:r>
    </w:p>
    <w:p w14:paraId="31539A32">
      <w:pPr>
        <w:pStyle w:val="12"/>
        <w:spacing w:before="0" w:beforeAutospacing="0" w:after="0" w:afterAutospacing="0" w:line="360" w:lineRule="auto"/>
        <w:jc w:val="both"/>
        <w:rPr>
          <w:rFonts w:ascii="Times New Roman" w:hAnsi="Times New Roman" w:cs="Arial"/>
          <w:sz w:val="22"/>
          <w:szCs w:val="22"/>
          <w:highlight w:val="none"/>
        </w:rPr>
      </w:pPr>
    </w:p>
    <w:p w14:paraId="2A9F5969">
      <w:pPr>
        <w:pStyle w:val="12"/>
        <w:numPr>
          <w:ilvl w:val="1"/>
          <w:numId w:val="1"/>
        </w:numPr>
        <w:spacing w:before="0" w:beforeAutospacing="0" w:after="0" w:afterAutospacing="0" w:line="360" w:lineRule="auto"/>
        <w:ind w:left="0" w:firstLine="0"/>
        <w:jc w:val="both"/>
        <w:rPr>
          <w:sz w:val="22"/>
          <w:szCs w:val="22"/>
          <w:highlight w:val="none"/>
        </w:rPr>
      </w:pPr>
      <w:r>
        <w:rPr>
          <w:rFonts w:cs="Arial"/>
          <w:b/>
          <w:sz w:val="22"/>
          <w:szCs w:val="22"/>
          <w:highlight w:val="none"/>
        </w:rPr>
        <w:t>Responsável pela Elaboração:</w:t>
      </w:r>
      <w:r>
        <w:rPr>
          <w:rFonts w:hint="default" w:cs="Arial"/>
          <w:b/>
          <w:sz w:val="22"/>
          <w:szCs w:val="22"/>
          <w:highlight w:val="none"/>
          <w:lang w:val="pt-BR"/>
        </w:rPr>
        <w:t xml:space="preserve"> </w:t>
      </w:r>
      <w:r>
        <w:rPr>
          <w:rFonts w:hint="default" w:cs="Arial"/>
          <w:sz w:val="22"/>
          <w:szCs w:val="22"/>
          <w:highlight w:val="none"/>
          <w:lang w:val="pt-BR"/>
        </w:rPr>
        <w:t>AMANDA MIELKE.</w:t>
      </w:r>
    </w:p>
    <w:p w14:paraId="7C4EA8FA">
      <w:pPr>
        <w:pStyle w:val="12"/>
        <w:numPr>
          <w:ilvl w:val="1"/>
          <w:numId w:val="1"/>
        </w:numPr>
        <w:spacing w:before="0" w:beforeAutospacing="0" w:after="0" w:afterAutospacing="0" w:line="360" w:lineRule="auto"/>
        <w:ind w:left="0" w:firstLine="0"/>
        <w:jc w:val="both"/>
        <w:rPr>
          <w:rFonts w:hint="default"/>
          <w:sz w:val="22"/>
          <w:szCs w:val="22"/>
          <w:highlight w:val="none"/>
          <w:lang w:val="en-US"/>
        </w:rPr>
      </w:pPr>
      <w:r>
        <w:rPr>
          <w:rFonts w:cs="Arial"/>
          <w:b/>
          <w:sz w:val="22"/>
          <w:szCs w:val="22"/>
          <w:highlight w:val="none"/>
        </w:rPr>
        <w:t>Gestor da Unidade Requisitante:</w:t>
      </w:r>
      <w:r>
        <w:rPr>
          <w:rFonts w:cs="Arial"/>
          <w:sz w:val="22"/>
          <w:szCs w:val="22"/>
          <w:highlight w:val="none"/>
        </w:rPr>
        <w:t xml:space="preserve"> </w:t>
      </w:r>
      <w:r>
        <w:rPr>
          <w:rFonts w:hint="default" w:cs="Arial"/>
          <w:sz w:val="22"/>
          <w:szCs w:val="22"/>
          <w:highlight w:val="none"/>
          <w:lang w:val="pt-BR"/>
        </w:rPr>
        <w:t>ROBERTO ALVES MEIRELES.</w:t>
      </w:r>
    </w:p>
    <w:p w14:paraId="4E36CB90">
      <w:pPr>
        <w:pStyle w:val="12"/>
        <w:numPr>
          <w:ilvl w:val="0"/>
          <w:numId w:val="0"/>
        </w:numPr>
        <w:spacing w:before="0" w:beforeAutospacing="0" w:after="0" w:afterAutospacing="0" w:line="360" w:lineRule="auto"/>
        <w:ind w:left="0" w:firstLine="0"/>
        <w:jc w:val="both"/>
        <w:rPr>
          <w:rFonts w:ascii="Times New Roman" w:hAnsi="Times New Roman" w:cs="Arial"/>
          <w:highlight w:val="none"/>
        </w:rPr>
      </w:pPr>
    </w:p>
    <w:p w14:paraId="3644327B">
      <w:pPr>
        <w:pStyle w:val="12"/>
        <w:spacing w:before="0" w:beforeAutospacing="0" w:after="0" w:afterAutospacing="0" w:line="360" w:lineRule="auto"/>
        <w:jc w:val="right"/>
        <w:rPr>
          <w:sz w:val="22"/>
          <w:szCs w:val="22"/>
          <w:highlight w:val="none"/>
        </w:rPr>
      </w:pPr>
      <w:r>
        <w:rPr>
          <w:rFonts w:cs="Arial"/>
          <w:b/>
          <w:sz w:val="22"/>
          <w:szCs w:val="22"/>
          <w:highlight w:val="none"/>
        </w:rPr>
        <w:t>São Roque do Canaã/ES</w:t>
      </w:r>
      <w:r>
        <w:rPr>
          <w:rFonts w:cs="Arial"/>
          <w:sz w:val="22"/>
          <w:szCs w:val="22"/>
          <w:highlight w:val="none"/>
        </w:rPr>
        <w:t xml:space="preserve">, </w:t>
      </w:r>
      <w:r>
        <w:rPr>
          <w:rFonts w:hint="default" w:cs="Arial"/>
          <w:sz w:val="22"/>
          <w:szCs w:val="22"/>
          <w:highlight w:val="none"/>
          <w:lang w:val="pt-BR"/>
        </w:rPr>
        <w:t>27</w:t>
      </w:r>
      <w:bookmarkStart w:id="0" w:name="_GoBack"/>
      <w:bookmarkEnd w:id="0"/>
      <w:r>
        <w:rPr>
          <w:rFonts w:cs="Arial"/>
          <w:sz w:val="22"/>
          <w:szCs w:val="22"/>
          <w:highlight w:val="none"/>
        </w:rPr>
        <w:t xml:space="preserve"> de </w:t>
      </w:r>
      <w:r>
        <w:rPr>
          <w:rFonts w:hint="default" w:cs="Arial"/>
          <w:sz w:val="22"/>
          <w:szCs w:val="22"/>
          <w:highlight w:val="none"/>
          <w:lang w:val="pt-BR"/>
        </w:rPr>
        <w:t>Janeiro</w:t>
      </w:r>
      <w:r>
        <w:rPr>
          <w:rFonts w:cs="Arial"/>
          <w:sz w:val="22"/>
          <w:szCs w:val="22"/>
          <w:highlight w:val="none"/>
        </w:rPr>
        <w:t xml:space="preserve"> de 202</w:t>
      </w:r>
      <w:r>
        <w:rPr>
          <w:rFonts w:hint="default" w:cs="Arial"/>
          <w:sz w:val="22"/>
          <w:szCs w:val="22"/>
          <w:highlight w:val="none"/>
          <w:lang w:val="pt-BR"/>
        </w:rPr>
        <w:t>5</w:t>
      </w:r>
      <w:r>
        <w:rPr>
          <w:rFonts w:cs="Arial"/>
          <w:sz w:val="22"/>
          <w:szCs w:val="22"/>
          <w:highlight w:val="none"/>
        </w:rPr>
        <w:t>.</w:t>
      </w:r>
    </w:p>
    <w:p w14:paraId="67115B11">
      <w:pPr>
        <w:pStyle w:val="12"/>
        <w:spacing w:before="0" w:beforeAutospacing="0" w:after="0" w:afterAutospacing="0" w:line="360" w:lineRule="auto"/>
        <w:jc w:val="right"/>
        <w:rPr>
          <w:rFonts w:ascii="Times New Roman" w:hAnsi="Times New Roman" w:cs="Arial"/>
          <w:highlight w:val="none"/>
        </w:rPr>
      </w:pPr>
    </w:p>
    <w:tbl>
      <w:tblPr>
        <w:tblStyle w:val="5"/>
        <w:tblW w:w="9211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05"/>
        <w:gridCol w:w="4605"/>
      </w:tblGrid>
      <w:tr w14:paraId="012EDE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05" w:type="dxa"/>
          </w:tcPr>
          <w:p w14:paraId="477218B9">
            <w:pPr>
              <w:pStyle w:val="12"/>
              <w:widowControl w:val="0"/>
              <w:suppressAutoHyphens/>
              <w:spacing w:before="0" w:beforeAutospacing="0" w:after="0" w:afterAutospacing="0" w:line="360" w:lineRule="auto"/>
              <w:jc w:val="center"/>
              <w:rPr>
                <w:rFonts w:ascii="Times New Roman" w:hAnsi="Times New Roman" w:cs="Arial"/>
                <w:color w:val="000000" w:themeColor="text1"/>
                <w:sz w:val="22"/>
                <w:szCs w:val="22"/>
                <w:highlight w:val="none"/>
              </w:rPr>
            </w:pPr>
          </w:p>
          <w:p w14:paraId="55151A32">
            <w:pPr>
              <w:pStyle w:val="12"/>
              <w:widowControl w:val="0"/>
              <w:suppressAutoHyphens/>
              <w:spacing w:before="0" w:beforeAutospacing="0" w:after="0" w:afterAutospacing="0" w:line="360" w:lineRule="auto"/>
              <w:jc w:val="center"/>
              <w:rPr>
                <w:rFonts w:ascii="Times New Roman" w:hAnsi="Times New Roman" w:cs="Arial"/>
                <w:b/>
                <w:bCs/>
                <w:color w:val="000000" w:themeColor="text1"/>
                <w:sz w:val="22"/>
                <w:szCs w:val="22"/>
                <w:highlight w:val="none"/>
              </w:rPr>
            </w:pPr>
          </w:p>
          <w:p w14:paraId="32ED6789">
            <w:pPr>
              <w:pStyle w:val="12"/>
              <w:widowControl w:val="0"/>
              <w:suppressAutoHyphens/>
              <w:spacing w:before="0" w:beforeAutospacing="0" w:after="0" w:afterAutospacing="0" w:line="360" w:lineRule="auto"/>
              <w:jc w:val="center"/>
              <w:rPr>
                <w:rFonts w:hint="default" w:cs="Times New Roman"/>
                <w:b/>
                <w:bCs/>
                <w:color w:val="000000" w:themeColor="text1"/>
                <w:kern w:val="0"/>
                <w:sz w:val="24"/>
                <w:szCs w:val="24"/>
                <w:highlight w:val="none"/>
                <w:lang w:val="pt-BR" w:bidi="ar-SA"/>
              </w:rPr>
            </w:pPr>
            <w:r>
              <w:rPr>
                <w:rFonts w:hint="default" w:cs="Times New Roman"/>
                <w:b/>
                <w:bCs/>
                <w:color w:val="000000" w:themeColor="text1"/>
                <w:kern w:val="0"/>
                <w:sz w:val="24"/>
                <w:szCs w:val="24"/>
                <w:highlight w:val="none"/>
                <w:lang w:val="pt-BR" w:bidi="ar-SA"/>
              </w:rPr>
              <w:t>AMANDA MIELKE</w:t>
            </w:r>
          </w:p>
          <w:p w14:paraId="5387C9B1">
            <w:pPr>
              <w:pStyle w:val="12"/>
              <w:widowControl w:val="0"/>
              <w:suppressAutoHyphens/>
              <w:spacing w:before="0" w:beforeAutospacing="0" w:after="0" w:afterAutospacing="0" w:line="360" w:lineRule="auto"/>
              <w:jc w:val="center"/>
              <w:rPr>
                <w:rFonts w:hint="default"/>
                <w:sz w:val="22"/>
                <w:szCs w:val="22"/>
                <w:highlight w:val="none"/>
                <w:lang w:val="pt-BR"/>
              </w:rPr>
            </w:pPr>
            <w:r>
              <w:rPr>
                <w:rFonts w:hint="default"/>
                <w:sz w:val="22"/>
                <w:szCs w:val="22"/>
                <w:highlight w:val="none"/>
                <w:lang w:val="pt-BR"/>
              </w:rPr>
              <w:t>Assessor do Executivo I</w:t>
            </w:r>
          </w:p>
        </w:tc>
        <w:tc>
          <w:tcPr>
            <w:tcW w:w="4605" w:type="dxa"/>
          </w:tcPr>
          <w:p w14:paraId="566A6CCF">
            <w:pPr>
              <w:pStyle w:val="12"/>
              <w:widowControl w:val="0"/>
              <w:suppressAutoHyphens/>
              <w:spacing w:before="0" w:beforeAutospacing="0" w:after="0" w:afterAutospacing="0" w:line="360" w:lineRule="auto"/>
              <w:jc w:val="center"/>
              <w:rPr>
                <w:rFonts w:ascii="Times New Roman" w:hAnsi="Times New Roman" w:cs="Arial"/>
                <w:b/>
                <w:color w:val="000000" w:themeColor="text1"/>
                <w:kern w:val="0"/>
                <w:highlight w:val="none"/>
                <w:lang w:val="pt-BR" w:bidi="ar-SA"/>
              </w:rPr>
            </w:pPr>
          </w:p>
          <w:p w14:paraId="4820C05F">
            <w:pPr>
              <w:pStyle w:val="12"/>
              <w:widowControl w:val="0"/>
              <w:suppressAutoHyphens/>
              <w:spacing w:before="0" w:beforeAutospacing="0" w:after="0" w:afterAutospacing="0" w:line="360" w:lineRule="auto"/>
              <w:jc w:val="center"/>
              <w:rPr>
                <w:rFonts w:ascii="Times New Roman" w:hAnsi="Times New Roman" w:cs="Arial"/>
                <w:b/>
                <w:color w:val="000000" w:themeColor="text1"/>
                <w:kern w:val="0"/>
                <w:highlight w:val="none"/>
                <w:lang w:val="pt-BR" w:bidi="ar-SA"/>
              </w:rPr>
            </w:pPr>
          </w:p>
          <w:p w14:paraId="163CB323">
            <w:pPr>
              <w:pStyle w:val="12"/>
              <w:widowControl w:val="0"/>
              <w:suppressAutoHyphens/>
              <w:spacing w:before="0" w:beforeAutospacing="0" w:after="0" w:afterAutospacing="0" w:line="360" w:lineRule="auto"/>
              <w:jc w:val="center"/>
              <w:rPr>
                <w:rFonts w:hint="default" w:cs="Arial"/>
                <w:b/>
                <w:color w:val="000000" w:themeColor="text1"/>
                <w:kern w:val="0"/>
                <w:sz w:val="22"/>
                <w:szCs w:val="22"/>
                <w:highlight w:val="none"/>
                <w:lang w:val="pt-BR" w:bidi="ar-SA"/>
              </w:rPr>
            </w:pPr>
            <w:r>
              <w:rPr>
                <w:rFonts w:hint="default" w:cs="Arial"/>
                <w:b/>
                <w:color w:val="000000" w:themeColor="text1"/>
                <w:kern w:val="0"/>
                <w:sz w:val="22"/>
                <w:szCs w:val="22"/>
                <w:highlight w:val="none"/>
                <w:lang w:val="pt-BR" w:bidi="ar-SA"/>
              </w:rPr>
              <w:t>ROBERTO ALVES MEIRELES</w:t>
            </w:r>
          </w:p>
          <w:p w14:paraId="0DE2FC0F">
            <w:pPr>
              <w:pStyle w:val="12"/>
              <w:widowControl w:val="0"/>
              <w:suppressAutoHyphens/>
              <w:spacing w:before="0" w:beforeAutospacing="0" w:after="0" w:afterAutospacing="0" w:line="360" w:lineRule="auto"/>
              <w:jc w:val="center"/>
              <w:rPr>
                <w:rFonts w:hint="default"/>
                <w:sz w:val="24"/>
                <w:szCs w:val="24"/>
                <w:highlight w:val="none"/>
                <w:lang w:val="pt-BR"/>
              </w:rPr>
            </w:pPr>
            <w:r>
              <w:rPr>
                <w:rFonts w:cs="Arial"/>
                <w:color w:val="000000" w:themeColor="text1"/>
                <w:kern w:val="0"/>
                <w:sz w:val="24"/>
                <w:szCs w:val="24"/>
                <w:highlight w:val="none"/>
                <w:lang w:val="pt-BR" w:bidi="ar-SA"/>
              </w:rPr>
              <w:t>S</w:t>
            </w:r>
            <w:r>
              <w:rPr>
                <w:rFonts w:hint="default" w:cs="Arial"/>
                <w:color w:val="000000" w:themeColor="text1"/>
                <w:kern w:val="0"/>
                <w:sz w:val="24"/>
                <w:szCs w:val="24"/>
                <w:highlight w:val="none"/>
                <w:lang w:val="pt-BR" w:bidi="ar-SA"/>
              </w:rPr>
              <w:t>ubs</w:t>
            </w:r>
            <w:r>
              <w:rPr>
                <w:rFonts w:cs="Arial"/>
                <w:color w:val="000000" w:themeColor="text1"/>
                <w:kern w:val="0"/>
                <w:sz w:val="24"/>
                <w:szCs w:val="24"/>
                <w:highlight w:val="none"/>
                <w:lang w:val="pt-BR" w:bidi="ar-SA"/>
              </w:rPr>
              <w:t xml:space="preserve">ecretário Municipal de </w:t>
            </w:r>
            <w:r>
              <w:rPr>
                <w:rFonts w:hint="default" w:cs="Arial"/>
                <w:color w:val="000000" w:themeColor="text1"/>
                <w:kern w:val="0"/>
                <w:sz w:val="24"/>
                <w:szCs w:val="24"/>
                <w:highlight w:val="none"/>
                <w:lang w:val="pt-BR" w:bidi="ar-SA"/>
              </w:rPr>
              <w:t>Turismo, Cultura, Esporte e Lazer</w:t>
            </w:r>
          </w:p>
          <w:p w14:paraId="6CB43808">
            <w:pPr>
              <w:pStyle w:val="12"/>
              <w:widowControl w:val="0"/>
              <w:suppressAutoHyphens/>
              <w:spacing w:before="0" w:beforeAutospacing="0" w:after="0" w:afterAutospacing="0" w:line="360" w:lineRule="auto"/>
              <w:jc w:val="center"/>
              <w:rPr>
                <w:sz w:val="22"/>
                <w:szCs w:val="22"/>
                <w:highlight w:val="none"/>
              </w:rPr>
            </w:pPr>
          </w:p>
        </w:tc>
      </w:tr>
    </w:tbl>
    <w:p w14:paraId="21919535">
      <w:pPr>
        <w:rPr>
          <w:highlight w:val="none"/>
        </w:rPr>
        <w:sectPr>
          <w:footerReference r:id="rId8" w:type="first"/>
          <w:headerReference r:id="rId5" w:type="default"/>
          <w:footerReference r:id="rId6" w:type="default"/>
          <w:footerReference r:id="rId7" w:type="even"/>
          <w:pgSz w:w="11906" w:h="16838"/>
          <w:pgMar w:top="1843" w:right="1134" w:bottom="992" w:left="1134" w:header="284" w:footer="386" w:gutter="0"/>
          <w:pgNumType w:fmt="decimal"/>
          <w:cols w:space="720" w:num="1"/>
          <w:formProt w:val="0"/>
          <w:docGrid w:linePitch="100" w:charSpace="4096"/>
        </w:sectPr>
      </w:pPr>
    </w:p>
    <w:p w14:paraId="4B39886C">
      <w:pPr>
        <w:spacing w:before="0" w:after="0" w:line="240" w:lineRule="auto"/>
        <w:rPr>
          <w:rFonts w:ascii="Times New Roman" w:hAnsi="Times New Roman" w:cs="Arial"/>
          <w:sz w:val="22"/>
          <w:szCs w:val="22"/>
          <w:highlight w:val="none"/>
        </w:rPr>
      </w:pPr>
    </w:p>
    <w:sectPr>
      <w:headerReference r:id="rId9" w:type="default"/>
      <w:footerReference r:id="rId10" w:type="default"/>
      <w:pgSz w:w="11906" w:h="16838"/>
      <w:pgMar w:top="1134" w:right="1134" w:bottom="1134" w:left="1134" w:header="0" w:footer="0" w:gutter="0"/>
      <w:pgNumType w:fmt="decimal"/>
      <w:cols w:space="720" w:num="1"/>
      <w:formProt w:val="0"/>
      <w:docGrid w:linePitch="10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黑体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roman"/>
    <w:pitch w:val="default"/>
    <w:sig w:usb0="E0002AFF" w:usb1="C000247B" w:usb2="00000009" w:usb3="00000000" w:csb0="200001FF" w:csb1="00000000"/>
  </w:font>
  <w:font w:name="Lucida Sans">
    <w:panose1 w:val="020B0602030504020204"/>
    <w:charset w:val="00"/>
    <w:family w:val="auto"/>
    <w:pitch w:val="default"/>
    <w:sig w:usb0="00000003" w:usb1="00000000" w:usb2="00000000" w:usb3="00000000" w:csb0="20000001" w:csb1="00000000"/>
  </w:font>
  <w:font w:name="Tahoma">
    <w:panose1 w:val="020B0604030504040204"/>
    <w:charset w:val="00"/>
    <w:family w:val="roman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Liberation Sans">
    <w:panose1 w:val="020B0604020202020204"/>
    <w:charset w:val="00"/>
    <w:family w:val="roman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425018">
    <w:pPr>
      <w:pStyle w:val="15"/>
      <w:jc w:val="center"/>
      <w:rPr>
        <w:rFonts w:ascii="Arial" w:hAnsi="Arial" w:cs="Arial"/>
        <w:sz w:val="20"/>
        <w:szCs w:val="16"/>
      </w:rPr>
    </w:pPr>
  </w:p>
  <w:p w14:paraId="30DA6BA4">
    <w:pPr>
      <w:pStyle w:val="15"/>
      <w:jc w:val="center"/>
      <w:rPr>
        <w:rFonts w:ascii="Arial" w:hAnsi="Arial" w:cs="Arial"/>
        <w:sz w:val="20"/>
        <w:szCs w:val="16"/>
      </w:rPr>
    </w:pPr>
    <w:r>
      <w:rPr>
        <w:rFonts w:ascii="Arial" w:hAnsi="Arial" w:cs="Arial"/>
        <w:sz w:val="20"/>
        <w:szCs w:val="16"/>
      </w:rPr>
      <w:t>Rua Lourenço Roldi n.º 88,São Roquinho, São Roque do Canaã/ES, CEP: 29665-000</w:t>
    </w:r>
  </w:p>
  <w:p w14:paraId="047BF156">
    <w:pPr>
      <w:pStyle w:val="15"/>
      <w:spacing w:before="0" w:after="160"/>
      <w:jc w:val="center"/>
      <w:rPr>
        <w:sz w:val="20"/>
        <w:szCs w:val="20"/>
      </w:rPr>
    </w:pPr>
    <w:r>
      <w:rPr>
        <w:rFonts w:ascii="Arial" w:hAnsi="Arial" w:cs="Arial"/>
        <w:bCs/>
        <w:i/>
        <w:color w:val="000000"/>
        <w:sz w:val="20"/>
        <w:szCs w:val="16"/>
      </w:rPr>
      <w:t>Telefone: (27) 3729-1</w:t>
    </w:r>
    <w:r>
      <w:rPr>
        <w:rFonts w:hint="default" w:ascii="Arial" w:hAnsi="Arial" w:cs="Arial"/>
        <w:bCs/>
        <w:i/>
        <w:color w:val="000000"/>
        <w:sz w:val="20"/>
        <w:szCs w:val="16"/>
        <w:lang w:val="pt-BR"/>
      </w:rPr>
      <w:t>997</w:t>
    </w:r>
    <w:r>
      <w:rPr>
        <w:rFonts w:ascii="Arial" w:hAnsi="Arial" w:cs="Arial"/>
        <w:bCs/>
        <w:i/>
        <w:color w:val="000000"/>
        <w:sz w:val="20"/>
        <w:szCs w:val="16"/>
      </w:rPr>
      <w:t xml:space="preserve"> | E-mail: </w:t>
    </w:r>
    <w:r>
      <w:rPr>
        <w:rFonts w:hint="default" w:ascii="Arial" w:hAnsi="Arial" w:cs="Arial"/>
        <w:bCs/>
        <w:i/>
        <w:color w:val="000000"/>
        <w:sz w:val="20"/>
        <w:szCs w:val="16"/>
        <w:lang w:val="pt-BR"/>
      </w:rPr>
      <w:t>turismo</w:t>
    </w:r>
    <w:r>
      <w:rPr>
        <w:rFonts w:ascii="Arial" w:hAnsi="Arial" w:cs="Arial"/>
        <w:bCs/>
        <w:i/>
        <w:color w:val="000000"/>
        <w:sz w:val="20"/>
        <w:szCs w:val="16"/>
      </w:rPr>
      <w:t>@saoroquedocanaa.es.gov.br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2AE561A">
    <w:pPr>
      <w:pStyle w:val="15"/>
      <w:spacing w:before="0" w:after="160"/>
      <w:ind w:right="360" w:firstLine="0"/>
    </w:pPr>
    <w:r>
      <mc:AlternateContent>
        <mc:Choice Requires="wps">
          <w:drawing>
            <wp:anchor distT="0" distB="0" distL="0" distR="0" simplePos="0" relativeHeight="251659264" behindDoc="1" locked="0" layoutInCell="0" allowOverlap="1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2" name="Quadro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rgbClr val="FFFFFF"/>
                      </a:lnRef>
                      <a:fillRef idx="0">
                        <a:srgbClr val="FFFFFF"/>
                      </a:fillRef>
                      <a:effectRef idx="0">
                        <a:srgbClr val="FFFFFF"/>
                      </a:effectRef>
                      <a:fontRef idx="minor"/>
                    </wps:style>
                    <wps:txbx>
                      <w:txbxContent>
                        <w:p w14:paraId="0D979586">
                          <w:pPr>
                            <w:pStyle w:val="15"/>
                            <w:spacing w:before="0" w:after="160"/>
                            <w:rPr>
                              <w:rStyle w:val="9"/>
                            </w:rPr>
                          </w:pPr>
                          <w:r>
                            <w:rPr>
                              <w:rStyle w:val="9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9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9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9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9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Quadro1" o:spid="_x0000_s1026" o:spt="1" style="position:absolute;left:0pt;margin-top:0.05pt;height:1.15pt;width:1.15pt;mso-position-horizontal:right;mso-position-horizontal-relative:margin;mso-wrap-distance-bottom:0pt;mso-wrap-distance-left:0pt;mso-wrap-distance-right:0pt;mso-wrap-distance-top:0pt;z-index:-251657216;mso-width-relative:page;mso-height-relative:page;" filled="f" stroked="f" coordsize="21600,21600" o:allowincell="f" o:gfxdata="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">
              <v:fill on="f" focussize="0,0"/>
              <v:stroke on="f" weight="0pt"/>
              <v:imagedata o:title=""/>
              <o:lock v:ext="edit" aspectratio="f"/>
              <v:textbox inset="0mm,0mm,0mm,0mm" style="mso-fit-shape-to-text:t;">
                <w:txbxContent>
                  <w:p w14:paraId="0D979586">
                    <w:pPr>
                      <w:pStyle w:val="15"/>
                      <w:spacing w:before="0" w:after="160"/>
                      <w:rPr>
                        <w:rStyle w:val="9"/>
                      </w:rPr>
                    </w:pPr>
                    <w:r>
                      <w:rPr>
                        <w:rStyle w:val="9"/>
                        <w:color w:val="000000"/>
                      </w:rPr>
                      <w:fldChar w:fldCharType="begin"/>
                    </w:r>
                    <w:r>
                      <w:rPr>
                        <w:rStyle w:val="9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9"/>
                        <w:color w:val="000000"/>
                      </w:rPr>
                      <w:fldChar w:fldCharType="separate"/>
                    </w:r>
                    <w:r>
                      <w:rPr>
                        <w:rStyle w:val="9"/>
                        <w:color w:val="000000"/>
                      </w:rPr>
                      <w:t>0</w:t>
                    </w:r>
                    <w:r>
                      <w:rPr>
                        <w:rStyle w:val="9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9B2E9D">
    <w:pPr>
      <w:pStyle w:val="15"/>
      <w:jc w:val="center"/>
      <w:rPr>
        <w:rFonts w:ascii="Arial" w:hAnsi="Arial" w:cs="Arial"/>
        <w:sz w:val="20"/>
        <w:szCs w:val="16"/>
      </w:rPr>
    </w:pPr>
  </w:p>
  <w:p w14:paraId="54EBCA2C">
    <w:pPr>
      <w:pStyle w:val="15"/>
      <w:jc w:val="center"/>
      <w:rPr>
        <w:rFonts w:ascii="Arial" w:hAnsi="Arial" w:cs="Arial"/>
        <w:sz w:val="20"/>
        <w:szCs w:val="16"/>
      </w:rPr>
    </w:pPr>
    <w:r>
      <w:rPr>
        <w:rFonts w:ascii="Arial" w:hAnsi="Arial" w:cs="Arial"/>
        <w:sz w:val="20"/>
        <w:szCs w:val="16"/>
      </w:rPr>
      <w:t>Rua Lourenço Roldi n.º 88,São Roquinho, São Roque do Canaã/ES, CEP: 29665-000</w:t>
    </w:r>
  </w:p>
  <w:p w14:paraId="70924FC7">
    <w:pPr>
      <w:pStyle w:val="15"/>
      <w:spacing w:before="0" w:after="160"/>
      <w:jc w:val="center"/>
      <w:rPr>
        <w:sz w:val="20"/>
        <w:szCs w:val="20"/>
      </w:rPr>
    </w:pPr>
    <w:r>
      <w:rPr>
        <w:rFonts w:ascii="Arial" w:hAnsi="Arial" w:cs="Arial"/>
        <w:bCs/>
        <w:i/>
        <w:color w:val="000000"/>
        <w:sz w:val="20"/>
        <w:szCs w:val="16"/>
      </w:rPr>
      <w:t>Telefone: (27) 3729-1120 | E-mail: desenvolvimentoeconomico@saoroquedocanaa.es.gov.br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B393542">
    <w:pPr>
      <w:pStyle w:val="15"/>
      <w:jc w:val="center"/>
      <w:rPr>
        <w:rFonts w:ascii="Arial" w:hAnsi="Arial" w:cs="Arial"/>
        <w:sz w:val="20"/>
        <w:szCs w:val="16"/>
      </w:rPr>
    </w:pPr>
    <w:r>
      <w:rPr>
        <w:rFonts w:ascii="Arial" w:hAnsi="Arial" w:cs="Arial"/>
        <w:sz w:val="20"/>
        <w:szCs w:val="16"/>
      </w:rPr>
      <w:t>Rua Lourenço Roldi n.º 88,São Roquinho, São Roque do Canaã/ES, CEP: 29665-000</w:t>
    </w:r>
  </w:p>
  <w:p w14:paraId="172E64CD">
    <w:pPr>
      <w:pStyle w:val="15"/>
      <w:spacing w:before="0" w:after="160"/>
      <w:jc w:val="center"/>
      <w:rPr>
        <w:sz w:val="20"/>
        <w:szCs w:val="20"/>
      </w:rPr>
    </w:pPr>
    <w:r>
      <w:rPr>
        <w:rFonts w:ascii="Arial" w:hAnsi="Arial" w:cs="Arial"/>
        <w:bCs/>
        <w:i/>
        <w:color w:val="000000"/>
        <w:sz w:val="22"/>
        <w:szCs w:val="16"/>
      </w:rPr>
      <w:t>Telefone: (27) 3729-1</w:t>
    </w:r>
    <w:r>
      <w:rPr>
        <w:rFonts w:hint="default" w:ascii="Arial" w:hAnsi="Arial" w:cs="Arial"/>
        <w:bCs/>
        <w:i/>
        <w:color w:val="000000"/>
        <w:sz w:val="22"/>
        <w:szCs w:val="16"/>
        <w:lang w:val="pt-BR"/>
      </w:rPr>
      <w:t>997</w:t>
    </w:r>
    <w:r>
      <w:rPr>
        <w:rFonts w:ascii="Arial" w:hAnsi="Arial" w:cs="Arial"/>
        <w:bCs/>
        <w:i/>
        <w:color w:val="000000"/>
        <w:sz w:val="22"/>
        <w:szCs w:val="16"/>
      </w:rPr>
      <w:t xml:space="preserve"> | E-mail: </w:t>
    </w:r>
    <w:r>
      <w:rPr>
        <w:rFonts w:hint="default" w:ascii="Arial" w:hAnsi="Arial" w:cs="Arial"/>
        <w:bCs/>
        <w:i/>
        <w:color w:val="000000"/>
        <w:sz w:val="22"/>
        <w:szCs w:val="22"/>
        <w:lang w:val="pt-BR"/>
      </w:rPr>
      <w:t>turismo</w:t>
    </w:r>
    <w:r>
      <w:rPr>
        <w:rFonts w:ascii="Arial" w:hAnsi="Arial" w:cs="Arial"/>
        <w:bCs/>
        <w:i/>
        <w:color w:val="000000"/>
        <w:sz w:val="22"/>
        <w:szCs w:val="22"/>
      </w:rPr>
      <w:t>@saoroquedocanaa.es.gov.br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FC9FFF">
    <w:pPr>
      <w:pStyle w:val="14"/>
      <w:spacing w:before="0" w:after="0" w:line="240" w:lineRule="auto"/>
      <w:jc w:val="center"/>
      <w:rPr>
        <w:rFonts w:ascii="Times New Roman" w:hAnsi="Times New Roman"/>
      </w:rPr>
    </w:pPr>
    <w:r>
      <w:rPr>
        <w:rFonts w:ascii="Times New Roman" w:hAnsi="Times New Roman"/>
      </w:rPr>
      <w:drawing>
        <wp:anchor distT="0" distB="0" distL="0" distR="0" simplePos="0" relativeHeight="251659264" behindDoc="1" locked="0" layoutInCell="0" allowOverlap="1">
          <wp:simplePos x="0" y="0"/>
          <wp:positionH relativeFrom="column">
            <wp:posOffset>2798445</wp:posOffset>
          </wp:positionH>
          <wp:positionV relativeFrom="paragraph">
            <wp:posOffset>-46990</wp:posOffset>
          </wp:positionV>
          <wp:extent cx="647700" cy="650240"/>
          <wp:effectExtent l="0" t="0" r="0" b="0"/>
          <wp:wrapNone/>
          <wp:docPr id="1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7700" cy="650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E4F37FC">
    <w:pPr>
      <w:pStyle w:val="14"/>
      <w:spacing w:before="0" w:after="0" w:line="240" w:lineRule="auto"/>
      <w:jc w:val="center"/>
      <w:rPr>
        <w:rFonts w:ascii="Times New Roman" w:hAnsi="Times New Roman"/>
        <w:sz w:val="36"/>
        <w:szCs w:val="36"/>
      </w:rPr>
    </w:pPr>
  </w:p>
  <w:p w14:paraId="4C9268B5">
    <w:pPr>
      <w:pStyle w:val="14"/>
      <w:spacing w:before="0" w:after="0" w:line="240" w:lineRule="auto"/>
      <w:jc w:val="center"/>
      <w:rPr>
        <w:rFonts w:ascii="Times New Roman" w:hAnsi="Times New Roman"/>
        <w:sz w:val="32"/>
        <w:szCs w:val="32"/>
      </w:rPr>
    </w:pPr>
  </w:p>
  <w:p w14:paraId="0B520A66">
    <w:pPr>
      <w:pStyle w:val="14"/>
      <w:spacing w:before="0" w:after="0" w:line="240" w:lineRule="auto"/>
      <w:jc w:val="center"/>
      <w:rPr>
        <w:rFonts w:ascii="Times New Roman" w:hAnsi="Times New Roman"/>
      </w:rPr>
    </w:pPr>
    <w:r>
      <w:rPr>
        <w:rFonts w:ascii="Times New Roman" w:hAnsi="Times New Roman"/>
      </w:rPr>
      <w:t>PREFEITURA MUNICIPAL DE SÃO ROQUE DO CANAÃ</w:t>
    </w:r>
  </w:p>
  <w:p w14:paraId="409BCDDD">
    <w:pPr>
      <w:pStyle w:val="14"/>
      <w:spacing w:before="0" w:after="0" w:line="240" w:lineRule="auto"/>
      <w:jc w:val="center"/>
      <w:rPr>
        <w:rFonts w:ascii="Times New Roman" w:hAnsi="Times New Roman"/>
      </w:rPr>
    </w:pPr>
    <w:r>
      <w:rPr>
        <w:rFonts w:ascii="Times New Roman" w:hAnsi="Times New Roman"/>
      </w:rPr>
      <w:t>ESTADO DO ESPÍRITO SANTO</w:t>
    </w:r>
  </w:p>
  <w:p w14:paraId="23B50D94">
    <w:pPr>
      <w:pStyle w:val="14"/>
      <w:spacing w:before="0" w:after="0" w:line="240" w:lineRule="auto"/>
      <w:jc w:val="center"/>
      <w:rPr>
        <w:rFonts w:hint="default" w:ascii="Times New Roman" w:hAnsi="Times New Roman"/>
        <w:lang w:val="pt-BR"/>
      </w:rPr>
    </w:pPr>
    <w:r>
      <w:rPr>
        <w:rFonts w:hint="default" w:ascii="Times New Roman" w:hAnsi="Times New Roman"/>
        <w:lang w:val="pt-BR"/>
      </w:rPr>
      <w:t>SECRETARIA MUNICIPAL DE TURISMO, CULTURA, ESPORTE E LAZER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3FF8DD">
    <w:pPr>
      <w:widowControl/>
      <w:suppressAutoHyphens/>
      <w:bidi w:val="0"/>
      <w:spacing w:before="0" w:after="160" w:line="259" w:lineRule="auto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5E306ED"/>
    <w:multiLevelType w:val="multilevel"/>
    <w:tmpl w:val="B5E306ED"/>
    <w:lvl w:ilvl="0" w:tentative="0">
      <w:start w:val="1"/>
      <w:numFmt w:val="decimal"/>
      <w:lvlText w:val="%1."/>
      <w:lvlJc w:val="left"/>
      <w:pPr>
        <w:tabs>
          <w:tab w:val="left" w:pos="0"/>
        </w:tabs>
        <w:ind w:left="360" w:hanging="360"/>
      </w:pPr>
    </w:lvl>
    <w:lvl w:ilvl="1" w:tentative="0">
      <w:start w:val="1"/>
      <w:numFmt w:val="decimal"/>
      <w:lvlText w:val="%1.%2."/>
      <w:lvlJc w:val="left"/>
      <w:pPr>
        <w:tabs>
          <w:tab w:val="left" w:pos="0"/>
        </w:tabs>
        <w:ind w:left="792" w:hanging="432"/>
      </w:pPr>
      <w:rPr>
        <w:rFonts w:ascii="Arial" w:hAnsi="Arial" w:cs="Arial"/>
        <w:b w:val="0"/>
        <w:i w:val="0"/>
        <w:color w:val="000000"/>
      </w:rPr>
    </w:lvl>
    <w:lvl w:ilvl="2" w:tentative="0">
      <w:start w:val="1"/>
      <w:numFmt w:val="decimal"/>
      <w:lvlText w:val="%1.%2.%3."/>
      <w:lvlJc w:val="left"/>
      <w:pPr>
        <w:tabs>
          <w:tab w:val="left" w:pos="0"/>
        </w:tabs>
        <w:ind w:left="2631" w:hanging="504"/>
      </w:pPr>
      <w:rPr>
        <w:b w:val="0"/>
        <w:i w:val="0"/>
      </w:rPr>
    </w:lvl>
    <w:lvl w:ilvl="3" w:tentative="0">
      <w:start w:val="1"/>
      <w:numFmt w:val="decimal"/>
      <w:lvlText w:val="%1.%2.%3.%4."/>
      <w:lvlJc w:val="left"/>
      <w:pPr>
        <w:tabs>
          <w:tab w:val="left" w:pos="0"/>
        </w:tabs>
        <w:ind w:left="1728" w:hanging="648"/>
      </w:pPr>
    </w:lvl>
    <w:lvl w:ilvl="4" w:tentative="0">
      <w:start w:val="1"/>
      <w:numFmt w:val="decimal"/>
      <w:lvlText w:val="%1.%2.%3.%4.%5."/>
      <w:lvlJc w:val="left"/>
      <w:pPr>
        <w:tabs>
          <w:tab w:val="left" w:pos="0"/>
        </w:tabs>
        <w:ind w:left="2232" w:hanging="792"/>
      </w:pPr>
    </w:lvl>
    <w:lvl w:ilvl="5" w:tentative="0">
      <w:start w:val="1"/>
      <w:numFmt w:val="upperRoman"/>
      <w:lvlText w:val="%6)"/>
      <w:lvlJc w:val="left"/>
      <w:pPr>
        <w:tabs>
          <w:tab w:val="left" w:pos="0"/>
        </w:tabs>
        <w:ind w:left="2736" w:hanging="936"/>
      </w:pPr>
    </w:lvl>
    <w:lvl w:ilvl="6" w:tentative="0">
      <w:start w:val="1"/>
      <w:numFmt w:val="decimal"/>
      <w:lvlText w:val="%1.%2.%3.%4.%5.%6.%7."/>
      <w:lvlJc w:val="left"/>
      <w:pPr>
        <w:tabs>
          <w:tab w:val="left" w:pos="0"/>
        </w:tabs>
        <w:ind w:left="3240" w:hanging="1080"/>
      </w:pPr>
    </w:lvl>
    <w:lvl w:ilvl="7" w:tentative="0">
      <w:start w:val="1"/>
      <w:numFmt w:val="decimal"/>
      <w:lvlText w:val="%1.%2.%3.%4.%5.%6.%7.%8."/>
      <w:lvlJc w:val="left"/>
      <w:pPr>
        <w:tabs>
          <w:tab w:val="left" w:pos="0"/>
        </w:tabs>
        <w:ind w:left="3744" w:hanging="1224"/>
      </w:pPr>
    </w:lvl>
    <w:lvl w:ilvl="8" w:tentative="0">
      <w:start w:val="1"/>
      <w:numFmt w:val="decimal"/>
      <w:lvlText w:val="%1.%2.%3.%4.%5.%6.%7.%8.%9."/>
      <w:lvlJc w:val="left"/>
      <w:pPr>
        <w:tabs>
          <w:tab w:val="left" w:pos="0"/>
        </w:tabs>
        <w:ind w:left="4320" w:hanging="1440"/>
      </w:pPr>
    </w:lvl>
  </w:abstractNum>
  <w:abstractNum w:abstractNumId="1">
    <w:nsid w:val="D8EDB9F7"/>
    <w:multiLevelType w:val="singleLevel"/>
    <w:tmpl w:val="D8EDB9F7"/>
    <w:lvl w:ilvl="0" w:tentative="0">
      <w:start w:val="1"/>
      <w:numFmt w:val="lowerLetter"/>
      <w:suff w:val="space"/>
      <w:lvlText w:val="%1)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20"/>
  <w:autoHyphenation/>
  <w:displayHorizontalDrawingGridEvery w:val="1"/>
  <w:displayVerticalDrawingGridEvery w:val="1"/>
  <w:noPunctuationKerning w:val="1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2"/>
  </w:compat>
  <w:rsids>
    <w:rsidRoot w:val="00000000"/>
    <w:rsid w:val="08982933"/>
    <w:rsid w:val="0F616FF8"/>
    <w:rsid w:val="241E094C"/>
    <w:rsid w:val="35316883"/>
    <w:rsid w:val="3A6229EB"/>
    <w:rsid w:val="3AE34093"/>
    <w:rsid w:val="456E7B03"/>
    <w:rsid w:val="46A6731E"/>
    <w:rsid w:val="46E16D2B"/>
    <w:rsid w:val="51E01C14"/>
    <w:rsid w:val="555F6C77"/>
    <w:rsid w:val="55EF2E27"/>
    <w:rsid w:val="738878C8"/>
    <w:rsid w:val="76745475"/>
    <w:rsid w:val="7EE7780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nhideWhenUsed="0" w:uiPriority="0" w:semiHidden="0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qFormat="1" w:unhideWhenUsed="0" w:uiPriority="0" w:semiHidden="0" w:name="footnote reference"/>
    <w:lsdException w:uiPriority="99" w:name="annotation reference"/>
    <w:lsdException w:uiPriority="99" w:name="line number"/>
    <w:lsdException w:qFormat="1" w:uiPriority="99" w:name="page number"/>
    <w:lsdException w:qFormat="1" w:unhideWhenUsed="0" w:uiPriority="0" w:semiHidden="0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qFormat="1" w:unhideWhenUsed="0" w:uiPriority="0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pPr>
      <w:widowControl/>
      <w:suppressAutoHyphens/>
      <w:bidi w:val="0"/>
      <w:spacing w:before="0" w:after="160" w:line="259" w:lineRule="auto"/>
      <w:jc w:val="left"/>
    </w:pPr>
    <w:rPr>
      <w:rFonts w:cs="Times New Roman" w:asciiTheme="minorHAnsi" w:hAnsiTheme="minorHAnsi" w:eastAsiaTheme="minorEastAsia"/>
      <w:color w:val="auto"/>
      <w:kern w:val="0"/>
      <w:sz w:val="22"/>
      <w:szCs w:val="22"/>
      <w:lang w:val="pt-BR" w:eastAsia="pt-BR" w:bidi="ar-SA"/>
    </w:rPr>
  </w:style>
  <w:style w:type="paragraph" w:styleId="2">
    <w:name w:val="heading 1"/>
    <w:basedOn w:val="1"/>
    <w:next w:val="1"/>
    <w:qFormat/>
    <w:uiPriority w:val="9"/>
    <w:pPr>
      <w:keepNext/>
      <w:spacing w:before="240" w:after="60"/>
      <w:outlineLvl w:val="0"/>
    </w:pPr>
    <w:rPr>
      <w:rFonts w:asciiTheme="majorHAnsi" w:hAnsiTheme="majorHAnsi" w:eastAsiaTheme="majorEastAsia"/>
      <w:b/>
      <w:bCs/>
      <w:kern w:val="2"/>
      <w:sz w:val="32"/>
      <w:szCs w:val="32"/>
    </w:rPr>
  </w:style>
  <w:style w:type="paragraph" w:styleId="3">
    <w:name w:val="heading 2"/>
    <w:basedOn w:val="1"/>
    <w:unhideWhenUsed/>
    <w:qFormat/>
    <w:uiPriority w:val="9"/>
    <w:pPr>
      <w:widowControl w:val="0"/>
      <w:spacing w:before="0" w:after="0" w:line="240" w:lineRule="auto"/>
      <w:ind w:left="196" w:firstLine="0"/>
      <w:outlineLvl w:val="1"/>
    </w:pPr>
    <w:rPr>
      <w:rFonts w:ascii="Arial" w:hAnsi="Arial" w:eastAsia="Times New Roman" w:cs="Arial"/>
      <w:b/>
      <w:bCs/>
      <w:sz w:val="20"/>
      <w:szCs w:val="20"/>
      <w:lang w:val="pt-PT" w:eastAsia="pt-PT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endnote reference"/>
    <w:qFormat/>
    <w:uiPriority w:val="0"/>
    <w:rPr>
      <w:vertAlign w:val="superscript"/>
    </w:rPr>
  </w:style>
  <w:style w:type="character" w:styleId="7">
    <w:name w:val="Strong"/>
    <w:qFormat/>
    <w:uiPriority w:val="0"/>
    <w:rPr>
      <w:rFonts w:ascii="Times New Roman" w:hAnsi="Times New Roman" w:eastAsia="Times New Roman" w:cs="Times New Roman"/>
      <w:b/>
      <w:bCs/>
      <w:color w:val="000000"/>
      <w:sz w:val="24"/>
      <w:szCs w:val="24"/>
    </w:rPr>
  </w:style>
  <w:style w:type="character" w:styleId="8">
    <w:name w:val="footnote reference"/>
    <w:qFormat/>
    <w:uiPriority w:val="0"/>
    <w:rPr>
      <w:vertAlign w:val="superscript"/>
    </w:rPr>
  </w:style>
  <w:style w:type="character" w:styleId="9">
    <w:name w:val="page number"/>
    <w:basedOn w:val="4"/>
    <w:semiHidden/>
    <w:unhideWhenUsed/>
    <w:qFormat/>
    <w:uiPriority w:val="99"/>
    <w:rPr>
      <w:rFonts w:cs="Times New Roman"/>
    </w:rPr>
  </w:style>
  <w:style w:type="paragraph" w:styleId="10">
    <w:name w:val="List"/>
    <w:basedOn w:val="11"/>
    <w:qFormat/>
    <w:uiPriority w:val="0"/>
    <w:rPr>
      <w:rFonts w:cs="Lucida Sans"/>
    </w:rPr>
  </w:style>
  <w:style w:type="paragraph" w:styleId="11">
    <w:name w:val="Body Text"/>
    <w:basedOn w:val="1"/>
    <w:link w:val="23"/>
    <w:qFormat/>
    <w:uiPriority w:val="1"/>
    <w:pPr>
      <w:widowControl w:val="0"/>
      <w:spacing w:before="0" w:after="0" w:line="240" w:lineRule="auto"/>
    </w:pPr>
    <w:rPr>
      <w:rFonts w:ascii="Arial" w:hAnsi="Arial" w:eastAsia="Times New Roman" w:cs="Arial"/>
      <w:sz w:val="20"/>
      <w:szCs w:val="20"/>
      <w:lang w:val="pt-PT" w:eastAsia="pt-PT"/>
    </w:rPr>
  </w:style>
  <w:style w:type="paragraph" w:styleId="12">
    <w:name w:val="Normal (Web)"/>
    <w:basedOn w:val="1"/>
    <w:qFormat/>
    <w:uiPriority w:val="0"/>
    <w:pPr>
      <w:spacing w:beforeAutospacing="1" w:afterAutospacing="1" w:line="240" w:lineRule="exact"/>
    </w:pPr>
    <w:rPr>
      <w:rFonts w:ascii="Times New Roman" w:hAnsi="Times New Roman" w:eastAsia="Times New Roman" w:cs="Times New Roman"/>
      <w:lang w:eastAsia="pt-BR"/>
    </w:rPr>
  </w:style>
  <w:style w:type="paragraph" w:styleId="13">
    <w:name w:val="Body Text 3"/>
    <w:basedOn w:val="1"/>
    <w:qFormat/>
    <w:uiPriority w:val="0"/>
    <w:pPr>
      <w:spacing w:before="0" w:after="120" w:line="240" w:lineRule="exact"/>
    </w:pPr>
    <w:rPr>
      <w:rFonts w:ascii="Times New Roman" w:hAnsi="Times New Roman" w:eastAsia="Times New Roman" w:cs="Times New Roman"/>
      <w:sz w:val="16"/>
      <w:szCs w:val="16"/>
      <w:lang w:eastAsia="pt-BR"/>
    </w:rPr>
  </w:style>
  <w:style w:type="paragraph" w:styleId="14">
    <w:name w:val="header"/>
    <w:basedOn w:val="1"/>
    <w:link w:val="21"/>
    <w:unhideWhenUsed/>
    <w:qFormat/>
    <w:uiPriority w:val="99"/>
    <w:pPr>
      <w:tabs>
        <w:tab w:val="center" w:pos="4252"/>
        <w:tab w:val="right" w:pos="8504"/>
      </w:tabs>
    </w:pPr>
  </w:style>
  <w:style w:type="paragraph" w:styleId="15">
    <w:name w:val="footer"/>
    <w:basedOn w:val="1"/>
    <w:link w:val="22"/>
    <w:unhideWhenUsed/>
    <w:qFormat/>
    <w:uiPriority w:val="99"/>
    <w:pPr>
      <w:tabs>
        <w:tab w:val="center" w:pos="4252"/>
        <w:tab w:val="right" w:pos="8504"/>
      </w:tabs>
    </w:pPr>
  </w:style>
  <w:style w:type="paragraph" w:styleId="16">
    <w:name w:val="caption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17">
    <w:name w:val="Balloon Text"/>
    <w:basedOn w:val="1"/>
    <w:qFormat/>
    <w:uiPriority w:val="0"/>
    <w:pPr>
      <w:spacing w:before="0" w:after="0" w:line="240" w:lineRule="exact"/>
    </w:pPr>
    <w:rPr>
      <w:rFonts w:ascii="Tahoma" w:hAnsi="Tahoma" w:cs="Tahoma"/>
      <w:sz w:val="16"/>
      <w:szCs w:val="16"/>
    </w:rPr>
  </w:style>
  <w:style w:type="paragraph" w:styleId="18">
    <w:name w:val="footnote text"/>
    <w:basedOn w:val="1"/>
    <w:qFormat/>
    <w:uiPriority w:val="0"/>
  </w:style>
  <w:style w:type="character" w:customStyle="1" w:styleId="19">
    <w:name w:val="Título 1 Char"/>
    <w:basedOn w:val="4"/>
    <w:qFormat/>
    <w:locked/>
    <w:uiPriority w:val="9"/>
    <w:rPr>
      <w:rFonts w:cs="Times New Roman" w:asciiTheme="majorHAnsi" w:hAnsiTheme="majorHAnsi" w:eastAsiaTheme="majorEastAsia"/>
      <w:b/>
      <w:bCs/>
      <w:kern w:val="2"/>
      <w:sz w:val="32"/>
      <w:szCs w:val="32"/>
    </w:rPr>
  </w:style>
  <w:style w:type="character" w:customStyle="1" w:styleId="20">
    <w:name w:val="Título 2 Char"/>
    <w:basedOn w:val="4"/>
    <w:qFormat/>
    <w:locked/>
    <w:uiPriority w:val="9"/>
    <w:rPr>
      <w:rFonts w:ascii="Arial" w:hAnsi="Arial" w:eastAsia="Times New Roman" w:cs="Arial"/>
      <w:b/>
      <w:bCs/>
      <w:sz w:val="20"/>
      <w:szCs w:val="20"/>
      <w:lang w:val="pt-PT" w:eastAsia="pt-PT"/>
    </w:rPr>
  </w:style>
  <w:style w:type="character" w:customStyle="1" w:styleId="21">
    <w:name w:val="Cabeçalho Char"/>
    <w:basedOn w:val="4"/>
    <w:link w:val="14"/>
    <w:qFormat/>
    <w:locked/>
    <w:uiPriority w:val="99"/>
    <w:rPr>
      <w:rFonts w:cs="Times New Roman"/>
    </w:rPr>
  </w:style>
  <w:style w:type="character" w:customStyle="1" w:styleId="22">
    <w:name w:val="Rodapé Char"/>
    <w:basedOn w:val="4"/>
    <w:link w:val="15"/>
    <w:qFormat/>
    <w:locked/>
    <w:uiPriority w:val="99"/>
    <w:rPr>
      <w:rFonts w:cs="Times New Roman"/>
    </w:rPr>
  </w:style>
  <w:style w:type="character" w:customStyle="1" w:styleId="23">
    <w:name w:val="Corpo de texto Char"/>
    <w:basedOn w:val="4"/>
    <w:link w:val="11"/>
    <w:qFormat/>
    <w:locked/>
    <w:uiPriority w:val="1"/>
    <w:rPr>
      <w:rFonts w:ascii="Arial" w:hAnsi="Arial" w:eastAsia="Times New Roman" w:cs="Arial"/>
      <w:sz w:val="20"/>
      <w:szCs w:val="20"/>
      <w:lang w:val="pt-PT" w:eastAsia="pt-PT"/>
    </w:rPr>
  </w:style>
  <w:style w:type="character" w:customStyle="1" w:styleId="24">
    <w:name w:val="Texto de balão Char"/>
    <w:qFormat/>
    <w:uiPriority w:val="0"/>
    <w:rPr>
      <w:rFonts w:ascii="Tahoma" w:hAnsi="Tahoma" w:eastAsia="Times New Roman" w:cs="Tahoma"/>
      <w:color w:val="000000"/>
      <w:sz w:val="16"/>
      <w:szCs w:val="16"/>
    </w:rPr>
  </w:style>
  <w:style w:type="character" w:customStyle="1" w:styleId="25">
    <w:name w:val="Texto de nota de rodapé Char"/>
    <w:qFormat/>
    <w:uiPriority w:val="0"/>
    <w:rPr>
      <w:rFonts w:ascii="Times New Roman" w:hAnsi="Times New Roman" w:eastAsia="Times New Roman" w:cs="Times New Roman"/>
      <w:color w:val="000000"/>
      <w:sz w:val="24"/>
      <w:szCs w:val="24"/>
    </w:rPr>
  </w:style>
  <w:style w:type="character" w:customStyle="1" w:styleId="26">
    <w:name w:val="Corpo de texto 3 Char"/>
    <w:qFormat/>
    <w:uiPriority w:val="0"/>
    <w:rPr>
      <w:rFonts w:ascii="Times New Roman" w:hAnsi="Times New Roman" w:eastAsia="Times New Roman" w:cs="Times New Roman"/>
      <w:color w:val="000000"/>
      <w:sz w:val="16"/>
      <w:szCs w:val="16"/>
    </w:rPr>
  </w:style>
  <w:style w:type="character" w:customStyle="1" w:styleId="27">
    <w:name w:val="Título Char"/>
    <w:qFormat/>
    <w:uiPriority w:val="0"/>
    <w:rPr>
      <w:rFonts w:ascii="Cambria" w:hAnsi="Cambria" w:eastAsia="Times New Roman" w:cs="Times New Roman"/>
      <w:b/>
      <w:color w:val="000000"/>
      <w:sz w:val="32"/>
      <w:szCs w:val="24"/>
    </w:rPr>
  </w:style>
  <w:style w:type="character" w:customStyle="1" w:styleId="28">
    <w:name w:val="Parágrafo da Lista Char"/>
    <w:qFormat/>
    <w:uiPriority w:val="0"/>
    <w:rPr>
      <w:sz w:val="22"/>
      <w:szCs w:val="22"/>
      <w:lang w:eastAsia="en-US"/>
    </w:rPr>
  </w:style>
  <w:style w:type="character" w:customStyle="1" w:styleId="29">
    <w:name w:val="Subtítulo Char"/>
    <w:qFormat/>
    <w:uiPriority w:val="0"/>
    <w:rPr>
      <w:rFonts w:ascii="Cambria" w:hAnsi="Cambria" w:eastAsia="Times New Roman" w:cs="Times New Roman"/>
      <w:color w:val="000000"/>
      <w:szCs w:val="24"/>
    </w:rPr>
  </w:style>
  <w:style w:type="character" w:customStyle="1" w:styleId="30">
    <w:name w:val="markedcontent"/>
    <w:qFormat/>
    <w:uiPriority w:val="0"/>
    <w:rPr>
      <w:rFonts w:ascii="Times New Roman" w:hAnsi="Times New Roman" w:eastAsia="Times New Roman" w:cs="Times New Roman"/>
      <w:color w:val="000000"/>
      <w:sz w:val="24"/>
      <w:szCs w:val="24"/>
    </w:rPr>
  </w:style>
  <w:style w:type="character" w:customStyle="1" w:styleId="31">
    <w:name w:val="Caracteres de nota de rodapé"/>
    <w:qFormat/>
    <w:uiPriority w:val="0"/>
    <w:rPr>
      <w:vertAlign w:val="superscript"/>
    </w:rPr>
  </w:style>
  <w:style w:type="character" w:customStyle="1" w:styleId="32">
    <w:name w:val="Caracteres de nota de fim"/>
    <w:qFormat/>
    <w:uiPriority w:val="0"/>
    <w:rPr>
      <w:vertAlign w:val="superscript"/>
    </w:rPr>
  </w:style>
  <w:style w:type="paragraph" w:customStyle="1" w:styleId="33">
    <w:name w:val="Título1"/>
    <w:basedOn w:val="1"/>
    <w:next w:val="11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customStyle="1" w:styleId="34">
    <w:name w:val="Índice"/>
    <w:basedOn w:val="1"/>
    <w:qFormat/>
    <w:uiPriority w:val="0"/>
    <w:pPr>
      <w:suppressLineNumbers/>
    </w:pPr>
    <w:rPr>
      <w:rFonts w:cs="Lucida Sans"/>
      <w:lang w:val="zh-CN" w:eastAsia="zh-CN" w:bidi="zh-CN"/>
    </w:rPr>
  </w:style>
  <w:style w:type="paragraph" w:customStyle="1" w:styleId="35">
    <w:name w:val="Cabeçalho e Rodapé"/>
    <w:basedOn w:val="1"/>
    <w:qFormat/>
    <w:uiPriority w:val="0"/>
  </w:style>
  <w:style w:type="paragraph" w:styleId="36">
    <w:name w:val="List Paragraph"/>
    <w:basedOn w:val="1"/>
    <w:qFormat/>
    <w:uiPriority w:val="1"/>
    <w:pPr>
      <w:widowControl w:val="0"/>
      <w:spacing w:before="0" w:after="0" w:line="240" w:lineRule="auto"/>
      <w:ind w:left="196" w:firstLine="0"/>
      <w:jc w:val="both"/>
    </w:pPr>
    <w:rPr>
      <w:rFonts w:ascii="Arial" w:hAnsi="Arial" w:eastAsia="Times New Roman" w:cs="Arial"/>
      <w:lang w:val="pt-PT" w:eastAsia="pt-PT"/>
    </w:rPr>
  </w:style>
  <w:style w:type="paragraph" w:customStyle="1" w:styleId="37">
    <w:name w:val="Table Paragraph"/>
    <w:basedOn w:val="1"/>
    <w:qFormat/>
    <w:uiPriority w:val="1"/>
    <w:pPr>
      <w:widowControl w:val="0"/>
      <w:spacing w:before="11" w:after="0" w:line="223" w:lineRule="exact"/>
      <w:ind w:left="102" w:right="95" w:firstLine="0"/>
      <w:jc w:val="center"/>
    </w:pPr>
    <w:rPr>
      <w:rFonts w:ascii="Arial" w:hAnsi="Arial" w:eastAsia="Times New Roman" w:cs="Arial"/>
      <w:lang w:val="pt-PT" w:eastAsia="pt-PT"/>
    </w:rPr>
  </w:style>
  <w:style w:type="paragraph" w:customStyle="1" w:styleId="38">
    <w:name w:val="Conteúdo do quadro"/>
    <w:basedOn w:val="1"/>
    <w:qFormat/>
    <w:uiPriority w:val="0"/>
  </w:style>
  <w:style w:type="paragraph" w:customStyle="1" w:styleId="39">
    <w:name w:val="Conteúdo da tabela"/>
    <w:basedOn w:val="1"/>
    <w:qFormat/>
    <w:uiPriority w:val="0"/>
  </w:style>
  <w:style w:type="paragraph" w:customStyle="1" w:styleId="40">
    <w:name w:val="western"/>
    <w:basedOn w:val="1"/>
    <w:qFormat/>
    <w:uiPriority w:val="0"/>
    <w:pPr>
      <w:spacing w:beforeAutospacing="1" w:after="119" w:line="240" w:lineRule="exact"/>
    </w:pPr>
    <w:rPr>
      <w:rFonts w:ascii="Times New Roman" w:hAnsi="Times New Roman" w:eastAsia="Times New Roman" w:cs="Times New Roman"/>
      <w:color w:val="000000"/>
      <w:lang w:eastAsia="pt-BR"/>
    </w:rPr>
  </w:style>
  <w:style w:type="paragraph" w:customStyle="1" w:styleId="41">
    <w:name w:val="Corpo de texto 23"/>
    <w:basedOn w:val="1"/>
    <w:qFormat/>
    <w:uiPriority w:val="0"/>
    <w:pPr>
      <w:spacing w:before="0" w:after="0" w:line="240" w:lineRule="exact"/>
      <w:jc w:val="both"/>
    </w:pPr>
    <w:rPr>
      <w:rFonts w:ascii="Times New Roman" w:hAnsi="Times New Roman" w:eastAsia="SimSun" w:cs="Times New Roman"/>
      <w:sz w:val="20"/>
      <w:szCs w:val="20"/>
      <w:lang w:eastAsia="zh-CN"/>
    </w:rPr>
  </w:style>
  <w:style w:type="paragraph" w:customStyle="1" w:styleId="42">
    <w:name w:val="WW-Corpo de texto 3"/>
    <w:basedOn w:val="1"/>
    <w:qFormat/>
    <w:uiPriority w:val="0"/>
    <w:pPr>
      <w:spacing w:before="0" w:after="0" w:line="240" w:lineRule="exact"/>
      <w:jc w:val="both"/>
    </w:pPr>
    <w:rPr>
      <w:rFonts w:ascii="Times New Roman" w:hAnsi="Times New Roman" w:eastAsia="Times New Roman" w:cs="Times New Roman"/>
      <w:szCs w:val="20"/>
      <w:lang w:eastAsia="pt-BR"/>
    </w:rPr>
  </w:style>
  <w:style w:type="paragraph" w:customStyle="1" w:styleId="43">
    <w:name w:val="Título de tabela"/>
    <w:basedOn w:val="39"/>
    <w:qFormat/>
    <w:uiPriority w:val="0"/>
    <w:pPr>
      <w:suppressLineNumbers/>
      <w:jc w:val="center"/>
    </w:pPr>
    <w:rPr>
      <w:b/>
      <w:bCs/>
    </w:rPr>
  </w:style>
  <w:style w:type="table" w:customStyle="1" w:styleId="44">
    <w:name w:val="Table Normal"/>
    <w:semiHidden/>
    <w:unhideWhenUsed/>
    <w:qFormat/>
    <w:uiPriority w:val="2"/>
    <w:pPr>
      <w:spacing w:after="0" w:line="240" w:lineRule="auto"/>
    </w:pPr>
    <w:rPr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2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2.xml"/><Relationship Id="rId13" Type="http://schemas.openxmlformats.org/officeDocument/2006/relationships/numbering" Target="numbering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4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292D7D0-11D7-4D85-AD0D-18217DF9893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3193</Words>
  <Characters>18067</Characters>
  <Paragraphs>151</Paragraphs>
  <TotalTime>2</TotalTime>
  <ScaleCrop>false</ScaleCrop>
  <LinksUpToDate>false</LinksUpToDate>
  <CharactersWithSpaces>21072</CharactersWithSpaces>
  <Application>WPS Office_12.2.0.19805_F1E327BC-269C-435d-A152-05C5408002CA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2024-01-03T10:46:00Z</dcterms:created>
  <dc:creator>user</dc:creator>
  <cp:lastModifiedBy>senhas wps</cp:lastModifiedBy>
  <cp:lastPrinted>2025-01-27T10:45:08Z</cp:lastPrinted>
  <dcterms:modified xsi:type="dcterms:W3CDTF">2025-01-27T10:45:21Z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1046-12.2.0.19805</vt:lpwstr>
  </property>
  <property fmtid="{D5CDD505-2E9C-101B-9397-08002B2CF9AE}" pid="3" name="ICV">
    <vt:lpwstr>99F27F4511E048A1AA4EF4B4CAE1C372_12</vt:lpwstr>
  </property>
</Properties>
</file>