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Times New Roman" w:hAnsi="Times New Roman"/>
          <w:sz w:val="24"/>
          <w:szCs w:val="24"/>
        </w:rPr>
      </w:pPr>
      <w:r>
        <w:rPr>
          <w:rFonts w:cs="Arial" w:ascii="Times New Roman" w:hAnsi="Times New Roman"/>
          <w:b/>
          <w:sz w:val="24"/>
          <w:szCs w:val="24"/>
        </w:rPr>
        <w:t>TERMO DE REFERÊNCIA</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 DESCRIÇÃO DO OBJETO E DA VIGÊNCIA</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hd w:val="clear" w:color="auto" w:fill="F2F2F2" w:themeFill="background1" w:themeFillShade="f2"/>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 DESCRIÇÃO DO OBJETO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2"/>
          <w:numId w:val="2"/>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Constitui objeto do presente Termo de Referência, estabelecer as condições e diretrizes que disciplinarão o empenho estimativo para </w:t>
      </w:r>
      <w:r>
        <w:rPr>
          <w:rFonts w:cs="Arial" w:ascii="Times New Roman" w:hAnsi="Times New Roman"/>
          <w:b/>
          <w:bCs/>
          <w:sz w:val="24"/>
          <w:szCs w:val="24"/>
        </w:rPr>
        <w:t>custear as despesas decorrentes do benefício de vale transporte, assegurado aos servidores pelo Decreto Municipal nº 041/2003, retificado pelo Decreto Municipal nº 028/2005 e Lei Municipal nº 564/2009, no exercício de 2024</w:t>
      </w:r>
      <w:r>
        <w:rPr>
          <w:rFonts w:cs="Arial" w:ascii="Times New Roman" w:hAnsi="Times New Roman"/>
          <w:bCs/>
          <w:sz w:val="24"/>
          <w:szCs w:val="24"/>
        </w:rPr>
        <w:t xml:space="preserve">, com fulcro no art. 60, da Lei Federal nº </w:t>
      </w:r>
      <w:r>
        <w:rPr>
          <w:rFonts w:cs="Arial" w:ascii="Times New Roman" w:hAnsi="Times New Roman"/>
          <w:sz w:val="24"/>
          <w:szCs w:val="24"/>
        </w:rPr>
        <w:t xml:space="preserve">4.320/1964 e art. 74, </w:t>
      </w:r>
      <w:r>
        <w:rPr>
          <w:rFonts w:cs="Arial" w:ascii="Times New Roman" w:hAnsi="Times New Roman"/>
          <w:i/>
          <w:sz w:val="24"/>
          <w:szCs w:val="24"/>
        </w:rPr>
        <w:t>caput</w:t>
      </w:r>
      <w:r>
        <w:rPr>
          <w:rFonts w:cs="Arial" w:ascii="Times New Roman" w:hAnsi="Times New Roman"/>
          <w:sz w:val="24"/>
          <w:szCs w:val="24"/>
        </w:rPr>
        <w:t>, da Lei Federal nº 14.133/2021.</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hd w:val="clear" w:color="auto" w:fill="F2F2F2" w:themeFill="background1" w:themeFillShade="f2"/>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DOS SERVIDORES BENEFICIÁRIOS</w:t>
      </w:r>
    </w:p>
    <w:p>
      <w:pPr>
        <w:pStyle w:val="ListParagraph"/>
        <w:spacing w:lineRule="auto" w:line="24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2"/>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A demanda em questão objetiva a oferta de vale transporte aos servidores, que assim o requereram nos termos d</w:t>
      </w:r>
      <w:r>
        <w:rPr>
          <w:rFonts w:cs="Arial" w:ascii="Times New Roman" w:hAnsi="Times New Roman"/>
          <w:sz w:val="24"/>
          <w:szCs w:val="24"/>
          <w:shd w:fill="auto" w:val="clear"/>
        </w:rPr>
        <w:t>a Lei Municipal nº 564/2009, quais sejam, cuja relação poderá ser alterada a qualquer tempo com a inclusão de novos servidores:</w:t>
      </w:r>
    </w:p>
    <w:p>
      <w:pPr>
        <w:pStyle w:val="ListParagraph"/>
        <w:numPr>
          <w:ilvl w:val="0"/>
          <w:numId w:val="0"/>
        </w:numPr>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r>
    </w:p>
    <w:tbl>
      <w:tblPr>
        <w:tblStyle w:val="Tabelacomgrade"/>
        <w:tblW w:w="4850" w:type="pct"/>
        <w:jc w:val="left"/>
        <w:tblInd w:w="221" w:type="dxa"/>
        <w:tblLayout w:type="fixed"/>
        <w:tblCellMar>
          <w:top w:w="0" w:type="dxa"/>
          <w:left w:w="108" w:type="dxa"/>
          <w:bottom w:w="0" w:type="dxa"/>
          <w:right w:w="108" w:type="dxa"/>
        </w:tblCellMar>
        <w:tblLook w:firstRow="1" w:noVBand="1" w:lastRow="0" w:firstColumn="1" w:lastColumn="0" w:noHBand="0" w:val="04a0"/>
      </w:tblPr>
      <w:tblGrid>
        <w:gridCol w:w="1909"/>
        <w:gridCol w:w="1757"/>
        <w:gridCol w:w="2086"/>
        <w:gridCol w:w="1595"/>
        <w:gridCol w:w="1451"/>
      </w:tblGrid>
      <w:tr>
        <w:trPr>
          <w:trHeight w:val="333" w:hRule="atLeast"/>
        </w:trPr>
        <w:tc>
          <w:tcPr>
            <w:tcW w:w="8798" w:type="dxa"/>
            <w:gridSpan w:val="5"/>
            <w:tcBorders/>
            <w:shd w:color="auto" w:fill="BFBFBF" w:themeFill="background1" w:themeFillShade="bf" w:val="clear"/>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eastAsiaTheme="minorHAnsi"/>
                <w:b/>
                <w:kern w:val="0"/>
                <w:sz w:val="24"/>
                <w:szCs w:val="24"/>
                <w:shd w:fill="auto" w:val="clear"/>
                <w:lang w:val="pt-BR" w:bidi="ar-SA"/>
              </w:rPr>
              <w:t>Relação de Servidores usufrutuários do benefício do Vale Transporte</w:t>
            </w:r>
          </w:p>
        </w:tc>
      </w:tr>
      <w:tr>
        <w:trPr>
          <w:trHeight w:val="20" w:hRule="atLeast"/>
        </w:trPr>
        <w:tc>
          <w:tcPr>
            <w:tcW w:w="1909" w:type="dxa"/>
            <w:tcBorders/>
            <w:shd w:color="auto" w:fill="D9D9D9" w:themeFill="background1" w:themeFillShade="d9" w:val="clear"/>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eastAsiaTheme="minorHAnsi"/>
                <w:b/>
                <w:kern w:val="0"/>
                <w:sz w:val="24"/>
                <w:szCs w:val="24"/>
                <w:shd w:fill="auto" w:val="clear"/>
                <w:lang w:val="pt-BR" w:bidi="ar-SA"/>
              </w:rPr>
              <w:t>Servidor</w:t>
            </w:r>
          </w:p>
        </w:tc>
        <w:tc>
          <w:tcPr>
            <w:tcW w:w="1757" w:type="dxa"/>
            <w:tcBorders/>
            <w:shd w:color="auto" w:fill="D9D9D9" w:themeFill="background1" w:themeFillShade="d9" w:val="clear"/>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eastAsiaTheme="minorHAnsi"/>
                <w:b/>
                <w:kern w:val="0"/>
                <w:sz w:val="24"/>
                <w:szCs w:val="24"/>
                <w:shd w:fill="auto" w:val="clear"/>
                <w:lang w:val="pt-BR" w:bidi="ar-SA"/>
              </w:rPr>
              <w:t>Transporte utilizado</w:t>
            </w:r>
          </w:p>
        </w:tc>
        <w:tc>
          <w:tcPr>
            <w:tcW w:w="2086" w:type="dxa"/>
            <w:tcBorders/>
            <w:shd w:color="auto" w:fill="D9D9D9" w:themeFill="background1" w:themeFillShade="d9" w:val="clear"/>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eastAsiaTheme="minorHAnsi"/>
                <w:b/>
                <w:kern w:val="0"/>
                <w:sz w:val="24"/>
                <w:szCs w:val="24"/>
                <w:shd w:fill="auto" w:val="clear"/>
                <w:lang w:val="pt-BR" w:bidi="ar-SA"/>
              </w:rPr>
              <w:t>Trajeto</w:t>
            </w:r>
          </w:p>
        </w:tc>
        <w:tc>
          <w:tcPr>
            <w:tcW w:w="1595" w:type="dxa"/>
            <w:tcBorders/>
            <w:shd w:color="auto" w:fill="D9D9D9" w:themeFill="background1" w:themeFillShade="d9" w:val="clear"/>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eastAsiaTheme="minorHAnsi"/>
                <w:b/>
                <w:kern w:val="0"/>
                <w:sz w:val="24"/>
                <w:szCs w:val="24"/>
                <w:shd w:fill="auto" w:val="clear"/>
                <w:lang w:val="pt-BR" w:bidi="ar-SA"/>
              </w:rPr>
              <w:t>Passagens diárias</w:t>
            </w:r>
          </w:p>
        </w:tc>
        <w:tc>
          <w:tcPr>
            <w:tcW w:w="1451" w:type="dxa"/>
            <w:tcBorders/>
            <w:shd w:color="auto" w:fill="D9D9D9" w:themeFill="background1" w:themeFillShade="d9" w:val="clear"/>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eastAsiaTheme="minorHAnsi"/>
                <w:b/>
                <w:kern w:val="0"/>
                <w:sz w:val="24"/>
                <w:szCs w:val="24"/>
                <w:shd w:fill="auto" w:val="clear"/>
                <w:lang w:val="pt-BR" w:bidi="ar-SA"/>
              </w:rPr>
              <w:t>Dias da semana</w:t>
            </w:r>
          </w:p>
        </w:tc>
      </w:tr>
      <w:tr>
        <w:trPr>
          <w:trHeight w:val="20" w:hRule="atLeast"/>
        </w:trPr>
        <w:tc>
          <w:tcPr>
            <w:tcW w:w="1909" w:type="dxa"/>
            <w:tcBorders/>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eastAsiaTheme="minorHAnsi"/>
                <w:kern w:val="0"/>
                <w:sz w:val="24"/>
                <w:szCs w:val="24"/>
                <w:shd w:fill="auto" w:val="clear"/>
                <w:lang w:val="pt-BR" w:bidi="ar-SA"/>
              </w:rPr>
              <w:t>Jéssica Vulpim Barros</w:t>
            </w:r>
          </w:p>
        </w:tc>
        <w:tc>
          <w:tcPr>
            <w:tcW w:w="1757" w:type="dxa"/>
            <w:tcBorders/>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eastAsiaTheme="minorHAnsi"/>
                <w:kern w:val="0"/>
                <w:sz w:val="24"/>
                <w:szCs w:val="24"/>
                <w:shd w:fill="auto" w:val="clear"/>
                <w:lang w:val="pt-BR" w:bidi="ar-SA"/>
              </w:rPr>
              <w:t>Ônibus Intermunicipal</w:t>
            </w:r>
          </w:p>
        </w:tc>
        <w:tc>
          <w:tcPr>
            <w:tcW w:w="2086" w:type="dxa"/>
            <w:tcBorders/>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eastAsiaTheme="minorHAnsi"/>
                <w:kern w:val="0"/>
                <w:sz w:val="24"/>
                <w:szCs w:val="24"/>
                <w:shd w:fill="auto" w:val="clear"/>
                <w:lang w:val="pt-BR" w:bidi="ar-SA"/>
              </w:rPr>
              <w:t>Colatina x São Roque do Canaã</w:t>
            </w:r>
          </w:p>
        </w:tc>
        <w:tc>
          <w:tcPr>
            <w:tcW w:w="1595" w:type="dxa"/>
            <w:tcBorders/>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eastAsiaTheme="minorHAnsi"/>
                <w:kern w:val="0"/>
                <w:sz w:val="24"/>
                <w:szCs w:val="24"/>
                <w:shd w:fill="auto" w:val="clear"/>
                <w:lang w:val="pt-BR" w:bidi="ar-SA"/>
              </w:rPr>
              <w:t>02 passes</w:t>
            </w:r>
          </w:p>
        </w:tc>
        <w:tc>
          <w:tcPr>
            <w:tcW w:w="1451" w:type="dxa"/>
            <w:tcBorders/>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eastAsiaTheme="minorHAnsi"/>
                <w:kern w:val="0"/>
                <w:sz w:val="24"/>
                <w:szCs w:val="24"/>
                <w:shd w:fill="auto" w:val="clear"/>
                <w:lang w:val="pt-BR" w:bidi="ar-SA"/>
              </w:rPr>
              <w:t>Segunda à Sexta-feira</w:t>
            </w:r>
          </w:p>
        </w:tc>
      </w:tr>
    </w:tbl>
    <w:p>
      <w:pPr>
        <w:pStyle w:val="ListParagraph"/>
        <w:spacing w:lineRule="auto" w:line="24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hd w:val="clear" w:color="auto" w:fill="F2F2F2" w:themeFill="background1" w:themeFillShade="f2"/>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DAS LINHAS DE TRANSPORTE</w:t>
      </w:r>
    </w:p>
    <w:p>
      <w:pPr>
        <w:pStyle w:val="ListParagraph"/>
        <w:spacing w:lineRule="auto" w:line="24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2"/>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 </w:t>
      </w:r>
      <w:r>
        <w:rPr>
          <w:rFonts w:cs="Arial" w:ascii="Times New Roman" w:hAnsi="Times New Roman"/>
          <w:sz w:val="24"/>
          <w:szCs w:val="24"/>
        </w:rPr>
        <w:t>Conforme estabelece o art. 171 da Lei Municipal nº 564/2009, o benefício do vale transporte é concedido aos servidores com o objetivo de custear parcialmente as despesas com deslocamento, relacionadas ao trabalho, através de “</w:t>
      </w:r>
      <w:r>
        <w:rPr>
          <w:rFonts w:cs="Arial" w:ascii="Times New Roman" w:hAnsi="Times New Roman"/>
          <w:i/>
          <w:sz w:val="24"/>
          <w:szCs w:val="24"/>
        </w:rPr>
        <w:t>sistema de transporte coletivo (...) intermunicipal (...), geridos (...) mediante concessão ou permissão de linhas regulares e com tarifas fixadas pela autoridade competente</w:t>
      </w:r>
      <w:r>
        <w:rPr>
          <w:rFonts w:cs="Arial" w:ascii="Times New Roman" w:hAnsi="Times New Roman"/>
          <w:sz w:val="24"/>
          <w:szCs w:val="24"/>
        </w:rPr>
        <w:t>”. Nessa perspectiva, são linhas regulares as desempenhadas pelas seguintes empresas:</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b/>
          <w:sz w:val="24"/>
          <w:szCs w:val="24"/>
        </w:rPr>
        <w:t>a) Viação Lírio dos Vales Ltda.,</w:t>
      </w:r>
      <w:r>
        <w:rPr>
          <w:rFonts w:cs="Arial" w:ascii="Times New Roman" w:hAnsi="Times New Roman"/>
          <w:sz w:val="24"/>
          <w:szCs w:val="24"/>
        </w:rPr>
        <w:t xml:space="preserve"> CNPJ nº 02.615.012/0001-56.</w:t>
      </w:r>
    </w:p>
    <w:p>
      <w:pPr>
        <w:pStyle w:val="ListParagraph"/>
        <w:spacing w:lineRule="auto" w:line="24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hd w:val="clear" w:color="auto" w:fill="F2F2F2" w:themeFill="background1" w:themeFillShade="f2"/>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 VIGÊNCIA</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2"/>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O </w:t>
      </w:r>
      <w:r>
        <w:rPr>
          <w:rFonts w:cs="Arial" w:ascii="Times New Roman" w:hAnsi="Times New Roman"/>
          <w:b/>
          <w:sz w:val="24"/>
          <w:szCs w:val="24"/>
        </w:rPr>
        <w:t>empenho estimativo</w:t>
      </w:r>
      <w:r>
        <w:rPr>
          <w:rFonts w:cs="Arial" w:ascii="Times New Roman" w:hAnsi="Times New Roman"/>
          <w:sz w:val="24"/>
          <w:szCs w:val="24"/>
        </w:rPr>
        <w:t xml:space="preserve"> deverá ocorrer, preferencialmente, no mês de janeiro de 202</w:t>
      </w:r>
      <w:r>
        <w:rPr>
          <w:rFonts w:cs="Arial" w:ascii="Times New Roman" w:hAnsi="Times New Roman"/>
          <w:sz w:val="24"/>
          <w:szCs w:val="24"/>
        </w:rPr>
        <w:t>5</w:t>
      </w:r>
      <w:r>
        <w:rPr>
          <w:rFonts w:cs="Arial" w:ascii="Times New Roman" w:hAnsi="Times New Roman"/>
          <w:sz w:val="24"/>
          <w:szCs w:val="24"/>
        </w:rPr>
        <w:t xml:space="preserve">, com vigência programada para custeio das despesas relativas a oferta do benefício de vale transporte no </w:t>
      </w:r>
      <w:r>
        <w:rPr>
          <w:rFonts w:cs="Arial" w:ascii="Times New Roman" w:hAnsi="Times New Roman"/>
          <w:b/>
          <w:sz w:val="24"/>
          <w:szCs w:val="24"/>
        </w:rPr>
        <w:t xml:space="preserve">período de </w:t>
      </w:r>
      <w:r>
        <w:rPr>
          <w:rFonts w:cs="Arial" w:ascii="Times New Roman" w:hAnsi="Times New Roman"/>
          <w:b/>
          <w:sz w:val="24"/>
          <w:szCs w:val="24"/>
        </w:rPr>
        <w:t>01/11/2025 a 31/01/2025.</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DO OBJETIVO E DA JUSTIFICATIVA</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pPr>
        <w:pStyle w:val="ListParagraph"/>
        <w:numPr>
          <w:ilvl w:val="0"/>
          <w:numId w:val="0"/>
        </w:numPr>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pPr>
        <w:pStyle w:val="ListParagraph"/>
        <w:numPr>
          <w:ilvl w:val="0"/>
          <w:numId w:val="0"/>
        </w:numPr>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cs="Arial" w:ascii="Times New Roman" w:hAnsi="Times New Roman"/>
          <w:b/>
          <w:sz w:val="24"/>
          <w:szCs w:val="24"/>
        </w:rPr>
        <w:t>vedada a realização de despesas sem prévio empenho.</w:t>
      </w:r>
      <w:r>
        <w:rPr>
          <w:rFonts w:cs="Arial" w:ascii="Times New Roman" w:hAnsi="Times New Roman"/>
          <w:sz w:val="24"/>
          <w:szCs w:val="24"/>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pPr>
        <w:pStyle w:val="ListParagraph"/>
        <w:numPr>
          <w:ilvl w:val="0"/>
          <w:numId w:val="0"/>
        </w:numPr>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Nessa perspectiva, o art. 60, §2º, da Lei Federal nº 4.320/1964, disciplina que, nas hipóteses de o montante da despesa não for possível ser determinado, será feito o </w:t>
      </w:r>
      <w:r>
        <w:rPr>
          <w:rFonts w:cs="Arial" w:ascii="Times New Roman" w:hAnsi="Times New Roman"/>
          <w:b/>
          <w:sz w:val="24"/>
          <w:szCs w:val="24"/>
        </w:rPr>
        <w:t>empenho por estimativa.</w:t>
      </w:r>
      <w:r>
        <w:rPr>
          <w:rFonts w:cs="Arial" w:ascii="Times New Roman" w:hAnsi="Times New Roman"/>
          <w:sz w:val="24"/>
          <w:szCs w:val="24"/>
        </w:rPr>
        <w:t xml:space="preserve"> Tem-se, portanto, como aquele em que </w:t>
      </w:r>
      <w:r>
        <w:rPr>
          <w:rFonts w:cs="Arial" w:ascii="Times New Roman" w:hAnsi="Times New Roman"/>
          <w:b/>
          <w:sz w:val="24"/>
          <w:szCs w:val="24"/>
        </w:rPr>
        <w:t>não se pode determinar previamente o montante exato a ser pago</w:t>
      </w:r>
      <w:r>
        <w:rPr>
          <w:rFonts w:cs="Arial" w:ascii="Times New Roman" w:hAnsi="Times New Roman"/>
          <w:sz w:val="24"/>
          <w:szCs w:val="24"/>
        </w:rPr>
        <w:t>, como ocorre, em particular, com as contas de água, luz, gás e telefone.</w:t>
      </w:r>
    </w:p>
    <w:p>
      <w:pPr>
        <w:pStyle w:val="ListParagraph"/>
        <w:numPr>
          <w:ilvl w:val="0"/>
          <w:numId w:val="0"/>
        </w:numPr>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Ademais, no âmbito da Lei Municipal nº 564/2009, ao que se refere a manutenção dos órgãos de saúde, é possível destacar a importância d</w:t>
      </w:r>
      <w:r>
        <w:rPr>
          <w:rFonts w:eastAsia="Calibri" w:cs="Arial" w:ascii="Times New Roman" w:hAnsi="Times New Roman" w:eastAsiaTheme="minorHAnsi"/>
          <w:sz w:val="24"/>
          <w:szCs w:val="24"/>
          <w:lang w:eastAsia="en-US"/>
        </w:rPr>
        <w:t xml:space="preserve">o benefício do vale transporte, </w:t>
      </w:r>
      <w:r>
        <w:rPr>
          <w:rFonts w:cs="Arial" w:ascii="Times New Roman" w:hAnsi="Times New Roman"/>
          <w:sz w:val="24"/>
          <w:szCs w:val="24"/>
        </w:rPr>
        <w:t>fornecido</w:t>
      </w:r>
      <w:r>
        <w:rPr>
          <w:rFonts w:eastAsia="Calibri" w:cs="Arial" w:ascii="Times New Roman" w:hAnsi="Times New Roman" w:eastAsiaTheme="minorHAnsi"/>
          <w:sz w:val="24"/>
          <w:szCs w:val="24"/>
          <w:lang w:eastAsia="en-US"/>
        </w:rPr>
        <w:t xml:space="preserve"> aos servidores municipais. Vejamos, a respectiva norma assevera que o vale transporte constitui benefício que o Município antecipará aos servidores, destinado ao custeio parcial das despesas de deslocamento da residência ao trabalho, </w:t>
      </w:r>
      <w:r>
        <w:rPr>
          <w:rFonts w:eastAsia="Calibri" w:cs="Arial" w:ascii="Times New Roman" w:hAnsi="Times New Roman" w:eastAsiaTheme="minorHAnsi"/>
          <w:b/>
          <w:sz w:val="24"/>
          <w:szCs w:val="24"/>
          <w:lang w:eastAsia="en-US"/>
        </w:rPr>
        <w:t>através do sistema de transporte público, geridos diretamente ou mediante concessão ou permissão de linhas regulares</w:t>
      </w:r>
      <w:r>
        <w:rPr>
          <w:rFonts w:eastAsia="Calibri" w:cs="Arial" w:ascii="Times New Roman" w:hAnsi="Times New Roman" w:eastAsiaTheme="minorHAnsi"/>
          <w:sz w:val="24"/>
          <w:szCs w:val="24"/>
          <w:lang w:eastAsia="en-US"/>
        </w:rPr>
        <w:t xml:space="preserve"> (art. 171, Lei Municipal nº 564/2009).</w:t>
      </w:r>
    </w:p>
    <w:p>
      <w:pPr>
        <w:pStyle w:val="ListParagraph"/>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eastAsia="Calibri" w:cs="Arial" w:ascii="Times New Roman" w:hAnsi="Times New Roman" w:eastAsiaTheme="minorHAnsi"/>
          <w:sz w:val="24"/>
          <w:szCs w:val="24"/>
          <w:lang w:eastAsia="en-US"/>
        </w:rPr>
        <w:t xml:space="preserve">A concessão desse benefício se reveste de indiscutível importância no contexto jurídico-administrativo de mitigar as dificuldades financeiras e logísticas enfrentadas pelos servidores para alcançar seus postos de trabalho Desse modo, o art. 174 do Estatuto dos Servidores, estabelece que </w:t>
      </w:r>
      <w:r>
        <w:rPr>
          <w:rFonts w:eastAsia="Calibri" w:cs="Arial" w:ascii="Times New Roman" w:hAnsi="Times New Roman" w:eastAsiaTheme="minorHAnsi"/>
          <w:b/>
          <w:sz w:val="24"/>
          <w:szCs w:val="24"/>
          <w:lang w:eastAsia="en-US"/>
        </w:rPr>
        <w:t>cada Poder ou Entidade de origem do servidor será responsável por subsidiar o que exceder a cota de responsabilidade deste</w:t>
      </w:r>
      <w:r>
        <w:rPr>
          <w:rFonts w:eastAsia="Calibri" w:cs="Arial" w:ascii="Times New Roman" w:hAnsi="Times New Roman" w:eastAsiaTheme="minorHAnsi"/>
          <w:sz w:val="24"/>
          <w:szCs w:val="24"/>
          <w:lang w:eastAsia="en-US"/>
        </w:rPr>
        <w:t xml:space="preserve"> (art. 174, II, Lei Municipal nº 564/2009).</w:t>
      </w:r>
    </w:p>
    <w:p>
      <w:pPr>
        <w:pStyle w:val="ListParagraph"/>
        <w:numPr>
          <w:ilvl w:val="0"/>
          <w:numId w:val="0"/>
        </w:numPr>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Assim, por consequência, dada à natureza do objeto em questão, </w:t>
      </w:r>
      <w:r>
        <w:rPr>
          <w:rFonts w:cs="Arial" w:ascii="Times New Roman" w:hAnsi="Times New Roman"/>
          <w:b/>
          <w:sz w:val="24"/>
          <w:szCs w:val="24"/>
        </w:rPr>
        <w:t>dispensa-se a elaboração do Estudo Técnico Preliminar (ETP)</w:t>
      </w:r>
      <w:r>
        <w:rPr>
          <w:rFonts w:cs="Arial" w:ascii="Times New Roman" w:hAnsi="Times New Roman"/>
          <w:sz w:val="24"/>
          <w:szCs w:val="24"/>
        </w:rPr>
        <w:t xml:space="preserve">, vez que a </w:t>
      </w:r>
      <w:r>
        <w:rPr>
          <w:rFonts w:cs="Arial" w:ascii="Times New Roman" w:hAnsi="Times New Roman"/>
          <w:b/>
          <w:sz w:val="24"/>
          <w:szCs w:val="24"/>
        </w:rPr>
        <w:t>solução adequada</w:t>
      </w:r>
      <w:r>
        <w:rPr>
          <w:rFonts w:cs="Arial" w:ascii="Times New Roman" w:hAnsi="Times New Roman"/>
          <w:sz w:val="24"/>
          <w:szCs w:val="24"/>
        </w:rPr>
        <w:t xml:space="preserve"> para o custeio da oferta do benefício de vale transporte aos servidores da Secretaria Municipal de Administração é dada pela norma primária e secundária municipal, qual seja, por consequência, </w:t>
      </w:r>
      <w:r>
        <w:rPr>
          <w:rFonts w:cs="Arial" w:ascii="Times New Roman" w:hAnsi="Times New Roman"/>
          <w:b/>
          <w:sz w:val="24"/>
          <w:szCs w:val="24"/>
        </w:rPr>
        <w:t>a realização de</w:t>
      </w:r>
      <w:r>
        <w:rPr>
          <w:rFonts w:cs="Arial" w:ascii="Times New Roman" w:hAnsi="Times New Roman"/>
          <w:sz w:val="24"/>
          <w:szCs w:val="24"/>
        </w:rPr>
        <w:t xml:space="preserve"> </w:t>
      </w:r>
      <w:r>
        <w:rPr>
          <w:rFonts w:cs="Arial" w:ascii="Times New Roman" w:hAnsi="Times New Roman"/>
          <w:b/>
          <w:sz w:val="24"/>
          <w:szCs w:val="24"/>
        </w:rPr>
        <w:t>empenho</w:t>
      </w:r>
      <w:r>
        <w:rPr>
          <w:rFonts w:cs="Arial" w:ascii="Times New Roman" w:hAnsi="Times New Roman"/>
          <w:bCs/>
          <w:sz w:val="24"/>
          <w:szCs w:val="24"/>
        </w:rPr>
        <w:t xml:space="preserve">, com fulcro no art. 60, da Lei Federal nº </w:t>
      </w:r>
      <w:r>
        <w:rPr>
          <w:rFonts w:cs="Arial" w:ascii="Times New Roman" w:hAnsi="Times New Roman"/>
          <w:sz w:val="24"/>
          <w:szCs w:val="24"/>
        </w:rPr>
        <w:t xml:space="preserve">4.320/1964 e art. 74, </w:t>
      </w:r>
      <w:r>
        <w:rPr>
          <w:rFonts w:cs="Arial" w:ascii="Times New Roman" w:hAnsi="Times New Roman"/>
          <w:i/>
          <w:sz w:val="24"/>
          <w:szCs w:val="24"/>
        </w:rPr>
        <w:t>caput</w:t>
      </w:r>
      <w:r>
        <w:rPr>
          <w:rFonts w:cs="Arial" w:ascii="Times New Roman" w:hAnsi="Times New Roman"/>
          <w:sz w:val="24"/>
          <w:szCs w:val="24"/>
        </w:rPr>
        <w:t>, da Lei Federal nº 14.133/2021.</w:t>
      </w:r>
    </w:p>
    <w:p>
      <w:pPr>
        <w:pStyle w:val="ListParagraph"/>
        <w:numPr>
          <w:ilvl w:val="0"/>
          <w:numId w:val="0"/>
        </w:numPr>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A contratação já está contemplada no </w:t>
      </w:r>
      <w:r>
        <w:rPr>
          <w:rFonts w:cs="Arial" w:ascii="Times New Roman" w:hAnsi="Times New Roman"/>
          <w:b/>
          <w:sz w:val="24"/>
          <w:szCs w:val="24"/>
        </w:rPr>
        <w:t>Plano Anual de Contratações (PAC) 202</w:t>
      </w:r>
      <w:r>
        <w:rPr>
          <w:rFonts w:cs="Arial" w:ascii="Times New Roman" w:hAnsi="Times New Roman"/>
          <w:b/>
          <w:sz w:val="24"/>
          <w:szCs w:val="24"/>
        </w:rPr>
        <w:t>5</w:t>
      </w:r>
      <w:r>
        <w:rPr>
          <w:rFonts w:cs="Arial" w:ascii="Times New Roman" w:hAnsi="Times New Roman"/>
          <w:b/>
          <w:sz w:val="24"/>
          <w:szCs w:val="24"/>
        </w:rPr>
        <w:t xml:space="preserve">, conforme Decreto Municipal nº </w:t>
      </w:r>
      <w:r>
        <w:rPr>
          <w:rFonts w:cs="Arial" w:ascii="Times New Roman" w:hAnsi="Times New Roman"/>
          <w:b/>
          <w:sz w:val="24"/>
          <w:szCs w:val="24"/>
        </w:rPr>
        <w:t>7.324/2024</w:t>
      </w:r>
      <w:r>
        <w:rPr>
          <w:rFonts w:cs="Arial" w:ascii="Times New Roman" w:hAnsi="Times New Roman"/>
          <w:b/>
          <w:sz w:val="24"/>
          <w:szCs w:val="24"/>
        </w:rPr>
        <w:t>, como despesas ordinárias.</w:t>
      </w:r>
    </w:p>
    <w:p>
      <w:pPr>
        <w:pStyle w:val="ListParagraph"/>
        <w:numPr>
          <w:ilvl w:val="0"/>
          <w:numId w:val="0"/>
        </w:numPr>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Justificando, o presente Termo de Referência visa </w:t>
      </w:r>
      <w:r>
        <w:rPr>
          <w:rFonts w:cs="Arial" w:ascii="Times New Roman" w:hAnsi="Times New Roman"/>
          <w:b/>
          <w:sz w:val="24"/>
          <w:szCs w:val="24"/>
        </w:rPr>
        <w:t xml:space="preserve">esclarecer e direcionar os procedimentos essenciais para a Inexigibilidade de Licitação e realização de Empenho por estimativa, </w:t>
      </w:r>
      <w:r>
        <w:rPr>
          <w:rFonts w:cs="Arial" w:ascii="Times New Roman" w:hAnsi="Times New Roman"/>
          <w:sz w:val="24"/>
          <w:szCs w:val="24"/>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 FORMALIZAÇÃO DA ATA DE REGISTRO DE PREÇOS, DOS USUÁRIOS DO REGISTRO DE PREÇOS E DO FORNECIMENTO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r>
        <w:rPr>
          <w:rFonts w:cs="Arial" w:ascii="Times New Roman" w:hAnsi="Times New Roman"/>
          <w:sz w:val="24"/>
          <w:szCs w:val="24"/>
        </w:rPr>
        <w:t>.</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DO OBJETO LICITADO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hd w:val="clear" w:color="auto" w:fill="F2F2F2" w:themeFill="background1" w:themeFillShade="f2"/>
        <w:spacing w:lineRule="auto" w:line="240" w:before="0" w:after="0"/>
        <w:ind w:left="0" w:hanging="0"/>
        <w:contextualSpacing/>
        <w:jc w:val="both"/>
        <w:rPr>
          <w:rFonts w:ascii="Times New Roman" w:hAnsi="Times New Roman"/>
          <w:sz w:val="24"/>
          <w:szCs w:val="24"/>
        </w:rPr>
      </w:pPr>
      <w:r>
        <w:rPr>
          <w:rFonts w:cs="Arial" w:ascii="Times New Roman" w:hAnsi="Times New Roman"/>
          <w:b/>
          <w:sz w:val="24"/>
          <w:szCs w:val="24"/>
        </w:rPr>
        <w:t>DA SOLUÇÃO E DO CICLO DE VIDA DO OBJETO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2"/>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b/>
          <w:sz w:val="24"/>
          <w:szCs w:val="24"/>
        </w:rPr>
        <w:t>A descrição da solução como um todo se encontra pormenorizada na Lei Federal nº 14.133/2021, na Lei Federal nº 4.320/1964, nos Decretos Municipais nº 041/2003 e nº 028/2005, Lei Municipal nº 564/2009 e demais normativas vigentes, inclusive municipais, bem como no Documento de Formalização de Demanda</w:t>
      </w:r>
      <w:r>
        <w:rPr>
          <w:rFonts w:cs="Arial" w:ascii="Times New Roman" w:hAnsi="Times New Roman"/>
          <w:sz w:val="24"/>
          <w:szCs w:val="24"/>
        </w:rPr>
        <w:t>, qual seja a inexigibilidade de licitação e a realização de empenho por estimativa para custear as despesas decorrentes da oferta do benefício de vale transporte.</w:t>
      </w:r>
    </w:p>
    <w:p>
      <w:pPr>
        <w:pStyle w:val="ListParagraph"/>
        <w:spacing w:lineRule="auto" w:line="24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hd w:val="clear" w:color="auto" w:fill="F2F2F2" w:themeFill="background1" w:themeFillShade="f2"/>
        <w:spacing w:lineRule="auto" w:line="240" w:before="0" w:after="0"/>
        <w:ind w:left="0" w:hanging="0"/>
        <w:contextualSpacing/>
        <w:jc w:val="both"/>
        <w:rPr>
          <w:rFonts w:ascii="Times New Roman" w:hAnsi="Times New Roman"/>
          <w:sz w:val="24"/>
          <w:szCs w:val="24"/>
        </w:rPr>
      </w:pPr>
      <w:r>
        <w:rPr>
          <w:rFonts w:cs="Arial" w:ascii="Times New Roman" w:hAnsi="Times New Roman"/>
          <w:b/>
          <w:sz w:val="24"/>
          <w:szCs w:val="24"/>
        </w:rPr>
        <w:t>DOS REQUISITOS DA CONTRATAÇÃO</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A contratação será realizada em razão da necessidade de custeio das despesas decorrentes da oferta do benefício de vale transporte aos servidores da Secretaria Municipal de A</w:t>
      </w:r>
      <w:r>
        <w:rPr>
          <w:rFonts w:cs="Arial" w:ascii="Times New Roman" w:hAnsi="Times New Roman"/>
          <w:sz w:val="24"/>
          <w:szCs w:val="24"/>
        </w:rPr>
        <w:t>gricultura e Desenvolvimento Econômico.</w:t>
      </w:r>
    </w:p>
    <w:p>
      <w:pPr>
        <w:pStyle w:val="ListParagraph"/>
        <w:numPr>
          <w:ilvl w:val="2"/>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A demanda em comento leva em conta a necessidade da Secretaria para o exercício financeiro de 2024, já estando contemplado no </w:t>
      </w:r>
      <w:r>
        <w:rPr>
          <w:rFonts w:cs="Arial" w:ascii="Times New Roman" w:hAnsi="Times New Roman"/>
          <w:b/>
          <w:sz w:val="24"/>
          <w:szCs w:val="24"/>
        </w:rPr>
        <w:t>Plano Anual de Contratações (PAC) 202</w:t>
      </w:r>
      <w:r>
        <w:rPr>
          <w:rFonts w:cs="Arial" w:ascii="Times New Roman" w:hAnsi="Times New Roman"/>
          <w:b/>
          <w:sz w:val="24"/>
          <w:szCs w:val="24"/>
        </w:rPr>
        <w:t>5</w:t>
      </w:r>
      <w:r>
        <w:rPr>
          <w:rFonts w:cs="Arial" w:ascii="Times New Roman" w:hAnsi="Times New Roman"/>
          <w:b/>
          <w:sz w:val="24"/>
          <w:szCs w:val="24"/>
        </w:rPr>
        <w:t xml:space="preserve">, conforme Decreto Municipal nº </w:t>
      </w:r>
      <w:r>
        <w:rPr>
          <w:rFonts w:cs="Arial" w:ascii="Times New Roman" w:hAnsi="Times New Roman"/>
          <w:b/>
          <w:sz w:val="24"/>
          <w:szCs w:val="24"/>
        </w:rPr>
        <w:t>7.324/2024</w:t>
      </w:r>
      <w:r>
        <w:rPr>
          <w:rFonts w:cs="Arial" w:ascii="Times New Roman" w:hAnsi="Times New Roman"/>
          <w:b/>
          <w:sz w:val="24"/>
          <w:szCs w:val="24"/>
        </w:rPr>
        <w:t>, como despesas ordinárias.</w:t>
      </w:r>
    </w:p>
    <w:p>
      <w:pPr>
        <w:pStyle w:val="NormalWeb"/>
        <w:spacing w:beforeAutospacing="0" w:before="0" w:afterAutospacing="0" w:after="0"/>
        <w:jc w:val="both"/>
        <w:rPr>
          <w:rFonts w:ascii="Times New Roman" w:hAnsi="Times New Roman" w:cs="Arial"/>
          <w:sz w:val="24"/>
          <w:szCs w:val="24"/>
        </w:rPr>
      </w:pPr>
      <w:r>
        <w:rPr>
          <w:rFonts w:cs="Arial"/>
          <w:sz w:val="24"/>
          <w:szCs w:val="24"/>
        </w:rPr>
      </w:r>
    </w:p>
    <w:p>
      <w:pPr>
        <w:pStyle w:val="ListParagraph"/>
        <w:numPr>
          <w:ilvl w:val="2"/>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Para a demanda em questão, se necessário, será aferida a verificação da habilitação social, fiscal, trabalhista e técnica da empresa, de acordo com as premissas da Lei Federal nº 14.133/2021, em seu Capítulo VI.</w:t>
      </w:r>
    </w:p>
    <w:p>
      <w:pPr>
        <w:pStyle w:val="ListParagraph"/>
        <w:spacing w:lineRule="auto" w:line="24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hd w:val="clear" w:color="auto" w:fill="F2F2F2" w:themeFill="background1" w:themeFillShade="f2"/>
        <w:spacing w:lineRule="auto" w:line="240" w:before="0" w:after="0"/>
        <w:ind w:left="0" w:hanging="0"/>
        <w:contextualSpacing/>
        <w:jc w:val="both"/>
        <w:rPr>
          <w:rFonts w:ascii="Times New Roman" w:hAnsi="Times New Roman"/>
          <w:sz w:val="24"/>
          <w:szCs w:val="24"/>
        </w:rPr>
      </w:pPr>
      <w:r>
        <w:rPr>
          <w:rFonts w:cs="Arial" w:ascii="Times New Roman" w:hAnsi="Times New Roman"/>
          <w:b/>
          <w:sz w:val="24"/>
          <w:szCs w:val="24"/>
        </w:rPr>
        <w:t>DO FORNECIMENTO E RECEBIMENTO</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hd w:val="clear" w:color="auto" w:fill="F2F2F2" w:themeFill="background1" w:themeFillShade="f2"/>
        <w:spacing w:lineRule="auto" w:line="240" w:before="0" w:after="0"/>
        <w:ind w:left="0" w:hanging="0"/>
        <w:contextualSpacing/>
        <w:jc w:val="both"/>
        <w:rPr>
          <w:rFonts w:ascii="Times New Roman" w:hAnsi="Times New Roman"/>
          <w:sz w:val="24"/>
          <w:szCs w:val="24"/>
        </w:rPr>
      </w:pPr>
      <w:r>
        <w:rPr>
          <w:rFonts w:cs="Arial" w:ascii="Times New Roman" w:hAnsi="Times New Roman"/>
          <w:b/>
          <w:sz w:val="24"/>
          <w:szCs w:val="24"/>
        </w:rPr>
        <w:t>DAS CONDIÇÕES DE RECEBIMENTO DO OBJETO</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jc w:val="both"/>
        <w:rPr>
          <w:rFonts w:ascii="Times New Roman" w:hAnsi="Times New Roman" w:cs="Arial"/>
          <w:sz w:val="24"/>
          <w:szCs w:val="24"/>
          <w:highlight w:val="yellow"/>
        </w:rPr>
      </w:pPr>
      <w:r>
        <w:rPr>
          <w:rFonts w:cs="Arial" w:ascii="Times New Roman" w:hAnsi="Times New Roman"/>
          <w:sz w:val="24"/>
          <w:szCs w:val="24"/>
          <w:highlight w:val="yellow"/>
        </w:rPr>
      </w:r>
    </w:p>
    <w:p>
      <w:pPr>
        <w:pStyle w:val="ListParagraph"/>
        <w:numPr>
          <w:ilvl w:val="1"/>
          <w:numId w:val="1"/>
        </w:numPr>
        <w:shd w:val="clear" w:color="auto" w:fill="F2F2F2" w:themeFill="background1" w:themeFillShade="f2"/>
        <w:spacing w:lineRule="auto" w:line="240" w:before="0" w:after="0"/>
        <w:ind w:left="0" w:hanging="0"/>
        <w:contextualSpacing/>
        <w:jc w:val="both"/>
        <w:rPr>
          <w:rFonts w:ascii="Times New Roman" w:hAnsi="Times New Roman"/>
          <w:sz w:val="24"/>
          <w:szCs w:val="24"/>
        </w:rPr>
      </w:pPr>
      <w:r>
        <w:rPr>
          <w:rFonts w:cs="Arial" w:ascii="Times New Roman" w:hAnsi="Times New Roman"/>
          <w:b/>
          <w:sz w:val="24"/>
          <w:szCs w:val="24"/>
        </w:rPr>
        <w:t>DAS OBRIGAÇÕES E RESPONSABILIDADES</w:t>
      </w:r>
    </w:p>
    <w:p>
      <w:pPr>
        <w:pStyle w:val="Normal"/>
        <w:spacing w:lineRule="auto" w:line="240" w:before="0" w:after="0"/>
        <w:jc w:val="both"/>
        <w:rPr>
          <w:rFonts w:ascii="Times New Roman" w:hAnsi="Times New Roman" w:cs="Arial"/>
          <w:sz w:val="24"/>
          <w:szCs w:val="24"/>
          <w:highlight w:val="yellow"/>
        </w:rPr>
      </w:pPr>
      <w:r>
        <w:rPr>
          <w:rFonts w:cs="Arial" w:ascii="Times New Roman" w:hAnsi="Times New Roman"/>
          <w:sz w:val="24"/>
          <w:szCs w:val="24"/>
          <w:highlight w:val="yellow"/>
        </w:rPr>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Caberá ao CONTRATADO o cumprimento das seguintes obrigações: </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1 - Prestar os serviços, objeto da Contratação; </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2 - Não subcontratar, ceder ou transferir, total ou parcialmente, o objeto da Contratação; </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3 - Responsabilizar-se pelos encargos trabalhistas, previdenciários, fiscais e comerciais, resultantes da execução do objeto deste projeto;</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4 - Executar fielmente o objeto da Contratação com fornecimento ininterrupto de transporte público aos servidores municipais de segunda a sexta-feira, nos horários de itinerários pré fixados pelas empresas e aprovados pela CETURB; </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5 - Dar plena garantia e qualidade do serviço prestado; </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6 - Manter durante toda a execução do Contrato, em compatibilidade com as obrigações por ele assumidas, todas as condições de habilitação e qualificação legalmente exigidas;</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7 - Prestar, de imediato, todos os esclarecimentos que forem solicitados pela contratante, obrigando-se a atender todas as reclamações a respeito da qualidade do serviço prestado; </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8 - Comunicar a contratante, de imediato e por escrito, qualquer irregularidade verificada durante a execução do serviço, para a adoção das medidas necessárias à sua regularização; </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9 - Acatar as determinações feitas pela Contratante no que tange ao cumprimento do objeto do Contrato.</w:t>
      </w:r>
    </w:p>
    <w:p>
      <w:pPr>
        <w:pStyle w:val="ListParagraph"/>
        <w:spacing w:lineRule="auto" w:line="240" w:before="0" w:after="0"/>
        <w:ind w:left="0" w:hanging="0"/>
        <w:contextualSpacing/>
        <w:jc w:val="both"/>
        <w:rPr>
          <w:rFonts w:ascii="Times New Roman" w:hAnsi="Times New Roman"/>
          <w:sz w:val="24"/>
          <w:szCs w:val="24"/>
        </w:rPr>
      </w:pPr>
      <w:r>
        <w:rPr>
          <w:rFonts w:ascii="Times New Roman" w:hAnsi="Times New Roman"/>
          <w:sz w:val="24"/>
          <w:szCs w:val="24"/>
        </w:rPr>
      </w:r>
    </w:p>
    <w:p>
      <w:pPr>
        <w:pStyle w:val="ListParagraph"/>
        <w:numPr>
          <w:ilvl w:val="0"/>
          <w:numId w:val="0"/>
        </w:numPr>
        <w:spacing w:lineRule="auto" w:line="240" w:before="0" w:after="0"/>
        <w:ind w:left="0" w:hanging="0"/>
        <w:contextualSpacing/>
        <w:jc w:val="both"/>
        <w:rPr>
          <w:rFonts w:ascii="Times New Roman" w:hAnsi="Times New Roman"/>
          <w:sz w:val="24"/>
          <w:szCs w:val="24"/>
        </w:rPr>
      </w:pPr>
      <w:r>
        <w:rPr>
          <w:rFonts w:cs="Arial" w:ascii="Times New Roman" w:hAnsi="Times New Roman"/>
          <w:b w:val="false"/>
          <w:bCs w:val="false"/>
          <w:sz w:val="24"/>
          <w:szCs w:val="24"/>
          <w:shd w:fill="DDDDDD" w:val="clear"/>
        </w:rPr>
        <w:t xml:space="preserve">4.6 </w:t>
      </w:r>
      <w:r>
        <w:rPr>
          <w:rFonts w:cs="Arial" w:ascii="Times New Roman" w:hAnsi="Times New Roman"/>
          <w:b/>
          <w:sz w:val="24"/>
          <w:szCs w:val="24"/>
          <w:shd w:fill="DDDDDD" w:val="clear"/>
        </w:rPr>
        <w:tab/>
        <w:t>DAS OBRIGAÇÕES E RESPONSABILIDADES DO MUNICÍPIO:</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1 - Fornecer à Contratada todas as informações relacionadas ao objeto da Contratação; </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2 - Notificar por escrito a Contratada, a respeito de qualquer irregularidade constatada na execução do objeto da Contratação; </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3 - Assegurar os recursos orçamentários e financeiros para custear as despesas do empenho estimativo; </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4 - Efetuar o pagamento nas condições e preços pactuados; </w:t>
      </w:r>
    </w:p>
    <w:p>
      <w:pPr>
        <w:pStyle w:val="ListParagraph"/>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5 - Acompanhar, verificar, fiscalizar e intervir na execução do serviço, para assegurar a fiel observância de suas cláusulas, bem como do que consta das especificações do presente Termo de Referência.</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 FISCALIZAÇÃO E ACOMPANHAMENTO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Corpodetexto23"/>
        <w:rPr>
          <w:rFonts w:ascii="Times New Roman" w:hAnsi="Times New Roman" w:cs="Arial"/>
          <w:sz w:val="24"/>
          <w:szCs w:val="24"/>
        </w:rPr>
      </w:pPr>
      <w:r>
        <w:rPr>
          <w:rFonts w:cs="Arial"/>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 GARANTIA PELO FORNECIMENTO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DAS AMOSTRAS</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 GESTÃO DO CONTRATO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DO FATURAMENTO E DO PAGAMENTO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Normal"/>
        <w:spacing w:lineRule="auto" w:line="240" w:before="0" w:after="0"/>
        <w:jc w:val="both"/>
        <w:rPr>
          <w:rFonts w:ascii="Times New Roman" w:hAnsi="Times New Roman"/>
          <w:sz w:val="24"/>
          <w:szCs w:val="24"/>
        </w:rPr>
      </w:pPr>
      <w:bookmarkStart w:id="0" w:name="_Hlk151990632"/>
      <w:r>
        <w:rPr>
          <w:rFonts w:cs="Arial" w:ascii="Times New Roman" w:hAnsi="Times New Roman"/>
          <w:sz w:val="24"/>
          <w:szCs w:val="24"/>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bookmarkEnd w:id="0"/>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 xml:space="preserve">A CONTRATADA deverá encaminhar à unidade administrativa responsável pela gestão do contrato, a fatura do fornecimento do serviço do período utilizado, com o respectivo preço e com prazo de pagamento não inferior a 10 (dez) dias úteis contados a partir de sua apresentação. </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Na ocorrência de rejeição da Nota Fiscal/Fatura, motivada por erro ou incorreções, o prazo para pagamento estipulado no item acima passará a ser contado a partir da data da sua reapresentação.</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 xml:space="preserve">Para efeito de pagamento, junto com a Nota Fiscal, deverá ser anexado: </w:t>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 xml:space="preserve">II - Certificado de Regularidade do Fundo de Garantia por Tempo de Serviço – FGTS, fornecido pela CEF – Caixa Econômica Federal, devidamente atualizado (Lei n.º 8.036/90); </w:t>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 xml:space="preserve">III - Certidão de Regularidade com a Fazenda do Estado; </w:t>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 xml:space="preserve">IV - Prova de regularidade com a Fazenda Federal por meio de Certidão Conjunto de débitos relativo aos tributos federais e a Dívida Ativa da União, expedida pelo Ministério da Fazenda/Secretaria da Receita Federal do Brasil; </w:t>
      </w:r>
    </w:p>
    <w:p>
      <w:pPr>
        <w:pStyle w:val="Normal"/>
        <w:spacing w:lineRule="auto" w:line="240" w:before="0" w:after="0"/>
        <w:jc w:val="both"/>
        <w:rPr>
          <w:rFonts w:ascii="Times New Roman" w:hAnsi="Times New Roman"/>
          <w:sz w:val="24"/>
          <w:szCs w:val="24"/>
        </w:rPr>
      </w:pPr>
      <w:r>
        <w:rPr>
          <w:rFonts w:cs="Arial" w:ascii="Times New Roman" w:hAnsi="Times New Roman"/>
          <w:sz w:val="24"/>
          <w:szCs w:val="24"/>
        </w:rPr>
        <w:t>V - Prova de regularidade relativa a débitos inadimplidos perante a Justiça do Trabalho, mediante a apresentação de certidão negativa ou positiva com efeito de negativa que poderá ser obtida no site www.tst.jus.br/certidão.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b/>
          <w:sz w:val="24"/>
          <w:szCs w:val="24"/>
        </w:rPr>
        <w:t>DA ANTECIPAÇÃO DO PAGAMENTO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2"/>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 FORMA E CRITÉRIOS DE SELEÇÃO DO FORNECEDOR</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DO VALOR MÁXIMO E DOS RECURSOS ORÇAMENTÁRIOS</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hd w:val="clear" w:color="auto" w:fill="F2F2F2" w:themeFill="background1" w:themeFillShade="f2"/>
        <w:spacing w:lineRule="auto" w:line="240" w:before="0" w:after="0"/>
        <w:ind w:left="0" w:hanging="0"/>
        <w:contextualSpacing/>
        <w:jc w:val="both"/>
        <w:rPr>
          <w:rFonts w:ascii="Times New Roman" w:hAnsi="Times New Roman"/>
          <w:sz w:val="24"/>
          <w:szCs w:val="24"/>
        </w:rPr>
      </w:pPr>
      <w:r>
        <w:rPr>
          <w:rFonts w:cs="Arial" w:ascii="Times New Roman" w:hAnsi="Times New Roman"/>
          <w:b/>
          <w:sz w:val="24"/>
          <w:szCs w:val="24"/>
        </w:rPr>
        <w:t>DO VALOR ESTIMADO</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color w:val="000000"/>
          <w:sz w:val="24"/>
          <w:szCs w:val="24"/>
        </w:rPr>
        <w:t xml:space="preserve"> </w:t>
      </w:r>
      <w:r>
        <w:rPr>
          <w:rFonts w:cs="Arial" w:ascii="Times New Roman" w:hAnsi="Times New Roman"/>
          <w:color w:val="000000"/>
          <w:sz w:val="24"/>
          <w:szCs w:val="24"/>
        </w:rPr>
        <w:t xml:space="preserve">O </w:t>
      </w:r>
      <w:r>
        <w:rPr>
          <w:rFonts w:cs="Arial" w:ascii="Times New Roman" w:hAnsi="Times New Roman"/>
          <w:b/>
          <w:color w:val="000000"/>
          <w:sz w:val="24"/>
          <w:szCs w:val="24"/>
        </w:rPr>
        <w:t>valor estimado</w:t>
      </w:r>
      <w:r>
        <w:rPr>
          <w:rFonts w:cs="Arial" w:ascii="Times New Roman" w:hAnsi="Times New Roman"/>
          <w:color w:val="000000"/>
          <w:sz w:val="24"/>
          <w:szCs w:val="24"/>
        </w:rPr>
        <w:t xml:space="preserve"> para custeio das despesas decorrentes da oferta do benefício de vale transporte aos servidores da Secretaria Municipal de A</w:t>
      </w:r>
      <w:r>
        <w:rPr>
          <w:rFonts w:cs="Arial" w:ascii="Times New Roman" w:hAnsi="Times New Roman"/>
          <w:color w:val="000000"/>
          <w:sz w:val="24"/>
          <w:szCs w:val="24"/>
        </w:rPr>
        <w:t>gricultura e Desenvolvimento Econômico</w:t>
      </w:r>
      <w:r>
        <w:rPr>
          <w:rFonts w:cs="Arial" w:ascii="Times New Roman" w:hAnsi="Times New Roman"/>
          <w:color w:val="000000"/>
          <w:sz w:val="24"/>
          <w:szCs w:val="24"/>
        </w:rPr>
        <w:t>, no exercício de 202</w:t>
      </w:r>
      <w:r>
        <w:rPr>
          <w:rFonts w:cs="Arial" w:ascii="Times New Roman" w:hAnsi="Times New Roman"/>
          <w:color w:val="000000"/>
          <w:sz w:val="24"/>
          <w:szCs w:val="24"/>
        </w:rPr>
        <w:t>5</w:t>
      </w:r>
      <w:r>
        <w:rPr>
          <w:rFonts w:cs="Arial" w:ascii="Times New Roman" w:hAnsi="Times New Roman"/>
          <w:color w:val="000000"/>
          <w:sz w:val="24"/>
          <w:szCs w:val="24"/>
        </w:rPr>
        <w:t xml:space="preserve">, </w:t>
      </w:r>
      <w:r>
        <w:rPr>
          <w:rFonts w:cs="Arial" w:ascii="Times New Roman" w:hAnsi="Times New Roman"/>
          <w:b/>
          <w:color w:val="000000"/>
          <w:sz w:val="24"/>
          <w:szCs w:val="24"/>
        </w:rPr>
        <w:t xml:space="preserve">é de R$ </w:t>
      </w:r>
      <w:r>
        <w:rPr>
          <w:rFonts w:cs="Arial" w:ascii="Times New Roman" w:hAnsi="Times New Roman"/>
          <w:b/>
          <w:color w:val="000000"/>
          <w:sz w:val="24"/>
          <w:szCs w:val="24"/>
        </w:rPr>
        <w:t>8</w:t>
      </w:r>
      <w:r>
        <w:rPr>
          <w:rFonts w:cs="Arial" w:ascii="Times New Roman" w:hAnsi="Times New Roman"/>
          <w:b/>
          <w:color w:val="000000"/>
          <w:sz w:val="24"/>
          <w:szCs w:val="24"/>
        </w:rPr>
        <w:t>00,00 (</w:t>
      </w:r>
      <w:r>
        <w:rPr>
          <w:rFonts w:cs="Arial" w:ascii="Times New Roman" w:hAnsi="Times New Roman"/>
          <w:b/>
          <w:color w:val="000000"/>
          <w:sz w:val="24"/>
          <w:szCs w:val="24"/>
        </w:rPr>
        <w:t>oito</w:t>
      </w:r>
      <w:r>
        <w:rPr>
          <w:rFonts w:cs="Arial" w:ascii="Times New Roman" w:hAnsi="Times New Roman"/>
          <w:b/>
          <w:color w:val="000000"/>
          <w:sz w:val="24"/>
          <w:szCs w:val="24"/>
        </w:rPr>
        <w:t>centos reais).</w:t>
      </w:r>
    </w:p>
    <w:p>
      <w:pPr>
        <w:pStyle w:val="Normal"/>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r>
    </w:p>
    <w:p>
      <w:pPr>
        <w:pStyle w:val="ListParagraph"/>
        <w:numPr>
          <w:ilvl w:val="3"/>
          <w:numId w:val="1"/>
        </w:numPr>
        <w:tabs>
          <w:tab w:val="clear" w:pos="708"/>
          <w:tab w:val="left" w:pos="567" w:leader="none"/>
          <w:tab w:val="left" w:pos="851" w:leader="none"/>
          <w:tab w:val="left" w:pos="1134" w:leader="none"/>
        </w:tabs>
        <w:spacing w:lineRule="auto" w:line="240" w:before="0" w:after="0"/>
        <w:ind w:left="0" w:hanging="0"/>
        <w:contextualSpacing/>
        <w:jc w:val="both"/>
        <w:rPr>
          <w:rFonts w:ascii="Times New Roman" w:hAnsi="Times New Roman"/>
          <w:sz w:val="24"/>
          <w:szCs w:val="24"/>
        </w:rPr>
      </w:pPr>
      <w:r>
        <w:rPr>
          <w:rFonts w:cs="Arial" w:ascii="Times New Roman" w:hAnsi="Times New Roman"/>
          <w:color w:val="000000"/>
          <w:sz w:val="24"/>
          <w:szCs w:val="24"/>
        </w:rPr>
        <w:t>O respectivo valor global é constituído pela distribuição da seguinte forma:</w:t>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sz w:val="24"/>
          <w:szCs w:val="24"/>
        </w:rPr>
      </w:pPr>
      <w:r>
        <w:rPr>
          <w:rFonts w:cs="Arial" w:ascii="Times New Roman" w:hAnsi="Times New Roman"/>
          <w:b/>
          <w:color w:val="000000"/>
          <w:sz w:val="24"/>
          <w:szCs w:val="24"/>
        </w:rPr>
        <w:t>a)</w:t>
      </w:r>
      <w:r>
        <w:rPr>
          <w:rFonts w:cs="Arial" w:ascii="Times New Roman" w:hAnsi="Times New Roman"/>
          <w:color w:val="000000"/>
          <w:sz w:val="24"/>
          <w:szCs w:val="24"/>
        </w:rPr>
        <w:t xml:space="preserve"> </w:t>
      </w:r>
      <w:r>
        <w:rPr>
          <w:rFonts w:cs="Arial" w:ascii="Times New Roman" w:hAnsi="Times New Roman"/>
          <w:b/>
          <w:color w:val="000000"/>
          <w:sz w:val="24"/>
          <w:szCs w:val="24"/>
        </w:rPr>
        <w:t xml:space="preserve">Viação Lírio dos Vales Ltda.: R$ </w:t>
      </w:r>
      <w:r>
        <w:rPr>
          <w:rFonts w:cs="Arial" w:ascii="Times New Roman" w:hAnsi="Times New Roman"/>
          <w:b/>
          <w:color w:val="000000"/>
          <w:sz w:val="24"/>
          <w:szCs w:val="24"/>
        </w:rPr>
        <w:t>8</w:t>
      </w:r>
      <w:r>
        <w:rPr>
          <w:rFonts w:cs="Arial" w:ascii="Times New Roman" w:hAnsi="Times New Roman"/>
          <w:b/>
          <w:color w:val="000000"/>
          <w:sz w:val="24"/>
          <w:szCs w:val="24"/>
        </w:rPr>
        <w:t>00,00 (</w:t>
      </w:r>
      <w:r>
        <w:rPr>
          <w:rFonts w:cs="Arial" w:ascii="Times New Roman" w:hAnsi="Times New Roman"/>
          <w:b/>
          <w:color w:val="000000"/>
          <w:sz w:val="24"/>
          <w:szCs w:val="24"/>
        </w:rPr>
        <w:t>oito</w:t>
      </w:r>
      <w:r>
        <w:rPr>
          <w:rFonts w:cs="Arial" w:ascii="Times New Roman" w:hAnsi="Times New Roman"/>
          <w:b/>
          <w:color w:val="000000"/>
          <w:sz w:val="24"/>
          <w:szCs w:val="24"/>
        </w:rPr>
        <w:t>centos reais).</w:t>
      </w:r>
    </w:p>
    <w:p>
      <w:pPr>
        <w:pStyle w:val="Normal"/>
        <w:spacing w:lineRule="auto" w:line="240" w:before="0" w:after="0"/>
        <w:jc w:val="both"/>
        <w:rPr>
          <w:rFonts w:ascii="Times New Roman" w:hAnsi="Times New Roman" w:cs="Arial"/>
          <w:color w:val="000000"/>
          <w:sz w:val="24"/>
          <w:szCs w:val="24"/>
        </w:rPr>
      </w:pPr>
      <w:r>
        <w:rPr>
          <w:rFonts w:cs="Arial" w:ascii="Times New Roman" w:hAnsi="Times New Roman"/>
          <w:color w:val="000000"/>
          <w:sz w:val="24"/>
          <w:szCs w:val="24"/>
        </w:rPr>
      </w:r>
    </w:p>
    <w:p>
      <w:pPr>
        <w:pStyle w:val="ListParagraph"/>
        <w:numPr>
          <w:ilvl w:val="1"/>
          <w:numId w:val="1"/>
        </w:numPr>
        <w:shd w:val="clear" w:color="auto" w:fill="F2F2F2" w:themeFill="background1" w:themeFillShade="f2"/>
        <w:spacing w:lineRule="auto" w:line="240" w:before="0" w:after="0"/>
        <w:ind w:left="0" w:hanging="0"/>
        <w:contextualSpacing/>
        <w:jc w:val="both"/>
        <w:rPr>
          <w:rFonts w:ascii="Times New Roman" w:hAnsi="Times New Roman"/>
          <w:sz w:val="24"/>
          <w:szCs w:val="24"/>
        </w:rPr>
      </w:pPr>
      <w:r>
        <w:rPr>
          <w:rFonts w:cs="Arial" w:ascii="Times New Roman" w:hAnsi="Times New Roman"/>
          <w:b/>
          <w:sz w:val="24"/>
          <w:szCs w:val="24"/>
        </w:rPr>
        <w:t>DOS RECURSOS ORÇAMENTÁRIOS</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2"/>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color w:val="000000"/>
          <w:sz w:val="24"/>
          <w:szCs w:val="24"/>
        </w:rPr>
        <w:t xml:space="preserve">Para fins de cumprimento dos requisitos operacionais inerentes ao atendimento da realização do Empenho por estimativa, as despesas decorrentes do custeio em questão correrão por conta da dotação orçamentária consignada na </w:t>
      </w:r>
      <w:r>
        <w:rPr>
          <w:rFonts w:cs="Arial" w:ascii="Times New Roman" w:hAnsi="Times New Roman"/>
          <w:b/>
          <w:color w:val="000000"/>
          <w:sz w:val="24"/>
          <w:szCs w:val="24"/>
        </w:rPr>
        <w:t>Proposta de Lei Orçamentária Anual (PLOA) vinculada para o exercício financeiro de 202</w:t>
      </w:r>
      <w:r>
        <w:rPr>
          <w:rFonts w:cs="Arial" w:ascii="Times New Roman" w:hAnsi="Times New Roman"/>
          <w:b/>
          <w:color w:val="000000"/>
          <w:sz w:val="24"/>
          <w:szCs w:val="24"/>
        </w:rPr>
        <w:t>5</w:t>
      </w:r>
      <w:r>
        <w:rPr>
          <w:rFonts w:cs="Arial" w:ascii="Times New Roman" w:hAnsi="Times New Roman"/>
          <w:color w:val="000000"/>
          <w:sz w:val="24"/>
          <w:szCs w:val="24"/>
        </w:rPr>
        <w:t>, a qual será informada pelo requerente, após a aprovação da respectiva Lei.</w:t>
      </w:r>
    </w:p>
    <w:p>
      <w:pPr>
        <w:pStyle w:val="ListParagraph"/>
        <w:numPr>
          <w:ilvl w:val="0"/>
          <w:numId w:val="0"/>
        </w:numPr>
        <w:spacing w:lineRule="auto" w:line="240" w:before="0" w:after="0"/>
        <w:ind w:left="0" w:hanging="0"/>
        <w:contextualSpacing/>
        <w:jc w:val="both"/>
        <w:rPr>
          <w:rFonts w:ascii="Times New Roman" w:hAnsi="Times New Roman" w:cs="Arial"/>
          <w:sz w:val="24"/>
          <w:szCs w:val="24"/>
        </w:rPr>
      </w:pPr>
      <w:r>
        <w:rPr>
          <w:rFonts w:cs="Arial" w:ascii="Times New Roman" w:hAnsi="Times New Roman"/>
          <w:sz w:val="24"/>
          <w:szCs w:val="24"/>
        </w:rPr>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tbl>
      <w:tblPr>
        <w:tblStyle w:val="Tabelacomgrade"/>
        <w:tblW w:w="8954" w:type="dxa"/>
        <w:jc w:val="left"/>
        <w:tblInd w:w="221" w:type="dxa"/>
        <w:tblLayout w:type="fixed"/>
        <w:tblCellMar>
          <w:top w:w="0" w:type="dxa"/>
          <w:left w:w="108" w:type="dxa"/>
          <w:bottom w:w="0" w:type="dxa"/>
          <w:right w:w="108" w:type="dxa"/>
        </w:tblCellMar>
        <w:tblLook w:firstRow="1" w:noVBand="1" w:lastRow="0" w:firstColumn="1" w:lastColumn="0" w:noHBand="0" w:val="04a0"/>
      </w:tblPr>
      <w:tblGrid>
        <w:gridCol w:w="7306"/>
        <w:gridCol w:w="1647"/>
      </w:tblGrid>
      <w:tr>
        <w:trPr>
          <w:trHeight w:val="567" w:hRule="atLeast"/>
        </w:trPr>
        <w:tc>
          <w:tcPr>
            <w:tcW w:w="8953" w:type="dxa"/>
            <w:gridSpan w:val="2"/>
            <w:tcBorders/>
            <w:shd w:color="auto" w:fill="D9D9D9" w:themeFill="background1" w:themeFillShade="d9" w:val="clear"/>
            <w:vAlign w:val="center"/>
          </w:tcPr>
          <w:p>
            <w:pPr>
              <w:pStyle w:val="Normal"/>
              <w:widowControl w:val="false"/>
              <w:suppressAutoHyphens w:val="true"/>
              <w:spacing w:lineRule="auto" w:line="360" w:before="0" w:after="0"/>
              <w:jc w:val="center"/>
              <w:rPr>
                <w:rFonts w:ascii="Times New Roman" w:hAnsi="Times New Roman"/>
                <w:sz w:val="24"/>
                <w:szCs w:val="24"/>
              </w:rPr>
            </w:pPr>
            <w:r>
              <w:rPr>
                <w:rFonts w:eastAsia="Calibri" w:cs="Arial" w:ascii="Times New Roman" w:hAnsi="Times New Roman"/>
                <w:b/>
                <w:color w:val="000000"/>
                <w:kern w:val="0"/>
                <w:sz w:val="24"/>
                <w:szCs w:val="24"/>
                <w:lang w:val="pt-BR" w:bidi="ar-SA"/>
              </w:rPr>
              <w:t>ESTÃO DAS ATIVIDADES DA SECRETARIA DE A</w:t>
            </w:r>
            <w:r>
              <w:rPr>
                <w:rFonts w:eastAsia="Calibri" w:cs="Arial" w:ascii="Times New Roman" w:hAnsi="Times New Roman"/>
                <w:b/>
                <w:color w:val="000000"/>
                <w:kern w:val="0"/>
                <w:sz w:val="24"/>
                <w:szCs w:val="24"/>
                <w:lang w:val="pt-BR" w:bidi="ar-SA"/>
              </w:rPr>
              <w:t>GRICULTURA E DESENVOLVIMENTO ECONÔMICO</w:t>
            </w:r>
          </w:p>
          <w:p>
            <w:pPr>
              <w:pStyle w:val="Normal"/>
              <w:widowControl w:val="false"/>
              <w:suppressAutoHyphens w:val="true"/>
              <w:spacing w:lineRule="auto" w:line="360" w:before="0" w:after="0"/>
              <w:jc w:val="center"/>
              <w:rPr>
                <w:rFonts w:ascii="Times New Roman" w:hAnsi="Times New Roman"/>
                <w:sz w:val="24"/>
                <w:szCs w:val="24"/>
              </w:rPr>
            </w:pPr>
            <w:r>
              <w:rPr>
                <w:rFonts w:eastAsia="Calibri" w:cs="Arial" w:ascii="Times New Roman" w:hAnsi="Times New Roman"/>
                <w:b/>
                <w:color w:val="000000"/>
                <w:kern w:val="0"/>
                <w:sz w:val="24"/>
                <w:szCs w:val="24"/>
                <w:shd w:fill="auto" w:val="clear"/>
                <w:lang w:val="pt-BR" w:bidi="ar-SA"/>
              </w:rPr>
              <w:t>Outros Serviços de Terceiros – Pessoa Jurídica</w:t>
            </w:r>
          </w:p>
        </w:tc>
      </w:tr>
      <w:tr>
        <w:trPr>
          <w:trHeight w:val="340" w:hRule="atLeast"/>
        </w:trPr>
        <w:tc>
          <w:tcPr>
            <w:tcW w:w="7306" w:type="dxa"/>
            <w:tcBorders/>
            <w:shd w:color="auto" w:fill="FFFFFF" w:themeFill="background1" w:val="clear"/>
            <w:vAlign w:val="center"/>
          </w:tcPr>
          <w:p>
            <w:pPr>
              <w:pStyle w:val="Normal"/>
              <w:widowControl w:val="false"/>
              <w:spacing w:lineRule="auto" w:line="360" w:before="0" w:after="0"/>
              <w:jc w:val="center"/>
              <w:rPr>
                <w:rFonts w:ascii="Times New Roman" w:hAnsi="Times New Roman"/>
                <w:sz w:val="24"/>
                <w:szCs w:val="24"/>
              </w:rPr>
            </w:pPr>
            <w:r>
              <w:rPr>
                <w:rFonts w:eastAsia="Calibri" w:cs="Arial" w:ascii="Times New Roman" w:hAnsi="Times New Roman"/>
                <w:color w:val="000000"/>
                <w:kern w:val="0"/>
                <w:sz w:val="24"/>
                <w:szCs w:val="24"/>
                <w:shd w:fill="auto" w:val="clear"/>
                <w:lang w:val="pt-BR" w:bidi="ar-SA"/>
              </w:rPr>
              <w:t>0808.2060600112.020 – 33903900000 – FR 1500 – F 226</w:t>
            </w:r>
          </w:p>
        </w:tc>
        <w:tc>
          <w:tcPr>
            <w:tcW w:w="1647" w:type="dxa"/>
            <w:tcBorders/>
            <w:vAlign w:val="center"/>
          </w:tcPr>
          <w:p>
            <w:pPr>
              <w:pStyle w:val="Normal"/>
              <w:widowControl w:val="false"/>
              <w:suppressAutoHyphens w:val="true"/>
              <w:spacing w:lineRule="auto" w:line="240" w:before="0" w:after="0"/>
              <w:jc w:val="center"/>
              <w:rPr>
                <w:rFonts w:ascii="Times New Roman" w:hAnsi="Times New Roman"/>
                <w:sz w:val="24"/>
                <w:szCs w:val="24"/>
              </w:rPr>
            </w:pPr>
            <w:r>
              <w:rPr>
                <w:rFonts w:eastAsia="Calibri" w:cs="Arial" w:ascii="Times New Roman" w:hAnsi="Times New Roman"/>
                <w:b/>
                <w:color w:val="000000"/>
                <w:kern w:val="0"/>
                <w:sz w:val="24"/>
                <w:szCs w:val="24"/>
                <w:shd w:fill="auto" w:val="clear"/>
                <w:lang w:val="pt-BR" w:bidi="ar-SA"/>
              </w:rPr>
              <w:t xml:space="preserve">R$ </w:t>
            </w:r>
            <w:r>
              <w:rPr>
                <w:rFonts w:eastAsia="Calibri" w:cs="Arial" w:ascii="Times New Roman" w:hAnsi="Times New Roman"/>
                <w:b/>
                <w:color w:val="000000"/>
                <w:kern w:val="0"/>
                <w:sz w:val="24"/>
                <w:szCs w:val="24"/>
                <w:shd w:fill="auto" w:val="clear"/>
                <w:lang w:val="pt-BR" w:bidi="ar-SA"/>
              </w:rPr>
              <w:t>8</w:t>
            </w:r>
            <w:r>
              <w:rPr>
                <w:rFonts w:eastAsia="Calibri" w:cs="Arial" w:ascii="Times New Roman" w:hAnsi="Times New Roman"/>
                <w:b/>
                <w:color w:val="000000"/>
                <w:kern w:val="0"/>
                <w:sz w:val="24"/>
                <w:szCs w:val="24"/>
                <w:shd w:fill="auto" w:val="clear"/>
                <w:lang w:val="pt-BR" w:bidi="ar-SA"/>
              </w:rPr>
              <w:t>00,00</w:t>
            </w:r>
          </w:p>
        </w:tc>
      </w:tr>
    </w:tbl>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DAS SANÇÕES E PENALIDADES</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Normal"/>
        <w:spacing w:lineRule="auto" w:line="240" w:before="0" w:after="0"/>
        <w:jc w:val="both"/>
        <w:rPr>
          <w:rFonts w:ascii="Times New Roman" w:hAnsi="Times New Roman"/>
          <w:sz w:val="24"/>
          <w:szCs w:val="24"/>
        </w:rPr>
      </w:pPr>
      <w:bookmarkStart w:id="1" w:name="_Hlk151990699"/>
      <w:r>
        <w:rPr>
          <w:rFonts w:cs="Arial" w:ascii="Times New Roman" w:hAnsi="Times New Roman"/>
          <w:bCs/>
          <w:color w:val="000000"/>
          <w:sz w:val="24"/>
          <w:szCs w:val="24"/>
        </w:rPr>
        <w:t>Serão aplicadas as infrações administrativas disciplinadas na Lei Federal nº 14.133/2021, na forma de regulamento municipal.</w:t>
      </w:r>
      <w:bookmarkEnd w:id="1"/>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 QUALIFICAÇÃO TÉCNICA</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i/>
          <w:sz w:val="24"/>
          <w:szCs w:val="24"/>
        </w:rPr>
        <w:t>Não se aplica a presente contratação.</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DA UNIDADE REQUISITANTE</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sz w:val="24"/>
          <w:szCs w:val="24"/>
        </w:rPr>
        <w:t xml:space="preserve">Constitui unidade requisitante da presente demanda a </w:t>
      </w:r>
      <w:r>
        <w:rPr>
          <w:rFonts w:cs="Arial" w:ascii="Times New Roman" w:hAnsi="Times New Roman"/>
          <w:b/>
          <w:sz w:val="24"/>
          <w:szCs w:val="24"/>
        </w:rPr>
        <w:t>Secretaria Municipal de A</w:t>
      </w:r>
      <w:r>
        <w:rPr>
          <w:rFonts w:cs="Arial" w:ascii="Times New Roman" w:hAnsi="Times New Roman"/>
          <w:b/>
          <w:sz w:val="24"/>
          <w:szCs w:val="24"/>
        </w:rPr>
        <w:t>gricultura e Desenvolvimento Econômico</w:t>
      </w:r>
      <w:r>
        <w:rPr>
          <w:rFonts w:cs="Arial" w:ascii="Times New Roman" w:hAnsi="Times New Roman"/>
          <w:b/>
          <w:sz w:val="24"/>
          <w:szCs w:val="24"/>
        </w:rPr>
        <w:t>.</w:t>
      </w:r>
    </w:p>
    <w:p>
      <w:pPr>
        <w:pStyle w:val="Normal"/>
        <w:spacing w:lineRule="auto" w:line="240" w:before="0" w:after="0"/>
        <w:rPr>
          <w:rFonts w:ascii="Times New Roman" w:hAnsi="Times New Roman" w:cs="Arial"/>
          <w:sz w:val="24"/>
          <w:szCs w:val="24"/>
        </w:rPr>
      </w:pPr>
      <w:r>
        <w:rPr>
          <w:rFonts w:cs="Arial" w:ascii="Times New Roman" w:hAnsi="Times New Roman"/>
          <w:sz w:val="24"/>
          <w:szCs w:val="24"/>
        </w:rPr>
      </w:r>
    </w:p>
    <w:p>
      <w:pPr>
        <w:pStyle w:val="ListParagraph"/>
        <w:numPr>
          <w:ilvl w:val="0"/>
          <w:numId w:val="1"/>
        </w:numPr>
        <w:shd w:val="clear" w:color="auto" w:fill="D9D9D9" w:themeFill="background1" w:themeFillShade="d9"/>
        <w:spacing w:lineRule="auto" w:line="240" w:before="0" w:after="0"/>
        <w:ind w:left="0" w:hanging="0"/>
        <w:contextualSpacing/>
        <w:rPr>
          <w:rFonts w:ascii="Times New Roman" w:hAnsi="Times New Roman"/>
          <w:sz w:val="24"/>
          <w:szCs w:val="24"/>
        </w:rPr>
      </w:pPr>
      <w:r>
        <w:rPr>
          <w:rFonts w:cs="Arial" w:ascii="Times New Roman" w:hAnsi="Times New Roman"/>
          <w:b/>
          <w:sz w:val="24"/>
          <w:szCs w:val="24"/>
        </w:rPr>
        <w:t>DO RESPONSÁVEL PELA ELABORAÇÃO DO TERMO DE REFERÊNCIA</w:t>
      </w:r>
    </w:p>
    <w:p>
      <w:pPr>
        <w:pStyle w:val="NormalWeb"/>
        <w:spacing w:beforeAutospacing="0" w:before="0" w:afterAutospacing="0" w:after="0"/>
        <w:jc w:val="both"/>
        <w:rPr>
          <w:rFonts w:ascii="Times New Roman" w:hAnsi="Times New Roman" w:cs="Arial"/>
          <w:sz w:val="24"/>
          <w:szCs w:val="24"/>
          <w:highlight w:val="lightGray"/>
        </w:rPr>
      </w:pPr>
      <w:r>
        <w:rPr>
          <w:rFonts w:cs="Arial"/>
          <w:sz w:val="24"/>
          <w:szCs w:val="24"/>
          <w:highlight w:val="lightGray"/>
        </w:rPr>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b/>
          <w:sz w:val="24"/>
          <w:szCs w:val="24"/>
        </w:rPr>
        <w:t>Responsável pela Elaboração:</w:t>
      </w:r>
      <w:r>
        <w:rPr>
          <w:rFonts w:cs="Arial" w:ascii="Times New Roman" w:hAnsi="Times New Roman"/>
          <w:sz w:val="24"/>
          <w:szCs w:val="24"/>
        </w:rPr>
        <w:t xml:space="preserve"> </w:t>
      </w:r>
      <w:r>
        <w:rPr>
          <w:rFonts w:cs="Arial" w:ascii="Times New Roman" w:hAnsi="Times New Roman"/>
          <w:b/>
          <w:bCs/>
          <w:color w:val="000000" w:themeColor="text1"/>
          <w:sz w:val="24"/>
          <w:szCs w:val="24"/>
          <w:shd w:fill="auto" w:val="clear"/>
        </w:rPr>
        <w:t>FÁBIO LOSS LUCHI</w:t>
      </w:r>
    </w:p>
    <w:p>
      <w:pPr>
        <w:pStyle w:val="ListParagraph"/>
        <w:numPr>
          <w:ilvl w:val="1"/>
          <w:numId w:val="1"/>
        </w:numPr>
        <w:spacing w:lineRule="auto" w:line="240" w:before="0" w:after="0"/>
        <w:ind w:left="0" w:hanging="0"/>
        <w:contextualSpacing/>
        <w:jc w:val="both"/>
        <w:rPr>
          <w:rFonts w:ascii="Times New Roman" w:hAnsi="Times New Roman"/>
          <w:sz w:val="24"/>
          <w:szCs w:val="24"/>
        </w:rPr>
      </w:pPr>
      <w:r>
        <w:rPr>
          <w:rFonts w:cs="Arial" w:ascii="Times New Roman" w:hAnsi="Times New Roman"/>
          <w:b/>
          <w:sz w:val="24"/>
          <w:szCs w:val="24"/>
        </w:rPr>
        <w:t xml:space="preserve">Gestor da Unidade Requisitante: </w:t>
      </w:r>
      <w:r>
        <w:rPr>
          <w:rFonts w:cs="Arial" w:ascii="Times New Roman" w:hAnsi="Times New Roman"/>
          <w:b/>
          <w:sz w:val="24"/>
          <w:szCs w:val="24"/>
        </w:rPr>
        <w:t>FÁBIO LOSS LUCHI</w:t>
      </w:r>
    </w:p>
    <w:p>
      <w:pPr>
        <w:pStyle w:val="NormalWeb"/>
        <w:spacing w:beforeAutospacing="0" w:before="0" w:afterAutospacing="0" w:after="0"/>
        <w:jc w:val="both"/>
        <w:rPr>
          <w:rFonts w:ascii="Times New Roman" w:hAnsi="Times New Roman" w:cs="Arial"/>
          <w:sz w:val="24"/>
          <w:szCs w:val="24"/>
          <w:highlight w:val="lightGray"/>
        </w:rPr>
      </w:pPr>
      <w:r>
        <w:rPr>
          <w:rFonts w:cs="Arial"/>
          <w:sz w:val="24"/>
          <w:szCs w:val="24"/>
          <w:highlight w:val="lightGray"/>
        </w:rPr>
      </w:r>
    </w:p>
    <w:p>
      <w:pPr>
        <w:pStyle w:val="NormalWeb"/>
        <w:spacing w:beforeAutospacing="0" w:before="0" w:afterAutospacing="0" w:after="0"/>
        <w:jc w:val="right"/>
        <w:rPr>
          <w:rFonts w:ascii="Times New Roman" w:hAnsi="Times New Roman"/>
          <w:sz w:val="24"/>
          <w:szCs w:val="24"/>
        </w:rPr>
      </w:pPr>
      <w:r>
        <w:rPr>
          <w:rFonts w:cs="Arial"/>
          <w:b/>
          <w:sz w:val="24"/>
          <w:szCs w:val="24"/>
        </w:rPr>
        <w:t>São Roque do Canaã/ES</w:t>
      </w:r>
      <w:r>
        <w:rPr>
          <w:rFonts w:cs="Arial"/>
          <w:sz w:val="24"/>
          <w:szCs w:val="24"/>
        </w:rPr>
        <w:t xml:space="preserve">, </w:t>
      </w:r>
      <w:r>
        <w:rPr>
          <w:rFonts w:cs="Arial"/>
          <w:sz w:val="24"/>
          <w:szCs w:val="24"/>
        </w:rPr>
        <w:t>24 de fevereiro de 2025.</w:t>
      </w:r>
    </w:p>
    <w:p>
      <w:pPr>
        <w:pStyle w:val="NormalWeb"/>
        <w:spacing w:beforeAutospacing="0" w:before="0" w:afterAutospacing="0" w:after="0"/>
        <w:rPr>
          <w:rFonts w:ascii="Times New Roman" w:hAnsi="Times New Roman" w:cs="Arial"/>
          <w:sz w:val="24"/>
          <w:szCs w:val="24"/>
        </w:rPr>
      </w:pPr>
      <w:r>
        <w:rPr>
          <w:rFonts w:cs="Arial"/>
          <w:sz w:val="24"/>
          <w:szCs w:val="24"/>
        </w:rPr>
      </w:r>
    </w:p>
    <w:tbl>
      <w:tblPr>
        <w:tblStyle w:val="Tabelacomgrade"/>
        <w:tblW w:w="9071"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9071"/>
      </w:tblGrid>
      <w:tr>
        <w:trPr/>
        <w:tc>
          <w:tcPr>
            <w:tcW w:w="9071" w:type="dxa"/>
            <w:tcBorders>
              <w:top w:val="nil"/>
              <w:left w:val="nil"/>
              <w:bottom w:val="nil"/>
              <w:right w:val="nil"/>
            </w:tcBorders>
          </w:tcPr>
          <w:p>
            <w:pPr>
              <w:pStyle w:val="NormalWeb"/>
              <w:widowControl w:val="false"/>
              <w:suppressAutoHyphens w:val="true"/>
              <w:spacing w:beforeAutospacing="0" w:before="0" w:afterAutospacing="0" w:after="0"/>
              <w:jc w:val="center"/>
              <w:rPr>
                <w:rFonts w:ascii="Times New Roman" w:hAnsi="Times New Roman" w:cs="Arial"/>
                <w:sz w:val="24"/>
                <w:szCs w:val="24"/>
              </w:rPr>
            </w:pPr>
            <w:r>
              <w:rPr>
                <w:rFonts w:cs="Arial"/>
                <w:sz w:val="24"/>
                <w:szCs w:val="24"/>
              </w:rPr>
            </w:r>
          </w:p>
          <w:p>
            <w:pPr>
              <w:pStyle w:val="NormalWeb"/>
              <w:widowControl w:val="false"/>
              <w:suppressAutoHyphens w:val="true"/>
              <w:spacing w:beforeAutospacing="0" w:before="0" w:afterAutospacing="0" w:after="0"/>
              <w:jc w:val="center"/>
              <w:rPr>
                <w:rFonts w:ascii="Times New Roman" w:hAnsi="Times New Roman" w:cs="Arial"/>
                <w:sz w:val="24"/>
                <w:szCs w:val="24"/>
              </w:rPr>
            </w:pPr>
            <w:r>
              <w:rPr>
                <w:rFonts w:cs="Arial"/>
                <w:sz w:val="24"/>
                <w:szCs w:val="24"/>
              </w:rPr>
            </w:r>
          </w:p>
          <w:p>
            <w:pPr>
              <w:pStyle w:val="NormalWeb"/>
              <w:widowControl w:val="false"/>
              <w:suppressAutoHyphens w:val="true"/>
              <w:spacing w:beforeAutospacing="0" w:before="0" w:afterAutospacing="0" w:after="0"/>
              <w:jc w:val="center"/>
              <w:rPr>
                <w:rFonts w:ascii="Times New Roman" w:hAnsi="Times New Roman"/>
                <w:sz w:val="24"/>
                <w:szCs w:val="24"/>
              </w:rPr>
            </w:pPr>
            <w:r>
              <w:rPr>
                <w:sz w:val="24"/>
                <w:szCs w:val="24"/>
              </w:rPr>
            </w:r>
          </w:p>
          <w:p>
            <w:pPr>
              <w:pStyle w:val="NormalWeb"/>
              <w:widowControl w:val="false"/>
              <w:suppressAutoHyphens w:val="true"/>
              <w:spacing w:beforeAutospacing="0" w:before="0" w:afterAutospacing="0" w:after="0"/>
              <w:jc w:val="center"/>
              <w:rPr>
                <w:rFonts w:ascii="Times New Roman" w:hAnsi="Times New Roman"/>
                <w:sz w:val="24"/>
                <w:szCs w:val="24"/>
              </w:rPr>
            </w:pPr>
            <w:r>
              <w:rPr>
                <w:sz w:val="24"/>
                <w:szCs w:val="24"/>
              </w:rPr>
            </w:r>
          </w:p>
          <w:p>
            <w:pPr>
              <w:pStyle w:val="NormalWeb"/>
              <w:widowControl w:val="false"/>
              <w:suppressAutoHyphens w:val="true"/>
              <w:spacing w:beforeAutospacing="0" w:before="0" w:afterAutospacing="0" w:after="0"/>
              <w:jc w:val="center"/>
              <w:rPr>
                <w:rFonts w:ascii="Times New Roman" w:hAnsi="Times New Roman"/>
                <w:sz w:val="24"/>
                <w:szCs w:val="24"/>
              </w:rPr>
            </w:pPr>
            <w:r>
              <w:rPr>
                <w:rFonts w:cs="Arial"/>
                <w:b/>
                <w:color w:val="000000" w:themeColor="text1"/>
                <w:kern w:val="0"/>
                <w:sz w:val="24"/>
                <w:szCs w:val="24"/>
                <w:shd w:fill="auto" w:val="clear"/>
                <w:lang w:val="pt-BR" w:bidi="ar-SA"/>
              </w:rPr>
              <w:t>FÁBIO LOSS LUCHI</w:t>
            </w:r>
          </w:p>
          <w:p>
            <w:pPr>
              <w:pStyle w:val="NormalWeb"/>
              <w:widowControl w:val="false"/>
              <w:suppressAutoHyphens w:val="true"/>
              <w:spacing w:beforeAutospacing="0" w:before="0" w:afterAutospacing="0" w:after="0"/>
              <w:jc w:val="center"/>
              <w:rPr>
                <w:rFonts w:ascii="Times New Roman" w:hAnsi="Times New Roman"/>
                <w:sz w:val="24"/>
                <w:szCs w:val="24"/>
              </w:rPr>
            </w:pPr>
            <w:r>
              <w:rPr>
                <w:rFonts w:cs="Arial"/>
                <w:color w:val="000000" w:themeColor="text1"/>
                <w:kern w:val="0"/>
                <w:sz w:val="24"/>
                <w:szCs w:val="24"/>
                <w:shd w:fill="auto" w:val="clear"/>
                <w:lang w:val="pt-BR" w:bidi="ar-SA"/>
              </w:rPr>
              <w:t>Secretária Municipal de</w:t>
            </w:r>
            <w:r>
              <w:rPr>
                <w:rFonts w:cs="Arial"/>
                <w:color w:val="000000" w:themeColor="text1"/>
                <w:kern w:val="0"/>
                <w:sz w:val="24"/>
                <w:szCs w:val="24"/>
                <w:shd w:fill="auto" w:val="clear"/>
                <w:lang w:val="pt-BR" w:bidi="ar-SA"/>
              </w:rPr>
              <w:t xml:space="preserve"> </w:t>
            </w:r>
            <w:r>
              <w:rPr>
                <w:rFonts w:cs="Arial"/>
                <w:color w:val="000000" w:themeColor="text1"/>
                <w:kern w:val="0"/>
                <w:sz w:val="24"/>
                <w:szCs w:val="24"/>
                <w:shd w:fill="auto" w:val="clear"/>
                <w:lang w:val="pt-BR" w:bidi="ar-SA"/>
              </w:rPr>
              <w:t>Agricultura e Desenvolvimento Econômico</w:t>
            </w:r>
          </w:p>
          <w:p>
            <w:pPr>
              <w:pStyle w:val="NormalWeb"/>
              <w:widowControl w:val="false"/>
              <w:suppressAutoHyphens w:val="true"/>
              <w:spacing w:beforeAutospacing="0" w:before="0" w:afterAutospacing="0" w:after="0"/>
              <w:jc w:val="center"/>
              <w:rPr>
                <w:rFonts w:ascii="Times New Roman" w:hAnsi="Times New Roman"/>
                <w:sz w:val="24"/>
                <w:szCs w:val="24"/>
              </w:rPr>
            </w:pPr>
            <w:r>
              <w:rPr/>
            </w:r>
          </w:p>
        </w:tc>
      </w:tr>
    </w:tbl>
    <w:p>
      <w:pPr>
        <w:pStyle w:val="NormalWeb"/>
        <w:spacing w:beforeAutospacing="0" w:before="0" w:afterAutospacing="0" w:after="0"/>
        <w:jc w:val="both"/>
        <w:rPr>
          <w:rFonts w:ascii="Times New Roman" w:hAnsi="Times New Roman"/>
          <w:sz w:val="24"/>
          <w:szCs w:val="24"/>
        </w:rPr>
      </w:pPr>
      <w:r>
        <w:rPr/>
      </w:r>
    </w:p>
    <w:sectPr>
      <w:headerReference w:type="default" r:id="rId2"/>
      <w:footerReference w:type="default" r:id="rId3"/>
      <w:type w:val="nextPage"/>
      <w:pgSz w:w="11906" w:h="16838"/>
      <w:pgMar w:left="1701" w:right="1134" w:gutter="0" w:header="709" w:top="170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center"/>
      <w:rPr>
        <w:rFonts w:ascii="Arial" w:hAnsi="Arial" w:cs="Arial"/>
        <w:sz w:val="20"/>
        <w:szCs w:val="16"/>
      </w:rPr>
    </w:pPr>
    <w:r>
      <w:rPr>
        <w:rFonts w:cs="Arial" w:ascii="Arial" w:hAnsi="Arial"/>
        <w:sz w:val="20"/>
        <w:szCs w:val="16"/>
      </w:rPr>
    </w:r>
  </w:p>
  <w:p>
    <w:pPr>
      <w:pStyle w:val="Rodap"/>
      <w:jc w:val="center"/>
      <w:rPr>
        <w:rFonts w:ascii="Arial" w:hAnsi="Arial" w:cs="Arial"/>
        <w:sz w:val="20"/>
        <w:szCs w:val="16"/>
      </w:rPr>
    </w:pPr>
    <w:r>
      <w:rPr>
        <w:rFonts w:cs="Arial" w:ascii="Arial" w:hAnsi="Arial"/>
        <w:sz w:val="20"/>
        <w:szCs w:val="16"/>
      </w:rPr>
      <w:t>Rua Lourenço Roldi n.º 88, São Roquinho, São Roque do Canaã/ES, CEP: 29665-000</w:t>
    </w:r>
  </w:p>
  <w:p>
    <w:pPr>
      <w:pStyle w:val="Rodap"/>
      <w:jc w:val="center"/>
      <w:rPr/>
    </w:pPr>
    <w:r>
      <w:rPr>
        <w:rFonts w:cs="Arial" w:ascii="Arial" w:hAnsi="Arial"/>
        <w:sz w:val="20"/>
        <w:szCs w:val="16"/>
      </w:rPr>
      <w:t xml:space="preserve">Telefone: (27) 3729-1120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tabs>
        <w:tab w:val="left" w:pos="2166" w:leader="none"/>
        <w:tab w:val="center" w:pos="4252" w:leader="none"/>
        <w:tab w:val="right" w:pos="8504" w:leader="none"/>
      </w:tabs>
      <w:spacing w:lineRule="auto" w:line="276"/>
      <w:jc w:val="center"/>
      <w:rPr>
        <w:rFonts w:ascii="Arial" w:hAnsi="Arial" w:cs="Arial"/>
        <w:b/>
        <w:b/>
        <w:szCs w:val="16"/>
      </w:rPr>
    </w:pPr>
    <w:r>
      <w:rPr/>
      <w:drawing>
        <wp:inline distT="0" distB="0" distL="0" distR="0">
          <wp:extent cx="647700" cy="65024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47700" cy="650240"/>
                  </a:xfrm>
                  <a:prstGeom prst="rect">
                    <a:avLst/>
                  </a:prstGeom>
                </pic:spPr>
              </pic:pic>
            </a:graphicData>
          </a:graphic>
        </wp:inline>
      </w:drawing>
    </w:r>
  </w:p>
  <w:p>
    <w:pPr>
      <w:pStyle w:val="Cabealho"/>
      <w:tabs>
        <w:tab w:val="left" w:pos="2166" w:leader="none"/>
        <w:tab w:val="center" w:pos="4252" w:leader="none"/>
        <w:tab w:val="right" w:pos="8504" w:leader="none"/>
      </w:tabs>
      <w:jc w:val="center"/>
      <w:rPr>
        <w:rFonts w:ascii="Arial" w:hAnsi="Arial" w:cs="Arial"/>
        <w:b/>
        <w:b/>
        <w:szCs w:val="16"/>
      </w:rPr>
    </w:pPr>
    <w:r>
      <w:rPr>
        <w:rFonts w:cs="Arial" w:ascii="Arial" w:hAnsi="Arial"/>
        <w:b/>
        <w:szCs w:val="16"/>
      </w:rPr>
      <w:t>PREFEITURA MUNICIPAL DE SÃO ROQUE DO CANAÃ</w:t>
    </w:r>
  </w:p>
  <w:p>
    <w:pPr>
      <w:pStyle w:val="Subttulo"/>
      <w:rPr>
        <w:rFonts w:ascii="Arial" w:hAnsi="Arial" w:cs="Arial"/>
        <w:sz w:val="22"/>
        <w:szCs w:val="16"/>
      </w:rPr>
    </w:pPr>
    <w:r>
      <w:rPr>
        <w:rFonts w:cs="Arial" w:ascii="Arial" w:hAnsi="Arial"/>
        <w:sz w:val="22"/>
        <w:szCs w:val="16"/>
      </w:rPr>
      <w:t>ESTADO DO ESPÍRITO SANTO</w:t>
    </w:r>
  </w:p>
  <w:p>
    <w:pPr>
      <w:pStyle w:val="Subttulo"/>
      <w:rPr>
        <w:rFonts w:ascii="Arial" w:hAnsi="Arial" w:cs="Arial"/>
        <w:sz w:val="22"/>
        <w:szCs w:val="16"/>
      </w:rPr>
    </w:pPr>
    <w:r>
      <w:rPr>
        <w:rFonts w:cs="Arial" w:ascii="Arial" w:hAnsi="Arial"/>
        <w:sz w:val="22"/>
        <w:szCs w:val="16"/>
      </w:rPr>
      <w:t>SECRETARIA MUNICIPAL DE A</w:t>
    </w:r>
    <w:r>
      <w:rPr>
        <w:rFonts w:cs="Arial" w:ascii="Arial" w:hAnsi="Arial"/>
        <w:sz w:val="22"/>
        <w:szCs w:val="16"/>
      </w:rPr>
      <w:t>GRICULTURA E DESENVOLVIMENTO ECONÔMICO</w:t>
    </w:r>
  </w:p>
  <w:p>
    <w:pPr>
      <w:pStyle w:val="Subttulo"/>
      <w:jc w:val="left"/>
      <w:rPr>
        <w:rFonts w:ascii="Arial" w:hAnsi="Arial" w:cs="Arial"/>
        <w:sz w:val="22"/>
        <w:szCs w:val="16"/>
      </w:rPr>
    </w:pPr>
    <w:r>
      <w:rPr>
        <w:rFonts w:cs="Arial" w:ascii="Arial" w:hAnsi="Arial"/>
        <w:sz w:val="22"/>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Fonts w:ascii="Arial" w:hAnsi="Arial" w:cs="Arial"/>
      </w:rPr>
    </w:lvl>
    <w:lvl w:ilvl="2">
      <w:start w:val="1"/>
      <w:numFmt w:val="decimal"/>
      <w:lvlText w:val="%1.%2.%3."/>
      <w:lvlJc w:val="left"/>
      <w:pPr>
        <w:tabs>
          <w:tab w:val="num" w:pos="0"/>
        </w:tabs>
        <w:ind w:left="2631" w:hanging="504"/>
      </w:pPr>
      <w:rPr>
        <w:i w:val="false"/>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upperRoman"/>
      <w:lvlText w:val="%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val="false"/>
        <w:rFonts w:ascii="Arial" w:hAnsi="Arial" w:cs="Arial"/>
      </w:rPr>
    </w:lvl>
    <w:lvl w:ilvl="2">
      <w:start w:val="1"/>
      <w:numFmt w:val="decimal"/>
      <w:lvlText w:val="%1.%2.%3."/>
      <w:lvlJc w:val="left"/>
      <w:pPr>
        <w:tabs>
          <w:tab w:val="num" w:pos="0"/>
        </w:tabs>
        <w:ind w:left="504" w:hanging="504"/>
      </w:pPr>
      <w:rPr>
        <w:b w:val="false"/>
      </w:rPr>
    </w:lvl>
    <w:lvl w:ilvl="3">
      <w:start w:val="1"/>
      <w:numFmt w:val="decimal"/>
      <w:lvlText w:val="%1.%2.%3.%4."/>
      <w:lvlJc w:val="left"/>
      <w:pPr>
        <w:tabs>
          <w:tab w:val="num" w:pos="0"/>
        </w:tabs>
        <w:ind w:left="1728" w:hanging="648"/>
      </w:pPr>
      <w:rPr>
        <w:b w:val="false"/>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1">
    <w:name w:val="Heading 1"/>
    <w:basedOn w:val="Normal"/>
    <w:next w:val="Normal"/>
    <w:link w:val="Ttulo1Char"/>
    <w:uiPriority w:val="9"/>
    <w:qFormat/>
    <w:rsid w:val="000a2c0f"/>
    <w:pPr>
      <w:keepNext w:val="true"/>
      <w:keepLines/>
      <w:spacing w:before="480" w:after="0"/>
      <w:outlineLvl w:val="0"/>
    </w:pPr>
    <w:rPr>
      <w:rFonts w:ascii="Calibri Light" w:hAnsi="Calibri Light" w:eastAsia="" w:cs="" w:asciiTheme="majorHAnsi" w:cstheme="majorBidi" w:eastAsiaTheme="majorEastAsia" w:hAnsiTheme="majorHAnsi"/>
      <w:b/>
      <w:bCs/>
      <w:color w:val="2E74B5" w:themeColor="accent1" w:themeShade="bf"/>
      <w:sz w:val="28"/>
      <w:szCs w:val="2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Segoe UI" w:hAnsi="Segoe UI" w:cs="Segoe UI"/>
      <w:sz w:val="18"/>
      <w:szCs w:val="18"/>
    </w:rPr>
  </w:style>
  <w:style w:type="character" w:styleId="Ttulo1Char" w:customStyle="1">
    <w:name w:val="Título 1 Char"/>
    <w:basedOn w:val="DefaultParagraphFont"/>
    <w:uiPriority w:val="9"/>
    <w:qFormat/>
    <w:rsid w:val="000a2c0f"/>
    <w:rPr>
      <w:rFonts w:ascii="Calibri Light" w:hAnsi="Calibri Light" w:eastAsia="" w:cs="" w:asciiTheme="majorHAnsi" w:cstheme="majorBidi" w:eastAsiaTheme="majorEastAsia" w:hAnsiTheme="majorHAnsi"/>
      <w:b/>
      <w:bCs/>
      <w:color w:val="2E74B5" w:themeColor="accent1" w:themeShade="bf"/>
      <w:sz w:val="28"/>
      <w:szCs w:val="28"/>
      <w:lang w:eastAsia="en-US"/>
    </w:rPr>
  </w:style>
  <w:style w:type="character" w:styleId="LinkdaInternet">
    <w:name w:val="Hyperlink"/>
    <w:basedOn w:val="DefaultParagraphFont"/>
    <w:uiPriority w:val="99"/>
    <w:unhideWhenUsed/>
    <w:rsid w:val="000a2c0f"/>
    <w:rPr>
      <w:color w:val="0563C1" w:themeColor="hyperlink"/>
      <w:u w:val="single"/>
    </w:rPr>
  </w:style>
  <w:style w:type="character" w:styleId="Markedcontent" w:customStyle="1">
    <w:name w:val="markedcontent"/>
    <w:basedOn w:val="DefaultParagraphFont"/>
    <w:qFormat/>
    <w:rsid w:val="000a2c0f"/>
    <w:rPr/>
  </w:style>
  <w:style w:type="character" w:styleId="SubttuloChar" w:customStyle="1">
    <w:name w:val="Subtítulo Char"/>
    <w:basedOn w:val="DefaultParagraphFont"/>
    <w:qFormat/>
    <w:rsid w:val="000b235b"/>
    <w:rPr>
      <w:rFonts w:ascii="Cambria" w:hAnsi="Cambria" w:eastAsia="Times New Roman" w:cs="Times New Roman"/>
      <w:sz w:val="24"/>
    </w:rPr>
  </w:style>
  <w:style w:type="character" w:styleId="PargrafodaListaChar" w:customStyle="1">
    <w:name w:val="Parágrafo da Lista Char"/>
    <w:link w:val="ListParagraph"/>
    <w:qFormat/>
    <w:locked/>
    <w:rsid w:val="006876f3"/>
    <w:rPr>
      <w:sz w:val="22"/>
      <w:szCs w:val="22"/>
      <w:lang w:eastAsia="en-US"/>
    </w:rPr>
  </w:style>
  <w:style w:type="character" w:styleId="Strong">
    <w:name w:val="Strong"/>
    <w:basedOn w:val="DefaultParagraphFont"/>
    <w:uiPriority w:val="22"/>
    <w:qFormat/>
    <w:rsid w:val="00600a63"/>
    <w:rPr>
      <w:b/>
      <w:bCs/>
    </w:rPr>
  </w:style>
  <w:style w:type="character" w:styleId="TtuloChar" w:customStyle="1">
    <w:name w:val="Título Char"/>
    <w:basedOn w:val="DefaultParagraphFont"/>
    <w:qFormat/>
    <w:rsid w:val="000f068c"/>
    <w:rPr>
      <w:rFonts w:ascii="Cambria" w:hAnsi="Cambria" w:eastAsia="Times New Roman" w:cs="Times New Roman"/>
      <w:b/>
      <w:kern w:val="2"/>
      <w:sz w:val="32"/>
    </w:rPr>
  </w:style>
  <w:style w:type="character" w:styleId="Corpodetexto3Char" w:customStyle="1">
    <w:name w:val="Corpo de texto 3 Char"/>
    <w:basedOn w:val="DefaultParagraphFont"/>
    <w:link w:val="BodyText3"/>
    <w:qFormat/>
    <w:rsid w:val="000f068c"/>
    <w:rPr>
      <w:rFonts w:ascii="Times New Roman" w:hAnsi="Times New Roman" w:eastAsia="Times New Roman" w:cs="Times New Roman"/>
      <w:sz w:val="16"/>
      <w:szCs w:val="16"/>
    </w:rPr>
  </w:style>
  <w:style w:type="character" w:styleId="TextodenotaderodapChar" w:customStyle="1">
    <w:name w:val="Texto de nota de rodapé Char"/>
    <w:basedOn w:val="DefaultParagraphFont"/>
    <w:uiPriority w:val="99"/>
    <w:semiHidden/>
    <w:qFormat/>
    <w:rsid w:val="003e5cca"/>
    <w:rPr>
      <w:lang w:eastAsia="en-US"/>
    </w:rPr>
  </w:style>
  <w:style w:type="character" w:styleId="Caracteresdenotaderodap">
    <w:name w:val="Caracteres de nota de rodapé"/>
    <w:uiPriority w:val="99"/>
    <w:semiHidden/>
    <w:unhideWhenUsed/>
    <w:qFormat/>
    <w:rsid w:val="003e5cca"/>
    <w:rPr>
      <w:vertAlign w:val="superscript"/>
    </w:rPr>
  </w:style>
  <w:style w:type="character" w:styleId="Ncoradanotaderodap">
    <w:name w:val="Footnote Reference"/>
    <w:rPr>
      <w:vertAlign w:val="superscript"/>
    </w:rPr>
  </w:style>
  <w:style w:type="character" w:styleId="Caracteresdenotadefim">
    <w:name w:val="Caracteres de nota de fim"/>
    <w:qFormat/>
    <w:rPr>
      <w:vertAlign w:val="superscript"/>
    </w:rPr>
  </w:style>
  <w:style w:type="character" w:styleId="Ncoradanotadefim">
    <w:name w:val="Endnote Reference"/>
    <w:rPr>
      <w:vertAlign w:val="superscript"/>
    </w:rPr>
  </w:style>
  <w:style w:type="character" w:styleId="Smbolosdenumerao">
    <w:name w:val="Símbolos de numeração"/>
    <w:qFormat/>
    <w:rPr/>
  </w:style>
  <w:style w:type="character" w:styleId="EndnoteCharacters">
    <w:name w:val="Endnote Characters"/>
    <w:qFormat/>
    <w:rPr>
      <w:vertAlign w:val="superscript"/>
    </w:rPr>
  </w:style>
  <w:style w:type="character" w:styleId="FootnoteCharacters">
    <w:name w:val="Footnote Characters"/>
    <w:qFormat/>
    <w:rPr>
      <w:rFonts w:ascii="Times New Roman" w:hAnsi="Times New Roman" w:eastAsia="Times New Roman" w:cs="Times New Roman"/>
      <w:color w:val="000000"/>
      <w:sz w:val="24"/>
      <w:szCs w:val="24"/>
      <w:vertAlign w:val="superscrip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pt-BR"/>
    </w:rPr>
  </w:style>
  <w:style w:type="paragraph" w:styleId="CabealhoeRodap">
    <w:name w:val="Cabeçalho e Rodapé"/>
    <w:basedOn w:val="Normal"/>
    <w:qFormat/>
    <w:pPr/>
    <w:rPr/>
  </w:style>
  <w:style w:type="paragraph" w:styleId="Cabealho">
    <w:name w:val="Header"/>
    <w:basedOn w:val="Normal"/>
    <w:link w:val="CabealhoChar"/>
    <w:unhideWhenUsed/>
    <w:qFormat/>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pPr>
      <w:spacing w:lineRule="auto" w:line="240" w:before="0" w:after="0"/>
    </w:pPr>
    <w:rPr>
      <w:rFonts w:ascii="Segoe UI" w:hAnsi="Segoe UI" w:cs="Segoe UI"/>
      <w:sz w:val="18"/>
      <w:szCs w:val="18"/>
    </w:rPr>
  </w:style>
  <w:style w:type="paragraph" w:styleId="WWCorpodetexto3" w:customStyle="1">
    <w:name w:val="WW-Corpo de texto 3"/>
    <w:basedOn w:val="Normal"/>
    <w:qFormat/>
    <w:pPr>
      <w:suppressAutoHyphens w:val="true"/>
      <w:spacing w:lineRule="auto" w:line="240" w:before="0" w:after="0"/>
      <w:jc w:val="both"/>
    </w:pPr>
    <w:rPr>
      <w:rFonts w:ascii="Times New Roman" w:hAnsi="Times New Roman" w:eastAsia="Times New Roman" w:cs="Times New Roman"/>
      <w:sz w:val="24"/>
      <w:szCs w:val="20"/>
      <w:lang w:eastAsia="pt-BR"/>
    </w:rPr>
  </w:style>
  <w:style w:type="paragraph" w:styleId="Subttulo">
    <w:name w:val="Subtitle"/>
    <w:basedOn w:val="Normal"/>
    <w:link w:val="SubttuloChar"/>
    <w:qFormat/>
    <w:rsid w:val="000b235b"/>
    <w:pPr>
      <w:spacing w:lineRule="auto" w:line="240" w:before="0" w:after="0"/>
      <w:jc w:val="center"/>
    </w:pPr>
    <w:rPr>
      <w:rFonts w:ascii="Cambria" w:hAnsi="Cambria" w:eastAsia="Times New Roman" w:cs="Times New Roman"/>
      <w:sz w:val="24"/>
      <w:szCs w:val="20"/>
      <w:lang w:eastAsia="pt-BR"/>
    </w:rPr>
  </w:style>
  <w:style w:type="paragraph" w:styleId="ListParagraph">
    <w:name w:val="List Paragraph"/>
    <w:basedOn w:val="Normal"/>
    <w:link w:val="PargrafodaListaChar"/>
    <w:uiPriority w:val="34"/>
    <w:qFormat/>
    <w:rsid w:val="000b28e5"/>
    <w:pPr>
      <w:spacing w:before="0" w:after="160"/>
      <w:ind w:left="720" w:hanging="0"/>
      <w:contextualSpacing/>
    </w:pPr>
    <w:rPr/>
  </w:style>
  <w:style w:type="paragraph" w:styleId="Corpodetexto23" w:customStyle="1">
    <w:name w:val="Corpo de texto 23"/>
    <w:basedOn w:val="Normal"/>
    <w:qFormat/>
    <w:rsid w:val="00de115b"/>
    <w:pPr>
      <w:spacing w:lineRule="auto" w:line="240" w:before="0" w:after="0"/>
      <w:jc w:val="both"/>
    </w:pPr>
    <w:rPr>
      <w:rFonts w:ascii="Times New Roman" w:hAnsi="Times New Roman" w:eastAsia="SimSun" w:cs="Times New Roman"/>
      <w:sz w:val="20"/>
      <w:szCs w:val="20"/>
      <w:lang w:eastAsia="zh-CN"/>
    </w:rPr>
  </w:style>
  <w:style w:type="paragraph" w:styleId="Ttulododocumento">
    <w:name w:val="Title"/>
    <w:basedOn w:val="Normal"/>
    <w:link w:val="TtuloChar"/>
    <w:qFormat/>
    <w:rsid w:val="000f068c"/>
    <w:pPr>
      <w:spacing w:lineRule="auto" w:line="240" w:before="0" w:after="0"/>
      <w:jc w:val="center"/>
    </w:pPr>
    <w:rPr>
      <w:rFonts w:ascii="Cambria" w:hAnsi="Cambria" w:eastAsia="Times New Roman" w:cs="Times New Roman"/>
      <w:b/>
      <w:kern w:val="2"/>
      <w:sz w:val="32"/>
      <w:szCs w:val="20"/>
      <w:lang w:eastAsia="pt-BR"/>
    </w:rPr>
  </w:style>
  <w:style w:type="paragraph" w:styleId="BodyText3">
    <w:name w:val="Body Text 3"/>
    <w:basedOn w:val="Normal"/>
    <w:link w:val="Corpodetexto3Char"/>
    <w:qFormat/>
    <w:rsid w:val="000f068c"/>
    <w:pPr>
      <w:spacing w:lineRule="auto" w:line="240" w:before="0" w:after="120"/>
    </w:pPr>
    <w:rPr>
      <w:rFonts w:ascii="Times New Roman" w:hAnsi="Times New Roman" w:eastAsia="Times New Roman" w:cs="Times New Roman"/>
      <w:sz w:val="16"/>
      <w:szCs w:val="16"/>
      <w:lang w:eastAsia="pt-BR"/>
    </w:rPr>
  </w:style>
  <w:style w:type="paragraph" w:styleId="Notaderodap">
    <w:name w:val="Footnote Text"/>
    <w:basedOn w:val="Normal"/>
    <w:link w:val="TextodenotaderodapChar"/>
    <w:uiPriority w:val="99"/>
    <w:semiHidden/>
    <w:unhideWhenUsed/>
    <w:rsid w:val="003e5cca"/>
    <w:pPr>
      <w:spacing w:lineRule="auto" w:line="240" w:before="0" w:after="0"/>
    </w:pPr>
    <w:rPr>
      <w:sz w:val="20"/>
      <w:szCs w:val="20"/>
    </w:rPr>
  </w:style>
  <w:style w:type="paragraph" w:styleId="Western" w:customStyle="1">
    <w:name w:val="western"/>
    <w:basedOn w:val="Normal"/>
    <w:qFormat/>
    <w:rsid w:val="00937713"/>
    <w:pPr>
      <w:spacing w:lineRule="auto" w:line="240" w:beforeAutospacing="1" w:after="119"/>
    </w:pPr>
    <w:rPr>
      <w:rFonts w:ascii="Times New Roman" w:hAnsi="Times New Roman" w:eastAsia="Times New Roman" w:cs="Times New Roman"/>
      <w:color w:val="000000"/>
      <w:sz w:val="24"/>
      <w:szCs w:val="24"/>
      <w:lang w:eastAsia="pt-B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e719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12B63-2EFC-4BFD-819C-BAB8E8304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Application>LibreOffice/7.4.6.2$Windows_X86_64 LibreOffice_project/5b1f5509c2decdade7fda905e3e1429a67acd63d</Application>
  <AppVersion>15.0000</AppVersion>
  <Pages>7</Pages>
  <Words>2068</Words>
  <Characters>11677</Characters>
  <CharactersWithSpaces>13601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dc:description/>
  <dc:language>pt-BR</dc:language>
  <cp:lastModifiedBy/>
  <cp:lastPrinted>2025-02-24T11:09:41Z</cp:lastPrinted>
  <dcterms:modified xsi:type="dcterms:W3CDTF">2025-02-24T12:25:56Z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