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Arial" w:hAnsi="Arial"/>
          <w:sz w:val="24"/>
          <w:szCs w:val="24"/>
        </w:rPr>
      </w:pPr>
      <w:r>
        <w:rPr>
          <w:rFonts w:cs="Arial" w:ascii="Arial" w:hAnsi="Arial"/>
          <w:b/>
          <w:sz w:val="24"/>
          <w:szCs w:val="24"/>
        </w:rPr>
        <w:t>TERMO DE REFERÊNCIA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DESCRIÇÃO DO OBJETO E DA VIGÊNCIA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 DESCRIÇÃO DO OBJETO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ascii="Arial" w:hAnsi="Arial"/>
          <w:sz w:val="24"/>
          <w:szCs w:val="24"/>
        </w:rPr>
        <w:t xml:space="preserve">Constitui objeto do presente Termo de Referência, estabelecer as condições e diretrizes que disciplinarão o empenho estimativo para </w:t>
      </w:r>
      <w:r>
        <w:rPr>
          <w:rFonts w:cs="Arial" w:ascii="Arial" w:hAnsi="Arial"/>
          <w:b/>
          <w:bCs/>
          <w:sz w:val="24"/>
          <w:szCs w:val="24"/>
        </w:rPr>
        <w:t>custear as despesas decorrentes do benefício de vale transporte, assegurado aos servidores pelo Decreto Municipal nº 041/2003, retificado pelo Decreto Municipal nº 028/2005 e Lei Municipal nº 564/2009, no exercício de 2025</w:t>
      </w:r>
      <w:r>
        <w:rPr>
          <w:rFonts w:cs="Arial" w:ascii="Arial" w:hAnsi="Arial"/>
          <w:bCs/>
          <w:sz w:val="24"/>
          <w:szCs w:val="24"/>
        </w:rPr>
        <w:t xml:space="preserve">, com fulcro no art. 60, da Lei Federal nº </w:t>
      </w:r>
      <w:r>
        <w:rPr>
          <w:rFonts w:cs="Arial" w:ascii="Arial" w:hAnsi="Arial"/>
          <w:sz w:val="24"/>
          <w:szCs w:val="24"/>
        </w:rPr>
        <w:t xml:space="preserve">4.320/1964 e art. 74, </w:t>
      </w:r>
      <w:r>
        <w:rPr>
          <w:rFonts w:cs="Arial" w:ascii="Arial" w:hAnsi="Arial"/>
          <w:i/>
          <w:sz w:val="24"/>
          <w:szCs w:val="24"/>
        </w:rPr>
        <w:t>caput</w:t>
      </w:r>
      <w:r>
        <w:rPr>
          <w:rFonts w:cs="Arial" w:ascii="Arial" w:hAnsi="Arial"/>
          <w:sz w:val="24"/>
          <w:szCs w:val="24"/>
        </w:rPr>
        <w:t>, da Lei Federal nº 14.133/2021.</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DOS SERVIDORES BENEFICIÁRIOS</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ascii="Arial" w:hAnsi="Arial"/>
          <w:sz w:val="24"/>
          <w:szCs w:val="24"/>
        </w:rPr>
        <w:t>A demanda em questão objetiva a oferta de vale transporte aos servidores, que assim o requereram nos termos d</w:t>
      </w:r>
      <w:r>
        <w:rPr>
          <w:rFonts w:cs="Arial" w:ascii="Arial" w:hAnsi="Arial"/>
          <w:sz w:val="24"/>
          <w:szCs w:val="24"/>
          <w:shd w:fill="auto" w:val="clear"/>
        </w:rPr>
        <w:t>a Lei Municipal nº 564/2009, quais sejam, cuja relação poderá ser alterada a qualquer tempo com a inclusão de novos servidores:</w:t>
      </w:r>
    </w:p>
    <w:p>
      <w:pPr>
        <w:pStyle w:val="ListParagraph"/>
        <w:rPr>
          <w:rFonts w:ascii="Arial" w:hAnsi="Arial"/>
          <w:b/>
          <w:bCs/>
          <w:color w:val="111111"/>
          <w:sz w:val="24"/>
          <w:szCs w:val="24"/>
        </w:rPr>
      </w:pPr>
      <w:r>
        <w:rPr>
          <w:rFonts w:ascii="Arial" w:hAnsi="Arial"/>
          <w:b/>
          <w:bCs/>
          <w:color w:val="111111"/>
          <w:sz w:val="24"/>
          <w:szCs w:val="24"/>
        </w:rPr>
      </w:r>
    </w:p>
    <w:tbl>
      <w:tblPr>
        <w:tblStyle w:val="Tabelacomgrade"/>
        <w:tblW w:w="4850" w:type="pct"/>
        <w:jc w:val="left"/>
        <w:tblInd w:w="221" w:type="dxa"/>
        <w:tblLayout w:type="fixed"/>
        <w:tblCellMar>
          <w:top w:w="0" w:type="dxa"/>
          <w:left w:w="108" w:type="dxa"/>
          <w:bottom w:w="0" w:type="dxa"/>
          <w:right w:w="108" w:type="dxa"/>
        </w:tblCellMar>
        <w:tblLook w:firstRow="1" w:noVBand="1" w:lastRow="0" w:firstColumn="1" w:lastColumn="0" w:noHBand="0" w:val="04a0"/>
      </w:tblPr>
      <w:tblGrid>
        <w:gridCol w:w="1909"/>
        <w:gridCol w:w="1895"/>
        <w:gridCol w:w="1948"/>
        <w:gridCol w:w="1595"/>
        <w:gridCol w:w="1451"/>
      </w:tblGrid>
      <w:tr>
        <w:trPr>
          <w:trHeight w:val="333" w:hRule="atLeast"/>
        </w:trPr>
        <w:tc>
          <w:tcPr>
            <w:tcW w:w="8798" w:type="dxa"/>
            <w:gridSpan w:val="5"/>
            <w:tcBorders/>
            <w:shd w:color="auto" w:fill="BFBFBF" w:themeFill="background1" w:themeFillShade="bf" w:val="clear"/>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Relação de Servidores usufrutuários do benefício do Vale Transporte</w:t>
            </w:r>
          </w:p>
        </w:tc>
      </w:tr>
      <w:tr>
        <w:trPr>
          <w:trHeight w:val="20" w:hRule="atLeast"/>
        </w:trPr>
        <w:tc>
          <w:tcPr>
            <w:tcW w:w="1909" w:type="dxa"/>
            <w:tcBorders/>
            <w:shd w:color="auto" w:fill="D9D9D9" w:themeFill="background1" w:themeFillShade="d9" w:val="clear"/>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Servidor</w:t>
            </w:r>
          </w:p>
        </w:tc>
        <w:tc>
          <w:tcPr>
            <w:tcW w:w="1895" w:type="dxa"/>
            <w:tcBorders/>
            <w:shd w:color="auto" w:fill="D9D9D9" w:themeFill="background1" w:themeFillShade="d9" w:val="clear"/>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Transporte utilizado</w:t>
            </w:r>
          </w:p>
        </w:tc>
        <w:tc>
          <w:tcPr>
            <w:tcW w:w="1948" w:type="dxa"/>
            <w:tcBorders/>
            <w:shd w:color="auto" w:fill="D9D9D9" w:themeFill="background1" w:themeFillShade="d9" w:val="clear"/>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Trajeto</w:t>
            </w:r>
          </w:p>
        </w:tc>
        <w:tc>
          <w:tcPr>
            <w:tcW w:w="1595" w:type="dxa"/>
            <w:tcBorders/>
            <w:shd w:color="auto" w:fill="D9D9D9" w:themeFill="background1" w:themeFillShade="d9" w:val="clear"/>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Passagens diárias</w:t>
            </w:r>
          </w:p>
        </w:tc>
        <w:tc>
          <w:tcPr>
            <w:tcW w:w="1451" w:type="dxa"/>
            <w:tcBorders/>
            <w:shd w:color="auto" w:fill="D9D9D9" w:themeFill="background1" w:themeFillShade="d9" w:val="clear"/>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Dias da semana</w:t>
            </w:r>
          </w:p>
        </w:tc>
      </w:tr>
      <w:tr>
        <w:trPr>
          <w:trHeight w:val="20" w:hRule="atLeast"/>
        </w:trPr>
        <w:tc>
          <w:tcPr>
            <w:tcW w:w="1909" w:type="dxa"/>
            <w:tcBorders/>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Lara Bassani</w:t>
            </w:r>
          </w:p>
        </w:tc>
        <w:tc>
          <w:tcPr>
            <w:tcW w:w="1895" w:type="dxa"/>
            <w:tcBorders/>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Ônibus Intermunicipal</w:t>
            </w:r>
          </w:p>
        </w:tc>
        <w:tc>
          <w:tcPr>
            <w:tcW w:w="1948" w:type="dxa"/>
            <w:tcBorders/>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Santa Teresa x São Roque do Canaã</w:t>
            </w:r>
          </w:p>
        </w:tc>
        <w:tc>
          <w:tcPr>
            <w:tcW w:w="1595" w:type="dxa"/>
            <w:tcBorders/>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02 passes</w:t>
            </w:r>
          </w:p>
        </w:tc>
        <w:tc>
          <w:tcPr>
            <w:tcW w:w="1451" w:type="dxa"/>
            <w:tcBorders/>
            <w:vAlign w:val="center"/>
          </w:tcPr>
          <w:p>
            <w:pPr>
              <w:pStyle w:val="Normal"/>
              <w:spacing w:before="0" w:after="160"/>
              <w:jc w:val="left"/>
              <w:rPr>
                <w:rFonts w:ascii="Arial" w:hAnsi="Arial"/>
                <w:b/>
                <w:bCs/>
                <w:color w:val="111111"/>
                <w:sz w:val="24"/>
                <w:szCs w:val="24"/>
              </w:rPr>
            </w:pPr>
            <w:r>
              <w:rPr>
                <w:rFonts w:ascii="Arial" w:hAnsi="Arial"/>
                <w:b/>
                <w:bCs/>
                <w:color w:val="111111"/>
                <w:sz w:val="24"/>
                <w:szCs w:val="24"/>
                <w:lang w:val="pt-BR" w:bidi="ar-SA"/>
              </w:rPr>
              <w:t>Segunda à Sexta-feira</w:t>
            </w:r>
          </w:p>
        </w:tc>
      </w:tr>
    </w:tbl>
    <w:p>
      <w:pPr>
        <w:pStyle w:val="ListParagraph"/>
        <w:rPr>
          <w:rFonts w:ascii="Arial" w:hAnsi="Arial"/>
          <w:b/>
          <w:bCs/>
          <w:color w:val="111111"/>
          <w:sz w:val="24"/>
          <w:szCs w:val="24"/>
        </w:rPr>
      </w:pPr>
      <w:r>
        <w:rPr>
          <w:rFonts w:ascii="Arial" w:hAnsi="Arial"/>
          <w:b/>
          <w:bCs/>
          <w:color w:val="111111"/>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DAS LINHAS DE TRANSPORTE</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ascii="Arial" w:hAnsi="Arial"/>
          <w:sz w:val="24"/>
          <w:szCs w:val="24"/>
        </w:rPr>
        <w:t xml:space="preserve"> </w:t>
      </w:r>
      <w:r>
        <w:rPr>
          <w:rFonts w:cs="Arial" w:ascii="Arial" w:hAnsi="Arial"/>
          <w:sz w:val="24"/>
          <w:szCs w:val="24"/>
        </w:rPr>
        <w:t>Conforme estabelece o art. 171 da Lei Municipal nº 564/2009, o benefício do vale transporte é concedido aos servidores com o objetivo de custear parcialmente as despesas com deslocamento, relacionadas ao trabalho, através de “</w:t>
      </w:r>
      <w:r>
        <w:rPr>
          <w:rFonts w:cs="Arial" w:ascii="Arial" w:hAnsi="Arial"/>
          <w:i/>
          <w:sz w:val="24"/>
          <w:szCs w:val="24"/>
        </w:rPr>
        <w:t>sistema de transporte coletivo (...) intermunicipal (...), geridos (...) mediante concessão ou permissão de linhas regulares e com tarifas fixadas pela autoridade competente</w:t>
      </w:r>
      <w:r>
        <w:rPr>
          <w:rFonts w:cs="Arial" w:ascii="Arial" w:hAnsi="Arial"/>
          <w:sz w:val="24"/>
          <w:szCs w:val="24"/>
        </w:rPr>
        <w:t>”. Nessa perspectiva, são linhas regulares as desempenhadas pelas seguintes empresas: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spacing w:lineRule="auto" w:line="240" w:before="0" w:after="0"/>
        <w:ind w:hanging="0" w:left="0"/>
        <w:contextualSpacing/>
        <w:jc w:val="both"/>
        <w:rPr>
          <w:rFonts w:ascii="Arial" w:hAnsi="Arial"/>
          <w:sz w:val="24"/>
          <w:szCs w:val="24"/>
        </w:rPr>
      </w:pPr>
      <w:r>
        <w:rPr>
          <w:rFonts w:cs="Arial" w:ascii="Arial" w:hAnsi="Arial"/>
          <w:b/>
          <w:sz w:val="24"/>
          <w:szCs w:val="24"/>
        </w:rPr>
        <w:t>a) Viação Lírio dos Vales Ltda.,</w:t>
      </w:r>
      <w:r>
        <w:rPr>
          <w:rFonts w:cs="Arial" w:ascii="Arial" w:hAnsi="Arial"/>
          <w:sz w:val="24"/>
          <w:szCs w:val="24"/>
        </w:rPr>
        <w:t xml:space="preserve"> CNPJ nº 02.615.012/0001-56.</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 VIGÊNCIA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O </w:t>
      </w:r>
      <w:r>
        <w:rPr>
          <w:rFonts w:cs="Arial" w:ascii="Arial" w:hAnsi="Arial"/>
          <w:b/>
          <w:sz w:val="24"/>
          <w:szCs w:val="24"/>
        </w:rPr>
        <w:t>empenho estimativo</w:t>
      </w:r>
      <w:r>
        <w:rPr>
          <w:rFonts w:cs="Arial" w:ascii="Arial" w:hAnsi="Arial"/>
          <w:sz w:val="24"/>
          <w:szCs w:val="24"/>
        </w:rPr>
        <w:t xml:space="preserve"> deverá ocorrer, preferencialmente, no mês de janeiro de 2025, com vigência programada para custeio das despesas relativas a oferta do benefício de vale transporte no </w:t>
      </w:r>
      <w:r>
        <w:rPr>
          <w:rFonts w:cs="Arial" w:ascii="Arial" w:hAnsi="Arial"/>
          <w:b/>
          <w:sz w:val="24"/>
          <w:szCs w:val="24"/>
        </w:rPr>
        <w:t>período de 01/01/2025 à 31/12/2025.</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OBJETIVO E DA JUSTIFICATIVA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ascii="Arial" w:hAnsi="Arial"/>
          <w:b/>
          <w:sz w:val="24"/>
          <w:szCs w:val="24"/>
        </w:rPr>
        <w:t>vedada a realização de despesas sem prévio empenho.</w:t>
      </w:r>
      <w:r>
        <w:rPr>
          <w:rFonts w:cs="Arial" w:ascii="Arial" w:hAnsi="Arial"/>
          <w:sz w:val="24"/>
          <w:szCs w:val="24"/>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Nessa perspectiva, o art. 60, §2º, da Lei Federal nº 4.320/1964, disciplina que, nas hipóteses de o montante da despesa não for possível ser determinado, será feito o </w:t>
      </w:r>
      <w:r>
        <w:rPr>
          <w:rFonts w:cs="Arial" w:ascii="Arial" w:hAnsi="Arial"/>
          <w:b/>
          <w:sz w:val="24"/>
          <w:szCs w:val="24"/>
        </w:rPr>
        <w:t>empenho por estimativa.</w:t>
      </w:r>
      <w:r>
        <w:rPr>
          <w:rFonts w:cs="Arial" w:ascii="Arial" w:hAnsi="Arial"/>
          <w:sz w:val="24"/>
          <w:szCs w:val="24"/>
        </w:rPr>
        <w:t xml:space="preserve"> Tem-se, portanto, como aquele em que </w:t>
      </w:r>
      <w:r>
        <w:rPr>
          <w:rFonts w:cs="Arial" w:ascii="Arial" w:hAnsi="Arial"/>
          <w:b/>
          <w:sz w:val="24"/>
          <w:szCs w:val="24"/>
        </w:rPr>
        <w:t>não se pode determinar previamente o montante exato a ser pago</w:t>
      </w:r>
      <w:r>
        <w:rPr>
          <w:rFonts w:cs="Arial" w:ascii="Arial" w:hAnsi="Arial"/>
          <w:sz w:val="24"/>
          <w:szCs w:val="24"/>
        </w:rPr>
        <w:t>, como ocorre, em particular, com as contas de água, luz, gás e telefone.</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Ademais, no âmbito da Lei Municipal nº 564/2009, ao que se refere a manutenção dos órgãos de saúde, é possível destacar a importância d</w:t>
      </w:r>
      <w:r>
        <w:rPr>
          <w:rFonts w:eastAsia="Calibri" w:cs="Arial" w:ascii="Arial" w:hAnsi="Arial" w:eastAsiaTheme="minorHAnsi"/>
          <w:sz w:val="24"/>
          <w:szCs w:val="24"/>
          <w:lang w:eastAsia="en-US"/>
        </w:rPr>
        <w:t xml:space="preserve">o benefício do vale transporte, </w:t>
      </w:r>
      <w:r>
        <w:rPr>
          <w:rFonts w:cs="Arial" w:ascii="Arial" w:hAnsi="Arial"/>
          <w:sz w:val="24"/>
          <w:szCs w:val="24"/>
        </w:rPr>
        <w:t>fornecido</w:t>
      </w:r>
      <w:r>
        <w:rPr>
          <w:rFonts w:eastAsia="Calibri" w:cs="Arial" w:ascii="Arial" w:hAnsi="Arial" w:eastAsiaTheme="minorHAnsi"/>
          <w:sz w:val="24"/>
          <w:szCs w:val="24"/>
          <w:lang w:eastAsia="en-US"/>
        </w:rPr>
        <w:t xml:space="preserve"> aos servidores municipais. Vejamos, a respectiva norma assevera que o vale transporte constitui benefício que o Município antecipará aos servidores, destinado ao custeio parcial das despesas de deslocamento da residência ao trabalho, </w:t>
      </w:r>
      <w:r>
        <w:rPr>
          <w:rFonts w:eastAsia="Calibri" w:cs="Arial" w:ascii="Arial" w:hAnsi="Arial" w:eastAsiaTheme="minorHAnsi"/>
          <w:b/>
          <w:sz w:val="24"/>
          <w:szCs w:val="24"/>
          <w:lang w:eastAsia="en-US"/>
        </w:rPr>
        <w:t>através do sistema de transporte público, geridos diretamente ou mediante concessão ou permissão de linhas regulares</w:t>
      </w:r>
      <w:r>
        <w:rPr>
          <w:rFonts w:eastAsia="Calibri" w:cs="Arial" w:ascii="Arial" w:hAnsi="Arial" w:eastAsiaTheme="minorHAnsi"/>
          <w:sz w:val="24"/>
          <w:szCs w:val="24"/>
          <w:lang w:eastAsia="en-US"/>
        </w:rPr>
        <w:t xml:space="preserve"> (art. 171, Lei Municipal nº 564/2009).</w:t>
      </w:r>
    </w:p>
    <w:p>
      <w:pPr>
        <w:pStyle w:val="ListParagraph"/>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eastAsia="Calibri" w:cs="Arial" w:ascii="Arial" w:hAnsi="Arial" w:eastAsiaTheme="minorHAnsi"/>
          <w:sz w:val="24"/>
          <w:szCs w:val="24"/>
          <w:lang w:eastAsia="en-US"/>
        </w:rPr>
        <w:t xml:space="preserve">A concessão desse benefício se reveste de indiscutível importância no contexto jurídico-administrativo de mitigar as dificuldades financeiras e logísticas enfrentadas pelos servidores para alcançar seus postos de trabalho Desse modo, o art. 174 do Estatuto dos Servidores, estabelece que </w:t>
      </w:r>
      <w:r>
        <w:rPr>
          <w:rFonts w:eastAsia="Calibri" w:cs="Arial" w:ascii="Arial" w:hAnsi="Arial" w:eastAsiaTheme="minorHAnsi"/>
          <w:b/>
          <w:sz w:val="24"/>
          <w:szCs w:val="24"/>
          <w:lang w:eastAsia="en-US"/>
        </w:rPr>
        <w:t>cada Poder ou Entidade de origem do servidor será responsável por subsidiar o que exceder a cota de responsabilidade deste</w:t>
      </w:r>
      <w:r>
        <w:rPr>
          <w:rFonts w:eastAsia="Calibri" w:cs="Arial" w:ascii="Arial" w:hAnsi="Arial" w:eastAsiaTheme="minorHAnsi"/>
          <w:sz w:val="24"/>
          <w:szCs w:val="24"/>
          <w:lang w:eastAsia="en-US"/>
        </w:rPr>
        <w:t xml:space="preserve"> (art. 174, II, Lei Municipal nº 564/2009).</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Assim, por consequência, dada à natureza do objeto em questão, </w:t>
      </w:r>
      <w:r>
        <w:rPr>
          <w:rFonts w:cs="Arial" w:ascii="Arial" w:hAnsi="Arial"/>
          <w:b/>
          <w:sz w:val="24"/>
          <w:szCs w:val="24"/>
        </w:rPr>
        <w:t>dispensa-se a elaboração do Estudo Técnico Preliminar (ETP)</w:t>
      </w:r>
      <w:r>
        <w:rPr>
          <w:rFonts w:cs="Arial" w:ascii="Arial" w:hAnsi="Arial"/>
          <w:sz w:val="24"/>
          <w:szCs w:val="24"/>
        </w:rPr>
        <w:t xml:space="preserve">, vez que a </w:t>
      </w:r>
      <w:r>
        <w:rPr>
          <w:rFonts w:cs="Arial" w:ascii="Arial" w:hAnsi="Arial"/>
          <w:b/>
          <w:sz w:val="24"/>
          <w:szCs w:val="24"/>
        </w:rPr>
        <w:t>solução adequada</w:t>
      </w:r>
      <w:r>
        <w:rPr>
          <w:rFonts w:cs="Arial" w:ascii="Arial" w:hAnsi="Arial"/>
          <w:sz w:val="24"/>
          <w:szCs w:val="24"/>
        </w:rPr>
        <w:t xml:space="preserve"> para o custeio da oferta do benefício de vale transporte aos servidores da Secretaria Municipal de Administração é dada pela norma primária e secundária municipal, qual seja, por consequência, </w:t>
      </w:r>
      <w:r>
        <w:rPr>
          <w:rFonts w:cs="Arial" w:ascii="Arial" w:hAnsi="Arial"/>
          <w:b/>
          <w:sz w:val="24"/>
          <w:szCs w:val="24"/>
        </w:rPr>
        <w:t>a realização de</w:t>
      </w:r>
      <w:r>
        <w:rPr>
          <w:rFonts w:cs="Arial" w:ascii="Arial" w:hAnsi="Arial"/>
          <w:sz w:val="24"/>
          <w:szCs w:val="24"/>
        </w:rPr>
        <w:t xml:space="preserve"> </w:t>
      </w:r>
      <w:r>
        <w:rPr>
          <w:rFonts w:cs="Arial" w:ascii="Arial" w:hAnsi="Arial"/>
          <w:b/>
          <w:sz w:val="24"/>
          <w:szCs w:val="24"/>
        </w:rPr>
        <w:t>empenho</w:t>
      </w:r>
      <w:r>
        <w:rPr>
          <w:rFonts w:cs="Arial" w:ascii="Arial" w:hAnsi="Arial"/>
          <w:bCs/>
          <w:sz w:val="24"/>
          <w:szCs w:val="24"/>
        </w:rPr>
        <w:t xml:space="preserve">, com fulcro no art. 60, da Lei Federal nº </w:t>
      </w:r>
      <w:r>
        <w:rPr>
          <w:rFonts w:cs="Arial" w:ascii="Arial" w:hAnsi="Arial"/>
          <w:sz w:val="24"/>
          <w:szCs w:val="24"/>
        </w:rPr>
        <w:t xml:space="preserve">4.320/1964 e art. 74, </w:t>
      </w:r>
      <w:r>
        <w:rPr>
          <w:rFonts w:cs="Arial" w:ascii="Arial" w:hAnsi="Arial"/>
          <w:i/>
          <w:sz w:val="24"/>
          <w:szCs w:val="24"/>
        </w:rPr>
        <w:t>caput</w:t>
      </w:r>
      <w:r>
        <w:rPr>
          <w:rFonts w:cs="Arial" w:ascii="Arial" w:hAnsi="Arial"/>
          <w:sz w:val="24"/>
          <w:szCs w:val="24"/>
        </w:rPr>
        <w:t>, da Lei Federal nº 14.133/2021.</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A contratação já está contemplada no </w:t>
      </w:r>
      <w:r>
        <w:rPr>
          <w:rFonts w:cs="Arial" w:ascii="Arial" w:hAnsi="Arial"/>
          <w:b/>
          <w:sz w:val="24"/>
          <w:szCs w:val="24"/>
        </w:rPr>
        <w:t xml:space="preserve">Plano Anual de Contratações (PAC) 2025, conforme Decreto Municipal nº </w:t>
      </w:r>
      <w:r>
        <w:rPr>
          <w:rFonts w:cs="Arial" w:ascii="Arial" w:hAnsi="Arial"/>
          <w:b/>
          <w:color w:val="000000"/>
          <w:sz w:val="24"/>
          <w:szCs w:val="24"/>
          <w:shd w:fill="auto" w:val="clear"/>
        </w:rPr>
        <w:t>7.324/2024</w:t>
      </w:r>
      <w:r>
        <w:rPr>
          <w:rFonts w:cs="Arial" w:ascii="Arial" w:hAnsi="Arial"/>
          <w:b/>
          <w:sz w:val="24"/>
          <w:szCs w:val="24"/>
        </w:rPr>
        <w:t>, como despesas ordinárias.</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Justificando, o presente Termo de Referência visa </w:t>
      </w:r>
      <w:r>
        <w:rPr>
          <w:rFonts w:cs="Arial" w:ascii="Arial" w:hAnsi="Arial"/>
          <w:b/>
          <w:sz w:val="24"/>
          <w:szCs w:val="24"/>
        </w:rPr>
        <w:t xml:space="preserve">esclarecer e direcionar os procedimentos essenciais para a Inexigibilidade de Licitação e realização de Empenho por estimativa, </w:t>
      </w:r>
      <w:r>
        <w:rPr>
          <w:rFonts w:cs="Arial" w:ascii="Arial" w:hAnsi="Arial"/>
          <w:sz w:val="24"/>
          <w:szCs w:val="24"/>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FORMALIZAÇÃO DA ATA DE REGISTRO DE PREÇOS, DOS USUÁRIOS DO REGISTRO DE PREÇOS E DO FORNECIMENTO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r>
        <w:rPr>
          <w:rFonts w:cs="Arial" w:ascii="Arial" w:hAnsi="Arial"/>
          <w:sz w:val="24"/>
          <w:szCs w:val="24"/>
        </w:rPr>
        <w:t>.</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OBJETO LICITADO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 SOLUÇÃO E DO CICLO DE VIDA DO OBJETO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b/>
          <w:sz w:val="24"/>
          <w:szCs w:val="24"/>
        </w:rPr>
        <w:t>A descrição da solução como um todo se encontra pormenorizada na Lei Federal nº 14.133/2021, na Lei Federal nº 4.320/1964, nos Decretos Municipais nº 041/2003 e nº 028/2005, Lei Municipal nº 564/2009 e demais normativas vigentes, inclusive municipais, bem como no Documento de Formalização de Demanda</w:t>
      </w:r>
      <w:r>
        <w:rPr>
          <w:rFonts w:cs="Arial" w:ascii="Arial" w:hAnsi="Arial"/>
          <w:sz w:val="24"/>
          <w:szCs w:val="24"/>
        </w:rPr>
        <w:t>, qual seja a inexigibilidade de licitação e a realização de empenho por estimativa para custear as despesas decorrentes da oferta do benefício de vale transporte.</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DOS REQUISITOS DA CONTRATAÇÃO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A contratação será realizada em razão da necessidade de custeio das despesas decorrentes da oferta do benefício de vale transporte aos servidores da Secretaria Municipal de Administração, no exercício de 2025, em virtude do desempenho de suas atividades.</w:t>
      </w:r>
    </w:p>
    <w:p>
      <w:pPr>
        <w:pStyle w:val="ListParagraph"/>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A demanda em comento leva em conta a necessidade da Secretaria para o exercício financeiro de 2025, já estando contemplado no </w:t>
      </w:r>
      <w:r>
        <w:rPr>
          <w:rFonts w:cs="Arial" w:ascii="Arial" w:hAnsi="Arial"/>
          <w:b/>
          <w:sz w:val="24"/>
          <w:szCs w:val="24"/>
        </w:rPr>
        <w:t xml:space="preserve">Plano Anual de Contratações (PAC) 2025, conforme Decreto Municipal nº </w:t>
      </w:r>
      <w:r>
        <w:rPr>
          <w:rFonts w:cs="Arial" w:ascii="Arial" w:hAnsi="Arial"/>
          <w:b/>
          <w:color w:val="000000"/>
          <w:sz w:val="24"/>
          <w:szCs w:val="24"/>
          <w:shd w:fill="auto" w:val="clear"/>
        </w:rPr>
        <w:t>7.324/2024</w:t>
      </w:r>
      <w:r>
        <w:rPr>
          <w:rFonts w:cs="Arial" w:ascii="Arial" w:hAnsi="Arial"/>
          <w:b/>
          <w:sz w:val="24"/>
          <w:szCs w:val="24"/>
        </w:rPr>
        <w:t>, como despesas ordinárias.</w:t>
      </w:r>
    </w:p>
    <w:p>
      <w:pPr>
        <w:pStyle w:val="NormalWeb"/>
        <w:spacing w:beforeAutospacing="0" w:before="0" w:afterAutospacing="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 FORNECIMENTO E RECEBIMENTO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DAS CONDIÇÕES DE RECEBIMENTO DO OBJETO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jc w:val="both"/>
        <w:rPr>
          <w:rFonts w:ascii="Arial" w:hAnsi="Arial" w:cs="Arial"/>
          <w:sz w:val="24"/>
          <w:szCs w:val="24"/>
          <w:highlight w:val="yellow"/>
        </w:rPr>
      </w:pPr>
      <w:r>
        <w:rPr>
          <w:rFonts w:cs="Arial" w:ascii="Arial" w:hAnsi="Arial"/>
          <w:sz w:val="24"/>
          <w:szCs w:val="24"/>
          <w:highlight w:val="yellow"/>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DAS OBRIGAÇÕES E RESPONSABILIDADES</w:t>
      </w:r>
    </w:p>
    <w:p>
      <w:pPr>
        <w:pStyle w:val="Normal"/>
        <w:spacing w:lineRule="auto" w:line="240" w:before="0" w:after="0"/>
        <w:jc w:val="both"/>
        <w:rPr>
          <w:rFonts w:ascii="Arial" w:hAnsi="Arial" w:cs="Arial"/>
          <w:sz w:val="24"/>
          <w:szCs w:val="24"/>
          <w:highlight w:val="yellow"/>
        </w:rPr>
      </w:pPr>
      <w:r>
        <w:rPr>
          <w:rFonts w:cs="Arial" w:ascii="Arial" w:hAnsi="Arial"/>
          <w:sz w:val="24"/>
          <w:szCs w:val="24"/>
          <w:highlight w:val="yellow"/>
        </w:rPr>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Caberá ao CONTRATADO o cumprimento das seguintes obrigações: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1 - Prestar os serviços,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2 - Não subcontratar, ceder ou transferir, total ou parcialmente, 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3 - Responsabilizar-se pelos encargos trabalhistas, previdenciários, fiscais e comerciais, resultantes da execução do objeto deste projeto;</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4 - Executar fielmente o objeto da Contratação com fornecimento ininterrupto de transporte público aos servidores municipais de segunda a sexta-feira, nos horários de itinerários pré fixados pelas empresas e aprovados pela CETURB;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5 - Dar plena garantia e qualidade do serviço prestado;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6 - Manter durante toda a execução do Contrato, em compatibilidade com as obrigações por ele assumidas, todas as condições de habilitação e qualificação legalmente exigidas;</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7 - Prestar, de imediato, todos os esclarecimentos que forem solicitados pela contratante, obrigando-se a atender todas as reclamações a respeito da qualidade do serviço prestado;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9 - Acatar as determinações feitas pela Contratante no que tange ao cumprimento do objeto do Contrato.</w:t>
      </w:r>
    </w:p>
    <w:p>
      <w:pPr>
        <w:pStyle w:val="ListParagraph"/>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0"/>
          <w:numId w:val="0"/>
        </w:numPr>
        <w:spacing w:lineRule="auto" w:line="240" w:before="0" w:after="0"/>
        <w:ind w:hanging="0" w:left="0"/>
        <w:contextualSpacing/>
        <w:jc w:val="both"/>
        <w:rPr>
          <w:rFonts w:ascii="Arial" w:hAnsi="Arial"/>
          <w:sz w:val="24"/>
          <w:szCs w:val="24"/>
        </w:rPr>
      </w:pPr>
      <w:r>
        <w:rPr>
          <w:rFonts w:cs="Arial" w:ascii="Arial" w:hAnsi="Arial"/>
          <w:b w:val="false"/>
          <w:bCs w:val="false"/>
          <w:sz w:val="24"/>
          <w:szCs w:val="24"/>
          <w:shd w:fill="DDDDDD" w:val="clear"/>
        </w:rPr>
        <w:t xml:space="preserve">4.6 </w:t>
      </w:r>
      <w:r>
        <w:rPr>
          <w:rFonts w:cs="Arial" w:ascii="Arial" w:hAnsi="Arial"/>
          <w:b/>
          <w:sz w:val="24"/>
          <w:szCs w:val="24"/>
          <w:shd w:fill="DDDDDD" w:val="clear"/>
        </w:rPr>
        <w:tab/>
        <w:t>DAS OBRIGAÇÕES E RESPONSABILIDADES DO MUNICÍPIO:</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1 - Fornecer à Contratada todas as informações relacionadas ao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2 - Notificar por escrito a Contratada, a respeito de qualquer irregularidade constatada na execução do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3 - Assegurar os recursos orçamentários e financeiros para custear as despesas do empenho estimativo;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4 - Efetuar o pagamento nas condições e preços pactuados;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5 - Acompanhar, verificar, fiscalizar e intervir na execução do serviço, para assegurar a fiel observância de suas cláusulas, bem como do que consta das especificações do presente Termo de Referência.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FISCALIZAÇÃO E ACOMPANHAMENTO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Corpodetexto23"/>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GARANTIA PELO FORNECIMENTO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DAS AMOSTRAS</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GESTÃO DO CONTRATO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FATURAMENTO E DO PAGAMENTO</w:t>
      </w:r>
    </w:p>
    <w:p>
      <w:pPr>
        <w:pStyle w:val="Normal"/>
        <w:spacing w:lineRule="auto" w:line="240" w:before="0" w:after="0"/>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bookmarkStart w:id="0" w:name="_Hlk151990632"/>
      <w:r>
        <w:rPr>
          <w:rFonts w:cs="Arial" w:ascii="Arial" w:hAnsi="Arial"/>
          <w:sz w:val="24"/>
          <w:szCs w:val="24"/>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bookmarkEnd w:id="0"/>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A CONTRATADA deverá encaminhar à unidade administrativa responsável pela gestão do contrato, a fatura do fornecimento do serviço do período utilizado, com o respectivo preço e com prazo de pagamento não inferior a 10 (dez) dias úteis contados a partir de sua apresentação.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Na ocorrência de rejeição da Nota Fiscal/Fatura, motivada por erro ou incorreções, o prazo para pagamento estipulado no item acima passará a ser contado a partir da data da sua reapresentação.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Para efeito de pagamento, junto com a Nota Fiscal, deverá ser anexado: </w:t>
      </w:r>
    </w:p>
    <w:p>
      <w:pPr>
        <w:pStyle w:val="Normal"/>
        <w:spacing w:lineRule="auto" w:line="240" w:before="0" w:after="0"/>
        <w:jc w:val="both"/>
        <w:rPr>
          <w:rFonts w:ascii="Arial" w:hAnsi="Arial"/>
          <w:sz w:val="24"/>
          <w:szCs w:val="24"/>
        </w:rPr>
      </w:pPr>
      <w:r>
        <w:rPr>
          <w:rFonts w:cs="Arial" w:ascii="Arial" w:hAnsi="Arial"/>
          <w:sz w:val="24"/>
          <w:szCs w:val="24"/>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240" w:before="0" w:after="0"/>
        <w:jc w:val="both"/>
        <w:rPr>
          <w:rFonts w:ascii="Arial" w:hAnsi="Arial"/>
          <w:sz w:val="24"/>
          <w:szCs w:val="24"/>
        </w:rPr>
      </w:pPr>
      <w:r>
        <w:rPr>
          <w:rFonts w:cs="Arial" w:ascii="Arial" w:hAnsi="Arial"/>
          <w:sz w:val="24"/>
          <w:szCs w:val="24"/>
        </w:rPr>
        <w:t xml:space="preserve">II - Certificado de Regularidade do Fundo de Garantia por Tempo de Serviço – FGTS, fornecido pela CEF – Caixa Econômica Federal, devidamente atualizado (Lei n.º 8.036/90); </w:t>
      </w:r>
    </w:p>
    <w:p>
      <w:pPr>
        <w:pStyle w:val="Normal"/>
        <w:spacing w:lineRule="auto" w:line="240" w:before="0" w:after="0"/>
        <w:jc w:val="both"/>
        <w:rPr>
          <w:rFonts w:ascii="Arial" w:hAnsi="Arial"/>
          <w:sz w:val="24"/>
          <w:szCs w:val="24"/>
        </w:rPr>
      </w:pPr>
      <w:r>
        <w:rPr>
          <w:rFonts w:cs="Arial" w:ascii="Arial" w:hAnsi="Arial"/>
          <w:sz w:val="24"/>
          <w:szCs w:val="24"/>
        </w:rPr>
        <w:t xml:space="preserve">III - Certidão de Regularidade com a Fazenda do Estado; </w:t>
      </w:r>
    </w:p>
    <w:p>
      <w:pPr>
        <w:pStyle w:val="Normal"/>
        <w:spacing w:lineRule="auto" w:line="240" w:before="0" w:after="0"/>
        <w:jc w:val="both"/>
        <w:rPr>
          <w:rFonts w:ascii="Arial" w:hAnsi="Arial"/>
          <w:sz w:val="24"/>
          <w:szCs w:val="24"/>
        </w:rPr>
      </w:pPr>
      <w:r>
        <w:rPr>
          <w:rFonts w:cs="Arial" w:ascii="Arial" w:hAnsi="Arial"/>
          <w:sz w:val="24"/>
          <w:szCs w:val="24"/>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240" w:before="0" w:after="0"/>
        <w:jc w:val="both"/>
        <w:rPr>
          <w:rFonts w:ascii="Arial" w:hAnsi="Arial"/>
          <w:sz w:val="24"/>
          <w:szCs w:val="24"/>
        </w:rPr>
      </w:pPr>
      <w:r>
        <w:rPr>
          <w:rFonts w:cs="Arial" w:ascii="Arial" w:hAnsi="Arial"/>
          <w:sz w:val="24"/>
          <w:szCs w:val="24"/>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b/>
          <w:sz w:val="24"/>
          <w:szCs w:val="24"/>
        </w:rPr>
        <w:t>DA ANTECIPAÇÃO DO PAGAMENTO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FORMA E CRITÉRIOS DE SELEÇÃO DO FORNECEDOR</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VALOR MÁXIMO E DOS RECURSOS ORÇAMENTÁRIOS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 VALOR ESTIMADO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color w:val="000000"/>
          <w:sz w:val="24"/>
          <w:szCs w:val="24"/>
        </w:rPr>
        <w:t xml:space="preserve"> </w:t>
      </w:r>
      <w:r>
        <w:rPr>
          <w:rFonts w:cs="Arial" w:ascii="Arial" w:hAnsi="Arial"/>
          <w:color w:val="000000"/>
          <w:sz w:val="24"/>
          <w:szCs w:val="24"/>
        </w:rPr>
        <w:t xml:space="preserve">O </w:t>
      </w:r>
      <w:r>
        <w:rPr>
          <w:rFonts w:cs="Arial" w:ascii="Arial" w:hAnsi="Arial"/>
          <w:b/>
          <w:color w:val="000000"/>
          <w:sz w:val="24"/>
          <w:szCs w:val="24"/>
        </w:rPr>
        <w:t>valor estimado</w:t>
      </w:r>
      <w:r>
        <w:rPr>
          <w:rFonts w:cs="Arial" w:ascii="Arial" w:hAnsi="Arial"/>
          <w:color w:val="000000"/>
          <w:sz w:val="24"/>
          <w:szCs w:val="24"/>
        </w:rPr>
        <w:t xml:space="preserve"> para custeio das despesas decorrentes da oferta do benefício de vale transporte aos servidores da Secretaria Municipal de Administração, no exercício de 2025, </w:t>
      </w:r>
      <w:r>
        <w:rPr>
          <w:rFonts w:cs="Arial" w:ascii="Arial" w:hAnsi="Arial"/>
          <w:b/>
          <w:color w:val="000000"/>
          <w:sz w:val="24"/>
          <w:szCs w:val="24"/>
        </w:rPr>
        <w:t>é de R$ 4.200 (quatro mil e duzentos reais).</w:t>
      </w:r>
    </w:p>
    <w:p>
      <w:pPr>
        <w:pStyle w:val="Normal"/>
        <w:spacing w:lineRule="auto" w:line="240" w:before="0" w:after="0"/>
        <w:jc w:val="both"/>
        <w:rPr>
          <w:rFonts w:ascii="Arial" w:hAnsi="Arial" w:cs="Arial"/>
          <w:color w:val="000000"/>
          <w:sz w:val="24"/>
          <w:szCs w:val="24"/>
        </w:rPr>
      </w:pPr>
      <w:r>
        <w:rPr>
          <w:rFonts w:cs="Arial" w:ascii="Arial" w:hAnsi="Arial"/>
          <w:color w:val="000000"/>
          <w:sz w:val="24"/>
          <w:szCs w:val="24"/>
        </w:rPr>
      </w:r>
    </w:p>
    <w:p>
      <w:pPr>
        <w:pStyle w:val="ListParagraph"/>
        <w:numPr>
          <w:ilvl w:val="3"/>
          <w:numId w:val="1"/>
        </w:numPr>
        <w:tabs>
          <w:tab w:val="clear" w:pos="708"/>
          <w:tab w:val="left" w:pos="567" w:leader="none"/>
          <w:tab w:val="left" w:pos="851" w:leader="none"/>
          <w:tab w:val="left" w:pos="1134" w:leader="none"/>
        </w:tabs>
        <w:spacing w:lineRule="auto" w:line="240" w:before="0" w:after="0"/>
        <w:ind w:hanging="0" w:left="0"/>
        <w:contextualSpacing/>
        <w:jc w:val="both"/>
        <w:rPr>
          <w:rFonts w:ascii="Arial" w:hAnsi="Arial"/>
          <w:sz w:val="24"/>
          <w:szCs w:val="24"/>
        </w:rPr>
      </w:pPr>
      <w:r>
        <w:rPr>
          <w:rFonts w:cs="Arial" w:ascii="Arial" w:hAnsi="Arial"/>
          <w:color w:val="000000"/>
          <w:sz w:val="24"/>
          <w:szCs w:val="24"/>
        </w:rPr>
        <w:t>O respectivo valor global é constituído pela distribuição da seguinte forma:</w:t>
      </w:r>
    </w:p>
    <w:p>
      <w:pPr>
        <w:pStyle w:val="Normal"/>
        <w:spacing w:lineRule="auto" w:line="240" w:before="0" w:after="0"/>
        <w:jc w:val="both"/>
        <w:rPr>
          <w:rFonts w:ascii="Arial" w:hAnsi="Arial"/>
          <w:sz w:val="24"/>
          <w:szCs w:val="24"/>
        </w:rPr>
      </w:pPr>
      <w:r>
        <w:rPr>
          <w:rFonts w:ascii="Arial" w:hAnsi="Arial"/>
          <w:sz w:val="24"/>
          <w:szCs w:val="24"/>
        </w:rPr>
      </w:r>
    </w:p>
    <w:p>
      <w:pPr>
        <w:pStyle w:val="Normal"/>
        <w:spacing w:lineRule="auto" w:line="240" w:before="0" w:after="0"/>
        <w:jc w:val="both"/>
        <w:rPr>
          <w:rFonts w:ascii="Arial" w:hAnsi="Arial"/>
          <w:sz w:val="24"/>
          <w:szCs w:val="24"/>
        </w:rPr>
      </w:pPr>
      <w:r>
        <w:rPr>
          <w:rFonts w:cs="Arial" w:ascii="Arial" w:hAnsi="Arial"/>
          <w:b/>
          <w:color w:val="000000"/>
          <w:sz w:val="24"/>
          <w:szCs w:val="24"/>
        </w:rPr>
        <w:t>a)</w:t>
      </w:r>
      <w:r>
        <w:rPr>
          <w:rFonts w:cs="Arial" w:ascii="Arial" w:hAnsi="Arial"/>
          <w:color w:val="000000"/>
          <w:sz w:val="24"/>
          <w:szCs w:val="24"/>
        </w:rPr>
        <w:t xml:space="preserve"> </w:t>
      </w:r>
      <w:r>
        <w:rPr>
          <w:rFonts w:cs="Arial" w:ascii="Arial" w:hAnsi="Arial"/>
          <w:b/>
          <w:color w:val="000000"/>
          <w:sz w:val="24"/>
          <w:szCs w:val="24"/>
        </w:rPr>
        <w:t>Viação Lírio dos Vales Ltda.:</w:t>
      </w:r>
      <w:r>
        <w:rPr>
          <w:rFonts w:cs="Arial" w:ascii="Arial" w:hAnsi="Arial"/>
          <w:color w:val="000000"/>
          <w:sz w:val="24"/>
          <w:szCs w:val="24"/>
        </w:rPr>
        <w:t xml:space="preserve"> R$ 4.200 (quatro mil  duzentos reais).</w:t>
      </w:r>
    </w:p>
    <w:p>
      <w:pPr>
        <w:pStyle w:val="Normal"/>
        <w:spacing w:lineRule="auto" w:line="240" w:before="0" w:after="0"/>
        <w:jc w:val="both"/>
        <w:rPr>
          <w:rFonts w:ascii="Arial" w:hAnsi="Arial" w:cs="Arial"/>
          <w:color w:val="000000"/>
          <w:sz w:val="24"/>
          <w:szCs w:val="24"/>
        </w:rPr>
      </w:pPr>
      <w:r>
        <w:rPr>
          <w:rFonts w:cs="Arial" w:ascii="Arial" w:hAnsi="Arial"/>
          <w:color w:val="000000"/>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DOS RECURSOS ORÇAMENTÁRIOS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color w:val="000000"/>
          <w:sz w:val="24"/>
          <w:szCs w:val="24"/>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ascii="Arial" w:hAnsi="Arial"/>
          <w:b/>
          <w:color w:val="000000"/>
          <w:sz w:val="24"/>
          <w:szCs w:val="24"/>
        </w:rPr>
        <w:t>Proposta de Lei Orçamentária Anual (PLOA) vinculada para o exercício financeiro de 2025</w:t>
      </w:r>
      <w:r>
        <w:rPr>
          <w:rFonts w:cs="Arial" w:ascii="Arial" w:hAnsi="Arial"/>
          <w:color w:val="000000"/>
          <w:sz w:val="24"/>
          <w:szCs w:val="24"/>
        </w:rPr>
        <w:t>, a qual será informada pelo requerente, após a aprovação da respectiva Lei.</w:t>
      </w:r>
    </w:p>
    <w:p>
      <w:pPr>
        <w:pStyle w:val="ListParagraph"/>
        <w:numPr>
          <w:ilvl w:val="0"/>
          <w:numId w:val="0"/>
        </w:numPr>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r>
    </w:p>
    <w:tbl>
      <w:tblPr>
        <w:tblStyle w:val="Tabelacomgrade"/>
        <w:tblW w:w="8954" w:type="dxa"/>
        <w:jc w:val="left"/>
        <w:tblInd w:w="221" w:type="dxa"/>
        <w:tblLayout w:type="fixed"/>
        <w:tblCellMar>
          <w:top w:w="0" w:type="dxa"/>
          <w:left w:w="108" w:type="dxa"/>
          <w:bottom w:w="0" w:type="dxa"/>
          <w:right w:w="108" w:type="dxa"/>
        </w:tblCellMar>
        <w:tblLook w:firstRow="1" w:noVBand="1" w:lastRow="0" w:firstColumn="1" w:lastColumn="0" w:noHBand="0" w:val="04a0"/>
      </w:tblPr>
      <w:tblGrid>
        <w:gridCol w:w="7306"/>
        <w:gridCol w:w="1647"/>
      </w:tblGrid>
      <w:tr>
        <w:trPr>
          <w:trHeight w:val="516" w:hRule="atLeast"/>
        </w:trPr>
        <w:tc>
          <w:tcPr>
            <w:tcW w:w="8953" w:type="dxa"/>
            <w:gridSpan w:val="2"/>
            <w:tcBorders/>
            <w:shd w:color="auto" w:fill="D9D9D9" w:themeFill="background1" w:themeFillShade="d9" w:val="clear"/>
            <w:vAlign w:val="center"/>
          </w:tcPr>
          <w:p>
            <w:pPr>
              <w:pStyle w:val="Normal"/>
              <w:widowControl w:val="false"/>
              <w:suppressAutoHyphens w:val="true"/>
              <w:spacing w:lineRule="auto" w:line="360" w:before="0" w:after="0"/>
              <w:jc w:val="center"/>
              <w:rPr>
                <w:rFonts w:ascii="Arial" w:hAnsi="Arial"/>
                <w:sz w:val="24"/>
                <w:szCs w:val="24"/>
              </w:rPr>
            </w:pPr>
            <w:r>
              <w:rPr>
                <w:rFonts w:eastAsia="Calibri" w:cs="Arial" w:ascii="Arial" w:hAnsi="Arial"/>
                <w:b/>
                <w:color w:val="000000"/>
                <w:kern w:val="0"/>
                <w:sz w:val="24"/>
                <w:szCs w:val="24"/>
                <w:lang w:val="pt-BR" w:bidi="ar-SA"/>
              </w:rPr>
              <w:t>ESTÃO DAS ATIVIDADES DA SECRETARIA DE ASSISTÊNCIA SOCIAL</w:t>
            </w:r>
          </w:p>
          <w:p>
            <w:pPr>
              <w:pStyle w:val="Normal"/>
              <w:widowControl w:val="false"/>
              <w:suppressAutoHyphens w:val="true"/>
              <w:spacing w:lineRule="auto" w:line="360" w:before="0" w:after="0"/>
              <w:jc w:val="center"/>
              <w:rPr>
                <w:rFonts w:ascii="Arial" w:hAnsi="Arial"/>
                <w:sz w:val="24"/>
                <w:szCs w:val="24"/>
              </w:rPr>
            </w:pPr>
            <w:r>
              <w:rPr>
                <w:rFonts w:eastAsia="Calibri" w:cs="Arial" w:ascii="Arial" w:hAnsi="Arial"/>
                <w:b/>
                <w:color w:val="000000"/>
                <w:kern w:val="0"/>
                <w:sz w:val="24"/>
                <w:szCs w:val="24"/>
                <w:shd w:fill="auto" w:val="clear"/>
                <w:lang w:val="pt-BR" w:bidi="ar-SA"/>
              </w:rPr>
              <w:t>Outros Serviços de Terceiros – Pessoa Jurídica</w:t>
            </w:r>
          </w:p>
        </w:tc>
      </w:tr>
      <w:tr>
        <w:trPr>
          <w:trHeight w:val="340" w:hRule="atLeast"/>
        </w:trPr>
        <w:tc>
          <w:tcPr>
            <w:tcW w:w="7306" w:type="dxa"/>
            <w:tcBorders/>
            <w:shd w:color="auto" w:fill="FFFFFF" w:themeFill="background1" w:val="clear"/>
            <w:vAlign w:val="center"/>
          </w:tcPr>
          <w:p>
            <w:pPr>
              <w:pStyle w:val="Normal"/>
              <w:spacing w:lineRule="auto" w:line="360" w:before="0" w:after="160"/>
              <w:ind w:firstLine="708"/>
              <w:jc w:val="both"/>
              <w:rPr>
                <w:rFonts w:ascii="Arial" w:hAnsi="Arial" w:cs="Arial"/>
                <w:sz w:val="22"/>
                <w:szCs w:val="22"/>
              </w:rPr>
            </w:pPr>
            <w:r>
              <w:rPr>
                <w:rFonts w:cs="Arial" w:ascii="Arial" w:hAnsi="Arial"/>
                <w:sz w:val="22"/>
                <w:szCs w:val="22"/>
              </w:rPr>
              <w:t>1616.0824400122.023 – Elemento de Despesa 33903900000. Fonte 33903900000. Proteção Básica– Fonte 150000000000- Ficha 0000259–</w:t>
            </w:r>
          </w:p>
        </w:tc>
        <w:tc>
          <w:tcPr>
            <w:tcW w:w="1647" w:type="dxa"/>
            <w:tcBorders/>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b/>
                <w:color w:val="000000"/>
                <w:kern w:val="0"/>
                <w:sz w:val="24"/>
                <w:szCs w:val="24"/>
                <w:shd w:fill="auto" w:val="clear"/>
                <w:lang w:val="pt-BR" w:bidi="ar-SA"/>
              </w:rPr>
              <w:t>R$ 4.200,00</w:t>
            </w:r>
          </w:p>
        </w:tc>
      </w:tr>
    </w:tbl>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DAS SANÇÕES E PENALIDADES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bookmarkStart w:id="1" w:name="_Hlk151990699"/>
      <w:r>
        <w:rPr>
          <w:rFonts w:cs="Arial" w:ascii="Arial" w:hAnsi="Arial"/>
          <w:bCs/>
          <w:color w:val="000000"/>
          <w:sz w:val="24"/>
          <w:szCs w:val="24"/>
        </w:rPr>
        <w:t>Serão aplicadas as infrações administrativas disciplinadas na Lei Federal nº 14.133/2021, na forma de regulamento municipal.</w:t>
      </w:r>
      <w:bookmarkEnd w:id="1"/>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QUALIFICAÇÃO TÉCNICA</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UNIDADE REQUISITANTE</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Constitui unidade requisitante da presente demanda a </w:t>
      </w:r>
      <w:r>
        <w:rPr>
          <w:rFonts w:cs="Arial" w:ascii="Arial" w:hAnsi="Arial"/>
          <w:b/>
          <w:sz w:val="24"/>
          <w:szCs w:val="24"/>
        </w:rPr>
        <w:t>Secretaria Municipal de Assistência Social.</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RESPONSÁVEL PELA ELABORAÇÃO DO TERMO DE REFERÊNCIA</w:t>
      </w:r>
    </w:p>
    <w:p>
      <w:pPr>
        <w:pStyle w:val="NormalWeb"/>
        <w:spacing w:beforeAutospacing="0" w:before="0" w:afterAutospacing="0" w:after="0"/>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b/>
          <w:sz w:val="24"/>
          <w:szCs w:val="24"/>
        </w:rPr>
        <w:t xml:space="preserve">Gestor da Unidade Requisitante: </w:t>
      </w:r>
      <w:r>
        <w:rPr>
          <w:rFonts w:cs="Arial" w:ascii="Arial" w:hAnsi="Arial"/>
          <w:b/>
          <w:color w:themeColor="text1" w:val="000000"/>
          <w:kern w:val="0"/>
          <w:sz w:val="24"/>
          <w:szCs w:val="24"/>
          <w:shd w:fill="auto" w:val="clear"/>
          <w:lang w:val="pt-BR" w:bidi="ar-SA"/>
        </w:rPr>
        <w:t>FERNANDA ALVES DA SILVA FERRARI</w:t>
      </w:r>
    </w:p>
    <w:p>
      <w:pPr>
        <w:pStyle w:val="NormalWeb"/>
        <w:spacing w:beforeAutospacing="0" w:before="0" w:afterAutospacing="0" w:after="0"/>
        <w:jc w:val="both"/>
        <w:rPr>
          <w:rFonts w:ascii="Arial" w:hAnsi="Arial" w:cs="Arial"/>
          <w:sz w:val="24"/>
          <w:szCs w:val="24"/>
          <w:highlight w:val="lightGray"/>
        </w:rPr>
      </w:pPr>
      <w:r>
        <w:rPr>
          <w:rFonts w:cs="Arial" w:ascii="Arial" w:hAnsi="Arial"/>
          <w:sz w:val="24"/>
          <w:szCs w:val="24"/>
          <w:highlight w:val="lightGray"/>
        </w:rPr>
      </w:r>
    </w:p>
    <w:p>
      <w:pPr>
        <w:pStyle w:val="NormalWeb"/>
        <w:spacing w:beforeAutospacing="0" w:before="0" w:afterAutospacing="0" w:after="0"/>
        <w:jc w:val="right"/>
        <w:rPr>
          <w:rFonts w:ascii="Arial" w:hAnsi="Arial"/>
          <w:sz w:val="24"/>
          <w:szCs w:val="24"/>
        </w:rPr>
      </w:pPr>
      <w:r>
        <w:rPr>
          <w:rFonts w:cs="Arial" w:ascii="Arial" w:hAnsi="Arial"/>
          <w:b/>
          <w:sz w:val="24"/>
          <w:szCs w:val="24"/>
        </w:rPr>
        <w:t>São Roque do Canaã/ES</w:t>
      </w:r>
      <w:r>
        <w:rPr>
          <w:rFonts w:cs="Arial" w:ascii="Arial" w:hAnsi="Arial"/>
          <w:sz w:val="24"/>
          <w:szCs w:val="24"/>
        </w:rPr>
        <w:t>, 10 de fevereiro de 2025.</w:t>
      </w:r>
    </w:p>
    <w:p>
      <w:pPr>
        <w:pStyle w:val="NormalWeb"/>
        <w:spacing w:beforeAutospacing="0" w:before="0" w:afterAutospacing="0" w:after="0"/>
        <w:rPr>
          <w:rFonts w:ascii="Arial" w:hAnsi="Arial" w:cs="Arial"/>
          <w:sz w:val="24"/>
          <w:szCs w:val="24"/>
        </w:rPr>
      </w:pPr>
      <w:r>
        <w:rPr>
          <w:rFonts w:cs="Arial" w:ascii="Arial" w:hAnsi="Arial"/>
          <w:sz w:val="24"/>
          <w:szCs w:val="24"/>
        </w:rPr>
      </w:r>
    </w:p>
    <w:tbl>
      <w:tblPr>
        <w:tblStyle w:val="Tabelacomgrade"/>
        <w:tblW w:w="9071"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9071"/>
      </w:tblGrid>
      <w:tr>
        <w:trPr/>
        <w:tc>
          <w:tcPr>
            <w:tcW w:w="9071" w:type="dxa"/>
            <w:tcBorders>
              <w:top w:val="nil"/>
              <w:left w:val="nil"/>
              <w:bottom w:val="nil"/>
              <w:right w:val="nil"/>
            </w:tcBorders>
          </w:tcPr>
          <w:p>
            <w:pPr>
              <w:pStyle w:val="NormalWeb"/>
              <w:widowControl w:val="false"/>
              <w:suppressAutoHyphens w:val="true"/>
              <w:spacing w:beforeAutospacing="0" w:before="0" w:afterAutospacing="0" w:after="0"/>
              <w:jc w:val="center"/>
              <w:rPr>
                <w:rFonts w:ascii="Arial" w:hAnsi="Arial" w:cs="Arial"/>
                <w:sz w:val="24"/>
                <w:szCs w:val="24"/>
              </w:rPr>
            </w:pPr>
            <w:r>
              <w:rPr>
                <w:rFonts w:cs="Arial" w:ascii="Arial" w:hAnsi="Arial"/>
                <w:sz w:val="24"/>
                <w:szCs w:val="24"/>
              </w:rPr>
            </w:r>
          </w:p>
          <w:p>
            <w:pPr>
              <w:pStyle w:val="NormalWeb"/>
              <w:widowControl w:val="false"/>
              <w:suppressAutoHyphens w:val="true"/>
              <w:spacing w:beforeAutospacing="0" w:before="0" w:afterAutospacing="0" w:after="0"/>
              <w:jc w:val="center"/>
              <w:rPr>
                <w:rFonts w:ascii="Arial" w:hAnsi="Arial" w:cs="Arial"/>
                <w:sz w:val="24"/>
                <w:szCs w:val="24"/>
              </w:rPr>
            </w:pPr>
            <w:r>
              <w:rPr>
                <w:rFonts w:cs="Arial" w:ascii="Arial" w:hAnsi="Arial"/>
                <w:sz w:val="24"/>
                <w:szCs w:val="24"/>
              </w:rPr>
            </w:r>
          </w:p>
          <w:p>
            <w:pPr>
              <w:pStyle w:val="NormalWeb"/>
              <w:widowControl w:val="false"/>
              <w:suppressAutoHyphens w:val="true"/>
              <w:spacing w:beforeAutospacing="0" w:before="0" w:afterAutospacing="0" w:after="0"/>
              <w:jc w:val="center"/>
              <w:rPr>
                <w:rFonts w:ascii="Arial" w:hAnsi="Arial"/>
                <w:sz w:val="24"/>
                <w:szCs w:val="24"/>
              </w:rPr>
            </w:pPr>
            <w:r>
              <w:rPr>
                <w:rFonts w:ascii="Arial" w:hAnsi="Arial"/>
                <w:sz w:val="24"/>
                <w:szCs w:val="24"/>
              </w:rPr>
            </w:r>
          </w:p>
          <w:p>
            <w:pPr>
              <w:pStyle w:val="NormalWeb"/>
              <w:widowControl w:val="false"/>
              <w:suppressAutoHyphens w:val="true"/>
              <w:spacing w:beforeAutospacing="0" w:before="0" w:afterAutospacing="0" w:after="0"/>
              <w:jc w:val="center"/>
              <w:rPr>
                <w:rFonts w:ascii="Arial" w:hAnsi="Arial"/>
                <w:sz w:val="24"/>
                <w:szCs w:val="24"/>
              </w:rPr>
            </w:pPr>
            <w:r>
              <w:rPr>
                <w:rFonts w:ascii="Arial" w:hAnsi="Arial"/>
                <w:sz w:val="24"/>
                <w:szCs w:val="24"/>
              </w:rPr>
            </w:r>
          </w:p>
          <w:p>
            <w:pPr>
              <w:pStyle w:val="NormalWeb"/>
              <w:widowControl w:val="false"/>
              <w:suppressAutoHyphens w:val="true"/>
              <w:spacing w:beforeAutospacing="0" w:before="0" w:afterAutospacing="0" w:after="0"/>
              <w:jc w:val="center"/>
              <w:rPr>
                <w:rFonts w:ascii="Arial" w:hAnsi="Arial"/>
                <w:sz w:val="24"/>
                <w:szCs w:val="24"/>
              </w:rPr>
            </w:pPr>
            <w:r>
              <w:rPr>
                <w:rFonts w:cs="Arial" w:ascii="Arial" w:hAnsi="Arial"/>
                <w:b/>
                <w:color w:themeColor="text1" w:val="000000"/>
                <w:kern w:val="0"/>
                <w:sz w:val="24"/>
                <w:szCs w:val="24"/>
                <w:shd w:fill="auto" w:val="clear"/>
                <w:lang w:val="pt-BR" w:bidi="ar-SA"/>
              </w:rPr>
              <w:t>FERNANDA ALVES DA SILVA FERRARI</w:t>
            </w:r>
          </w:p>
        </w:tc>
      </w:tr>
    </w:tbl>
    <w:p>
      <w:pPr>
        <w:pStyle w:val="NormalWeb"/>
        <w:spacing w:beforeAutospacing="0" w:before="0" w:afterAutospacing="0" w:after="0"/>
        <w:jc w:val="both"/>
        <w:rPr>
          <w:rFonts w:ascii="Arial" w:hAnsi="Arial"/>
          <w:sz w:val="24"/>
          <w:szCs w:val="24"/>
        </w:rPr>
      </w:pPr>
      <w:r>
        <w:rPr>
          <w:rFonts w:ascii="Arial" w:hAnsi="Arial"/>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Cambria">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ascii="Arial" w:hAnsi="Arial"/>
        <w:sz w:val="20"/>
        <w:szCs w:val="16"/>
      </w:rPr>
    </w:r>
  </w:p>
  <w:p>
    <w:pPr>
      <w:pStyle w:val="Footer"/>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Footer"/>
      <w:jc w:val="center"/>
      <w:rPr/>
    </w:pPr>
    <w:r>
      <w:rPr>
        <w:rFonts w:cs="Arial" w:ascii="Arial" w:hAnsi="Arial"/>
        <w:sz w:val="20"/>
        <w:szCs w:val="16"/>
      </w:rPr>
      <w:t>Telefone: (27) 3729-1120 | E-mail: administração@saoroquedocanaa.es.gov.br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ascii="Arial" w:hAnsi="Arial"/>
        <w:sz w:val="20"/>
        <w:szCs w:val="16"/>
      </w:rPr>
    </w:r>
  </w:p>
  <w:p>
    <w:pPr>
      <w:pStyle w:val="Footer"/>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Footer"/>
      <w:jc w:val="center"/>
      <w:rPr/>
    </w:pPr>
    <w:r>
      <w:rPr>
        <w:rFonts w:cs="Arial" w:ascii="Arial" w:hAnsi="Arial"/>
        <w:sz w:val="20"/>
        <w:szCs w:val="16"/>
      </w:rPr>
      <w:t>Telefone: (27) 3729-1120 | E-mail: administração@saoroquedocanaa.es.gov.br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a:noFill/>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ascii="Arial" w:hAnsi="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SECRETARIA MUNICIPAL DE ADMINISTRAÇÃO</w:t>
    </w:r>
  </w:p>
  <w:p>
    <w:pPr>
      <w:pStyle w:val="Subtitle"/>
      <w:jc w:val="left"/>
      <w:rPr>
        <w:rFonts w:ascii="Arial" w:hAnsi="Arial" w:cs="Arial"/>
        <w:sz w:val="22"/>
        <w:szCs w:val="16"/>
      </w:rPr>
    </w:pPr>
    <w:r>
      <w:rPr>
        <w:rFonts w:cs="Arial" w:ascii="Arial" w:hAnsi="Arial"/>
        <w:sz w:val="22"/>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1"/>
                  <a:stretch>
                    <a:fillRect/>
                  </a:stretch>
                </pic:blipFill>
                <pic:spPr bwMode="auto">
                  <a:xfrm>
                    <a:off x="0" y="0"/>
                    <a:ext cx="647700" cy="650240"/>
                  </a:xfrm>
                  <a:prstGeom prst="rect">
                    <a:avLst/>
                  </a:prstGeom>
                  <a:noFill/>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ascii="Arial" w:hAnsi="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SECRETARIA MUNICIPAL DE ADMINISTRAÇÃO</w:t>
    </w:r>
  </w:p>
  <w:p>
    <w:pPr>
      <w:pStyle w:val="Subtitle"/>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Fonts w:ascii="Arial" w:hAnsi="Arial" w:cs="Arial"/>
      </w:rPr>
    </w:lvl>
    <w:lvl w:ilvl="2">
      <w:start w:val="1"/>
      <w:numFmt w:val="decimal"/>
      <w:lvlText w:val="%1.%2.%3."/>
      <w:lvlJc w:val="left"/>
      <w:pPr>
        <w:tabs>
          <w:tab w:val="num" w:pos="0"/>
        </w:tabs>
        <w:ind w:left="2631" w:hanging="504"/>
      </w:pPr>
      <w:rPr>
        <w:i w:val="false"/>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b w:val="false"/>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Heading1">
    <w:name w:val="heading 1"/>
    <w:basedOn w:val="Normal"/>
    <w:next w:val="Normal"/>
    <w:link w:val="Ttulo1Char"/>
    <w:uiPriority w:val="9"/>
    <w:qFormat/>
    <w:rsid w:val="000a2c0f"/>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E74B5"/>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Calibri Light" w:hAnsi="Calibri Light" w:eastAsia="" w:cs="" w:asciiTheme="majorHAnsi" w:cstheme="majorBidi" w:eastAsiaTheme="majorEastAsia" w:hAnsiTheme="majorHAnsi"/>
      <w:b/>
      <w:bCs/>
      <w:color w:themeColor="accent1" w:themeShade="bf" w:val="2E74B5"/>
      <w:sz w:val="28"/>
      <w:szCs w:val="28"/>
      <w:lang w:eastAsia="en-US"/>
    </w:rPr>
  </w:style>
  <w:style w:type="character" w:styleId="Hyperlink">
    <w:name w:val="Hyperlink"/>
    <w:basedOn w:val="DefaultParagraphFont"/>
    <w:uiPriority w:val="99"/>
    <w:unhideWhenUsed/>
    <w:rsid w:val="000a2c0f"/>
    <w:rPr>
      <w:color w:themeColor="hyperlink" w:val="0563C1"/>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uiPriority w:val="99"/>
    <w:semiHidden/>
    <w:unhideWhenUsed/>
    <w:qFormat/>
    <w:rsid w:val="003e5cca"/>
    <w:rPr>
      <w:vertAlign w:val="superscript"/>
    </w:rPr>
  </w:style>
  <w:style w:type="character" w:styleId="FootnoteReference">
    <w:name w:val="footnote reference"/>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Smbolosdenumerao">
    <w:name w:val="Símbolos de numeração"/>
    <w:qFormat/>
    <w:rPr/>
  </w:style>
  <w:style w:type="character" w:styleId="EndnoteCharacters">
    <w:name w:val="Endnote Characters"/>
    <w:qFormat/>
    <w:rPr>
      <w:vertAlign w:val="superscript"/>
    </w:rPr>
  </w:style>
  <w:style w:type="character" w:styleId="FootnoteCharacters">
    <w:name w:val="Footnote Characters"/>
    <w:qFormat/>
    <w:rPr>
      <w:rFonts w:ascii="Times New Roman" w:hAnsi="Times New Roman" w:eastAsia="Times New Roman" w:cs="Times New Roman"/>
      <w:color w:val="000000"/>
      <w:sz w:val="24"/>
      <w:szCs w:val="24"/>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Header">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itle">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hanging="0" w:left="72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itle">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FootnoteText">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937713"/>
    <w:pPr>
      <w:spacing w:lineRule="auto" w:line="240" w:beforeAutospacing="1" w:after="119"/>
    </w:pPr>
    <w:rPr>
      <w:rFonts w:ascii="Times New Roman" w:hAnsi="Times New Roman" w:eastAsia="Times New Roman" w:cs="Times New Roman"/>
      <w:color w:val="000000"/>
      <w:sz w:val="24"/>
      <w:szCs w:val="24"/>
      <w:lang w:eastAsia="pt-B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12B63-2EFC-4BFD-819C-BAB8E8304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Application>LibreOffice/24.8.4.2$Windows_X86_64 LibreOffice_project/bb3cfa12c7b1bf994ecc5649a80400d06cd71002</Application>
  <AppVersion>15.0000</AppVersion>
  <Pages>7</Pages>
  <Words>2105</Words>
  <Characters>11902</Characters>
  <CharactersWithSpaces>13859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dc:description/>
  <dc:language>pt-BR</dc:language>
  <cp:lastModifiedBy/>
  <cp:lastPrinted>2025-02-10T10:31:52Z</cp:lastPrinted>
  <dcterms:modified xsi:type="dcterms:W3CDTF">2025-02-26T15:43:50Z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