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DE32" w14:textId="77777777" w:rsidR="00806529" w:rsidRDefault="00806529">
      <w:pPr>
        <w:spacing w:after="0" w:line="240" w:lineRule="auto"/>
        <w:rPr>
          <w:rFonts w:ascii="Arial" w:hAnsi="Arial" w:cs="Arial"/>
        </w:rPr>
      </w:pPr>
    </w:p>
    <w:p w14:paraId="4E0ED65E" w14:textId="3A1C1DBE" w:rsidR="00806529" w:rsidRDefault="006301B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DFD/SMOSU Nº. </w:t>
      </w:r>
      <w:r w:rsidR="00DB5E6E">
        <w:rPr>
          <w:rFonts w:ascii="Times New Roman" w:hAnsi="Times New Roman" w:cs="Arial"/>
          <w:b/>
          <w:sz w:val="24"/>
          <w:szCs w:val="24"/>
        </w:rPr>
        <w:t>011</w:t>
      </w:r>
      <w:r>
        <w:rPr>
          <w:rFonts w:ascii="Times New Roman" w:hAnsi="Times New Roman" w:cs="Arial"/>
          <w:b/>
          <w:sz w:val="24"/>
          <w:szCs w:val="24"/>
        </w:rPr>
        <w:t>/202</w:t>
      </w:r>
      <w:r w:rsidR="00DB5E6E">
        <w:rPr>
          <w:rFonts w:ascii="Times New Roman" w:hAnsi="Times New Roman" w:cs="Arial"/>
          <w:b/>
          <w:sz w:val="24"/>
          <w:szCs w:val="24"/>
        </w:rPr>
        <w:t>6</w:t>
      </w:r>
    </w:p>
    <w:p w14:paraId="2A42A273" w14:textId="77777777" w:rsidR="00806529" w:rsidRDefault="00806529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</w:p>
    <w:p w14:paraId="595EE87F" w14:textId="77777777" w:rsidR="00806529" w:rsidRDefault="006301B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Ao Exmo. Senhor,</w:t>
      </w:r>
    </w:p>
    <w:p w14:paraId="290A3E5C" w14:textId="77777777" w:rsidR="00806529" w:rsidRDefault="006301BE">
      <w:pPr>
        <w:widowControl w:val="0"/>
        <w:tabs>
          <w:tab w:val="left" w:pos="1701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MARCOS GERALDO GUERRA</w:t>
      </w:r>
    </w:p>
    <w:p w14:paraId="09070A52" w14:textId="77777777" w:rsidR="00806529" w:rsidRDefault="006301BE">
      <w:pPr>
        <w:widowControl w:val="0"/>
        <w:tabs>
          <w:tab w:val="left" w:pos="1701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Prefeito Municipal de São Roque do Canaã/ES</w:t>
      </w:r>
    </w:p>
    <w:p w14:paraId="6E23966C" w14:textId="77777777" w:rsidR="00806529" w:rsidRDefault="00806529">
      <w:pPr>
        <w:widowControl w:val="0"/>
        <w:tabs>
          <w:tab w:val="left" w:pos="1701"/>
        </w:tabs>
        <w:spacing w:after="0" w:line="360" w:lineRule="auto"/>
        <w:rPr>
          <w:rFonts w:ascii="Times New Roman" w:hAnsi="Times New Roman" w:cs="Arial"/>
          <w:sz w:val="24"/>
          <w:szCs w:val="24"/>
        </w:rPr>
      </w:pPr>
    </w:p>
    <w:p w14:paraId="664E94A2" w14:textId="77777777" w:rsidR="00806529" w:rsidRDefault="006301BE">
      <w:pPr>
        <w:widowControl w:val="0"/>
        <w:pBdr>
          <w:bottom w:val="single" w:sz="4" w:space="1" w:color="000000"/>
        </w:pBdr>
        <w:tabs>
          <w:tab w:val="left" w:pos="170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Ref.:</w:t>
      </w:r>
      <w:r>
        <w:rPr>
          <w:rFonts w:ascii="Times New Roman" w:hAnsi="Times New Roman" w:cs="Arial"/>
          <w:sz w:val="24"/>
          <w:szCs w:val="24"/>
        </w:rPr>
        <w:t xml:space="preserve"> Empenho por Estimativa – Energia Elétrica – LUZ E FORÇA SANTA MARIA 2026 – CATSERV 4120</w:t>
      </w:r>
    </w:p>
    <w:p w14:paraId="6FA8FE2A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bCs/>
        </w:rPr>
      </w:pPr>
    </w:p>
    <w:p w14:paraId="412B8001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  <w:b/>
          <w:bCs/>
          <w:shd w:val="clear" w:color="auto" w:fill="D9D9D9"/>
        </w:rPr>
        <w:t>UNIDADE REQUISITANTE</w:t>
      </w:r>
      <w:r>
        <w:rPr>
          <w:rFonts w:cs="Arial"/>
          <w:b/>
          <w:shd w:val="clear" w:color="auto" w:fill="D9D9D9"/>
        </w:rPr>
        <w:t>:</w:t>
      </w:r>
      <w:r>
        <w:rPr>
          <w:rFonts w:cs="Arial"/>
        </w:rPr>
        <w:t xml:space="preserve"> Secretaria Municipal de Obras e Serviços Urbanos.</w:t>
      </w:r>
    </w:p>
    <w:p w14:paraId="3CDA6BD3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22673FBE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  <w:b/>
          <w:bCs/>
          <w:shd w:val="clear" w:color="auto" w:fill="D9D9D9"/>
        </w:rPr>
        <w:t>RESPONSÁVEL PELA DEMANDA:</w:t>
      </w:r>
      <w:r>
        <w:rPr>
          <w:rFonts w:cs="Arial"/>
          <w:bCs/>
        </w:rPr>
        <w:t xml:space="preserve"> Responsabilizar-se-á, pela presente demanda, o servidor </w:t>
      </w:r>
      <w:r>
        <w:rPr>
          <w:rFonts w:cs="Arial"/>
          <w:b/>
          <w:bCs/>
        </w:rPr>
        <w:t xml:space="preserve">Junior Priori </w:t>
      </w:r>
      <w:proofErr w:type="spellStart"/>
      <w:r>
        <w:rPr>
          <w:rFonts w:cs="Arial"/>
          <w:b/>
          <w:bCs/>
        </w:rPr>
        <w:t>Perinni</w:t>
      </w:r>
      <w:proofErr w:type="spellEnd"/>
      <w:r>
        <w:rPr>
          <w:rFonts w:cs="Arial"/>
          <w:bCs/>
        </w:rPr>
        <w:t>, ocupante do cargo de Secretário Municipal de Obras e Serviços Urbanos, integrante da Unidade Requisitante.</w:t>
      </w:r>
    </w:p>
    <w:p w14:paraId="6E051770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bCs/>
        </w:rPr>
      </w:pPr>
    </w:p>
    <w:p w14:paraId="54612576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  <w:b/>
          <w:bCs/>
          <w:shd w:val="clear" w:color="auto" w:fill="D9D9D9"/>
        </w:rPr>
        <w:t>CONTATO DA UNIDADE REQUISITANTE:</w:t>
      </w:r>
      <w:r>
        <w:rPr>
          <w:rFonts w:cs="Arial"/>
          <w:bCs/>
        </w:rPr>
        <w:t xml:space="preserve"> O</w:t>
      </w:r>
      <w:r>
        <w:rPr>
          <w:rFonts w:cs="Arial"/>
          <w:bCs/>
          <w:color w:val="000000"/>
        </w:rPr>
        <w:t>s contatos com a unidade requisitante podem ser realizados pelo e-mail: obras@saoroquedocanaa.es.gov.br. ou por meio do atendimento presencial, na sede localizada na Rua João Vago, 333, Centro, São Roque do Canaã/ES, CEP nº 29.665-000.</w:t>
      </w:r>
    </w:p>
    <w:p w14:paraId="2DE710C9" w14:textId="77777777" w:rsidR="00806529" w:rsidRDefault="006301BE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  <w:bCs/>
        </w:rPr>
        <w:t>DESCRIÇÃO SUCINTA DO OBJETO E/OU OBJETIVO</w:t>
      </w:r>
    </w:p>
    <w:p w14:paraId="147BBE99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bCs/>
        </w:rPr>
      </w:pPr>
    </w:p>
    <w:p w14:paraId="6A4BA34F" w14:textId="791EEB42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  <w:bCs/>
        </w:rPr>
        <w:t xml:space="preserve">Constitui objeto da presente demanda a necessidade de </w:t>
      </w:r>
      <w:r>
        <w:rPr>
          <w:rFonts w:cs="Arial"/>
          <w:b/>
          <w:bCs/>
        </w:rPr>
        <w:t>custear as despesas decorrentes do consumo de energia elétrica pelas unidades relacionadas à Secretaria Municipal de Obras e Serviços Urbanos, no exercício de 2026</w:t>
      </w:r>
      <w:r>
        <w:rPr>
          <w:rFonts w:cs="Arial"/>
          <w:bCs/>
        </w:rPr>
        <w:t>, (CATSERV 4120</w:t>
      </w:r>
      <w:r w:rsidR="00DB5AC4">
        <w:rPr>
          <w:rFonts w:cs="Arial"/>
          <w:bCs/>
        </w:rPr>
        <w:t>) em</w:t>
      </w:r>
      <w:r>
        <w:rPr>
          <w:rFonts w:cs="Arial"/>
          <w:bCs/>
        </w:rPr>
        <w:t xml:space="preserve"> virtude do desempenho de suas atividades, com fulcro no art. 60, da Lei Federal nº </w:t>
      </w:r>
      <w:r>
        <w:rPr>
          <w:rFonts w:cs="Arial"/>
        </w:rPr>
        <w:t xml:space="preserve">4.320/1964, art. 74, </w:t>
      </w:r>
      <w:r>
        <w:rPr>
          <w:rFonts w:cs="Arial"/>
          <w:i/>
        </w:rPr>
        <w:t>caput</w:t>
      </w:r>
      <w:r>
        <w:rPr>
          <w:rFonts w:cs="Arial"/>
        </w:rPr>
        <w:t>, da Lei Federal nº 14.133/2021.</w:t>
      </w:r>
    </w:p>
    <w:p w14:paraId="72C50296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bCs/>
        </w:rPr>
      </w:pPr>
    </w:p>
    <w:p w14:paraId="0B011C1F" w14:textId="77777777" w:rsidR="00806529" w:rsidRDefault="006301BE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  <w:bCs/>
        </w:rPr>
        <w:t>JUSTIFICATIVA DA NECESSIDADE/IMPORTÂNCIA DA COMPRA DO BEM/MATERIAL OU PRESTAÇÃO DE SERVIÇOS, CONSIDERANDO O PLANEJAMENTO ESTRATÉGICO, SE FOR O CASO.</w:t>
      </w:r>
    </w:p>
    <w:p w14:paraId="44A08CD4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5E478A5D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eastAsiaTheme="minorHAnsi" w:cs="Arial"/>
          <w:color w:val="000000"/>
          <w:lang w:eastAsia="en-US"/>
        </w:rPr>
        <w:t xml:space="preserve"> A energia elétrica é o combustível essencial que mantém esses sistemas em funcionamento constante, assegurando a disponibilidade dos serviços aos nossos clientes. </w:t>
      </w:r>
    </w:p>
    <w:p w14:paraId="7993FA75" w14:textId="77777777" w:rsidR="00806529" w:rsidRDefault="00806529">
      <w:pPr>
        <w:pStyle w:val="NormalWeb"/>
        <w:spacing w:beforeAutospacing="0" w:after="0" w:afterAutospacing="0" w:line="360" w:lineRule="auto"/>
        <w:jc w:val="both"/>
      </w:pPr>
    </w:p>
    <w:p w14:paraId="3CFC5131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  <w:color w:val="000000"/>
        </w:rPr>
        <w:t xml:space="preserve">Nossa administração municipal utiliza sistemas de Tecnologia da Informação (TI) para gerenciar eficientemente dados, informações e processos internos. Desde o processamento de documentos até a manutenção de registros eletrônicos, a energia é essencial para garantir a continuidade dessas operações. </w:t>
      </w:r>
    </w:p>
    <w:p w14:paraId="36C393DA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cs="Arial"/>
          <w:color w:val="000000"/>
        </w:rPr>
      </w:pPr>
    </w:p>
    <w:p w14:paraId="080BDDE0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  <w:color w:val="000000"/>
        </w:rPr>
        <w:t>A energia elétrica é crucial para a iluminação adequada de espaços públicos, parques e vias, contribuindo para a segurança pública ao proporcionar ambientes bem iluminados. Postes de luz e sistemas de câmeras de vigilância, dependentes de energia, são essenciais para manter um ambiente seguro.</w:t>
      </w:r>
    </w:p>
    <w:p w14:paraId="4A4B9F62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cs="Arial"/>
          <w:color w:val="000000"/>
        </w:rPr>
      </w:pPr>
    </w:p>
    <w:p w14:paraId="522E579B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  <w:color w:val="000000"/>
        </w:rPr>
        <w:t xml:space="preserve">A energia elétrica é vital para o funcionamento de serviços públicos essenciais, como iluminação pública, sistemas de informações e pronto atendimentos municipais. A continuidade desses serviços depende diretamente do fornecimento ininterrupto de energia. </w:t>
      </w:r>
    </w:p>
    <w:p w14:paraId="56E3A974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eastAsiaTheme="minorHAnsi" w:cs="Arial"/>
          <w:color w:val="000000"/>
          <w:lang w:eastAsia="en-US"/>
        </w:rPr>
      </w:pPr>
    </w:p>
    <w:p w14:paraId="76E8A04D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eastAsiaTheme="minorHAnsi" w:cs="Arial"/>
          <w:color w:val="000000"/>
          <w:lang w:eastAsia="en-US"/>
        </w:rPr>
        <w:t>Escolas municipais dependem da energia para operar efetivamente. Equipamentos educacionais, sistemas de iluminação, climatização e a infraestrutura necessária para atividades culturais demandam uma fonte estável de energia.</w:t>
      </w:r>
    </w:p>
    <w:p w14:paraId="555AB005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color w:val="000000"/>
        </w:rPr>
      </w:pPr>
    </w:p>
    <w:p w14:paraId="131F8803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eastAsiaTheme="minorHAnsi" w:cs="Arial"/>
          <w:color w:val="000000"/>
          <w:lang w:eastAsia="en-US"/>
        </w:rPr>
        <w:t>Portanto, é evidente que a energia elétrica é um elemento vital para o funcionamento integrado e eficaz de nossa prefeitura, impactando diretamente a qualidade de vida de nossos servidores e munícipes. Estamos comprometidos em garantir o fornecimento seguro e contínuo de energia para atender às necessidades da comunidade.</w:t>
      </w:r>
    </w:p>
    <w:p w14:paraId="3BB1868D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eastAsiaTheme="minorHAnsi" w:cs="Arial"/>
          <w:color w:val="000000"/>
          <w:lang w:eastAsia="en-US"/>
        </w:rPr>
      </w:pPr>
    </w:p>
    <w:p w14:paraId="24839030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t xml:space="preserve">Nesse contexto, </w:t>
      </w:r>
      <w:r>
        <w:rPr>
          <w:rFonts w:cs="Arial"/>
          <w:b/>
        </w:rPr>
        <w:t>entende-se necessário custear as despesas decorrentes do consumo de energia pelas unidades relacionadas à Secretaria Municipal de Obras e Serviços Urbanos, no exercício de 2026</w:t>
      </w:r>
      <w:r>
        <w:rPr>
          <w:rFonts w:cs="Arial"/>
        </w:rPr>
        <w:t xml:space="preserve">, </w:t>
      </w:r>
      <w:r>
        <w:rPr>
          <w:rFonts w:cs="Arial"/>
          <w:bCs/>
        </w:rPr>
        <w:t>em virtude do desempenho de suas atividades</w:t>
      </w:r>
      <w:r>
        <w:rPr>
          <w:rFonts w:cs="Arial"/>
        </w:rPr>
        <w:t xml:space="preserve">, objetivando uma medida administrativa que se releva essencial à gestão eficiente e eficaz dos recursos </w:t>
      </w:r>
      <w:r>
        <w:rPr>
          <w:rFonts w:cs="Arial"/>
        </w:rPr>
        <w:lastRenderedPageBreak/>
        <w:t>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 w14:paraId="663F476B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cs="Arial"/>
        </w:rPr>
      </w:pPr>
    </w:p>
    <w:p w14:paraId="24A3C6BD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t xml:space="preserve">Todavia, em regra, segundo o art. 60 da Lei Federal nº 4.320/1964, não se podem realizar despesas sem prévio empenho. Outrossim, considerando a aproximação da abertura de um novo exercício financeiro, qual seja de 2026, </w:t>
      </w:r>
      <w:r>
        <w:rPr>
          <w:rFonts w:cs="Arial"/>
          <w:b/>
        </w:rPr>
        <w:t>é essencial que a Administração estime</w:t>
      </w:r>
      <w:r>
        <w:rPr>
          <w:rFonts w:cs="Arial"/>
        </w:rPr>
        <w:t xml:space="preserve">, com bases nas despesas dos últimos 12 (doze) meses, </w:t>
      </w:r>
      <w:r>
        <w:rPr>
          <w:rFonts w:cs="Arial"/>
          <w:b/>
        </w:rPr>
        <w:t>as despesas para o próximo exercício</w:t>
      </w:r>
      <w:r>
        <w:rPr>
          <w:rFonts w:cs="Arial"/>
        </w:rPr>
        <w:t>, para que assim, se possam empenhar os recursos estimados necessários, objetivando melhor gestão do pagamento parcelado de tais despesas.</w:t>
      </w:r>
    </w:p>
    <w:p w14:paraId="3A0C0598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cs="Arial"/>
        </w:rPr>
      </w:pPr>
    </w:p>
    <w:p w14:paraId="7A3F7640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>2.9.</w:t>
      </w:r>
      <w:r>
        <w:rPr>
          <w:rFonts w:cs="Arial"/>
        </w:rPr>
        <w:tab/>
        <w:t xml:space="preserve">Conceitualmente, o </w:t>
      </w:r>
      <w:r>
        <w:rPr>
          <w:rFonts w:cs="Arial"/>
          <w:b/>
        </w:rPr>
        <w:t>empenho por estimativa</w:t>
      </w:r>
      <w:r>
        <w:rPr>
          <w:rFonts w:cs="Arial"/>
        </w:rPr>
        <w:t xml:space="preserve">, é aquele em que </w:t>
      </w:r>
      <w:r>
        <w:rPr>
          <w:rFonts w:cs="Arial"/>
          <w:b/>
        </w:rPr>
        <w:t>não se pode determinar previamente o montante exato a ser pago (art. 60, §2º, Lei Federal nº 4.320/1964)</w:t>
      </w:r>
      <w:r>
        <w:rPr>
          <w:rFonts w:cs="Arial"/>
        </w:rPr>
        <w:t xml:space="preserve">, como ocorre, em particular, com as contas de água, luz, gás e telefone. Desse modo, objetivando o pleno e efetivo funcionamento dos estabelecimentos integrantes da Secretaria Municipal de Obras e Serviços Urbanos, </w:t>
      </w:r>
      <w:r>
        <w:rPr>
          <w:rFonts w:cs="Arial"/>
          <w:b/>
          <w:bCs/>
        </w:rPr>
        <w:t>revela-se evidente que o atendimento da demanda em questão se dará mediante empenho por estimativa</w:t>
      </w:r>
      <w:r>
        <w:rPr>
          <w:rFonts w:cs="Arial"/>
          <w:bCs/>
        </w:rPr>
        <w:t>, dada a natureza da despesa.</w:t>
      </w:r>
    </w:p>
    <w:p w14:paraId="6FA873E0" w14:textId="77777777" w:rsidR="00806529" w:rsidRDefault="00806529">
      <w:pPr>
        <w:pStyle w:val="NormalWeb"/>
        <w:spacing w:beforeAutospacing="0" w:after="0" w:afterAutospacing="0" w:line="360" w:lineRule="auto"/>
        <w:ind w:left="360"/>
        <w:jc w:val="both"/>
        <w:rPr>
          <w:rFonts w:cs="Arial"/>
        </w:rPr>
      </w:pPr>
    </w:p>
    <w:p w14:paraId="2C7257AE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>2.10.</w:t>
      </w:r>
      <w:r>
        <w:rPr>
          <w:rFonts w:cs="Arial"/>
        </w:rPr>
        <w:tab/>
        <w:t xml:space="preserve">O objeto aqui </w:t>
      </w:r>
      <w:r>
        <w:rPr>
          <w:rFonts w:eastAsiaTheme="minorHAnsi" w:cs="Arial"/>
          <w:lang w:eastAsia="en-US"/>
        </w:rPr>
        <w:t>consignado</w:t>
      </w:r>
      <w:r>
        <w:rPr>
          <w:rFonts w:cs="Arial"/>
        </w:rPr>
        <w:t xml:space="preserve">, objetiva, portanto, o empenho por estimativa das despesas decorrentes do consumo de água pelas unidades relativas à Secretaria Municipal de Obras e Serviços Urbanos, </w:t>
      </w:r>
      <w:r>
        <w:rPr>
          <w:rFonts w:cs="Arial"/>
          <w:bCs/>
        </w:rPr>
        <w:t xml:space="preserve">com fulcro no art. 60, da Lei Federal nº </w:t>
      </w:r>
      <w:r>
        <w:rPr>
          <w:rFonts w:cs="Arial"/>
        </w:rPr>
        <w:t xml:space="preserve">4.320/1964, art. 74, </w:t>
      </w:r>
      <w:r>
        <w:rPr>
          <w:rFonts w:cs="Arial"/>
          <w:i/>
        </w:rPr>
        <w:t>caput</w:t>
      </w:r>
      <w:r>
        <w:rPr>
          <w:rFonts w:cs="Arial"/>
        </w:rPr>
        <w:t>, da Lei Federal nº 14.133/2021.</w:t>
      </w:r>
      <w:r>
        <w:rPr>
          <w:rFonts w:cs="Arial"/>
          <w:color w:val="FF0000"/>
        </w:rPr>
        <w:t xml:space="preserve"> </w:t>
      </w:r>
      <w:r>
        <w:rPr>
          <w:rFonts w:cs="Arial"/>
        </w:rPr>
        <w:t>Nesse sentido, a análise exaustiva da situação atual revela que a Secretaria Municipal de Obras e Serviços Urbanos já realizou outros empenhos estimativos dessa natureza.</w:t>
      </w:r>
    </w:p>
    <w:p w14:paraId="399A7911" w14:textId="77777777" w:rsidR="00806529" w:rsidRDefault="00806529">
      <w:pPr>
        <w:pStyle w:val="NormalWeb"/>
        <w:spacing w:beforeAutospacing="0" w:after="0" w:afterAutospacing="0" w:line="360" w:lineRule="auto"/>
        <w:jc w:val="both"/>
      </w:pPr>
    </w:p>
    <w:p w14:paraId="76234642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eastAsiaTheme="minorHAnsi" w:cs="Arial"/>
          <w:lang w:eastAsia="en-US"/>
        </w:rPr>
        <w:t>2.11.</w:t>
      </w:r>
      <w:r>
        <w:rPr>
          <w:rFonts w:eastAsiaTheme="minorHAnsi" w:cs="Arial"/>
          <w:lang w:eastAsia="en-US"/>
        </w:rPr>
        <w:tab/>
        <w:t xml:space="preserve">Com base nesses dados históricos, torna-se patente que empenho estimativo para custear as despesas decorrentes do consumo de água em questão, constitui um reflexo da inafastável responsabilidade da Secretaria Municipal de Obras e Serviços Urbanos com o dever de zelar pela economicidade na gestão dos recursos públicos (art. 70, CF/88). </w:t>
      </w:r>
    </w:p>
    <w:p w14:paraId="424B3DF3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5B946360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lastRenderedPageBreak/>
        <w:t xml:space="preserve">a) </w:t>
      </w:r>
      <w:r>
        <w:rPr>
          <w:rFonts w:cs="Arial"/>
          <w:b/>
        </w:rPr>
        <w:t xml:space="preserve">SMOSU/SRC MEMO Nº 007/2021 </w:t>
      </w:r>
      <w:r>
        <w:rPr>
          <w:rFonts w:cs="Arial"/>
        </w:rPr>
        <w:t>–</w:t>
      </w:r>
      <w:r>
        <w:rPr>
          <w:rFonts w:cs="Arial"/>
          <w:b/>
        </w:rPr>
        <w:t xml:space="preserve"> </w:t>
      </w:r>
      <w:r>
        <w:rPr>
          <w:rFonts w:cs="Arial"/>
        </w:rPr>
        <w:t>Empenho estimativo, LUZ E FORÇA SANTA MARIA 2021;</w:t>
      </w:r>
    </w:p>
    <w:p w14:paraId="518D99A4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b) </w:t>
      </w:r>
      <w:r>
        <w:rPr>
          <w:rFonts w:cs="Arial"/>
          <w:b/>
        </w:rPr>
        <w:t>SMOSU/SRC MEMO Nº 189/2021</w:t>
      </w:r>
      <w:r>
        <w:rPr>
          <w:rFonts w:cs="Arial"/>
        </w:rPr>
        <w:t xml:space="preserve"> –</w:t>
      </w:r>
      <w:r>
        <w:rPr>
          <w:rFonts w:cs="Arial"/>
          <w:b/>
        </w:rPr>
        <w:t xml:space="preserve"> </w:t>
      </w:r>
      <w:r>
        <w:rPr>
          <w:rFonts w:cs="Arial"/>
        </w:rPr>
        <w:t>Empenho estimativo, LUZ E FORÇA SANTA MARIA 2021;</w:t>
      </w:r>
    </w:p>
    <w:p w14:paraId="417B1839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c) </w:t>
      </w:r>
      <w:r>
        <w:rPr>
          <w:rFonts w:cs="Arial"/>
          <w:b/>
        </w:rPr>
        <w:t xml:space="preserve">SMOSU/SRC MEMO Nº 192/2021 </w:t>
      </w:r>
      <w:r>
        <w:rPr>
          <w:rFonts w:cs="Arial"/>
        </w:rPr>
        <w:t>–</w:t>
      </w:r>
      <w:r>
        <w:rPr>
          <w:rFonts w:cs="Arial"/>
          <w:b/>
        </w:rPr>
        <w:t xml:space="preserve"> </w:t>
      </w:r>
      <w:r>
        <w:rPr>
          <w:rFonts w:cs="Arial"/>
        </w:rPr>
        <w:t>Empenho estimativo, LUZ E FORÇA SANTA MARIA 2021;</w:t>
      </w:r>
    </w:p>
    <w:p w14:paraId="4E067C18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d) </w:t>
      </w:r>
      <w:r>
        <w:rPr>
          <w:rFonts w:cs="Arial"/>
          <w:b/>
        </w:rPr>
        <w:t xml:space="preserve">SMOSU/SRC MEMO Nº 197/2021 </w:t>
      </w:r>
      <w:r>
        <w:rPr>
          <w:rFonts w:cs="Arial"/>
        </w:rPr>
        <w:t>– Empenho estimativo, LUZ E FORÇA SANTA MARIA 2021;</w:t>
      </w:r>
    </w:p>
    <w:p w14:paraId="74B60292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>e)</w:t>
      </w:r>
      <w:r>
        <w:rPr>
          <w:rFonts w:cs="Arial"/>
          <w:b/>
        </w:rPr>
        <w:t xml:space="preserve"> SMOSU/SRC MEMO Nº 009/2023 </w:t>
      </w:r>
      <w:r>
        <w:rPr>
          <w:rFonts w:cs="Arial"/>
        </w:rPr>
        <w:t>–</w:t>
      </w:r>
      <w:r>
        <w:rPr>
          <w:rFonts w:cs="Arial"/>
          <w:b/>
        </w:rPr>
        <w:t xml:space="preserve"> </w:t>
      </w:r>
      <w:r>
        <w:rPr>
          <w:rFonts w:cs="Arial"/>
        </w:rPr>
        <w:t>Empenho estimativo, LUZ E FORÇA SANTA MARIA 2023;</w:t>
      </w:r>
    </w:p>
    <w:p w14:paraId="23D45358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>f)</w:t>
      </w:r>
      <w:r>
        <w:rPr>
          <w:rFonts w:cs="Arial"/>
          <w:b/>
        </w:rPr>
        <w:t xml:space="preserve"> SMOSU/SRC MEMO Nº 012/2023</w:t>
      </w:r>
      <w:r>
        <w:rPr>
          <w:rFonts w:cs="Arial"/>
        </w:rPr>
        <w:t xml:space="preserve"> –</w:t>
      </w:r>
      <w:r>
        <w:rPr>
          <w:rFonts w:cs="Arial"/>
          <w:b/>
        </w:rPr>
        <w:t xml:space="preserve"> </w:t>
      </w:r>
      <w:r>
        <w:rPr>
          <w:rFonts w:cs="Arial"/>
        </w:rPr>
        <w:t>Empenho estimativo, LUZ E FORÇA SANTA MARIA 2023;</w:t>
      </w:r>
    </w:p>
    <w:p w14:paraId="238E2772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g) </w:t>
      </w:r>
      <w:r>
        <w:rPr>
          <w:rFonts w:cs="Arial"/>
          <w:b/>
          <w:bCs/>
        </w:rPr>
        <w:t xml:space="preserve">SMOSU/SRC DFD Nº 002/2024 </w:t>
      </w:r>
      <w:r>
        <w:rPr>
          <w:rFonts w:cs="Arial"/>
        </w:rPr>
        <w:t>– Empenho estimativo, LUZ E FORÇA SANTA MARIA 2024;</w:t>
      </w:r>
    </w:p>
    <w:p w14:paraId="1F8BF70A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h) </w:t>
      </w:r>
      <w:r>
        <w:rPr>
          <w:rFonts w:cs="Arial"/>
          <w:b/>
          <w:bCs/>
        </w:rPr>
        <w:t xml:space="preserve">SMOSU/SRC DFD Nº 021/2024 </w:t>
      </w:r>
      <w:r>
        <w:rPr>
          <w:rFonts w:cs="Arial"/>
        </w:rPr>
        <w:t>– Empenho estimativo, LUZ E FORÇA SANTA MARIA 2024;</w:t>
      </w:r>
    </w:p>
    <w:p w14:paraId="5790FE11" w14:textId="77777777" w:rsidR="00806529" w:rsidRDefault="006301BE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i) </w:t>
      </w:r>
      <w:r>
        <w:rPr>
          <w:rFonts w:cs="Arial"/>
          <w:b/>
          <w:bCs/>
        </w:rPr>
        <w:t xml:space="preserve">SMOSU/SRC DFD Nº 028/24 </w:t>
      </w:r>
      <w:r>
        <w:rPr>
          <w:rFonts w:cs="Arial"/>
        </w:rPr>
        <w:t>– Empenho estimativo, LUZ E FORÇA SANTA MARIA 2024;</w:t>
      </w:r>
    </w:p>
    <w:p w14:paraId="706FBE4B" w14:textId="65A88D44" w:rsidR="00806529" w:rsidRDefault="006301BE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  <w:r>
        <w:rPr>
          <w:rFonts w:cs="Arial"/>
        </w:rPr>
        <w:t xml:space="preserve">j) </w:t>
      </w:r>
      <w:r>
        <w:rPr>
          <w:rFonts w:cs="Arial"/>
          <w:b/>
          <w:bCs/>
        </w:rPr>
        <w:t>SMOSU/SRC DFD Nº 006/2025</w:t>
      </w:r>
      <w:r>
        <w:rPr>
          <w:rFonts w:cs="Arial"/>
        </w:rPr>
        <w:t xml:space="preserve"> Empenho estimativo, LUZ E FORÇA SANTA MARIA 2025</w:t>
      </w:r>
      <w:r w:rsidR="00DB5AC4">
        <w:rPr>
          <w:rFonts w:cs="Arial"/>
        </w:rPr>
        <w:t>;</w:t>
      </w:r>
    </w:p>
    <w:p w14:paraId="25A3207E" w14:textId="3CC5D235" w:rsidR="00DB5AC4" w:rsidRDefault="00DB5AC4">
      <w:pPr>
        <w:pStyle w:val="NormalWeb"/>
        <w:spacing w:beforeAutospacing="0" w:after="0" w:afterAutospacing="0" w:line="360" w:lineRule="auto"/>
        <w:jc w:val="both"/>
      </w:pPr>
      <w:r>
        <w:rPr>
          <w:rFonts w:cs="Arial"/>
        </w:rPr>
        <w:t xml:space="preserve">k) </w:t>
      </w:r>
      <w:r>
        <w:rPr>
          <w:rFonts w:cs="Arial"/>
          <w:b/>
          <w:bCs/>
        </w:rPr>
        <w:t>SMOSU/SRC DFD Nº 013/2025</w:t>
      </w:r>
      <w:r>
        <w:rPr>
          <w:rFonts w:cs="Arial"/>
        </w:rPr>
        <w:t xml:space="preserve"> Empenho estimativo, LUZ E FORÇA SANTA MARIA 2026.</w:t>
      </w:r>
    </w:p>
    <w:p w14:paraId="09E44793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159A7D7D" w14:textId="77777777" w:rsidR="00806529" w:rsidRDefault="006301BE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  <w:bCs/>
        </w:rPr>
        <w:t>QUANTIDADE DE COMPRA DO BEM/MATERIAL A SER ADQUIRIDO OU PRESTAÇÃO DE SERVIÇOS A SEREM CONTRATADAS, QUANDO COUBER, CONSIDERADA A EXPECTATIVA DE CONSUMO ANUAL E LOCAIS DE ENTREGA/EXECUÇÃO.</w:t>
      </w:r>
    </w:p>
    <w:p w14:paraId="62CCE8E5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highlight w:val="lightGray"/>
        </w:rPr>
      </w:pPr>
    </w:p>
    <w:p w14:paraId="6A0F73C7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  <w:i/>
        </w:rPr>
        <w:t>Não se aplica a presente contratação.</w:t>
      </w:r>
    </w:p>
    <w:p w14:paraId="6DD98A48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4D9AE910" w14:textId="77777777" w:rsidR="00806529" w:rsidRDefault="006301BE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  <w:bCs/>
        </w:rPr>
        <w:lastRenderedPageBreak/>
        <w:t>PREVISÃO DE DATA EM QUE DEVE SER INICIADA A CONCLUSÃO DA CONTRATAÇÃO OU REQUISIÇÃO DO BEM</w:t>
      </w:r>
    </w:p>
    <w:p w14:paraId="4AEBDCDC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highlight w:val="lightGray"/>
        </w:rPr>
      </w:pPr>
    </w:p>
    <w:p w14:paraId="5584B9CA" w14:textId="1CA5941F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t xml:space="preserve">A concretização do empenho em questão </w:t>
      </w:r>
      <w:r>
        <w:rPr>
          <w:rFonts w:cs="Arial"/>
          <w:b/>
        </w:rPr>
        <w:t xml:space="preserve">deverá ocorrer, preferencialmente, no mês de </w:t>
      </w:r>
      <w:r w:rsidR="00865A4B">
        <w:rPr>
          <w:rFonts w:cs="Arial"/>
          <w:b/>
        </w:rPr>
        <w:t>outubro</w:t>
      </w:r>
      <w:r>
        <w:rPr>
          <w:rFonts w:cs="Arial"/>
          <w:b/>
        </w:rPr>
        <w:t xml:space="preserve"> de 2026</w:t>
      </w:r>
      <w:r>
        <w:rPr>
          <w:rFonts w:cs="Arial"/>
        </w:rPr>
        <w:t xml:space="preserve">, com vigência programada para o custeio das despesas relativas ao consumo de energia elétrica no período de </w:t>
      </w:r>
      <w:r w:rsidR="00865A4B">
        <w:rPr>
          <w:rFonts w:cs="Arial"/>
        </w:rPr>
        <w:t>01</w:t>
      </w:r>
      <w:r>
        <w:rPr>
          <w:rFonts w:cs="Arial"/>
        </w:rPr>
        <w:t>/</w:t>
      </w:r>
      <w:r w:rsidR="00865A4B">
        <w:rPr>
          <w:rFonts w:cs="Arial"/>
        </w:rPr>
        <w:t>10</w:t>
      </w:r>
      <w:r>
        <w:rPr>
          <w:rFonts w:cs="Arial"/>
        </w:rPr>
        <w:t>/2026 a 31/12/2026.</w:t>
      </w:r>
    </w:p>
    <w:p w14:paraId="0A0F95C7" w14:textId="2A016B34" w:rsidR="00806529" w:rsidRPr="00865A4B" w:rsidRDefault="006301BE" w:rsidP="00865A4B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/>
        </w:rPr>
      </w:pPr>
      <w:r w:rsidRPr="00865A4B">
        <w:rPr>
          <w:rFonts w:cs="Arial"/>
        </w:rPr>
        <w:t>A presente contratação</w:t>
      </w:r>
      <w:r w:rsidR="00865A4B" w:rsidRPr="00865A4B">
        <w:rPr>
          <w:rFonts w:cs="Arial"/>
        </w:rPr>
        <w:t xml:space="preserve"> </w:t>
      </w:r>
      <w:r w:rsidRPr="00865A4B">
        <w:rPr>
          <w:rFonts w:cs="Arial"/>
        </w:rPr>
        <w:t>está incluída no Plano Anual de Contratações 2026</w:t>
      </w:r>
      <w:r w:rsidR="00865A4B">
        <w:rPr>
          <w:rFonts w:cs="Arial"/>
        </w:rPr>
        <w:t>.</w:t>
      </w:r>
    </w:p>
    <w:p w14:paraId="12F1ADAA" w14:textId="77777777" w:rsidR="00806529" w:rsidRDefault="00806529">
      <w:pPr>
        <w:pStyle w:val="NormalWeb"/>
        <w:spacing w:beforeAutospacing="0" w:after="0" w:afterAutospacing="0"/>
        <w:jc w:val="both"/>
        <w:rPr>
          <w:rFonts w:ascii="Arial" w:hAnsi="Arial"/>
        </w:rPr>
      </w:pPr>
    </w:p>
    <w:p w14:paraId="5CA01957" w14:textId="77777777" w:rsidR="00806529" w:rsidRDefault="006301BE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  <w:bCs/>
        </w:rPr>
        <w:t>DA DISPENSABILIDADE DE ESTUDO TÉCNICO PRELIMINAR</w:t>
      </w:r>
    </w:p>
    <w:p w14:paraId="04F8FC7F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5EFB381A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/>
          <w:b/>
        </w:rPr>
        <w:t>vedada a realização de despesas sem prévio empenho.</w:t>
      </w:r>
      <w:r>
        <w:rPr>
          <w:rFonts w:cs="Arial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 w14:paraId="66A41E7A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413210C7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/>
          <w:b/>
        </w:rPr>
        <w:t>empenho por estimativa.</w:t>
      </w:r>
      <w:r>
        <w:rPr>
          <w:rFonts w:cs="Arial"/>
        </w:rPr>
        <w:t xml:space="preserve"> Tem-se, portanto, como aquele em que </w:t>
      </w:r>
      <w:r>
        <w:rPr>
          <w:rFonts w:cs="Arial"/>
          <w:b/>
        </w:rPr>
        <w:t>não se pode determinar previamente o montante exato a ser pago</w:t>
      </w:r>
      <w:r>
        <w:rPr>
          <w:rFonts w:cs="Arial"/>
        </w:rPr>
        <w:t>, como ocorre, em particular, com as contas de água, luz, gás e telefone.</w:t>
      </w:r>
    </w:p>
    <w:p w14:paraId="38BA6FB2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635BCB7D" w14:textId="77777777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t xml:space="preserve">Ademais, a Lei Federal nº 14.133, por meio do art. 74, </w:t>
      </w:r>
      <w:r>
        <w:rPr>
          <w:rFonts w:cs="Arial"/>
          <w:i/>
        </w:rPr>
        <w:t>caput</w:t>
      </w:r>
      <w:r>
        <w:rPr>
          <w:rFonts w:cs="Arial"/>
        </w:rPr>
        <w:t>, determina a inexigibilidade de licitação nas hipóteses de ser inviável a competição. Desse modo, com base no Contrato de Concessão de Distribuição nº 20/99, celebrado entre a União e a Empresa Luz e Força Santa Maria S.A., cuja vigência se estende até 07 de julho de 2045, do qual o Município de São Roque do Canaã é integrante das áreas de concessão, torna-se evidente a exceção à regra.</w:t>
      </w:r>
    </w:p>
    <w:p w14:paraId="539A73B8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6756369A" w14:textId="5512DB6B" w:rsidR="00806529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</w:rPr>
        <w:lastRenderedPageBreak/>
        <w:t xml:space="preserve">Assim, por consequência, dada à natureza do objeto em questão, </w:t>
      </w:r>
      <w:r>
        <w:rPr>
          <w:rFonts w:cs="Arial"/>
          <w:b/>
        </w:rPr>
        <w:t>dispensa-se a elaboração do Estudo Técnico Preliminar (ETP)</w:t>
      </w:r>
      <w:r>
        <w:rPr>
          <w:rFonts w:cs="Arial"/>
        </w:rPr>
        <w:t xml:space="preserve">, vez que a </w:t>
      </w:r>
      <w:r>
        <w:rPr>
          <w:rFonts w:cs="Arial"/>
          <w:b/>
        </w:rPr>
        <w:t>solução adequada</w:t>
      </w:r>
      <w:r>
        <w:rPr>
          <w:rFonts w:cs="Arial"/>
        </w:rPr>
        <w:t xml:space="preserve"> para o custeio das despesas decorrentes do consumo de energia elétrica pelas unidades relativas à Secretaria Municipal de </w:t>
      </w:r>
      <w:r w:rsidR="00DB5AC4">
        <w:rPr>
          <w:rFonts w:cs="Arial"/>
        </w:rPr>
        <w:t>Obras e Serviços Urbanos</w:t>
      </w:r>
      <w:r>
        <w:rPr>
          <w:rFonts w:cs="Arial"/>
        </w:rPr>
        <w:t xml:space="preserve">, </w:t>
      </w:r>
      <w:r>
        <w:rPr>
          <w:rFonts w:cs="Arial"/>
          <w:b/>
        </w:rPr>
        <w:t>é a realização de</w:t>
      </w:r>
      <w:r>
        <w:rPr>
          <w:rFonts w:cs="Arial"/>
        </w:rPr>
        <w:t xml:space="preserve"> </w:t>
      </w:r>
      <w:r>
        <w:rPr>
          <w:rFonts w:cs="Arial"/>
          <w:b/>
        </w:rPr>
        <w:t>empenho</w:t>
      </w:r>
      <w:r>
        <w:rPr>
          <w:rFonts w:cs="Arial"/>
          <w:bCs/>
        </w:rPr>
        <w:t xml:space="preserve">, com fulcro no art. 60, da Lei Federal nº </w:t>
      </w:r>
      <w:r>
        <w:rPr>
          <w:rFonts w:cs="Arial"/>
        </w:rPr>
        <w:t xml:space="preserve">4.320/1964, art. 74, </w:t>
      </w:r>
      <w:r>
        <w:rPr>
          <w:rFonts w:cs="Arial"/>
          <w:i/>
        </w:rPr>
        <w:t>caput</w:t>
      </w:r>
      <w:r>
        <w:rPr>
          <w:rFonts w:cs="Arial"/>
        </w:rPr>
        <w:t>, da Lei Federal nº 14.133/2021.</w:t>
      </w:r>
    </w:p>
    <w:p w14:paraId="7179AD33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</w:rPr>
      </w:pPr>
    </w:p>
    <w:p w14:paraId="63F67603" w14:textId="77777777" w:rsidR="00806529" w:rsidRDefault="006301BE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  <w:bCs/>
        </w:rPr>
        <w:t>DADOS DE ASSINATURAS</w:t>
      </w:r>
    </w:p>
    <w:p w14:paraId="011A2DEE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highlight w:val="lightGray"/>
        </w:rPr>
      </w:pPr>
    </w:p>
    <w:p w14:paraId="6460B8F5" w14:textId="77777777" w:rsidR="00806529" w:rsidRPr="00DB5AC4" w:rsidRDefault="006301BE">
      <w:pPr>
        <w:pStyle w:val="NormalWeb"/>
        <w:numPr>
          <w:ilvl w:val="1"/>
          <w:numId w:val="1"/>
        </w:numPr>
        <w:spacing w:beforeAutospacing="0" w:after="0" w:afterAutospacing="0" w:line="360" w:lineRule="auto"/>
        <w:ind w:left="0" w:firstLine="0"/>
        <w:jc w:val="both"/>
      </w:pPr>
      <w:r>
        <w:rPr>
          <w:rFonts w:cs="Arial"/>
          <w:b/>
        </w:rPr>
        <w:t>Gestor da Unidade Requisitante:</w:t>
      </w:r>
      <w:r>
        <w:rPr>
          <w:rFonts w:cs="Arial"/>
        </w:rPr>
        <w:t xml:space="preserve"> JUNIOR PRIORI PERINNI.</w:t>
      </w:r>
    </w:p>
    <w:p w14:paraId="33A9C199" w14:textId="77777777" w:rsidR="00DB5AC4" w:rsidRDefault="00DB5AC4" w:rsidP="00DB5AC4">
      <w:pPr>
        <w:pStyle w:val="NormalWeb"/>
        <w:spacing w:beforeAutospacing="0" w:after="0" w:afterAutospacing="0" w:line="360" w:lineRule="auto"/>
        <w:jc w:val="both"/>
      </w:pPr>
    </w:p>
    <w:p w14:paraId="6DA4835E" w14:textId="77777777" w:rsidR="00806529" w:rsidRDefault="00806529">
      <w:pPr>
        <w:pStyle w:val="NormalWeb"/>
        <w:spacing w:beforeAutospacing="0" w:after="0" w:afterAutospacing="0" w:line="360" w:lineRule="auto"/>
        <w:jc w:val="both"/>
        <w:rPr>
          <w:rFonts w:cs="Arial"/>
          <w:highlight w:val="lightGray"/>
        </w:rPr>
      </w:pPr>
    </w:p>
    <w:p w14:paraId="5B5095D2" w14:textId="22912C48" w:rsidR="00806529" w:rsidRDefault="006301BE">
      <w:pPr>
        <w:pStyle w:val="NormalWeb"/>
        <w:spacing w:beforeAutospacing="0" w:after="0" w:afterAutospacing="0" w:line="360" w:lineRule="auto"/>
        <w:jc w:val="right"/>
      </w:pPr>
      <w:r>
        <w:rPr>
          <w:rFonts w:cs="Arial"/>
          <w:b/>
        </w:rPr>
        <w:t>São Roque do Canaã/ES</w:t>
      </w:r>
      <w:r>
        <w:rPr>
          <w:rFonts w:cs="Arial"/>
        </w:rPr>
        <w:t>,</w:t>
      </w:r>
      <w:r w:rsidR="00865A4B">
        <w:rPr>
          <w:rFonts w:cs="Arial"/>
        </w:rPr>
        <w:t xml:space="preserve"> 01</w:t>
      </w:r>
      <w:r>
        <w:rPr>
          <w:rFonts w:cs="Arial"/>
        </w:rPr>
        <w:t xml:space="preserve"> de </w:t>
      </w:r>
      <w:r w:rsidR="00865A4B">
        <w:rPr>
          <w:rFonts w:cs="Arial"/>
        </w:rPr>
        <w:t>outubro</w:t>
      </w:r>
      <w:r>
        <w:rPr>
          <w:rFonts w:cs="Arial"/>
        </w:rPr>
        <w:t xml:space="preserve"> de 202</w:t>
      </w:r>
      <w:r w:rsidR="00865A4B">
        <w:rPr>
          <w:rFonts w:cs="Arial"/>
        </w:rPr>
        <w:t>6</w:t>
      </w:r>
      <w:r>
        <w:rPr>
          <w:rFonts w:cs="Arial"/>
        </w:rPr>
        <w:t>.</w:t>
      </w:r>
    </w:p>
    <w:p w14:paraId="3D90900D" w14:textId="77777777" w:rsidR="00806529" w:rsidRDefault="00806529">
      <w:pPr>
        <w:pStyle w:val="NormalWeb"/>
        <w:spacing w:beforeAutospacing="0" w:after="0" w:afterAutospacing="0" w:line="360" w:lineRule="auto"/>
        <w:jc w:val="right"/>
      </w:pPr>
    </w:p>
    <w:p w14:paraId="6DF318BD" w14:textId="77777777" w:rsidR="00806529" w:rsidRDefault="00806529">
      <w:pPr>
        <w:pStyle w:val="NormalWeb"/>
        <w:spacing w:beforeAutospacing="0" w:after="0" w:afterAutospacing="0" w:line="360" w:lineRule="auto"/>
        <w:jc w:val="right"/>
      </w:pPr>
    </w:p>
    <w:p w14:paraId="2208F895" w14:textId="77777777" w:rsidR="00806529" w:rsidRDefault="00806529">
      <w:pPr>
        <w:pStyle w:val="NormalWeb"/>
        <w:spacing w:beforeAutospacing="0" w:after="0" w:afterAutospacing="0" w:line="360" w:lineRule="auto"/>
        <w:jc w:val="right"/>
      </w:pPr>
    </w:p>
    <w:p w14:paraId="4D353196" w14:textId="3963E562" w:rsidR="00806529" w:rsidRDefault="006301BE">
      <w:pPr>
        <w:pStyle w:val="NormalWeb"/>
        <w:spacing w:beforeAutospacing="0" w:after="0" w:afterAutospacing="0" w:line="360" w:lineRule="auto"/>
        <w:jc w:val="center"/>
        <w:rPr>
          <w:b/>
          <w:bCs/>
        </w:rPr>
      </w:pPr>
      <w:r>
        <w:rPr>
          <w:rFonts w:cs="Arial"/>
          <w:b/>
          <w:bCs/>
        </w:rPr>
        <w:t>J</w:t>
      </w:r>
      <w:r w:rsidR="00DB5AC4">
        <w:rPr>
          <w:rFonts w:cs="Arial"/>
          <w:b/>
          <w:bCs/>
        </w:rPr>
        <w:t>U</w:t>
      </w:r>
      <w:r>
        <w:rPr>
          <w:rFonts w:cs="Arial"/>
          <w:b/>
          <w:bCs/>
        </w:rPr>
        <w:t>NIOR PRIORI PERINNI</w:t>
      </w:r>
    </w:p>
    <w:p w14:paraId="11465181" w14:textId="6960B03E" w:rsidR="006301BE" w:rsidRPr="006301BE" w:rsidRDefault="006301BE" w:rsidP="006301BE">
      <w:pPr>
        <w:pStyle w:val="NormalWeb"/>
        <w:spacing w:beforeAutospacing="0" w:after="0" w:afterAutospacing="0" w:line="360" w:lineRule="auto"/>
        <w:jc w:val="center"/>
      </w:pPr>
      <w:r>
        <w:rPr>
          <w:rFonts w:cs="Arial"/>
        </w:rPr>
        <w:t>Secretário Municipal de Obras e Serviços Urbanos</w:t>
      </w:r>
    </w:p>
    <w:sectPr w:rsidR="006301BE" w:rsidRPr="006301BE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F241B" w14:textId="77777777" w:rsidR="00532401" w:rsidRDefault="00532401">
      <w:pPr>
        <w:spacing w:after="0" w:line="240" w:lineRule="auto"/>
      </w:pPr>
      <w:r>
        <w:separator/>
      </w:r>
    </w:p>
  </w:endnote>
  <w:endnote w:type="continuationSeparator" w:id="0">
    <w:p w14:paraId="0A3AE5FC" w14:textId="77777777" w:rsidR="00532401" w:rsidRDefault="00532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roman"/>
    <w:pitch w:val="variable"/>
  </w:font>
  <w:font w:name="Cambria">
    <w:panose1 w:val="0204050305040603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92105" w14:textId="77777777" w:rsidR="00806529" w:rsidRDefault="006301BE"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ascii="Arial" w:hAnsi="Arial" w:cs="Arial"/>
        <w:sz w:val="20"/>
        <w:szCs w:val="16"/>
      </w:rPr>
      <w:t xml:space="preserve">Rua Lourenço Roldi n.º </w:t>
    </w:r>
    <w:proofErr w:type="gramStart"/>
    <w:r>
      <w:rPr>
        <w:rFonts w:ascii="Arial" w:hAnsi="Arial" w:cs="Arial"/>
        <w:sz w:val="20"/>
        <w:szCs w:val="16"/>
      </w:rPr>
      <w:t>88,São</w:t>
    </w:r>
    <w:proofErr w:type="gramEnd"/>
    <w:r>
      <w:rPr>
        <w:rFonts w:ascii="Arial" w:hAnsi="Arial" w:cs="Arial"/>
        <w:sz w:val="20"/>
        <w:szCs w:val="16"/>
      </w:rPr>
      <w:t xml:space="preserve"> Roquinho, São Roque do Canaã/ES, CEP: 29665-000</w:t>
    </w:r>
  </w:p>
  <w:p w14:paraId="01649E4D" w14:textId="77777777" w:rsidR="00806529" w:rsidRDefault="006301BE">
    <w:pPr>
      <w:pStyle w:val="Rodap"/>
      <w:jc w:val="center"/>
    </w:pPr>
    <w:r>
      <w:rPr>
        <w:rFonts w:ascii="Arial" w:hAnsi="Arial" w:cs="Arial"/>
        <w:bCs/>
        <w:i/>
        <w:color w:val="000000"/>
        <w:sz w:val="20"/>
        <w:szCs w:val="16"/>
      </w:rPr>
      <w:t>Telefone: (27) 3729-1120 | E-mail:</w:t>
    </w:r>
    <w:r>
      <w:rPr>
        <w:rFonts w:ascii="Arial" w:hAnsi="Arial" w:cs="Arial"/>
        <w:sz w:val="20"/>
        <w:szCs w:val="16"/>
      </w:rPr>
      <w:t xml:space="preserve"> obras@saoroquedocanaa.es.gov.br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9C1E7" w14:textId="77777777" w:rsidR="00532401" w:rsidRDefault="00532401">
      <w:pPr>
        <w:spacing w:after="0" w:line="240" w:lineRule="auto"/>
      </w:pPr>
      <w:r>
        <w:separator/>
      </w:r>
    </w:p>
  </w:footnote>
  <w:footnote w:type="continuationSeparator" w:id="0">
    <w:p w14:paraId="6262CA75" w14:textId="77777777" w:rsidR="00532401" w:rsidRDefault="00532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8FC74" w14:textId="77777777" w:rsidR="00806529" w:rsidRDefault="006301BE">
    <w:pPr>
      <w:pStyle w:val="Cabealho"/>
      <w:tabs>
        <w:tab w:val="left" w:pos="2166"/>
      </w:tabs>
      <w:spacing w:line="276" w:lineRule="auto"/>
      <w:jc w:val="center"/>
      <w:rPr>
        <w:rFonts w:ascii="Arial" w:hAnsi="Arial" w:cs="Arial"/>
        <w:b/>
        <w:szCs w:val="16"/>
      </w:rPr>
    </w:pPr>
    <w:r>
      <w:rPr>
        <w:noProof/>
      </w:rPr>
      <w:drawing>
        <wp:inline distT="0" distB="0" distL="0" distR="0" wp14:anchorId="67393374" wp14:editId="1877D3FE">
          <wp:extent cx="647700" cy="650240"/>
          <wp:effectExtent l="0" t="0" r="0" b="0"/>
          <wp:docPr id="2" name="Imagem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29B912" w14:textId="77777777" w:rsidR="00806529" w:rsidRDefault="006301BE">
    <w:pPr>
      <w:pStyle w:val="Cabealho"/>
      <w:tabs>
        <w:tab w:val="left" w:pos="2166"/>
      </w:tabs>
      <w:jc w:val="center"/>
      <w:rPr>
        <w:rFonts w:ascii="Arial" w:hAnsi="Arial" w:cs="Arial"/>
        <w:b/>
        <w:szCs w:val="16"/>
      </w:rPr>
    </w:pPr>
    <w:r>
      <w:rPr>
        <w:rFonts w:ascii="Arial" w:hAnsi="Arial" w:cs="Arial"/>
        <w:b/>
        <w:szCs w:val="16"/>
      </w:rPr>
      <w:t>PREFEITURA MUNICIPAL DE SÃO ROQUE DO CANAÃ</w:t>
    </w:r>
  </w:p>
  <w:p w14:paraId="03ADB398" w14:textId="77777777" w:rsidR="00806529" w:rsidRDefault="006301BE">
    <w:pPr>
      <w:pStyle w:val="Subttulo"/>
      <w:rPr>
        <w:rFonts w:ascii="Arial" w:hAnsi="Arial" w:cs="Arial"/>
        <w:sz w:val="22"/>
        <w:szCs w:val="16"/>
      </w:rPr>
    </w:pPr>
    <w:r>
      <w:rPr>
        <w:rFonts w:ascii="Arial" w:hAnsi="Arial" w:cs="Arial"/>
        <w:sz w:val="22"/>
        <w:szCs w:val="16"/>
      </w:rPr>
      <w:t>ESTADO DO ESPÍRITO SANTO</w:t>
    </w:r>
  </w:p>
  <w:p w14:paraId="39CF8FB5" w14:textId="77777777" w:rsidR="00806529" w:rsidRDefault="006301BE">
    <w:pPr>
      <w:pStyle w:val="Subttulo"/>
      <w:rPr>
        <w:rFonts w:ascii="Arial" w:hAnsi="Arial" w:cs="Arial"/>
        <w:sz w:val="22"/>
        <w:szCs w:val="16"/>
      </w:rPr>
    </w:pPr>
    <w:r>
      <w:rPr>
        <w:rFonts w:ascii="Arial" w:hAnsi="Arial" w:cs="Arial"/>
        <w:sz w:val="22"/>
        <w:szCs w:val="16"/>
      </w:rPr>
      <w:t>SECRETARIA MUNICIPAL DE OBRAS E SERVIÇOS URBANOS</w:t>
    </w:r>
  </w:p>
  <w:p w14:paraId="6AC8E326" w14:textId="77777777" w:rsidR="00806529" w:rsidRDefault="00806529">
    <w:pPr>
      <w:pStyle w:val="Subttulo"/>
      <w:jc w:val="left"/>
      <w:rPr>
        <w:rFonts w:ascii="Arial" w:hAnsi="Arial" w:cs="Arial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37678"/>
    <w:multiLevelType w:val="multilevel"/>
    <w:tmpl w:val="40569B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C25DF8"/>
    <w:multiLevelType w:val="multilevel"/>
    <w:tmpl w:val="267607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147090569">
    <w:abstractNumId w:val="1"/>
  </w:num>
  <w:num w:numId="2" w16cid:durableId="1235354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529"/>
    <w:rsid w:val="00070700"/>
    <w:rsid w:val="002412E7"/>
    <w:rsid w:val="00532401"/>
    <w:rsid w:val="006301BE"/>
    <w:rsid w:val="00806529"/>
    <w:rsid w:val="00865A4B"/>
    <w:rsid w:val="00AB607D"/>
    <w:rsid w:val="00BE6A42"/>
    <w:rsid w:val="00DB5AC4"/>
    <w:rsid w:val="00DB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CA458"/>
  <w15:docId w15:val="{7DB0EAF1-8B5A-4D54-ABA6-00AF6EA3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qFormat/>
    <w:rsid w:val="000A2C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styleId="Hyperlink">
    <w:name w:val="Hyperlink"/>
    <w:basedOn w:val="Fontepargpadro"/>
    <w:uiPriority w:val="99"/>
    <w:unhideWhenUsed/>
    <w:rsid w:val="000A2C0F"/>
    <w:rPr>
      <w:color w:val="0563C1" w:themeColor="hyperlink"/>
      <w:u w:val="single"/>
    </w:rPr>
  </w:style>
  <w:style w:type="character" w:customStyle="1" w:styleId="markedcontent">
    <w:name w:val="markedcontent"/>
    <w:basedOn w:val="Fontepargpadro"/>
    <w:qFormat/>
    <w:rsid w:val="000A2C0F"/>
  </w:style>
  <w:style w:type="character" w:customStyle="1" w:styleId="SubttuloChar">
    <w:name w:val="Subtítulo Char"/>
    <w:basedOn w:val="Fontepargpadro"/>
    <w:link w:val="Subttulo"/>
    <w:qFormat/>
    <w:rsid w:val="000B235B"/>
    <w:rPr>
      <w:rFonts w:ascii="Cambria" w:eastAsia="Times New Roman" w:hAnsi="Cambria" w:cs="Times New Roman"/>
      <w:sz w:val="24"/>
    </w:rPr>
  </w:style>
  <w:style w:type="character" w:customStyle="1" w:styleId="PargrafodaListaChar">
    <w:name w:val="Parágrafo da Lista Char"/>
    <w:link w:val="PargrafodaLista"/>
    <w:qFormat/>
    <w:locked/>
    <w:rsid w:val="006876F3"/>
    <w:rPr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600A63"/>
    <w:rPr>
      <w:b/>
      <w:bCs/>
    </w:rPr>
  </w:style>
  <w:style w:type="character" w:customStyle="1" w:styleId="TtuloChar">
    <w:name w:val="Título Char"/>
    <w:basedOn w:val="Fontepargpadro"/>
    <w:link w:val="Ttulo"/>
    <w:qFormat/>
    <w:rsid w:val="000F068C"/>
    <w:rPr>
      <w:rFonts w:ascii="Cambria" w:eastAsia="Times New Roman" w:hAnsi="Cambria" w:cs="Times New Roman"/>
      <w:b/>
      <w:kern w:val="2"/>
      <w:sz w:val="32"/>
    </w:rPr>
  </w:style>
  <w:style w:type="character" w:customStyle="1" w:styleId="Corpodetexto3Char">
    <w:name w:val="Corpo de texto 3 Char"/>
    <w:basedOn w:val="Fontepargpadro"/>
    <w:link w:val="Corpodetexto3"/>
    <w:qFormat/>
    <w:rsid w:val="000F068C"/>
    <w:rPr>
      <w:rFonts w:ascii="Times New Roman" w:eastAsia="Times New Roman" w:hAnsi="Times New Roman" w:cs="Times New Roman"/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3E5CCA"/>
    <w:rPr>
      <w:lang w:eastAsia="en-US"/>
    </w:rPr>
  </w:style>
  <w:style w:type="character" w:customStyle="1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styleId="Ttulo">
    <w:name w:val="Title"/>
    <w:basedOn w:val="Normal"/>
    <w:next w:val="Corpodetexto"/>
    <w:link w:val="TtuloChar"/>
    <w:qFormat/>
    <w:rsid w:val="000F068C"/>
    <w:pPr>
      <w:spacing w:after="0" w:line="240" w:lineRule="auto"/>
      <w:jc w:val="center"/>
    </w:pPr>
    <w:rPr>
      <w:rFonts w:ascii="Cambria" w:eastAsia="Times New Roman" w:hAnsi="Cambria" w:cs="Times New Roman"/>
      <w:b/>
      <w:kern w:val="2"/>
      <w:sz w:val="32"/>
      <w:szCs w:val="20"/>
      <w:lang w:eastAsia="pt-BR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W-Corpodetexto3">
    <w:name w:val="WW-Corpo de texto 3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after="0" w:line="240" w:lineRule="auto"/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B28E5"/>
    <w:pPr>
      <w:ind w:left="720"/>
      <w:contextualSpacing/>
    </w:pPr>
  </w:style>
  <w:style w:type="paragraph" w:customStyle="1" w:styleId="Corpodetexto23">
    <w:name w:val="Corpo de texto 23"/>
    <w:basedOn w:val="Normal"/>
    <w:qFormat/>
    <w:rsid w:val="00DE115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rpodetexto3">
    <w:name w:val="Body Text 3"/>
    <w:basedOn w:val="Normal"/>
    <w:link w:val="Corpodetexto3Char"/>
    <w:qFormat/>
    <w:rsid w:val="000F068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E5CCA"/>
    <w:pPr>
      <w:spacing w:after="0" w:line="240" w:lineRule="auto"/>
    </w:pPr>
    <w:rPr>
      <w:sz w:val="20"/>
      <w:szCs w:val="20"/>
    </w:rPr>
  </w:style>
  <w:style w:type="paragraph" w:customStyle="1" w:styleId="western">
    <w:name w:val="western"/>
    <w:basedOn w:val="Normal"/>
    <w:qFormat/>
    <w:rsid w:val="00B9290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71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A1F9D-851E-43DC-9D29-74B31A027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1769</TotalTime>
  <Pages>1</Pages>
  <Words>1398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dc:description/>
  <cp:lastModifiedBy>Valeria</cp:lastModifiedBy>
  <cp:revision>48</cp:revision>
  <cp:lastPrinted>2026-09-30T19:15:00Z</cp:lastPrinted>
  <dcterms:created xsi:type="dcterms:W3CDTF">2023-11-21T18:54:00Z</dcterms:created>
  <dcterms:modified xsi:type="dcterms:W3CDTF">2026-09-30T19:15:00Z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