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 E 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DESCRIÇÃO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Constitui objeto do presente Termo de Referência, estabelecer as condições e diretrizes que disciplinarão a </w:t>
      </w:r>
      <w:r>
        <w:rPr>
          <w:rFonts w:cs="Arial" w:ascii="Times New Roman" w:hAnsi="Times New Roman"/>
          <w:b/>
          <w:sz w:val="24"/>
          <w:szCs w:val="24"/>
        </w:rPr>
        <w:t xml:space="preserve">contratação da empresa RECREIO VITORIA VEICULOS S.A. </w:t>
      </w:r>
      <w:r>
        <w:rPr>
          <w:rFonts w:cs="Arial" w:ascii="Times New Roman" w:hAnsi="Times New Roman"/>
          <w:b/>
          <w:bCs/>
          <w:sz w:val="24"/>
          <w:szCs w:val="24"/>
        </w:rPr>
        <w:t>, CNPJ nº 01.973.495/0001-06, localizada na RODOVIA GOVERNADOR MARIO COVAS, Nº 5030- km 264.91 - PLANALTO DE CARAPINA - SERRA/ES – CEP 29.162-702</w:t>
      </w:r>
      <w:r>
        <w:rPr>
          <w:rFonts w:cs="Arial" w:ascii="Times New Roman" w:hAnsi="Times New Roman"/>
          <w:sz w:val="24"/>
          <w:szCs w:val="24"/>
        </w:rPr>
        <w:t xml:space="preserve">, </w:t>
      </w:r>
      <w:r>
        <w:rPr>
          <w:rFonts w:cs="Arial" w:ascii="Times New Roman" w:hAnsi="Times New Roman"/>
          <w:b/>
          <w:sz w:val="24"/>
          <w:szCs w:val="24"/>
        </w:rPr>
        <w:t xml:space="preserve">objetivando a revisão de </w:t>
      </w:r>
      <w:r>
        <w:rPr>
          <w:rFonts w:cs="Arial" w:ascii="Times New Roman" w:hAnsi="Times New Roman"/>
          <w:b/>
          <w:sz w:val="24"/>
          <w:szCs w:val="24"/>
        </w:rPr>
        <w:t>3</w:t>
      </w:r>
      <w:r>
        <w:rPr>
          <w:rFonts w:cs="Arial" w:ascii="Times New Roman" w:hAnsi="Times New Roman"/>
          <w:b/>
          <w:sz w:val="24"/>
          <w:szCs w:val="24"/>
        </w:rPr>
        <w:t>0.000 Km  do veículo POLO SENSE, placa TOM7E62, chassi n° 9BWAH5BZ4TT633891, pertencente à frota de veículos do Município de São Roque do Canaã/ES</w:t>
      </w:r>
      <w:r>
        <w:rPr>
          <w:rFonts w:cs="Arial" w:ascii="Times New Roman" w:hAnsi="Times New Roman"/>
          <w:sz w:val="24"/>
          <w:szCs w:val="24"/>
        </w:rPr>
        <w:t>, em atendimento à demanda da Secretaria Municipal de Agricultura e Desenvolvimento Econômico – SMADE/SRC.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8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Especificações: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366"/>
        <w:gridCol w:w="1348"/>
        <w:gridCol w:w="6357"/>
      </w:tblGrid>
      <w:tr>
        <w:trPr>
          <w:trHeight w:val="227" w:hRule="atLeast"/>
        </w:trPr>
        <w:tc>
          <w:tcPr>
            <w:tcW w:w="13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shd w:fill="auto" w:val="clear"/>
                <w:lang w:eastAsia="pt-BR"/>
              </w:rPr>
              <w:t>Quant.</w:t>
            </w:r>
          </w:p>
        </w:tc>
        <w:tc>
          <w:tcPr>
            <w:tcW w:w="13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2"/>
                <w:szCs w:val="22"/>
                <w:shd w:fill="auto" w:val="clear"/>
                <w:lang w:eastAsia="pt-BR"/>
              </w:rPr>
              <w:t>Descrição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shd w:fill="auto" w:val="clear"/>
                <w:lang w:eastAsia="pt-BR"/>
              </w:rPr>
              <w:t>1,30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TERCEIRA REVISÃO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shd w:fill="auto" w:val="clear"/>
                <w:lang w:eastAsia="pt-BR"/>
              </w:rPr>
              <w:t>0,37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ALINHAMENTO E BALANCEAMENTO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FILTRO DE ÓLEO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ELEMENTO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FILTRO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FILTRO COMB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4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ÓLEO 5W40 VW508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ANEL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b w:val="false"/>
                <w:bCs w:val="false"/>
                <w:color w:val="000000"/>
                <w:sz w:val="22"/>
                <w:szCs w:val="22"/>
                <w:shd w:fill="auto" w:val="clear"/>
                <w:lang w:eastAsia="pt-B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2"/>
                <w:szCs w:val="22"/>
                <w:shd w:fill="auto" w:val="clear"/>
                <w:lang w:eastAsia="pt-BR"/>
              </w:rPr>
              <w:t>KIT LUBRIFICAÇÃO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2"/>
                <w:szCs w:val="22"/>
                <w:shd w:fill="auto" w:val="clear"/>
              </w:rPr>
              <w:t>1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KIT DESCARBONIZAÇÃO</w:t>
            </w:r>
          </w:p>
        </w:tc>
      </w:tr>
      <w:tr>
        <w:trPr>
          <w:trHeight w:val="227" w:hRule="atLeast"/>
        </w:trPr>
        <w:tc>
          <w:tcPr>
            <w:tcW w:w="136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b w:val="false"/>
                <w:bCs w:val="false"/>
                <w:sz w:val="22"/>
                <w:szCs w:val="22"/>
                <w:shd w:fill="auto" w:val="clear"/>
              </w:rPr>
              <w:t>3</w:t>
            </w:r>
          </w:p>
        </w:tc>
        <w:tc>
          <w:tcPr>
            <w:tcW w:w="1348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Unid.</w:t>
            </w:r>
          </w:p>
        </w:tc>
        <w:tc>
          <w:tcPr>
            <w:tcW w:w="63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/>
                <w:sz w:val="22"/>
                <w:szCs w:val="22"/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z w:val="22"/>
                <w:szCs w:val="22"/>
                <w:shd w:fill="auto" w:val="clear"/>
              </w:rPr>
              <w:t>ADITIVO RADIADOR PRONTO PRA USO</w:t>
            </w:r>
          </w:p>
        </w:tc>
      </w:tr>
    </w:tbl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bens objeto desta contratação são </w:t>
      </w:r>
      <w:r>
        <w:rPr>
          <w:rFonts w:cs="Arial" w:ascii="Times New Roman" w:hAnsi="Times New Roman"/>
          <w:b/>
          <w:sz w:val="24"/>
          <w:szCs w:val="24"/>
        </w:rPr>
        <w:t>caracterizados como de natureza comum</w:t>
      </w:r>
      <w:r>
        <w:rPr>
          <w:rFonts w:cs="Arial" w:ascii="Times New Roman" w:hAnsi="Times New Roman"/>
          <w:sz w:val="24"/>
          <w:szCs w:val="24"/>
        </w:rPr>
        <w:t>, uma vez ser possível estabelecer, para efeito de julgamento das propostas, especificações utilizadas no mercado, padrões de qualidade e desempenho peculiares ao objeto, conforme justificativa constante no Documento de Formalização de Demanda e neste Termo de Referência, atendendo ao disposto do art. 6º, XIII,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objeto da presente contratação </w:t>
      </w:r>
      <w:r>
        <w:rPr>
          <w:rFonts w:cs="Arial" w:ascii="Times New Roman" w:hAnsi="Times New Roman"/>
          <w:b/>
          <w:sz w:val="24"/>
          <w:szCs w:val="24"/>
        </w:rPr>
        <w:t>não se enquadra, ainda, como sendo bem de luxo</w:t>
      </w:r>
      <w:r>
        <w:rPr>
          <w:rFonts w:cs="Arial" w:ascii="Times New Roman" w:hAnsi="Times New Roman"/>
          <w:sz w:val="24"/>
          <w:szCs w:val="24"/>
        </w:rPr>
        <w:t>, atendendo ao disposto no art. 20, da Lei Federal nº 14.133/2021.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VIGÊNCIA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Tratando-se de contratação imediata, a do presente objeto, esta ficará adstrita à vigência do exercício financeiro correspondente</w:t>
      </w:r>
      <w:r>
        <w:rPr>
          <w:rFonts w:cs="Arial" w:ascii="Times New Roman" w:hAnsi="Times New Roman"/>
          <w:sz w:val="24"/>
          <w:szCs w:val="24"/>
        </w:rPr>
        <w:t>, nos termos do art. 105, da Lei nº 14.133/2021.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OBJETIVO E DA JUSTIFICATIVA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Licitação é o procedimento administrativo formal em que a Administração convoca, mediante condições estabelecidas em ato próprio (edital), empresas interessadas na apresentação de propostas para o oferecimento de bens e serviços. O ordenamento brasileiro, em sua Carta Magna (art. 37, inciso XXI), determinou a obrigatoriedade da licitação para todas as aquisições de bens e contratações de serviços e obras realizadas pela Administração no exercício de suas funções. Nessa perspectiva, a Lei Federal nº 14.133/2021 estabelece as normas gerais sobre licitações e contratos.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fundamentação pormenorizada quanto à necessidade de contratação do presente objeto pode ser encontrada no Documento de Formalização de Demanda e neste instrumento referencial, de modo que, em virtude na natureza do objeto a ser contratado, nos termos do art. 75, IV, a, da Lei nº 14.133/2021, dispensa-se a elaboração de Estudo Técnico Preliminar (ETP), bem como a realização de procedimento licitatório.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Portanto, </w:t>
      </w:r>
      <w:r>
        <w:rPr>
          <w:rFonts w:cs="Arial" w:ascii="Times New Roman" w:hAnsi="Times New Roman"/>
          <w:b/>
          <w:sz w:val="24"/>
          <w:szCs w:val="24"/>
        </w:rPr>
        <w:t>sob a égide do art. 75, IV, a, da Lei nº 14.133/2021, destacamos que a respectiva contratação se dará por meio de dispensa de licitação</w:t>
      </w:r>
      <w:r>
        <w:rPr>
          <w:rFonts w:cs="Arial" w:ascii="Times New Roman" w:hAnsi="Times New Roman"/>
          <w:sz w:val="24"/>
          <w:szCs w:val="24"/>
        </w:rPr>
        <w:t xml:space="preserve">, asseverando, ainda, a conformidade ao regulamento normativo municipal. De igual modo, </w:t>
      </w:r>
      <w:r>
        <w:rPr>
          <w:rFonts w:cs="Arial" w:ascii="Times New Roman" w:hAnsi="Times New Roman"/>
          <w:b/>
          <w:sz w:val="24"/>
          <w:szCs w:val="24"/>
        </w:rPr>
        <w:t>o objeto da presente contratação se encontra previsto no Plano Anual de Contratações (PAC) para o exercício de 2026</w:t>
      </w:r>
      <w:r>
        <w:rPr>
          <w:rFonts w:cs="Arial" w:ascii="Times New Roman" w:hAnsi="Times New Roman"/>
          <w:sz w:val="24"/>
          <w:szCs w:val="24"/>
        </w:rPr>
        <w:t>, aprovado pelo Decreto Municipal nº 7.887/2025 e publicado em 20 de outubro de 2025,</w:t>
      </w:r>
      <w:r>
        <w:rPr>
          <w:rFonts w:cs="Arial" w:ascii="Times New Roman" w:hAnsi="Times New Roman"/>
          <w:b/>
          <w:sz w:val="24"/>
          <w:szCs w:val="24"/>
        </w:rPr>
        <w:t xml:space="preserve"> não sendo necessária a atualização do respectivo plano.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Os quantitativos previstos nesse Termo de Referência levaram em </w:t>
      </w:r>
      <w:r>
        <w:rPr>
          <w:rFonts w:cs="Arial" w:ascii="Times New Roman" w:hAnsi="Times New Roman"/>
          <w:b/>
          <w:sz w:val="24"/>
          <w:szCs w:val="24"/>
        </w:rPr>
        <w:t>consideração a demanda da Secretaria Municipal Requisitante, por meio do Setor de Transporte,</w:t>
      </w:r>
      <w:r>
        <w:rPr>
          <w:rFonts w:cs="Arial" w:ascii="Times New Roman" w:hAnsi="Times New Roman"/>
          <w:sz w:val="24"/>
          <w:szCs w:val="24"/>
        </w:rPr>
        <w:t xml:space="preserve"> mediante o controle realizado, pelo respectivo setor, nos cuidados com os veículos da frota municipal. Assim, a presente contratação tem como finalidade o suprimento das demandas apresentadas pela Secretaria, ante a viabilidade demonstrada pelo Documento de Formalização de Demanda e por meio deste instrumento.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descrição técnica dos objetos/produtos a serem contratados, e posteriormente adquiridos conforme necessidades da Secretaria Requerente constam, inclusive quantitativamente, na tabela presente no </w:t>
      </w:r>
      <w:r>
        <w:rPr>
          <w:rFonts w:cs="Arial" w:ascii="Times New Roman" w:hAnsi="Times New Roman"/>
          <w:b/>
          <w:sz w:val="24"/>
          <w:szCs w:val="24"/>
        </w:rPr>
        <w:t>subitem 1.1.2.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Justificando, o presente Termo de Referência visa </w:t>
      </w:r>
      <w:r>
        <w:rPr>
          <w:rFonts w:cs="Arial" w:ascii="Times New Roman" w:hAnsi="Times New Roman"/>
          <w:b/>
          <w:sz w:val="24"/>
          <w:szCs w:val="24"/>
        </w:rPr>
        <w:t>esclarecer e direcionar os procedimentos essenciais para elaboração da Dispensa de Licitação, nos termos do art. 75, IV, a, da Lei nº 14.133/2021.</w:t>
      </w:r>
      <w:r>
        <w:rPr>
          <w:rFonts w:cs="Arial" w:ascii="Times New Roman" w:hAnsi="Times New Roman"/>
          <w:sz w:val="24"/>
          <w:szCs w:val="24"/>
        </w:rPr>
        <w:t xml:space="preserve"> No Termo de Referência, apresentam-se sugestões básicas sobre os procedimentos administrativos mais comuns nas licitações públicas municipais e o atendimento aos requisitos estabelecidos evitará equívocos nas compras e contrações a serem realizadas.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FORMALIZAÇÃO DA ATA DE REGISTRO DE PREÇOS, DOS USUÁRIOS DO REGISTRO DE PREÇOS E DO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OBJETO LICITADO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SOLUÇÃO E DO CICLO DE VIDA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A descrição da solução como um todo se encontra pormenorizada na própria Lei nº 14.133/2021</w:t>
      </w:r>
      <w:r>
        <w:rPr>
          <w:rFonts w:cs="Arial" w:ascii="Times New Roman" w:hAnsi="Times New Roman"/>
          <w:sz w:val="24"/>
          <w:szCs w:val="24"/>
        </w:rPr>
        <w:t>, ao passo que se estabelece ser dispensável a licitação nos casos em que a contratação tenha por objeto bens, componentes ou peças de origem nacional ou estrangeira necessários à manutenção de equipamentos, a serem adquiridos do fornecedor original desses equipamentos durante o período de garantia técnica, quando essa condição de exclusividade for indispensável para a vigência da garantia (art. 75, IV, a, Lei nº 14.133/2021).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Na presente contratação será admitida, apenas, a oferta do objeto em consonância com as características e justificativas contidas neste instrumento referencial.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DOS REQUISITOS DA CONTRATAÇÃO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contratação será realizada em razão da necessidade e periodicidade de revisões veiculares de garantia, nos veículos da Secretaria Municipal de </w:t>
      </w:r>
      <w:r>
        <w:rPr>
          <w:rFonts w:cs="Arial" w:ascii="Times New Roman" w:hAnsi="Times New Roman"/>
          <w:color w:val="000000"/>
          <w:sz w:val="24"/>
          <w:szCs w:val="24"/>
        </w:rPr>
        <w:t>Agricultura e</w:t>
      </w:r>
      <w:r>
        <w:rPr>
          <w:rFonts w:cs="Arial" w:ascii="Times New Roman" w:hAnsi="Times New Roman"/>
          <w:sz w:val="24"/>
          <w:szCs w:val="24"/>
        </w:rPr>
        <w:t xml:space="preserve"> Desenvolvimento Econômico.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A contratação em comento leva em conta a necessidade da Secretaria para o exercício financeiro, sendo que tal contratação faz parte do planejamento estabelecido pela equipe técnica do setor, estando contemplado, ainda, no Plano Anual de Contratações. Assim, demonstra-se que a pretensão se encontra plenamente alinhada com o planejamento realizado pela requerente.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Para a contratação será aferida a verificação da habilitação social, fiscal, trabalhista e técnica da empresa, de acordo com as premissas da Lei Federal nº 14.133/2021, em seu Capítulo VI.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FORNECIMENTO E RECEBIMENTO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sz w:val="24"/>
          <w:szCs w:val="24"/>
        </w:rPr>
        <w:t xml:space="preserve">O objeto da presente contratação será fornecido </w:t>
      </w:r>
      <w:r>
        <w:rPr>
          <w:rFonts w:cs="Arial" w:ascii="Times New Roman" w:hAnsi="Times New Roman"/>
          <w:b/>
          <w:bCs/>
          <w:sz w:val="24"/>
          <w:szCs w:val="24"/>
        </w:rPr>
        <w:t>integralmente de acordo com a solicitação</w:t>
      </w:r>
      <w:r>
        <w:rPr>
          <w:rFonts w:cs="Arial" w:ascii="Times New Roman" w:hAnsi="Times New Roman"/>
          <w:sz w:val="24"/>
          <w:szCs w:val="24"/>
        </w:rPr>
        <w:t xml:space="preserve">, sendo que será emitido um atestado – </w:t>
      </w:r>
      <w:r>
        <w:rPr>
          <w:rFonts w:cs="Arial" w:ascii="Times New Roman" w:hAnsi="Times New Roman"/>
          <w:b/>
          <w:sz w:val="24"/>
          <w:szCs w:val="24"/>
        </w:rPr>
        <w:t>“Termo de Recebimento”</w:t>
      </w:r>
      <w:r>
        <w:rPr>
          <w:rFonts w:cs="Arial" w:ascii="Times New Roman" w:hAnsi="Times New Roman"/>
          <w:sz w:val="24"/>
          <w:szCs w:val="24"/>
        </w:rPr>
        <w:t>, apurando a qualidade do fornecimento, informando a quantidade recebida e os descritivos dos mesmos constantes no contrato, obrigando-se a proponente a substituir, as suas expensas, aqueles que vierem a ser recusados.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recebimento dar-se-á mediante a apresentação das Notas Fiscais, em conformidade ao objeto.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terá o </w:t>
      </w:r>
      <w:r>
        <w:rPr>
          <w:rFonts w:cs="Arial" w:ascii="Times New Roman" w:hAnsi="Times New Roman"/>
          <w:b/>
          <w:bCs/>
          <w:sz w:val="24"/>
          <w:szCs w:val="24"/>
        </w:rPr>
        <w:t>prazo imediato para o fornecimento do objeto solicitado</w:t>
      </w:r>
      <w:r>
        <w:rPr>
          <w:rFonts w:cs="Arial" w:ascii="Times New Roman" w:hAnsi="Times New Roman"/>
          <w:bCs/>
          <w:sz w:val="24"/>
          <w:szCs w:val="24"/>
        </w:rPr>
        <w:t xml:space="preserve">, contados a partir da respectiva Autorização de Fornecimento (AF), expedida pelo Setor de Compras do </w:t>
      </w:r>
      <w:r>
        <w:rPr>
          <w:rFonts w:cs="Arial" w:ascii="Times New Roman" w:hAnsi="Times New Roman"/>
          <w:b/>
          <w:bCs/>
          <w:sz w:val="24"/>
          <w:szCs w:val="24"/>
        </w:rPr>
        <w:t>CONTRATANTE</w:t>
      </w:r>
      <w:r>
        <w:rPr>
          <w:rFonts w:cs="Arial" w:ascii="Times New Roman" w:hAnsi="Times New Roman"/>
          <w:bCs/>
          <w:sz w:val="24"/>
          <w:szCs w:val="24"/>
        </w:rPr>
        <w:t>.</w:t>
      </w:r>
    </w:p>
    <w:p>
      <w:pPr>
        <w:pStyle w:val="Normal"/>
        <w:tabs>
          <w:tab w:val="clear" w:pos="708"/>
          <w:tab w:val="left" w:pos="-414" w:leader="none"/>
          <w:tab w:val="left" w:pos="0" w:leader="none"/>
          <w:tab w:val="left" w:pos="306" w:leader="none"/>
          <w:tab w:val="left" w:pos="1020" w:leader="none"/>
          <w:tab w:val="left" w:pos="2466" w:leader="none"/>
          <w:tab w:val="left" w:pos="2832" w:leader="none"/>
          <w:tab w:val="left" w:pos="3906" w:leader="none"/>
          <w:tab w:val="left" w:pos="4626" w:leader="none"/>
          <w:tab w:val="left" w:pos="5346" w:leader="none"/>
          <w:tab w:val="left" w:pos="6066" w:leader="none"/>
          <w:tab w:val="left" w:pos="6786" w:leader="none"/>
          <w:tab w:val="left" w:pos="7506" w:leader="none"/>
          <w:tab w:val="left" w:pos="8226" w:leader="none"/>
          <w:tab w:val="left" w:pos="8946" w:leader="none"/>
          <w:tab w:val="left" w:pos="9666" w:leader="none"/>
        </w:tabs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CONDIÇÕES DE RECEBIMENTO DO OBJETO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No recebimento e aceitação do objeto deste Termo de Referência serão observados, no que couberem, as disposições contidas no artigo 140 da Lei Federal nº 14.133/2021.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fornecimento será recebido: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P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rovisoriamente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pelo responsável por seu acompanhamento e fiscalização, mediante termo detalhado, quando verificado o cumprimento das exigências de caráter técnico</w:t>
      </w:r>
      <w:r>
        <w:rPr>
          <w:rFonts w:cs="Arial" w:ascii="Times New Roman" w:hAnsi="Times New Roman"/>
          <w:color w:val="000000"/>
          <w:sz w:val="24"/>
          <w:szCs w:val="24"/>
        </w:rPr>
        <w:t>, em até 05 (cinco) dias; e,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Definitivamente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</w:t>
      </w:r>
      <w:r>
        <w:rPr>
          <w:rFonts w:eastAsia="SimSun" w:cs="Arial" w:ascii="Times New Roman" w:hAnsi="Times New Roman"/>
          <w:color w:val="000000"/>
          <w:sz w:val="24"/>
          <w:szCs w:val="24"/>
        </w:rPr>
        <w:t>por servidor ou comissão designada pela autoridade competente, mediante termo detalhado que comprove o atendimento das exigências contratuais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Será rejeitado no recebimento, o objeto fornecido com especificações e marcas (quando for o caso) diferentes das constantes da proposta comercial apresentada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devendo a sua substituição ocorrer na forma e prazo definidos a seguir.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Constatadas irregularidades no fornecimento,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através do representante da Secretaria Requerente, poderá: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disser respeito à especificação do fornecimento, ou qualquer dos demais motivos elencados neste item, rejeitá-lo em parte ou no todo, determinando sua substituição ou rescindindo a aquisição, sem prejuízo das penalidades cabíveis;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2"/>
        </w:numPr>
        <w:ind w:hanging="0" w:left="0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substituição,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da Administração, no prazo máximo de </w:t>
      </w:r>
      <w:r>
        <w:rPr>
          <w:rFonts w:cs="Arial"/>
          <w:sz w:val="24"/>
          <w:szCs w:val="24"/>
        </w:rPr>
        <w:t>05 (cinco) dias úteis</w:t>
      </w:r>
      <w:r>
        <w:rPr>
          <w:rFonts w:cs="Arial"/>
          <w:color w:val="000000"/>
          <w:sz w:val="24"/>
          <w:szCs w:val="24"/>
        </w:rPr>
        <w:t>, contados da notificação por escrito, mantido o preço inicialmente adquirido.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5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Se diz respeito à diferença de quantidade ou de partes, determinar a sua complementação ou rescindir a aquisição, sem prejuízo das penalidades cabíveis;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numPr>
          <w:ilvl w:val="0"/>
          <w:numId w:val="3"/>
        </w:numPr>
        <w:ind w:hanging="0" w:left="0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Na hipótese de complementação, a </w:t>
      </w:r>
      <w:r>
        <w:rPr>
          <w:rFonts w:cs="Arial"/>
          <w:b/>
          <w:color w:val="000000"/>
          <w:sz w:val="24"/>
          <w:szCs w:val="24"/>
        </w:rPr>
        <w:t>CONTRATADA</w:t>
      </w:r>
      <w:r>
        <w:rPr>
          <w:rFonts w:cs="Arial"/>
          <w:color w:val="000000"/>
          <w:sz w:val="24"/>
          <w:szCs w:val="24"/>
        </w:rPr>
        <w:t xml:space="preserve"> deverá fazê-la em conformidade com a indicação do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>, no prazo máximo de 05 (cinco) dias úteis, contados da Notificação por escrito, mantido o preço inicialmente adquirido.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color w:val="000000"/>
          <w:sz w:val="24"/>
          <w:szCs w:val="24"/>
        </w:rPr>
        <w:t>O recebimento do objeto compreenderá, dentre outras, as seguintes verificações: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Compatibilidade do fornecimento com as especificações exigidas no termo de referência e constantes da proposta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incluindo-se marcas (se houver) e quantidades, devendo o fornecimento acontecer nas mesmas condições indicadas nas propostas de preços;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9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Apresentação do documento fiscal, com identificação do fornecedor e do comprador, descrição do material entregue, quantidade, preços unitários e total.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Reserva-se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direito de não aceitar o fornecimento cuja qualidade seja comprovadamente baixa.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Somente será aceito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o fornecimento integral de acordo com o quantitativo total e especificações constantes das Autorizações de Fornecimento e, caso seja rejeitado, o objeto do fornecimento ficará disponível para solução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sob pena de sofrer as sanções previstas na Lei Federal nº 14.133/2021.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Todas as despesas de recolhimento e transporte, quando houver, ficarão a cargo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DA CONTRATADA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Cumprir fielmente, os compromissos avençados de forma que o fornecimento seja efetuado com pontualidade, dentro do prazo estipulado, bem como seja feita com esmero e perfeição e devendo ainda solucionar os problemas que porventura venham a surgir;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Comunicar imediatamente e por escrito a Administração Municipal, através da Fiscalização, qualquer anormalidade verificada, para que sejam adotadas as providências de regularização necessárias;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Atender com prontidão as reclamações por parte do recebedor do fornecimento, objeto da presente aquisição;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Suportar todas as despesas com deslocamento, encargos fiscais, previdenciários e trabalhistas, além de quaisquer outras que se fizerem necessários ao cumprimento da presente contratação;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Trocar às suas expensas, todo o objeto comprovadamente fornecido de forma inadequada, a critério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Assumir a responsabilidade, presente e futura, de qualquer compromisso ou ônus decorrentes do inadimplemento relativos às obrigações aqui assumidas, ficando essas ao seu encargo, exclusivamente, em qualquer momento que vierem a ocorrer;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Dispor de equipamento, material, peças e pessoal especializado no quantitativo necessário ao cumprimento do objeto adquirido, respeitando as normas de higiene e segurança no trabalho;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Entregar o objeto de primeira qualidade, dentro do prazo de validade exigido pela legislação vigente;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eastAsia="SimSun" w:cs="Arial" w:ascii="Times New Roman" w:hAnsi="Times New Roman"/>
          <w:color w:val="000000"/>
          <w:sz w:val="24"/>
          <w:szCs w:val="24"/>
          <w:lang w:eastAsia="zh-CN"/>
        </w:rPr>
        <w:t>O</w:t>
      </w:r>
      <w:r>
        <w:rPr>
          <w:rFonts w:cs="Arial" w:ascii="Times New Roman" w:hAnsi="Times New Roman"/>
          <w:sz w:val="24"/>
          <w:szCs w:val="24"/>
        </w:rPr>
        <w:t xml:space="preserve">bedecer ao prazo de execução dos serviços, nas datas, condições e locais definidos, nas quantidades </w:t>
      </w:r>
      <w:r>
        <w:rPr>
          <w:rFonts w:cs="Arial" w:ascii="Times New Roman" w:hAnsi="Times New Roman"/>
          <w:b/>
          <w:sz w:val="24"/>
          <w:szCs w:val="24"/>
        </w:rPr>
        <w:t>CONTRATADAS</w:t>
      </w:r>
      <w:r>
        <w:rPr>
          <w:rFonts w:cs="Arial" w:ascii="Times New Roman" w:hAnsi="Times New Roman"/>
          <w:sz w:val="24"/>
          <w:szCs w:val="24"/>
        </w:rPr>
        <w:t>, acrescidas se necessário;</w:t>
      </w:r>
    </w:p>
    <w:p>
      <w:pPr>
        <w:pStyle w:val="Corpodetexto23"/>
        <w:tabs>
          <w:tab w:val="clear" w:pos="708"/>
          <w:tab w:val="left" w:pos="1302" w:leader="none"/>
        </w:tabs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Responsabilizar-se pelos danos que causar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ou a terceiros, decorrentes de culpa ou dolo, durante a execução;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inadimplência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com referência aos encargos trabalhistas, fiscais e comerciais, não transfere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a responsabilidade por seu pagamento;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Responder, integralmente, por perdas e danos que vier a causar ao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 xml:space="preserve"> ou a terceiros em razão de ação ou omissão, dolosa ou culposa, sua ou dos seus prepostos, independentemente de outras cominações contratuais ou legais a que estiver sujeita;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sz w:val="24"/>
          <w:szCs w:val="24"/>
        </w:rPr>
        <w:t xml:space="preserve">CONTRATANTE </w:t>
      </w:r>
      <w:r>
        <w:rPr>
          <w:rFonts w:cs="Arial" w:ascii="Times New Roman" w:hAnsi="Times New Roman"/>
          <w:sz w:val="24"/>
          <w:szCs w:val="24"/>
        </w:rPr>
        <w:t xml:space="preserve">não aceitará, sob nenhum pretexto, a transferência de responsabilidade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para outras entidades, sejam fabricantes, técnicos ou quaisquer outros;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Manter, em compatibilidade com as obrigações aqui assumidas, todas as condições de habilitação e qualificação exigidas na contratação, que possa comprometer a continuidade do fornecimento, bem como substituir os documentos com prazo de validade expirado;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Permitir que o fornecimento seja fiscalizado no ato de sua entrega.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OBRIGAÇÕES E RESPONSABILIDADES DO CONTRATANTE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Além das obrigações resultantes da observância da Lei Federal nº 14.133/2021, em atendimento ao seu art. 89, §2º, são obrigações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: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Cumprir todos os compromissos financeiros assumidos com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em conformidade com Autorização de Fornecimento, sendo que o pagamento da Nota Fiscal fica condicionado ao cumprimento dos critérios de recebimento do fornecimento e os procedimentos burocráticos;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Fornecer a qualquer tempo e com presteza, mediante solicitação das empresas proponentes vencedoras do certame, informações adicionais, dirimir dúvidas e orientá-la em todos os casos omissos;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Fiscalizar rigorosamente, através do fiscal designado, se o objeto fornecido obedece às condições exigidas, inclusive, se necessário e a qualquer tempo, quanto às propriedades sanitárias, físicas ou químicas a depender do seu gênero e condições da empresa ou filial em que forem armazenados, produzidos ou fabricado o objeto;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Notificar por escrito, formal e tempestivamente,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sobre as irregularidades observadas na execução do contrato ou instrumento substitutivo, inclusive sobre multas, penalidades e quaisquer débitos de sua responsabilidade;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Aplicar as sanções administrativas contratuais pertinentes, em caso de inadimplemento.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4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Comunicar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qualquer irregularidade manifestada na prestação dos serviços e interromper imediatamente, caso necessário. 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3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assumirá em nenhuma hipótese, a responsabilidade, presente ou futura, de qualquer compromisso ou ônus decorrentes do inadimplemento das empresas vencedoras da presente aquisição relativa às obrigações aqui assumidas, ficando essas a seu encargo, exclusivamente, em qualquer momento que vierem a ocorrer.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/ FISCALIZAÇÃO DO OBJETO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de todas as fases, será feita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por intermédio da(o) Gestor(a) Fiscal do Contrato, de acordo com o estabelecido no art. 117 da Lei Federal nº 14.133/2021, com autoridade para exercer em nome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fiscalização do objeto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e toda e qualquer ação de orientação geral, controle e fiscalização, obrigando-se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facilitar, de modo amplo e completo, a ação do fiscal.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deverá fiscalizar e acompanhar a execução da referida contratação, com poderes amplos e irrestritos para receber provisoriamente o fornecimento, conforme local indicado pela unidade requisitante, procedendo com a verificação das especificações, prazos e demais condições, e após realizar o recebimento definitivo dos mesmos, e bem como propor penalidades e analisar documentos.</w:t>
      </w:r>
    </w:p>
    <w:p>
      <w:pPr>
        <w:pStyle w:val="Corpodetexto23"/>
        <w:rPr>
          <w:rFonts w:cs="Arial"/>
          <w:color w:val="000000"/>
          <w:sz w:val="24"/>
          <w:szCs w:val="24"/>
          <w:shd w:fill="FFFF00" w:val="clear"/>
        </w:rPr>
      </w:pPr>
      <w:r>
        <w:rPr>
          <w:rFonts w:cs="Arial"/>
          <w:color w:val="000000"/>
          <w:sz w:val="24"/>
          <w:szCs w:val="24"/>
          <w:shd w:fill="FFFF00" w:val="clear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contratação terá como gestor/fiscal, o servidor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Jorge Luis Calci,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 qual será designado, oficialmente, por meio de ato próprio da Secretaria Municipal de Agricultura e  Desenvolvimento Econômico, numerado, datado e publicado no Diário Oficial dos Municípios do Estado do Espírito Santo – DOM/ES.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será exercida no interesse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e não exclui e nem reduz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inclusive perante terceiros, por quaisquer irregularidades, e, na sua ocorrência, não implica corresponsabilidade do Poder Público ou de seus agentes e prepostos.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Fiscalização poderá determinar, a ônus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substituição do fornecimento julgado deficiente ou não-conforme com as especificações definidas, cabendo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providenciar a troca dos mesmos no prazo máximo definido pela fiscalização, sem direito à extensão do prazo final de fornecimento.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Caso o Secretário Municipal Requerente não designe nenhum servidor para acompanhar o fornecimento e fiscalização, o mesmo assumirá tal responsabilidade.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através do fiscal do contrato comunicará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, por escrito, as deficiências porventura verificadas no fornecimento, para imediata correção.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presença da fiscalização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não elide nem diminui a responsabilidade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Gestor/Fiscal do Contrato indicado anotará em registro próprio todas as ocorrências relacionadas com o fornecimento, determinando o que for necessário à regularização das faltas ou defeitos observados.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é obrigada a reparar, corrigir ou substituir, às suas expensas, no total ou em parte, o objeto em que se verificarem vícios, defeitos ou incorreções resultantes da execução.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As decisões e providências que ultrapassarem a competência do Gestor/Fiscal do Contrato deverão ser solicitadas ao Secretário Municipal Requisitante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em tempo hábil, para a adoção das medidas convenientes.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GARANTIA PELO FORNECIMENTO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deverá garantir, pelo prazo legal, sem prejuízo das garantias fornecidas por ela, fabricantes ou qualquer outro, a execução dos serviços em comento, bem como pelo fornecimento de peças que dela decorrer.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Durante o prazo de garantia, 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 fica obrigada a substituir os bens e serviços que houver vícios, no prazo máximo de 05 (cinco) dias úteis, a contar da data de recebimento da notificação do problema, sem ônus para o </w:t>
      </w:r>
      <w:r>
        <w:rPr>
          <w:rFonts w:cs="Arial" w:ascii="Times New Roman" w:hAnsi="Times New Roman"/>
          <w:b/>
          <w:sz w:val="24"/>
          <w:szCs w:val="24"/>
        </w:rPr>
        <w:t>CONTRATANTE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, ainda, deverá assumir, durante a vigência da garantia, os custos de devolução, frete e outros que por ventura decorrerem dessas situações.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Se, decorrente do fornecimento de peças, estes se deteriorarem e/ou perderem suas características, no prazo de validade ou tempo de vida útil e/ou em condições normais de estocagem e usabilidade, deverão ser trocados,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 xml:space="preserve">, no prazo máximo de 02 (dois) dias úteis, contados da comunicação, por conta e ônus da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A garantia aqui requerida não trará prejuízos a eventuais garantias adicionais fornecidas pela </w:t>
      </w:r>
      <w:r>
        <w:rPr>
          <w:rFonts w:cs="Arial" w:ascii="Times New Roman" w:hAnsi="Times New Roman"/>
          <w:b/>
          <w:sz w:val="24"/>
          <w:szCs w:val="24"/>
        </w:rPr>
        <w:t>CONTRATADA</w:t>
      </w:r>
      <w:r>
        <w:rPr>
          <w:rFonts w:cs="Arial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AMOSTRAS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GESTÃO DO CONTRATO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 Informações referentes à fiscalização e acompanhamento da contratação podem ser vislumbradas no item 5.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FATURAMENTO E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 faturamento do objeto ocorrerá mensalmente, conforme a Autorização de fornecimento e nota de empenho, mediante apresentação do(s) documento(s) fiscal(is) hábil(eis) de fornecimento, sem emendas ou rasuras, e dos documentos de regularidade fiscal exigidos pelo art. 68 da Lei Federal nº 14.133/2021.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Recebida a Nota Fiscal ou documento de cobrança equivalente, correrá o prazo de dez dias úteis para fins de liquidação, prorrogáveis por igual período.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Para fins de liquidação, o setor competente deverá verificar se a nota fiscal ou instrumento de cobrança equivalente apresentado expressa os elementos necessários e essenciais do documento, tais como: 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a)</w:t>
        <w:tab/>
        <w:t>o prazo de validade;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b)</w:t>
        <w:tab/>
        <w:t xml:space="preserve">a data da emissão;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c)</w:t>
        <w:tab/>
        <w:t xml:space="preserve">os dados do contrato e do órgão </w:t>
      </w:r>
      <w:r>
        <w:rPr>
          <w:rFonts w:cs="Arial"/>
          <w:b/>
          <w:color w:val="000000"/>
          <w:sz w:val="24"/>
          <w:szCs w:val="24"/>
        </w:rPr>
        <w:t>CONTRATANTE</w:t>
      </w:r>
      <w:r>
        <w:rPr>
          <w:rFonts w:cs="Arial"/>
          <w:color w:val="000000"/>
          <w:sz w:val="24"/>
          <w:szCs w:val="24"/>
        </w:rPr>
        <w:t xml:space="preserve">;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d)</w:t>
        <w:tab/>
        <w:t xml:space="preserve">o período respectivo de execução do contrato;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e)</w:t>
        <w:tab/>
        <w:t xml:space="preserve">o valor a pagar; e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f)</w:t>
        <w:tab/>
        <w:t>eventual destaque do valor de retenções tributárias cabíveis.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erro na apresentação da nota fiscal ou instrumento de cobrança equivalente, ou circunstância que impeça a liquidação da despesa, esta ficará sobrestada até que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providencie as medidas saneadoras, reiniciando-se o prazo após a comprovação da regularização da situação, sem ônus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;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Os documentos fiscais, após conferidos e visados, serão encaminhados para processamento e pagamento após o recebimento dos mesmos.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Constatando-se, junto ao SICAF ou cadastro próprio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a situação de irregularidade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será providenciada sua notificação, por escrito, para que, no prazo de 5 (cinco) dias úteis, regularize sua situação ou, no mesmo prazo, apresente sua defesa. O prazo poderá ser prorrogado uma vez, por igual período, a critério do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Persistindo a irregularidade,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deverá adotar as medidas necessárias à rescisão contratual nos autos do processo administrativo correspondente, assegurada ao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ampla defesa. 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Havendo a efetiva execução do objeto, os pagamentos serão realizados normalmente, até que se decida pela rescisão do contrato, caso 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não regularize sua situação junto ao SICAF ou cadastro próprio do Município. 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O pagamento dar-se-á à vista até o 5º (quinto) dia útil contados da finalização da liquidação da despesa, em favor da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, mediante ordem bancária em conta corrente em nome do mesmo, desde que não haja fator impeditivo provocado pela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>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Após o prazo acima referenciado será paga multa financeira nos seguintes termos: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color w:val="000000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</w:r>
    </w:p>
    <w:p>
      <w:pPr>
        <w:pStyle w:val="Corpodetexto23"/>
        <w:jc w:val="center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</w:t>
      </w:r>
      <w:r>
        <w:rPr>
          <w:rFonts w:cs="Arial"/>
          <w:color w:val="000000"/>
          <w:sz w:val="24"/>
          <w:szCs w:val="24"/>
          <w:u w:val="single"/>
        </w:rPr>
        <w:t>VF x 0,067 x ND</w:t>
      </w:r>
    </w:p>
    <w:p>
      <w:pPr>
        <w:pStyle w:val="Corpodetexto23"/>
        <w:jc w:val="center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100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VM = Valor da Multa Financeira.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 xml:space="preserve">VF = Valor da Nota Fiscal referente ao mês em atraso. </w:t>
      </w:r>
    </w:p>
    <w:p>
      <w:pPr>
        <w:pStyle w:val="Corpodetexto23"/>
        <w:rPr>
          <w:sz w:val="24"/>
          <w:szCs w:val="24"/>
        </w:rPr>
      </w:pPr>
      <w:r>
        <w:rPr>
          <w:rFonts w:cs="Arial"/>
          <w:color w:val="000000"/>
          <w:sz w:val="24"/>
          <w:szCs w:val="24"/>
        </w:rPr>
        <w:t>ND = Número de dias em atraso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Incumbirá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a iniciativa e o encargo do cálculo minucioso de cada fatura devida, a ser revisto e aprovado pelo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color w:val="000000"/>
          <w:sz w:val="24"/>
          <w:szCs w:val="24"/>
        </w:rPr>
        <w:t>, juntando-se à respectiva discriminação do fornecimento efetuado, e o memorial de cálculo da fatura.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>Nenhum pagamento será efetuado enquanto pendente de liquidação qualquer obrigação financeira que lhe foi imposta, em virtude de penalidade ou inadimplência, sem que gere direito de acréscimos de qualquer natureza.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Serão retidos na fonte, os tributos e contribuições sobre os pagamentos mensalmente efetuados, utilizando-se as alíquotas previstas para cada tipo de serviço, exceto se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for optante do SIMPLES NACIONAL, que obedecer a legislação específica.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regularmente optante pelo Simples Nacional, nos termos da Lei Complementar nº 123/2006,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>
      <w:pPr>
        <w:pStyle w:val="Corpodetexto23"/>
        <w:rPr>
          <w:rFonts w:cs="Arial"/>
          <w:color w:val="000000"/>
          <w:sz w:val="24"/>
          <w:szCs w:val="24"/>
        </w:rPr>
      </w:pPr>
      <w:r>
        <w:rPr>
          <w:rFonts w:cs="Arial"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color w:val="000000"/>
          <w:sz w:val="24"/>
          <w:szCs w:val="24"/>
        </w:rPr>
        <w:t xml:space="preserve">Fica a </w:t>
      </w:r>
      <w:r>
        <w:rPr>
          <w:rFonts w:cs="Arial" w:ascii="Times New Roman" w:hAnsi="Times New Roman"/>
          <w:b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color w:val="000000"/>
          <w:sz w:val="24"/>
          <w:szCs w:val="24"/>
        </w:rPr>
        <w:t xml:space="preserve"> obrigada a informar qualquer alteração de sua condição de optante pelo SIMPLES NACIONAL, sob pena de aplicação das sanções contratuais e legais cabíveis.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DA</w:t>
      </w:r>
      <w:r>
        <w:rPr>
          <w:rFonts w:cs="Arial" w:ascii="Times New Roman" w:hAnsi="Times New Roman"/>
          <w:b/>
          <w:sz w:val="24"/>
          <w:szCs w:val="24"/>
        </w:rPr>
        <w:t xml:space="preserve"> ANTECIPAÇÃO DO PAGAMENTO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FORMA E CRITÉRIOS DE SELEÇÃO DO FORNECEDOR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i/>
          <w:sz w:val="24"/>
          <w:szCs w:val="24"/>
        </w:rPr>
        <w:t>Não se aplica a presente contratação.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VALOR MÁXIMO E DOS RECURSOS ORÇAMENTÁRIOS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O valor máximo estimado para a presente contratação será de</w:t>
      </w:r>
      <w:r>
        <w:rPr>
          <w:rFonts w:cs="Arial" w:ascii="Times New Roman" w:hAnsi="Times New Roman"/>
          <w:b/>
          <w:sz w:val="24"/>
          <w:szCs w:val="24"/>
        </w:rPr>
        <w:t xml:space="preserve"> R$ 1.708,81 (mil, setecentos e oito reais e oitenta e um centavo)</w:t>
      </w:r>
      <w:r>
        <w:rPr>
          <w:rFonts w:cs="Arial" w:ascii="Times New Roman" w:hAnsi="Times New Roman"/>
          <w:sz w:val="24"/>
          <w:szCs w:val="24"/>
        </w:rPr>
        <w:t>, compostos da seguinte forma: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MANUTENÇÃO E PEÇAS DE VEÍCULOS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0801.2060800112.020  –33903000000 – FR 1500000 – F 0000088 </w:t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MATERIAL PARA MANUTENÇÃO DE VEÍCULOS</w:t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16"/>
        <w:gridCol w:w="851"/>
        <w:gridCol w:w="3975"/>
        <w:gridCol w:w="1579"/>
        <w:gridCol w:w="1750"/>
      </w:tblGrid>
      <w:tr>
        <w:trPr>
          <w:trHeight w:val="420" w:hRule="atLeast"/>
        </w:trPr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3975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7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Valor Final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39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pt-BR"/>
              </w:rPr>
              <w:t>FILTRO OLE</w:t>
            </w: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pt-BR"/>
              </w:rPr>
              <w:t>R$ 134,10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pt-BR"/>
              </w:rPr>
              <w:t>R$ 134,10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9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ELEMENTO</w:t>
            </w: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R$ 150,16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R$ 150,16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9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FILTRO</w:t>
            </w: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R$ 84,48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R$ 84,48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9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FILTRO COMB</w:t>
            </w: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R$ 34,30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R$ 34,30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975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ANEL</w:t>
            </w:r>
          </w:p>
        </w:tc>
        <w:tc>
          <w:tcPr>
            <w:tcW w:w="15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R$ 20,30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R$ 20,30</w:t>
            </w:r>
          </w:p>
        </w:tc>
      </w:tr>
      <w:tr>
        <w:trPr>
          <w:trHeight w:val="246" w:hRule="atLeast"/>
        </w:trPr>
        <w:tc>
          <w:tcPr>
            <w:tcW w:w="73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Valor Total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R$ 423,34</w:t>
            </w:r>
          </w:p>
        </w:tc>
      </w:tr>
    </w:tbl>
    <w:p>
      <w:pPr>
        <w:pStyle w:val="Normal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0801.2060800112.020  – 33903000000 – FR  150000000000   – F 0000088 </w:t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COMBUSTÍVEIS E LUBRIFICANTES AUTOMOTIVOS </w:t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16"/>
        <w:gridCol w:w="851"/>
        <w:gridCol w:w="3747"/>
        <w:gridCol w:w="1807"/>
        <w:gridCol w:w="1750"/>
      </w:tblGrid>
      <w:tr>
        <w:trPr>
          <w:trHeight w:val="420" w:hRule="atLeast"/>
        </w:trPr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85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3747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7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Valor Total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4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Unid.</w:t>
            </w:r>
          </w:p>
        </w:tc>
        <w:tc>
          <w:tcPr>
            <w:tcW w:w="3747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ÓLEO 5W40 VW508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R$ 85,32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Arial" w:ascii="Times New Roman" w:hAnsi="Times New Roman"/>
                <w:color w:val="000000"/>
                <w:lang w:eastAsia="pt-BR"/>
              </w:rPr>
              <w:t>R$ 341,28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Unid.</w:t>
            </w:r>
          </w:p>
        </w:tc>
        <w:tc>
          <w:tcPr>
            <w:tcW w:w="3747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KIT LUBRIFICAÇÃO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R$ 65,00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R$ 65,00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Unid.</w:t>
            </w:r>
          </w:p>
        </w:tc>
        <w:tc>
          <w:tcPr>
            <w:tcW w:w="3747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KIT DESCARBONIZAÇÃO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R$ 117,00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R$ 117,00</w:t>
            </w:r>
          </w:p>
        </w:tc>
      </w:tr>
      <w:tr>
        <w:trPr>
          <w:trHeight w:val="285" w:hRule="atLeast"/>
        </w:trPr>
        <w:tc>
          <w:tcPr>
            <w:tcW w:w="9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/>
              <w:t>Unid.</w:t>
            </w:r>
          </w:p>
        </w:tc>
        <w:tc>
          <w:tcPr>
            <w:tcW w:w="3747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/>
            </w:pPr>
            <w:r>
              <w:rPr/>
              <w:t>ADITIVO RADIADOR PRONTO PARA USO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R$ 27,50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/>
              <w:t>R$ 82,50</w:t>
            </w:r>
          </w:p>
        </w:tc>
      </w:tr>
      <w:tr>
        <w:trPr>
          <w:trHeight w:val="246" w:hRule="atLeast"/>
        </w:trPr>
        <w:tc>
          <w:tcPr>
            <w:tcW w:w="73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ascii="Times New Roman" w:hAnsi="Times New Roman"/>
                <w:b/>
                <w:bCs/>
              </w:rPr>
              <w:t>Valor Total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/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lang w:eastAsia="pt-BR"/>
              </w:rPr>
              <w:t>R$ 605,78</w:t>
            </w:r>
          </w:p>
        </w:tc>
      </w:tr>
    </w:tbl>
    <w:p>
      <w:pPr>
        <w:pStyle w:val="ListParagraph"/>
        <w:numPr>
          <w:ilvl w:val="2"/>
          <w:numId w:val="1"/>
        </w:numPr>
        <w:shd w:val="clear" w:color="auto" w:fill="F2F2F2" w:themeFill="background1" w:themeFillShade="f2"/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 xml:space="preserve"> </w:t>
      </w:r>
      <w:r>
        <w:rPr>
          <w:rFonts w:cs="Arial" w:ascii="Times New Roman" w:hAnsi="Times New Roman"/>
          <w:b/>
          <w:sz w:val="24"/>
          <w:szCs w:val="24"/>
        </w:rPr>
        <w:t>MANUTENÇÃO E CONSERVAÇÃO DE VEÍCULOS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GESTÃO AS ATIVIDADES DA SEC. DE DESENVOLVIMENTO ECONÔMICO:</w:t>
      </w:r>
    </w:p>
    <w:p>
      <w:pPr>
        <w:pStyle w:val="ListParagraph"/>
        <w:spacing w:lineRule="auto" w:line="240" w:before="0" w:after="0"/>
        <w:ind w:left="0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 xml:space="preserve">0801.2060800112.020  –  33903900000 – FR 1500000000000 – F 0000090 </w:t>
      </w:r>
    </w:p>
    <w:tbl>
      <w:tblPr>
        <w:tblW w:w="5000" w:type="pct"/>
        <w:jc w:val="left"/>
        <w:tblInd w:w="-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907"/>
        <w:gridCol w:w="837"/>
        <w:gridCol w:w="3770"/>
        <w:gridCol w:w="1807"/>
        <w:gridCol w:w="1750"/>
      </w:tblGrid>
      <w:tr>
        <w:trPr>
          <w:trHeight w:val="434" w:hRule="atLeast"/>
        </w:trPr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Quant.</w:t>
            </w:r>
          </w:p>
        </w:tc>
        <w:tc>
          <w:tcPr>
            <w:tcW w:w="83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Unid.</w:t>
            </w:r>
          </w:p>
        </w:tc>
        <w:tc>
          <w:tcPr>
            <w:tcW w:w="3770" w:type="dxa"/>
            <w:tcBorders>
              <w:top w:val="single" w:sz="4" w:space="0" w:color="000000"/>
              <w:bottom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Valor Unitário</w:t>
            </w:r>
          </w:p>
        </w:tc>
        <w:tc>
          <w:tcPr>
            <w:tcW w:w="175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Valor Total</w:t>
            </w:r>
          </w:p>
        </w:tc>
      </w:tr>
      <w:tr>
        <w:trPr>
          <w:trHeight w:val="285" w:hRule="atLeast"/>
        </w:trPr>
        <w:tc>
          <w:tcPr>
            <w:tcW w:w="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1,30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77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TERCEIRA REVISÃO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R$407,00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R$529,10</w:t>
            </w:r>
          </w:p>
        </w:tc>
      </w:tr>
      <w:tr>
        <w:trPr>
          <w:trHeight w:val="285" w:hRule="atLeast"/>
        </w:trPr>
        <w:tc>
          <w:tcPr>
            <w:tcW w:w="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cs="Times New Roman" w:ascii="Times New Roman" w:hAnsi="Times New Roman"/>
                <w:b/>
                <w:bCs/>
              </w:rPr>
              <w:t>0,37</w:t>
            </w:r>
          </w:p>
        </w:tc>
        <w:tc>
          <w:tcPr>
            <w:tcW w:w="83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Unid.</w:t>
            </w:r>
          </w:p>
        </w:tc>
        <w:tc>
          <w:tcPr>
            <w:tcW w:w="3770" w:type="dxa"/>
            <w:tcBorders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ALINHAMENTO E BALANCEAMENTO</w:t>
            </w:r>
          </w:p>
        </w:tc>
        <w:tc>
          <w:tcPr>
            <w:tcW w:w="18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R$ 390,00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R$ 150,59</w:t>
            </w:r>
          </w:p>
        </w:tc>
      </w:tr>
      <w:tr>
        <w:trPr>
          <w:trHeight w:val="285" w:hRule="atLeast"/>
        </w:trPr>
        <w:tc>
          <w:tcPr>
            <w:tcW w:w="73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lang w:eastAsia="pt-BR"/>
              </w:rPr>
              <w:t>Valor Total</w:t>
            </w:r>
          </w:p>
        </w:tc>
        <w:tc>
          <w:tcPr>
            <w:tcW w:w="1750" w:type="dxa"/>
            <w:tcBorders>
              <w:bottom w:val="single" w:sz="4" w:space="0" w:color="000000"/>
              <w:right w:val="single" w:sz="4" w:space="0" w:color="000000"/>
            </w:tcBorders>
            <w:shd w:color="000000" w:fill="F2F2F2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right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pt-BR"/>
              </w:rPr>
              <w:t>R$ 679,69</w:t>
            </w:r>
          </w:p>
        </w:tc>
      </w:tr>
    </w:tbl>
    <w:p>
      <w:pPr>
        <w:pStyle w:val="Normal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DAS SANÇÕES E PENALIDADES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Comete infração administrativa, nos termos do art. 155, da Lei Federal nº 14.133/2021,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que: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parcial do contrato que cause grave dano à Administração ou ao funcionamento dos serviços públicos ou ao interesse coletivo;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Der causa à inexecução total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Deixar de entregar a documentação exigida para o certame;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manter a proposta, salvo em decorrência de fato superveniente devidamente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Não celebrar o contrato ou não entregar a documentação exigida para a contratação, quando convocado dentro do prazo de validade de sua proposta;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Ensejar o retardamento da execução ou da entrega do objeto da contratação sem motivo justificado;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Apresentar declaração ou documentação falsa exigida para o certame ou prestar declaração falsa durante a dispensa eletrônica ou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Fraudar a contratação ou praticar ato fraudulento na execução do contrato;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Comportar-se de modo inidôneo ou cometer fraude de qualquer natureza;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atos ilícitos com vistas a frustrar os objetivos da contratação;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ato lesivo previsto no art. 5º da Lei nº 12.846, de 1º de agosto de 2013;</w:t>
      </w:r>
    </w:p>
    <w:p>
      <w:pPr>
        <w:pStyle w:val="ListParagraph"/>
        <w:numPr>
          <w:ilvl w:val="0"/>
          <w:numId w:val="4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Praticar demais atos não previstos no presente tópico, mas apurados na execução do contrato.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Serão aplicadas ao responsável pelas infrações administrativas previstas no item 12.1, as seguintes sanções e penalidades: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Advertência: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quanto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der causa à inexecução parcial do contrato, sempre que não se justificar a imposição de penalidade mais grave, nos termos do art. 156, §2º,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Impedimento de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b, c, d, e, f e g do subitem 12.1, sempre que não se justificar a imposição de penalidade mais grave, nos termos do art. 156, §4º,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Declaração de inidoneidade para licitar e contratar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: quando praticadas as condutas descritas nas alíneas h, i, j, k e l do subitem 12.1, bem como nas alíneas b, c, d, e, f e g, que justifiquem a imposição de penalidade mais grave, nos termos do art. 156, §5º,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5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val="000000"/>
          <w:sz w:val="24"/>
          <w:szCs w:val="24"/>
        </w:rPr>
        <w:t>Multa: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/>
          <w:color w:val="000000"/>
          <w:sz w:val="24"/>
          <w:szCs w:val="24"/>
          <w:u w:val="single"/>
        </w:rPr>
      </w:pPr>
      <w:r>
        <w:rPr>
          <w:rFonts w:cs="Arial" w:ascii="Times New Roman" w:hAnsi="Times New Roman"/>
          <w:b/>
          <w:color w:val="000000"/>
          <w:sz w:val="24"/>
          <w:szCs w:val="24"/>
          <w:u w:val="single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Moratória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1 % (um por cento) por dia de atraso injustificado sobre o valor da parcela inadimplida, até o limite de 30 (trinta) dias;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6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Compensatória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 10% (dez por cento) sobre o valor total do contrato, no caso de inexecução total do objeto ou sobre o valor da parcela inadimplida, no caso de inexecução parcial;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previstas neste Termo não exclui, em hipótese alguma, a obrigação de reparação integral do dano causado ao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consoante o disposto no art. 156, §9º, da NLLC;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Todas as sanções previstas neste tópico poderão ser aplicadas cumulativamente com a multa, consoante o disposto no art. 156, §7º,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Antes da aplicação da multa será facultada a defesa do interessado no prazo de 15 (quinze) dias úteis, contado da data de sua intimação, nos termos do art. 157, da NLLC;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Se a multa aplicada e as indenizações cabíveis forem superiores ao valor do pagamento eventualmente devido pelo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além da perda desse valor, a diferença será descontada da garantia prestada ou será cobrada judicialmente, conforme o disposto no art. 156, §8º, da NLLC;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2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Previamente ao encaminhamento à cobrança judicial, a multa poderá ser recolhida administrativamente no prazo máximo de 30 (trinta) dias, a contar da data do recebimento da comunicação enviada pela autoridade competente.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aplicação das sanções realizar-se-á em processo administrativo que assegure o contraditório e a ampla defesa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observando-se o procedimento previsto no caput e parágrafos do art. 158 da Lei nº 14.133/2021, para as penalidades de impedimento de licitar e contratar e de declaração de inidoneidade para licitar ou contratar;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Na aplicação das sanções serão considerados: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natureza e a gravidade da infração cometida;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peculiaridades do caso concreto;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circunstâncias agravantes ou atenuantes;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os danos que dela provierem para o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;</w:t>
      </w:r>
    </w:p>
    <w:p>
      <w:pPr>
        <w:pStyle w:val="ListParagraph"/>
        <w:numPr>
          <w:ilvl w:val="0"/>
          <w:numId w:val="7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 implantação ou o aperfeiçoamento de programa de integridade, conforme normas e orientações dos órgãos de controle.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Os atos previstos como infrações administrativas na Lei nº 14.133/2021, ou em outras leis de licitações e contratos da Administração Pública que também sejam tipificados como atos lesivos na Lei nº 12.846/2013, serão apurados e julgados conjuntamente, nos mesmos autos, observados o rito procedimental e autoridade competente definidos na referida Lei Federal nº 14.133/2021, em seu art. 159;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personalidade jurídica da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poderá ser desconsiderada sempre que utilizada com abuso do direito para facilitar, encobrir ou dissimular a prática dos atos ilícitos previstos em Contrato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CONTRATADA</w:t>
      </w:r>
      <w:r>
        <w:rPr>
          <w:rFonts w:cs="Arial" w:ascii="Times New Roman" w:hAnsi="Times New Roman"/>
          <w:bCs/>
          <w:color w:val="000000"/>
          <w:sz w:val="24"/>
          <w:szCs w:val="24"/>
        </w:rPr>
        <w:t>, observados, em todos os casos, o contraditório, a ampla defesa e a obrigatoriedade de análise jurídica prévia, consoante o disposto no art. 160, da NLLC;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A </w:t>
      </w:r>
      <w:r>
        <w:rPr>
          <w:rFonts w:cs="Arial" w:ascii="Times New Roman" w:hAnsi="Times New Roman"/>
          <w:b/>
          <w:bCs/>
          <w:color w:val="000000"/>
          <w:sz w:val="24"/>
          <w:szCs w:val="24"/>
        </w:rPr>
        <w:t>CONTRATANTE</w:t>
      </w:r>
      <w:r>
        <w:rPr>
          <w:rFonts w:cs="Arial" w:ascii="Times New Roman" w:hAnsi="Times New Roman"/>
          <w:bCs/>
          <w:color w:val="000000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Federal, conforme disposição do art. 161, da NLLC;</w:t>
      </w:r>
    </w:p>
    <w:p>
      <w:pPr>
        <w:pStyle w:val="ListParagraph"/>
        <w:spacing w:lineRule="auto" w:line="240" w:before="0" w:after="0"/>
        <w:ind w:left="0"/>
        <w:contextualSpacing/>
        <w:jc w:val="both"/>
        <w:rPr>
          <w:rFonts w:ascii="Times New Roman" w:hAnsi="Times New Roman" w:cs="Arial"/>
          <w:bCs/>
          <w:color w:val="000000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Cs/>
          <w:color w:val="000000"/>
          <w:sz w:val="24"/>
          <w:szCs w:val="24"/>
        </w:rPr>
        <w:t>As sanções de impedimento de licitar e contratar e declaração de inidoneidade para licitar ou contratar são passíveis de reabilitação na forma do art. 163 da Lei Federal nº 14.133/21.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DA UNIDADE REQUISITANTE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  <w:t>Secretaria Municipal de Desenvolvimento Econômico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shd w:val="clear" w:color="auto" w:fill="D9D9D9" w:themeFill="background1" w:themeFillShade="d9"/>
        <w:spacing w:lineRule="auto" w:line="240" w:before="0" w:after="0"/>
        <w:ind w:hanging="0" w:left="0"/>
        <w:contextualSpacing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DO RESPONSÁVEL PELA ELABORAÇÃO DO TERMO DE REFERÊNCIA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Responsável pela Demanda: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 xml:space="preserve"> FÁBIO LOSS LUCHI</w:t>
      </w:r>
    </w:p>
    <w:p>
      <w:pPr>
        <w:pStyle w:val="ListParagraph"/>
        <w:numPr>
          <w:ilvl w:val="1"/>
          <w:numId w:val="1"/>
        </w:numPr>
        <w:spacing w:lineRule="auto" w:line="240" w:before="0" w:after="0"/>
        <w:ind w:hanging="0" w:left="0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color w:themeColor="text1" w:val="000000"/>
          <w:sz w:val="24"/>
          <w:szCs w:val="24"/>
        </w:rPr>
        <w:t>Gestor da Unidade Requisitante:</w:t>
      </w:r>
      <w:r>
        <w:rPr>
          <w:rFonts w:cs="Arial" w:ascii="Times New Roman" w:hAnsi="Times New Roman"/>
          <w:color w:themeColor="text1" w:val="000000"/>
          <w:sz w:val="24"/>
          <w:szCs w:val="24"/>
        </w:rPr>
        <w:t xml:space="preserve"> FÁBIO LOSS LUCHI</w:t>
      </w:r>
    </w:p>
    <w:p>
      <w:pPr>
        <w:pStyle w:val="Normal"/>
        <w:spacing w:lineRule="auto" w:line="240" w:before="0" w:after="0"/>
        <w:rPr>
          <w:rFonts w:ascii="Times New Roman" w:hAnsi="Times New Roman" w:cs="Arial"/>
          <w:sz w:val="24"/>
          <w:szCs w:val="24"/>
        </w:rPr>
      </w:pPr>
      <w:r>
        <w:rPr>
          <w:rFonts w:cs="Arial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4"/>
          <w:szCs w:val="24"/>
        </w:rPr>
      </w:pPr>
      <w:r>
        <w:rPr>
          <w:rFonts w:cs="Arial" w:ascii="Times New Roman" w:hAnsi="Times New Roman"/>
          <w:b/>
          <w:sz w:val="24"/>
          <w:szCs w:val="24"/>
        </w:rPr>
        <w:t>São Roque do Canaã/ES</w:t>
      </w:r>
      <w:r>
        <w:rPr>
          <w:rFonts w:cs="Arial" w:ascii="Times New Roman" w:hAnsi="Times New Roman"/>
          <w:sz w:val="24"/>
          <w:szCs w:val="24"/>
        </w:rPr>
        <w:t>, 15 de outubro de 2026.</w:t>
      </w:r>
    </w:p>
    <w:tbl>
      <w:tblPr>
        <w:tblStyle w:val="Tabelacomgrade"/>
        <w:tblW w:w="9211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211"/>
      </w:tblGrid>
      <w:tr>
        <w:trPr/>
        <w:tc>
          <w:tcPr>
            <w:tcW w:w="921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kern w:val="0"/>
                <w:lang w:val="pt-BR" w:bidi="ar-SA"/>
              </w:rPr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rFonts w:cs="Arial"/>
                <w:b/>
                <w:color w:themeColor="text1" w:val="000000"/>
                <w:kern w:val="0"/>
                <w:lang w:val="pt-BR" w:bidi="ar-SA"/>
              </w:rPr>
              <w:t>FÁBIO LOSS LUCHI</w:t>
            </w:r>
          </w:p>
          <w:p>
            <w:pPr>
              <w:pStyle w:val="NormalWeb"/>
              <w:widowControl w:val="false"/>
              <w:suppressAutoHyphens w:val="true"/>
              <w:spacing w:beforeAutospacing="0" w:before="0" w:afterAutospacing="0" w:after="0"/>
              <w:jc w:val="center"/>
              <w:rPr>
                <w:kern w:val="0"/>
                <w:lang w:val="pt-BR" w:bidi="ar-SA"/>
              </w:rPr>
            </w:pPr>
            <w:r>
              <w:rPr>
                <w:rFonts w:cs="Arial"/>
                <w:color w:themeColor="text1" w:val="000000"/>
                <w:kern w:val="0"/>
                <w:lang w:val="pt-BR" w:bidi="ar-SA"/>
              </w:rPr>
              <w:t>Secretário Municipal de Agricultura e Desenvolvimento Econômico</w:t>
            </w:r>
          </w:p>
        </w:tc>
      </w:tr>
    </w:tbl>
    <w:p>
      <w:pPr>
        <w:pStyle w:val="NormalWeb"/>
        <w:spacing w:beforeAutospacing="0" w:before="0" w:afterAutospacing="0" w:after="0"/>
        <w:jc w:val="both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134" w:gutter="0" w:header="709" w:top="1701" w:footer="709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Calibri Light">
    <w:charset w:val="00"/>
    <w:family w:val="roman"/>
    <w:pitch w:val="variable"/>
  </w:font>
  <w:font w:name="Segoe UI">
    <w:charset w:val="00"/>
    <w:family w:val="roman"/>
    <w:pitch w:val="variable"/>
  </w:font>
  <w:font w:name="Cambri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>
        <w:rFonts w:ascii="Arial" w:hAnsi="Arial" w:cs="Arial"/>
        <w:sz w:val="20"/>
        <w:szCs w:val="16"/>
      </w:rPr>
    </w:pPr>
    <w:r>
      <w:rPr>
        <w:rFonts w:cs="Arial" w:ascii="Arial" w:hAnsi="Arial"/>
        <w:sz w:val="20"/>
        <w:szCs w:val="16"/>
      </w:rPr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bCs/>
        <w:color w:val="000000"/>
        <w:sz w:val="20"/>
        <w:szCs w:val="20"/>
      </w:rPr>
      <w:t>Rua Lourenço Roldi, nº 88 – Bairro São Roquinho</w:t>
    </w:r>
    <w:r>
      <w:rPr>
        <w:rFonts w:cs="Arial" w:ascii="Times New Roman" w:hAnsi="Times New Roman"/>
        <w:sz w:val="20"/>
        <w:szCs w:val="20"/>
      </w:rPr>
      <w:t>, São Roque do Canaã/ES, CEP: 29665-000</w:t>
    </w:r>
  </w:p>
  <w:p>
    <w:pPr>
      <w:pStyle w:val="Footer"/>
      <w:jc w:val="center"/>
      <w:rPr>
        <w:rFonts w:ascii="Times New Roman" w:hAnsi="Times New Roman"/>
        <w:sz w:val="20"/>
        <w:szCs w:val="20"/>
      </w:rPr>
    </w:pPr>
    <w:r>
      <w:rPr>
        <w:rFonts w:cs="Arial" w:ascii="Times New Roman" w:hAnsi="Times New Roman"/>
        <w:sz w:val="20"/>
        <w:szCs w:val="20"/>
      </w:rPr>
      <w:t xml:space="preserve">Telefone: </w:t>
    </w:r>
    <w:r>
      <w:rPr>
        <w:rFonts w:cs="Arial" w:ascii="Times New Roman" w:hAnsi="Times New Roman"/>
        <w:bCs/>
        <w:color w:val="000000"/>
        <w:sz w:val="20"/>
        <w:szCs w:val="20"/>
      </w:rPr>
      <w:t>(27) 3729-1300</w:t>
    </w:r>
    <w:r>
      <w:rPr>
        <w:rFonts w:cs="Arial" w:ascii="Times New Roman" w:hAnsi="Times New Roman"/>
        <w:sz w:val="20"/>
        <w:szCs w:val="20"/>
      </w:rPr>
      <w:t xml:space="preserve">| E-mail: </w:t>
    </w:r>
    <w:r>
      <w:rPr>
        <w:rFonts w:cs="Arial" w:ascii="Times New Roman" w:hAnsi="Times New Roman"/>
        <w:bCs/>
        <w:color w:val="000000"/>
        <w:sz w:val="20"/>
        <w:szCs w:val="20"/>
      </w:rPr>
      <w:t>desenvolvimentoeconomico@saoroquedocanaa.es.gov.br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tabs>
        <w:tab w:val="left" w:pos="2166" w:leader="none"/>
        <w:tab w:val="center" w:pos="4252" w:leader="none"/>
        <w:tab w:val="right" w:pos="8504" w:leader="none"/>
      </w:tabs>
      <w:spacing w:lineRule="auto" w:line="276"/>
      <w:jc w:val="center"/>
      <w:rPr>
        <w:rFonts w:ascii="Arial" w:hAnsi="Arial" w:cs="Arial"/>
        <w:b/>
        <w:szCs w:val="16"/>
      </w:rPr>
    </w:pPr>
    <w:r>
      <w:rPr/>
      <w:drawing>
        <wp:inline distT="0" distB="0" distL="0" distR="0">
          <wp:extent cx="647700" cy="650240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502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Header"/>
      <w:tabs>
        <w:tab w:val="left" w:pos="2166" w:leader="none"/>
        <w:tab w:val="center" w:pos="4252" w:leader="none"/>
        <w:tab w:val="right" w:pos="8504" w:leader="none"/>
      </w:tabs>
      <w:jc w:val="center"/>
      <w:rPr>
        <w:rFonts w:ascii="Arial" w:hAnsi="Arial" w:cs="Arial"/>
        <w:b/>
        <w:szCs w:val="16"/>
      </w:rPr>
    </w:pPr>
    <w:r>
      <w:rPr>
        <w:rFonts w:cs="Arial" w:ascii="Arial" w:hAnsi="Arial"/>
        <w:b/>
        <w:szCs w:val="16"/>
      </w:rPr>
      <w:t>PREFEITURA MUNICIPAL DE SÃO ROQUE DO CANAÃ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>ESTADO DO ESPÍRITO SANTO</w:t>
    </w:r>
  </w:p>
  <w:p>
    <w:pPr>
      <w:pStyle w:val="Subtitle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  <w:t xml:space="preserve">SECRETARIA MUNICIPAL DE AGRICULTURA E DESENVOLVIMENTO ECONÔMICO – SMADE </w:t>
    </w:r>
  </w:p>
  <w:p>
    <w:pPr>
      <w:pStyle w:val="Subtitle"/>
      <w:jc w:val="left"/>
      <w:rPr>
        <w:rFonts w:ascii="Arial" w:hAnsi="Arial" w:cs="Arial"/>
        <w:sz w:val="22"/>
        <w:szCs w:val="16"/>
      </w:rPr>
    </w:pPr>
    <w:r>
      <w:rPr>
        <w:rFonts w:cs="Arial" w:ascii="Arial" w:hAnsi="Arial"/>
        <w:sz w:val="22"/>
        <w:szCs w:val="16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31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upperRoman"/>
      <w:lvlText w:val="%6)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3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5">
    <w:lvl w:ilvl="0">
      <w:start w:val="1"/>
      <w:numFmt w:val="upperRoman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6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7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8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false"/>
        <w:rFonts w:ascii="Arial" w:hAnsi="Arial" w:cs="Aria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04" w:hanging="504"/>
      </w:pPr>
      <w:rPr>
        <w:b w:val="fals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b w:val="fals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9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0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t-BR" w:eastAsia="en-US" w:bidi="ar-SA"/>
    </w:rPr>
  </w:style>
  <w:style w:type="paragraph" w:styleId="Heading1">
    <w:name w:val="Heading 1"/>
    <w:basedOn w:val="Normal"/>
    <w:next w:val="Normal"/>
    <w:link w:val="Ttulo1Char"/>
    <w:uiPriority w:val="9"/>
    <w:qFormat/>
    <w:rsid w:val="000a2c0f"/>
    <w:pPr>
      <w:keepNext w:val="true"/>
      <w:keepLines/>
      <w:spacing w:before="480" w:after="0"/>
      <w:outlineLvl w:val="0"/>
    </w:pPr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qFormat/>
    <w:rPr/>
  </w:style>
  <w:style w:type="character" w:styleId="RodapChar" w:customStyle="1">
    <w:name w:val="Rodapé Char"/>
    <w:basedOn w:val="DefaultParagraphFont"/>
    <w:uiPriority w:val="99"/>
    <w:qFormat/>
    <w:rPr/>
  </w:style>
  <w:style w:type="character" w:styleId="TextodebaloChar" w:customStyle="1">
    <w:name w:val="Texto de balão Char"/>
    <w:basedOn w:val="DefaultParagraphFont"/>
    <w:link w:val="BalloonText"/>
    <w:uiPriority w:val="99"/>
    <w:semiHidden/>
    <w:qFormat/>
    <w:rPr>
      <w:rFonts w:ascii="Segoe UI" w:hAnsi="Segoe UI" w:cs="Segoe UI"/>
      <w:sz w:val="18"/>
      <w:szCs w:val="18"/>
    </w:rPr>
  </w:style>
  <w:style w:type="character" w:styleId="Ttulo1Char" w:customStyle="1">
    <w:name w:val="Título 1 Char"/>
    <w:basedOn w:val="DefaultParagraphFont"/>
    <w:uiPriority w:val="9"/>
    <w:qFormat/>
    <w:rsid w:val="000a2c0f"/>
    <w:rPr>
      <w:rFonts w:ascii="Calibri Light" w:hAnsi="Calibri Light" w:eastAsia="" w:cs="" w:asciiTheme="majorHAnsi" w:cstheme="majorBidi" w:eastAsiaTheme="majorEastAsia" w:hAnsiTheme="majorHAnsi"/>
      <w:b/>
      <w:bCs/>
      <w:color w:themeColor="accent1" w:themeShade="bf" w:val="2E74B5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0a2c0f"/>
    <w:rPr>
      <w:color w:themeColor="hyperlink" w:val="0563C1"/>
      <w:u w:val="single"/>
    </w:rPr>
  </w:style>
  <w:style w:type="character" w:styleId="Markedcontent" w:customStyle="1">
    <w:name w:val="markedcontent"/>
    <w:basedOn w:val="DefaultParagraphFont"/>
    <w:qFormat/>
    <w:rsid w:val="000a2c0f"/>
    <w:rPr/>
  </w:style>
  <w:style w:type="character" w:styleId="SubttuloChar" w:customStyle="1">
    <w:name w:val="Subtítulo Char"/>
    <w:basedOn w:val="DefaultParagraphFont"/>
    <w:qFormat/>
    <w:rsid w:val="000b235b"/>
    <w:rPr>
      <w:rFonts w:ascii="Cambria" w:hAnsi="Cambria" w:eastAsia="Times New Roman" w:cs="Times New Roman"/>
      <w:sz w:val="24"/>
    </w:rPr>
  </w:style>
  <w:style w:type="character" w:styleId="Smbolosdenumerao" w:customStyle="1">
    <w:name w:val="Símbolos de numeração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ormalWeb">
    <w:name w:val="Normal (Web)"/>
    <w:basedOn w:val="Normal"/>
    <w:uiPriority w:val="99"/>
    <w:unhideWhenUsed/>
    <w:qFormat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CabealhoeRodap" w:customStyle="1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nhideWhenUsed/>
    <w:qFormat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WW-Corpodetexto3" w:customStyle="1">
    <w:name w:val="WW-Corpo de texto 3"/>
    <w:basedOn w:val="Normal"/>
    <w:qFormat/>
    <w:pPr>
      <w:spacing w:lineRule="auto" w:line="240" w:before="0" w:after="0"/>
      <w:jc w:val="both"/>
    </w:pPr>
    <w:rPr>
      <w:rFonts w:ascii="Times New Roman" w:hAnsi="Times New Roman" w:eastAsia="Times New Roman" w:cs="Times New Roman"/>
      <w:sz w:val="24"/>
      <w:szCs w:val="20"/>
      <w:lang w:eastAsia="pt-BR"/>
    </w:rPr>
  </w:style>
  <w:style w:type="paragraph" w:styleId="Subtitle">
    <w:name w:val="Subtitle"/>
    <w:basedOn w:val="Normal"/>
    <w:link w:val="SubttuloChar"/>
    <w:qFormat/>
    <w:rsid w:val="000b235b"/>
    <w:pPr>
      <w:spacing w:lineRule="auto" w:line="240" w:before="0" w:after="0"/>
      <w:jc w:val="center"/>
    </w:pPr>
    <w:rPr>
      <w:rFonts w:ascii="Cambria" w:hAnsi="Cambria" w:eastAsia="Times New Roman" w:cs="Times New Roman"/>
      <w:sz w:val="24"/>
      <w:szCs w:val="20"/>
      <w:lang w:eastAsia="pt-BR"/>
    </w:rPr>
  </w:style>
  <w:style w:type="paragraph" w:styleId="ListParagraph">
    <w:name w:val="List Paragraph"/>
    <w:basedOn w:val="Normal"/>
    <w:uiPriority w:val="34"/>
    <w:qFormat/>
    <w:rsid w:val="000b28e5"/>
    <w:pPr>
      <w:spacing w:before="0" w:after="160"/>
      <w:ind w:left="720"/>
      <w:contextualSpacing/>
    </w:pPr>
    <w:rPr/>
  </w:style>
  <w:style w:type="paragraph" w:styleId="Corpodetexto23" w:customStyle="1">
    <w:name w:val="Corpo de texto 23"/>
    <w:basedOn w:val="Normal"/>
    <w:qFormat/>
    <w:rsid w:val="00de115b"/>
    <w:pPr>
      <w:spacing w:lineRule="auto" w:line="240" w:before="0" w:after="0"/>
      <w:jc w:val="both"/>
    </w:pPr>
    <w:rPr>
      <w:rFonts w:ascii="Times New Roman" w:hAnsi="Times New Roman" w:eastAsia="SimSun" w:cs="Times New Roman"/>
      <w:sz w:val="20"/>
      <w:szCs w:val="20"/>
      <w:lang w:eastAsia="zh-CN"/>
    </w:rPr>
  </w:style>
  <w:style w:type="paragraph" w:styleId="Contedodatabela" w:customStyle="1">
    <w:name w:val="Conteúdo da tabela"/>
    <w:basedOn w:val="Normal"/>
    <w:qFormat/>
    <w:pPr>
      <w:widowControl w:val="false"/>
      <w:suppressLineNumbers/>
    </w:pPr>
    <w:rPr/>
  </w:style>
  <w:style w:type="paragraph" w:styleId="Ttulodetabela" w:customStyle="1">
    <w:name w:val="Título de tabela"/>
    <w:basedOn w:val="Contedodatabela"/>
    <w:qFormat/>
    <w:pPr>
      <w:jc w:val="center"/>
    </w:pPr>
    <w:rPr>
      <w:b/>
      <w:bCs/>
    </w:rPr>
  </w:style>
  <w:style w:type="paragraph" w:styleId="ListNumber3">
    <w:name w:val="List Number 3"/>
    <w:qFormat/>
    <w:pPr>
      <w:widowControl/>
      <w:suppressAutoHyphens w:val="true"/>
      <w:bidi w:val="0"/>
      <w:spacing w:lineRule="exact" w:line="276" w:before="0" w:after="120"/>
      <w:ind w:hanging="360" w:left="108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pt-BR" w:eastAsia="pt-BR" w:bidi="ar-SA"/>
    </w:rPr>
  </w:style>
  <w:style w:type="paragraph" w:styleId="ListNumber2">
    <w:name w:val="List Number 2"/>
    <w:qFormat/>
    <w:pPr>
      <w:widowControl/>
      <w:suppressAutoHyphens w:val="true"/>
      <w:bidi w:val="0"/>
      <w:spacing w:lineRule="exact" w:line="276" w:before="0" w:after="120"/>
      <w:ind w:hanging="360" w:left="72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0"/>
      <w:szCs w:val="20"/>
      <w:lang w:val="pt-BR" w:eastAsia="pt-BR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e7196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98079-D9BC-4825-B48A-E63FF297B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Application>LibreOffice/7.6.4.1$Windows_X86_64 LibreOffice_project/e19e193f88cd6c0525a17fb7a176ed8e6a3e2aa1</Application>
  <AppVersion>15.0000</AppVersion>
  <Pages>15</Pages>
  <Words>4578</Words>
  <Characters>26324</Characters>
  <CharactersWithSpaces>30481</CharactersWithSpaces>
  <Paragraphs>302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2026-03-03T17:13:00Z</dcterms:created>
  <dc:creator>COMPUTADOR</dc:creator>
  <dc:description/>
  <dc:language>pt-BR</dc:language>
  <cp:lastModifiedBy/>
  <cp:lastPrinted>2026-10-15T15:51:44Z</cp:lastPrinted>
  <dcterms:modified xsi:type="dcterms:W3CDTF">2026-10-15T15:50:46Z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A1EA58DFB2F64CA49379DECF14E588A6</vt:lpwstr>
  </property>
  <property fmtid="{D5CDD505-2E9C-101B-9397-08002B2CF9AE}" pid="3" name="KSOProductBuildVer">
    <vt:lpwstr>1046-11.2.0.11440</vt:lpwstr>
  </property>
</Properties>
</file>