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Arial" w:hAnsi="Arial"/>
          <w:sz w:val="24"/>
          <w:szCs w:val="24"/>
        </w:rPr>
      </w:pPr>
      <w:r>
        <w:rPr>
          <w:rFonts w:cs="Arial" w:ascii="Arial" w:hAnsi="Arial"/>
          <w:b/>
          <w:sz w:val="24"/>
          <w:szCs w:val="24"/>
        </w:rPr>
        <w:t>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DESCRIÇÃO DO OBJETO E 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 DESCRIÇÃO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ascii="Arial" w:hAnsi="Arial"/>
          <w:sz w:val="24"/>
          <w:szCs w:val="24"/>
        </w:rPr>
        <w:t xml:space="preserve">Constitui objeto do presente Termo de Referência, estabelecer as condições e diretrizes que disciplinarão o empenho estimativo para </w:t>
      </w:r>
      <w:r>
        <w:rPr>
          <w:rFonts w:cs="Arial" w:ascii="Arial" w:hAnsi="Arial"/>
          <w:b/>
          <w:sz w:val="24"/>
          <w:szCs w:val="24"/>
        </w:rPr>
        <w:t>c</w:t>
      </w:r>
      <w:r>
        <w:rPr>
          <w:rFonts w:cs="Arial" w:ascii="Arial" w:hAnsi="Arial"/>
          <w:b/>
          <w:bCs/>
          <w:sz w:val="24"/>
          <w:szCs w:val="24"/>
        </w:rPr>
        <w:t>ustear as despesas decorrentes do consumo de energia pelas unidades relacionadas à Secretaria Municipal de Assistência Social, no exercício de 2026</w:t>
      </w:r>
      <w:r>
        <w:rPr>
          <w:rFonts w:cs="Arial" w:ascii="Arial" w:hAnsi="Arial"/>
          <w:bCs/>
          <w:sz w:val="24"/>
          <w:szCs w:val="24"/>
        </w:rPr>
        <w:t xml:space="preserve">, em virtude do desempenho de suas atividades, em favor </w:t>
      </w:r>
      <w:r>
        <w:rPr>
          <w:rFonts w:cs="Arial" w:ascii="Arial" w:hAnsi="Arial"/>
          <w:sz w:val="24"/>
          <w:szCs w:val="24"/>
        </w:rPr>
        <w:t xml:space="preserve">da Luz e Força Santa Maria, </w:t>
      </w:r>
      <w:r>
        <w:rPr>
          <w:rFonts w:cs="Arial" w:ascii="Arial" w:hAnsi="Arial"/>
          <w:bCs/>
          <w:sz w:val="24"/>
          <w:szCs w:val="24"/>
        </w:rPr>
        <w:t xml:space="preserve">com fulcro no art. 60, da Lei Federal nº </w:t>
      </w:r>
      <w:r>
        <w:rPr>
          <w:rFonts w:cs="Arial" w:ascii="Arial" w:hAnsi="Arial"/>
          <w:sz w:val="24"/>
          <w:szCs w:val="24"/>
        </w:rPr>
        <w:t xml:space="preserve">4.320/1964, art. 74, </w:t>
      </w:r>
      <w:r>
        <w:rPr>
          <w:rFonts w:cs="Arial" w:ascii="Arial" w:hAnsi="Arial"/>
          <w:i/>
          <w:sz w:val="24"/>
          <w:szCs w:val="24"/>
        </w:rPr>
        <w:t>caput</w:t>
      </w:r>
      <w:r>
        <w:rPr>
          <w:rFonts w:cs="Arial" w:ascii="Arial" w:hAnsi="Arial"/>
          <w:sz w:val="24"/>
          <w:szCs w:val="24"/>
        </w:rPr>
        <w:t>, da Lei Federal nº 14.133/2021.</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DAS UNIDADES CONSUMIDORAS</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b w:val="false"/>
          <w:bCs w:val="false"/>
        </w:rPr>
      </w:pPr>
      <w:r>
        <w:rPr>
          <w:rFonts w:cs="Arial" w:ascii="Arial" w:hAnsi="Arial"/>
          <w:b w:val="false"/>
          <w:bCs w:val="false"/>
          <w:sz w:val="24"/>
          <w:szCs w:val="24"/>
        </w:rPr>
        <w:t>A demanda em questão objetiva o pleno e efetivo funcionamento dos estabelecimentos integrantes da Secretaria de Administração, quais sejam:</w:t>
      </w:r>
    </w:p>
    <w:p>
      <w:pPr>
        <w:pStyle w:val="ListParagraph"/>
        <w:spacing w:lineRule="auto" w:line="240" w:before="0" w:after="0"/>
        <w:ind w:hanging="0" w:left="0"/>
        <w:contextualSpacing/>
        <w:jc w:val="both"/>
        <w:rPr>
          <w:b w:val="false"/>
          <w:bCs w:val="false"/>
        </w:rPr>
      </w:pPr>
      <w:r>
        <w:rPr>
          <w:rFonts w:cs="Arial" w:ascii="Arial" w:hAnsi="Arial"/>
          <w:b w:val="false"/>
          <w:bCs w:val="false"/>
          <w:sz w:val="24"/>
          <w:szCs w:val="24"/>
        </w:rPr>
        <w:t>a) CRAS: identificação nº 099141</w:t>
      </w:r>
    </w:p>
    <w:p>
      <w:pPr>
        <w:pStyle w:val="ListParagraph"/>
        <w:spacing w:lineRule="auto" w:line="240" w:before="0" w:after="0"/>
        <w:ind w:hanging="0" w:left="0"/>
        <w:contextualSpacing/>
        <w:jc w:val="both"/>
        <w:rPr>
          <w:b w:val="false"/>
          <w:bCs w:val="false"/>
        </w:rPr>
      </w:pPr>
      <w:r>
        <w:rPr>
          <w:rFonts w:cs="Arial" w:ascii="Arial" w:hAnsi="Arial"/>
          <w:b w:val="false"/>
          <w:bCs w:val="false"/>
          <w:sz w:val="24"/>
          <w:szCs w:val="24"/>
        </w:rPr>
        <w:t xml:space="preserve">b) </w:t>
      </w:r>
      <w:r>
        <w:rPr>
          <w:rFonts w:cs="Times New Roman" w:ascii="Arial" w:hAnsi="Arial"/>
          <w:b w:val="false"/>
          <w:bCs w:val="false"/>
          <w:sz w:val="24"/>
          <w:szCs w:val="24"/>
        </w:rPr>
        <w:t>CREAS</w:t>
      </w:r>
      <w:r>
        <w:rPr>
          <w:rFonts w:cs="Arial" w:ascii="Arial" w:hAnsi="Arial"/>
          <w:b w:val="false"/>
          <w:bCs w:val="false"/>
          <w:sz w:val="24"/>
          <w:szCs w:val="24"/>
        </w:rPr>
        <w:t xml:space="preserve">: identificação nº </w:t>
      </w:r>
      <w:r>
        <w:rPr>
          <w:rFonts w:cs="Times New Roman" w:ascii="Arial" w:hAnsi="Arial"/>
          <w:b w:val="false"/>
          <w:bCs w:val="false"/>
          <w:sz w:val="24"/>
          <w:szCs w:val="24"/>
        </w:rPr>
        <w:t>149209</w:t>
      </w:r>
    </w:p>
    <w:p>
      <w:pPr>
        <w:pStyle w:val="ListParagraph"/>
        <w:spacing w:lineRule="auto" w:line="240" w:before="0" w:after="0"/>
        <w:ind w:hanging="0" w:left="0"/>
        <w:contextualSpacing/>
        <w:jc w:val="both"/>
        <w:rPr>
          <w:b w:val="false"/>
          <w:bCs w:val="false"/>
        </w:rPr>
      </w:pPr>
      <w:r>
        <w:rPr>
          <w:rFonts w:cs="Arial" w:ascii="Arial" w:hAnsi="Arial"/>
          <w:b w:val="false"/>
          <w:bCs w:val="false"/>
          <w:sz w:val="24"/>
          <w:szCs w:val="24"/>
        </w:rPr>
        <w:t xml:space="preserve">c) </w:t>
      </w:r>
      <w:r>
        <w:rPr>
          <w:rFonts w:cs="Times New Roman" w:ascii="Arial" w:hAnsi="Arial"/>
          <w:b w:val="false"/>
          <w:bCs w:val="false"/>
          <w:sz w:val="24"/>
          <w:szCs w:val="24"/>
        </w:rPr>
        <w:t>Abrigo Institucional</w:t>
      </w:r>
      <w:r>
        <w:rPr>
          <w:rFonts w:cs="Arial" w:ascii="Arial" w:hAnsi="Arial"/>
          <w:b w:val="false"/>
          <w:bCs w:val="false"/>
          <w:sz w:val="24"/>
          <w:szCs w:val="24"/>
        </w:rPr>
        <w:t xml:space="preserve">: identificação nº </w:t>
      </w:r>
    </w:p>
    <w:p>
      <w:pPr>
        <w:pStyle w:val="ListParagraph"/>
        <w:spacing w:lineRule="auto" w:line="240" w:before="0" w:after="0"/>
        <w:ind w:hanging="0" w:left="0"/>
        <w:contextualSpacing/>
        <w:jc w:val="both"/>
        <w:rPr/>
      </w:pPr>
      <w:r>
        <w:rPr>
          <w:rFonts w:cs="Arial" w:ascii="Arial" w:hAnsi="Arial"/>
          <w:b w:val="false"/>
          <w:bCs w:val="false"/>
          <w:sz w:val="24"/>
          <w:szCs w:val="24"/>
        </w:rPr>
        <w:t xml:space="preserve">d): Serviço de Convivência e Fortalecimento de Vinculo de São Jacinto: identificação </w:t>
      </w:r>
      <w:r>
        <w:rPr>
          <w:color w:val="000000"/>
          <w:sz w:val="26"/>
          <w:szCs w:val="26"/>
        </w:rPr>
        <w:t xml:space="preserve">nº </w:t>
      </w:r>
    </w:p>
    <w:p>
      <w:pPr>
        <w:pStyle w:val="ListParagraph"/>
        <w:spacing w:lineRule="auto" w:line="240" w:before="0" w:after="0"/>
        <w:ind w:hanging="0" w:left="0"/>
        <w:contextualSpacing/>
        <w:jc w:val="both"/>
        <w:rPr>
          <w:b w:val="false"/>
          <w:bCs w:val="false"/>
        </w:rPr>
      </w:pPr>
      <w:r>
        <w:rPr>
          <w:rFonts w:cs="Arial" w:ascii="Arial" w:hAnsi="Arial"/>
          <w:b w:val="false"/>
          <w:bCs w:val="false"/>
          <w:sz w:val="24"/>
          <w:szCs w:val="24"/>
        </w:rPr>
        <w:t>e) Conselho Tutelar: identificação</w:t>
      </w:r>
      <w:r>
        <w:rPr>
          <w:rFonts w:cs="Arial" w:ascii="Arial" w:hAnsi="Arial"/>
          <w:b w:val="false"/>
          <w:bCs w:val="false"/>
          <w:color w:val="FF4000"/>
          <w:sz w:val="24"/>
          <w:szCs w:val="24"/>
        </w:rPr>
        <w:t xml:space="preserve"> </w:t>
      </w:r>
      <w:r>
        <w:rPr>
          <w:rFonts w:cs="Arial" w:ascii="Arial" w:hAnsi="Arial"/>
          <w:b w:val="false"/>
          <w:bCs w:val="false"/>
          <w:color w:val="000000"/>
          <w:sz w:val="24"/>
          <w:szCs w:val="24"/>
        </w:rPr>
        <w:t xml:space="preserve">nº </w:t>
      </w:r>
      <w:r>
        <w:rPr>
          <w:rFonts w:cs="Times New Roman" w:ascii="Arial" w:hAnsi="Arial"/>
          <w:b w:val="false"/>
          <w:bCs w:val="false"/>
          <w:color w:val="000000"/>
          <w:sz w:val="24"/>
          <w:szCs w:val="24"/>
        </w:rPr>
        <w:t>046179</w:t>
      </w:r>
      <w:r>
        <w:rPr>
          <w:rFonts w:cs="Arial" w:ascii="Arial" w:hAnsi="Arial"/>
          <w:b w:val="false"/>
          <w:bCs w:val="false"/>
          <w:color w:val="000000"/>
          <w:sz w:val="24"/>
          <w:szCs w:val="24"/>
        </w:rPr>
        <w:t>;</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O </w:t>
      </w:r>
      <w:r>
        <w:rPr>
          <w:rFonts w:cs="Arial" w:ascii="Arial" w:hAnsi="Arial"/>
          <w:b/>
          <w:sz w:val="24"/>
          <w:szCs w:val="24"/>
        </w:rPr>
        <w:t>empenho estimativo</w:t>
      </w:r>
      <w:r>
        <w:rPr>
          <w:rFonts w:cs="Arial" w:ascii="Arial" w:hAnsi="Arial"/>
          <w:sz w:val="24"/>
          <w:szCs w:val="24"/>
        </w:rPr>
        <w:t xml:space="preserve"> deverá ocorrer, preferencialmente, no mês de janeiro de 2025, com vigência programada para custeio das despesas relativas ao consumo de energia no </w:t>
      </w:r>
      <w:r>
        <w:rPr>
          <w:rFonts w:cs="Arial" w:ascii="Arial" w:hAnsi="Arial"/>
          <w:b/>
          <w:sz w:val="24"/>
          <w:szCs w:val="24"/>
        </w:rPr>
        <w:t>período de 01/01/2026 à 31/12/2026.</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OBJETIVO E DA JUSTIFICATIVA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Normal"/>
        <w:spacing w:lineRule="auto" w:line="240" w:before="0" w:after="0"/>
        <w:rPr>
          <w:rFonts w:ascii="Arial" w:hAnsi="Arial" w:cs="Arial"/>
          <w:sz w:val="24"/>
          <w:szCs w:val="24"/>
          <w:highlight w:val="yellow"/>
        </w:rPr>
      </w:pPr>
      <w:r>
        <w:rPr>
          <w:rFonts w:cs="Arial" w:ascii="Arial" w:hAnsi="Arial"/>
          <w:sz w:val="24"/>
          <w:szCs w:val="24"/>
          <w:highlight w:val="yellow"/>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0"/>
        </w:numPr>
        <w:spacing w:lineRule="auto" w:line="240" w:before="0" w:after="0"/>
        <w:ind w:hanging="0" w:left="0"/>
        <w:contextualSpacing/>
        <w:jc w:val="both"/>
        <w:rPr>
          <w:rFonts w:ascii="Arial" w:hAnsi="Arial"/>
          <w:sz w:val="24"/>
          <w:szCs w:val="24"/>
        </w:rPr>
      </w:pPr>
      <w:r>
        <w:rPr>
          <w:rFonts w:cs="Arial" w:ascii="Arial" w:hAnsi="Arial"/>
          <w:sz w:val="24"/>
          <w:szCs w:val="24"/>
        </w:rPr>
        <w:t>2.3.</w:t>
        <w:tab/>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Arial" w:hAnsi="Arial"/>
          <w:b/>
          <w:sz w:val="24"/>
          <w:szCs w:val="24"/>
        </w:rPr>
        <w:t>vedada a realização de despesas sem prévio empenho.</w:t>
      </w:r>
      <w:r>
        <w:rPr>
          <w:rFonts w:cs="Arial" w:ascii="Arial" w:hAnsi="Arial"/>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NormalWeb"/>
        <w:spacing w:beforeAutospacing="0" w:before="0" w:afterAutospacing="0" w:after="0"/>
        <w:jc w:val="both"/>
        <w:rPr>
          <w:rFonts w:ascii="Arial" w:hAnsi="Arial" w:cs="Arial"/>
          <w:sz w:val="24"/>
          <w:szCs w:val="24"/>
        </w:rPr>
      </w:pPr>
      <w:r>
        <w:rPr>
          <w:rFonts w:cs="Arial" w:ascii="Arial" w:hAnsi="Arial"/>
          <w:sz w:val="24"/>
          <w:szCs w:val="24"/>
        </w:rPr>
      </w:r>
    </w:p>
    <w:p>
      <w:pPr>
        <w:pStyle w:val="NormalWeb"/>
        <w:spacing w:beforeAutospacing="0" w:before="0" w:afterAutospacing="0" w:after="0"/>
        <w:ind w:hanging="0" w:left="0"/>
        <w:jc w:val="both"/>
        <w:rPr>
          <w:rFonts w:ascii="Arial" w:hAnsi="Arial"/>
          <w:sz w:val="24"/>
          <w:szCs w:val="24"/>
        </w:rPr>
      </w:pPr>
      <w:r>
        <w:rPr>
          <w:rFonts w:cs="Arial" w:ascii="Arial" w:hAnsi="Arial"/>
          <w:sz w:val="24"/>
          <w:szCs w:val="24"/>
        </w:rPr>
        <w:t>2.4.</w:t>
        <w:tab/>
        <w:t xml:space="preserve">Nessa perspectiva, o art. 60, §2º, da Lei Federal nº 4.320/1964, disciplina que, nas hipóteses de o montante da despesa não for possível ser determinado, será feito o </w:t>
      </w:r>
      <w:r>
        <w:rPr>
          <w:rFonts w:cs="Arial" w:ascii="Arial" w:hAnsi="Arial"/>
          <w:b/>
          <w:sz w:val="24"/>
          <w:szCs w:val="24"/>
        </w:rPr>
        <w:t>empenho por estimativa.</w:t>
      </w:r>
      <w:r>
        <w:rPr>
          <w:rFonts w:cs="Arial" w:ascii="Arial" w:hAnsi="Arial"/>
          <w:sz w:val="24"/>
          <w:szCs w:val="24"/>
        </w:rPr>
        <w:t xml:space="preserve"> Tem-se, portanto, como aquele em que </w:t>
      </w:r>
      <w:r>
        <w:rPr>
          <w:rFonts w:cs="Arial" w:ascii="Arial" w:hAnsi="Arial"/>
          <w:b/>
          <w:sz w:val="24"/>
          <w:szCs w:val="24"/>
        </w:rPr>
        <w:t>não se pode determinar previamente o montante exato a ser pago</w:t>
      </w:r>
      <w:r>
        <w:rPr>
          <w:rFonts w:cs="Arial" w:ascii="Arial" w:hAnsi="Arial"/>
          <w:sz w:val="24"/>
          <w:szCs w:val="24"/>
        </w:rPr>
        <w:t>, como ocorre, em particular, com as contas de água, luz, gás e telefone.</w:t>
      </w:r>
    </w:p>
    <w:p>
      <w:pPr>
        <w:pStyle w:val="NormalWeb"/>
        <w:spacing w:beforeAutospacing="0" w:before="0" w:afterAutospacing="0" w:after="0"/>
        <w:jc w:val="both"/>
        <w:rPr>
          <w:rFonts w:ascii="Arial" w:hAnsi="Arial" w:cs="Arial"/>
          <w:sz w:val="24"/>
          <w:szCs w:val="24"/>
        </w:rPr>
      </w:pPr>
      <w:r>
        <w:rPr>
          <w:rFonts w:cs="Arial" w:ascii="Arial" w:hAnsi="Arial"/>
          <w:sz w:val="24"/>
          <w:szCs w:val="24"/>
        </w:rPr>
      </w:r>
    </w:p>
    <w:p>
      <w:pPr>
        <w:pStyle w:val="NormalWeb"/>
        <w:numPr>
          <w:ilvl w:val="0"/>
          <w:numId w:val="0"/>
        </w:numPr>
        <w:spacing w:beforeAutospacing="0" w:before="0" w:afterAutospacing="0" w:after="0"/>
        <w:ind w:hanging="0" w:left="0"/>
        <w:jc w:val="both"/>
        <w:rPr>
          <w:rFonts w:ascii="Arial" w:hAnsi="Arial"/>
          <w:sz w:val="24"/>
          <w:szCs w:val="24"/>
        </w:rPr>
      </w:pPr>
      <w:r>
        <w:rPr>
          <w:rFonts w:cs="Arial" w:ascii="Arial" w:hAnsi="Arial"/>
          <w:sz w:val="24"/>
          <w:szCs w:val="24"/>
        </w:rPr>
        <w:t>2.5.</w:t>
        <w:tab/>
        <w:t xml:space="preserve">Ademais, a Lei Federal nº 14.133, por meio do art. 74, </w:t>
      </w:r>
      <w:r>
        <w:rPr>
          <w:rFonts w:cs="Arial" w:ascii="Arial" w:hAnsi="Arial"/>
          <w:i/>
          <w:sz w:val="24"/>
          <w:szCs w:val="24"/>
        </w:rPr>
        <w:t>caput</w:t>
      </w:r>
      <w:r>
        <w:rPr>
          <w:rFonts w:cs="Arial" w:ascii="Arial" w:hAnsi="Arial"/>
          <w:sz w:val="24"/>
          <w:szCs w:val="24"/>
        </w:rPr>
        <w:t>, determina a inexigibilidade de licitação nas hipóteses de ser inviável a competição.</w:t>
      </w:r>
    </w:p>
    <w:p>
      <w:pPr>
        <w:pStyle w:val="NormalWeb"/>
        <w:numPr>
          <w:ilvl w:val="0"/>
          <w:numId w:val="0"/>
        </w:numPr>
        <w:spacing w:beforeAutospacing="0" w:before="0" w:afterAutospacing="0" w:after="0"/>
        <w:ind w:hanging="0" w:left="0"/>
        <w:jc w:val="both"/>
        <w:rPr>
          <w:rFonts w:ascii="Arial" w:hAnsi="Arial" w:cs="Arial"/>
          <w:sz w:val="24"/>
          <w:szCs w:val="24"/>
        </w:rPr>
      </w:pPr>
      <w:r>
        <w:rPr>
          <w:rFonts w:cs="Arial" w:ascii="Arial" w:hAnsi="Arial"/>
          <w:sz w:val="24"/>
          <w:szCs w:val="24"/>
        </w:rPr>
      </w:r>
    </w:p>
    <w:p>
      <w:pPr>
        <w:pStyle w:val="NormalWeb"/>
        <w:numPr>
          <w:ilvl w:val="0"/>
          <w:numId w:val="0"/>
        </w:numPr>
        <w:spacing w:beforeAutospacing="0" w:before="0" w:afterAutospacing="0" w:after="0"/>
        <w:ind w:hanging="0" w:left="0"/>
        <w:jc w:val="both"/>
        <w:rPr>
          <w:rFonts w:ascii="Arial" w:hAnsi="Arial"/>
          <w:sz w:val="24"/>
          <w:szCs w:val="24"/>
        </w:rPr>
      </w:pPr>
      <w:r>
        <w:rPr>
          <w:rFonts w:cs="Arial" w:ascii="Arial" w:hAnsi="Arial"/>
          <w:sz w:val="24"/>
          <w:szCs w:val="24"/>
        </w:rPr>
        <w:t>2.6.</w:t>
        <w:tab/>
        <w:t xml:space="preserve">Assim, por consequência, dada à natureza do objeto em questão, </w:t>
      </w:r>
      <w:r>
        <w:rPr>
          <w:rFonts w:cs="Arial" w:ascii="Arial" w:hAnsi="Arial"/>
          <w:b/>
          <w:sz w:val="24"/>
          <w:szCs w:val="24"/>
        </w:rPr>
        <w:t>dispensa-se a elaboração do Estudo Técnico Preliminar (ETP)</w:t>
      </w:r>
      <w:r>
        <w:rPr>
          <w:rFonts w:cs="Arial" w:ascii="Arial" w:hAnsi="Arial"/>
          <w:sz w:val="24"/>
          <w:szCs w:val="24"/>
        </w:rPr>
        <w:t xml:space="preserve">, vez que a </w:t>
      </w:r>
      <w:r>
        <w:rPr>
          <w:rFonts w:cs="Arial" w:ascii="Arial" w:hAnsi="Arial"/>
          <w:b/>
          <w:sz w:val="24"/>
          <w:szCs w:val="24"/>
        </w:rPr>
        <w:t>solução adequada</w:t>
      </w:r>
      <w:r>
        <w:rPr>
          <w:rFonts w:cs="Arial" w:ascii="Arial" w:hAnsi="Arial"/>
          <w:sz w:val="24"/>
          <w:szCs w:val="24"/>
        </w:rPr>
        <w:t xml:space="preserve"> para o custeio das despesas decorrentes do consumo de energia pelas unidades relativas à Secretaria Municipal de Administração, </w:t>
      </w:r>
      <w:r>
        <w:rPr>
          <w:rFonts w:cs="Arial" w:ascii="Arial" w:hAnsi="Arial"/>
          <w:b/>
          <w:sz w:val="24"/>
          <w:szCs w:val="24"/>
        </w:rPr>
        <w:t>é a realização de</w:t>
      </w:r>
      <w:r>
        <w:rPr>
          <w:rFonts w:cs="Arial" w:ascii="Arial" w:hAnsi="Arial"/>
          <w:sz w:val="24"/>
          <w:szCs w:val="24"/>
        </w:rPr>
        <w:t xml:space="preserve"> </w:t>
      </w:r>
      <w:r>
        <w:rPr>
          <w:rFonts w:cs="Arial" w:ascii="Arial" w:hAnsi="Arial"/>
          <w:b/>
          <w:sz w:val="24"/>
          <w:szCs w:val="24"/>
        </w:rPr>
        <w:t>empenho estimativo</w:t>
      </w:r>
      <w:r>
        <w:rPr>
          <w:rFonts w:cs="Arial" w:ascii="Arial" w:hAnsi="Arial"/>
          <w:bCs/>
          <w:sz w:val="24"/>
          <w:szCs w:val="24"/>
        </w:rPr>
        <w:t xml:space="preserve">, com fulcro no art. 60, da Lei Federal nº </w:t>
      </w:r>
      <w:r>
        <w:rPr>
          <w:rFonts w:cs="Arial" w:ascii="Arial" w:hAnsi="Arial"/>
          <w:sz w:val="24"/>
          <w:szCs w:val="24"/>
        </w:rPr>
        <w:t xml:space="preserve">4.320/1964 e art. 74, </w:t>
      </w:r>
      <w:r>
        <w:rPr>
          <w:rFonts w:cs="Arial" w:ascii="Arial" w:hAnsi="Arial"/>
          <w:i/>
          <w:sz w:val="24"/>
          <w:szCs w:val="24"/>
        </w:rPr>
        <w:t>caput</w:t>
      </w:r>
      <w:r>
        <w:rPr>
          <w:rFonts w:cs="Arial" w:ascii="Arial" w:hAnsi="Arial"/>
          <w:sz w:val="24"/>
          <w:szCs w:val="24"/>
        </w:rPr>
        <w:t>, da Lei Federal nº 14.133/2021.</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NormalWeb"/>
        <w:numPr>
          <w:ilvl w:val="0"/>
          <w:numId w:val="0"/>
        </w:numPr>
        <w:spacing w:beforeAutospacing="0" w:before="0" w:afterAutospacing="0" w:after="0"/>
        <w:ind w:hanging="0" w:left="0"/>
        <w:jc w:val="both"/>
        <w:rPr>
          <w:rFonts w:ascii="Arial" w:hAnsi="Arial"/>
          <w:sz w:val="24"/>
          <w:szCs w:val="24"/>
        </w:rPr>
      </w:pPr>
      <w:r>
        <w:rPr>
          <w:rFonts w:cs="Arial" w:ascii="Arial" w:hAnsi="Arial"/>
          <w:color w:val="000000"/>
          <w:sz w:val="24"/>
          <w:szCs w:val="24"/>
          <w:shd w:fill="auto" w:val="clear"/>
        </w:rPr>
        <w:t>2.7.</w:t>
        <w:tab/>
      </w:r>
      <w:r>
        <w:rPr>
          <w:rFonts w:cs="Arial" w:ascii="Arial" w:hAnsi="Arial"/>
          <w:b/>
          <w:color w:val="000000"/>
          <w:sz w:val="24"/>
          <w:szCs w:val="24"/>
          <w:shd w:fill="auto" w:val="clear"/>
        </w:rPr>
        <w:t>A contratação já está contemplada no Plano Anual de Contratações (PAC) 2026,  como despesas ordinárias.</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0"/>
          <w:numId w:val="0"/>
        </w:numPr>
        <w:spacing w:lineRule="auto" w:line="240" w:before="0" w:after="0"/>
        <w:ind w:hanging="0" w:left="0"/>
        <w:contextualSpacing/>
        <w:jc w:val="both"/>
        <w:rPr>
          <w:rFonts w:ascii="Arial" w:hAnsi="Arial"/>
          <w:sz w:val="24"/>
          <w:szCs w:val="24"/>
        </w:rPr>
      </w:pPr>
      <w:r>
        <w:rPr>
          <w:rFonts w:cs="Arial" w:ascii="Arial" w:hAnsi="Arial"/>
          <w:sz w:val="24"/>
          <w:szCs w:val="24"/>
        </w:rPr>
        <w:t>2.8.</w:t>
        <w:tab/>
        <w:t xml:space="preserve">Justificando, o presente Termo de Referência visa </w:t>
      </w:r>
      <w:r>
        <w:rPr>
          <w:rFonts w:cs="Arial" w:ascii="Arial" w:hAnsi="Arial"/>
          <w:b/>
          <w:sz w:val="24"/>
          <w:szCs w:val="24"/>
        </w:rPr>
        <w:t xml:space="preserve">esclarecer e direcionar os procedimentos essenciais para a Inexigibilidade de Licitação e realização de Empenho por estimativa, </w:t>
      </w:r>
      <w:r>
        <w:rPr>
          <w:rFonts w:cs="Arial" w:ascii="Arial" w:hAnsi="Arial"/>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FORMALIZAÇÃO DA ATA DE REGISTRO DE PREÇOS, DOS USUÁRIOS DO REGISTRO DE PREÇOS E DO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r>
        <w:rPr>
          <w:rFonts w:cs="Arial" w:ascii="Arial" w:hAnsi="Arial"/>
          <w:sz w:val="24"/>
          <w:szCs w:val="24"/>
        </w:rPr>
        <w:t>.</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OBJETO LICITADO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 SOLUÇÃO E DO CICLO DE VIDA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b/>
          <w:sz w:val="24"/>
          <w:szCs w:val="24"/>
        </w:rPr>
        <w:t>A descrição da solução como um todo se encontra pormenorizada na Lei Federal nº 14.133/2021, na Lei Federal nº 4.320/1964 e demais normativas vigentes, inclusive municipais, bem como no Documento de Formalização de Demanda</w:t>
      </w:r>
      <w:r>
        <w:rPr>
          <w:rFonts w:cs="Arial" w:ascii="Arial" w:hAnsi="Arial"/>
          <w:sz w:val="24"/>
          <w:szCs w:val="24"/>
        </w:rPr>
        <w:t>, qual seja a inexigibilidade de licitação e a realização de empenho por estimativa para custear as despesas decorrentes do consumo de energia.</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DOS REQUISITOS DA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A contratação será realizada em razão da necessidade de custeio das despesas decorrentes do consumo de energia pelas unidades relacionadas à Secretaria Municipal de Assistência Social, no exercício de 2025, em virtude do desempenho de suas atividades.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A demanda em comento leva em conta a necessidade da Secretaria para o exercício financeiro de 2026, </w:t>
      </w:r>
      <w:r>
        <w:rPr>
          <w:rFonts w:cs="Arial" w:ascii="Arial" w:hAnsi="Arial"/>
          <w:color w:val="000000"/>
          <w:sz w:val="24"/>
          <w:szCs w:val="24"/>
          <w:shd w:fill="auto" w:val="clear"/>
        </w:rPr>
        <w:t>sendo, entretanto, necessária a atualização do Plano Anual de Contratações (PAC) para o exercício de 2026, para a inclusão da demanda, vislumbrando o alinhamento com o planejamento realizado pela requerente.</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 FORNECIMENTO E RECEBIMENTO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DAS CONDIÇÕES DE RECEBIMENTO DO OBJETO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DAS OBRIGAÇÕES E RESPONSABILIDADES</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b/>
          <w:sz w:val="24"/>
          <w:szCs w:val="24"/>
        </w:rPr>
        <w:t>DAS OBRIGAÇÕES E RESPONSABILIDADES DA EMPRESA CONTRATADA</w:t>
      </w:r>
    </w:p>
    <w:p>
      <w:pPr>
        <w:pStyle w:val="ListParagraph"/>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Caberá ao CONTRATADO o cumprimento das seguintes obrigações: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1 - Prestar os serviços,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2 - Não subcontratar, ceder ou transferir, total ou parcialmente, 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3 - Responsabilizar-se pelos encargos trabalhistas, previdenciários, fiscais e comerciais, resultantes da execução do objeto deste projeto;</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4 - Executar fielmente o objeto da Contratação com fornecimento ininterrupto de energia durante 365 (trezentos e sessenta e cinco) dias do ano de 2025;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5 - Dar plena garantia e qualidade do serviço prestado;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hanging="0" w:left="0"/>
        <w:contextualSpacing/>
        <w:jc w:val="both"/>
        <w:rPr>
          <w:rFonts w:ascii="Arial" w:hAnsi="Arial"/>
          <w:b w:val="false"/>
          <w:bCs w:val="false"/>
          <w:sz w:val="24"/>
          <w:szCs w:val="24"/>
        </w:rPr>
      </w:pPr>
      <w:r>
        <w:rPr>
          <w:rFonts w:cs="Arial" w:ascii="Arial" w:hAnsi="Arial"/>
          <w:b w:val="false"/>
          <w:bCs w:val="false"/>
          <w:sz w:val="24"/>
          <w:szCs w:val="24"/>
        </w:rPr>
        <w:t xml:space="preserve">9 - </w:t>
      </w:r>
      <w:r>
        <w:rPr>
          <w:rFonts w:cs="Arial" w:ascii="Arial" w:hAnsi="Arial"/>
          <w:b/>
          <w:bCs/>
          <w:sz w:val="24"/>
          <w:szCs w:val="24"/>
        </w:rPr>
        <w:t>Acatar as determinações feitas pela Contratante no que tange ao cumprimento do objeto do Contrato.</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b/>
          <w:sz w:val="24"/>
          <w:szCs w:val="24"/>
        </w:rPr>
        <w:t>DAS OBRIGAÇÕES E RESPONSABILIDADES DO MUNICÍPIO</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Caberá a Prefeitura Municipal de São Roque do Canaã/ES, como CONTRATANTE: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1 - Fornecer à Contratada todas as informações relacionadas ao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2 - Notificar por escrito a Contratada, a respeito de qualquer irregularidade constatada na execução do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3 - Assegurar os recursos orçamentários e financeiros para custear as despesas do empenho estimativo;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4 - Efetuar o pagamento nas condições e preços pactuados; </w:t>
      </w:r>
    </w:p>
    <w:p>
      <w:pPr>
        <w:pStyle w:val="ListParagraph"/>
        <w:spacing w:lineRule="auto" w:line="240" w:before="0" w:after="0"/>
        <w:ind w:hanging="0" w:left="0"/>
        <w:contextualSpacing/>
        <w:jc w:val="both"/>
        <w:rPr>
          <w:rFonts w:ascii="Arial" w:hAnsi="Arial"/>
          <w:sz w:val="24"/>
          <w:szCs w:val="24"/>
        </w:rPr>
      </w:pPr>
      <w:r>
        <w:rPr>
          <w:rFonts w:cs="Arial" w:ascii="Arial" w:hAnsi="Arial"/>
          <w:b/>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FISCALIZAÇÃO E ACOMPANHAMENTO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Corpodetexto23"/>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GARANTIA PELO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DAS AMOSTRAS</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GESTÃO DO CONTRATO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FATURAMENTO E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A CONTRATADA deverá encaminhar à unidade administrativa responsável pela gestão do contrato, a fatura do fornecimento de energia correspondente à leitura do período de consumo abrangido, com o respectivo preço e com prazo de pagamento não inferior a 10 (dez) dias úteis contados a partir de sua apresentação.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Para efeito de pagamento, junto com o Recibo, deverá ser anexado: </w:t>
      </w:r>
    </w:p>
    <w:p>
      <w:pPr>
        <w:pStyle w:val="Normal"/>
        <w:spacing w:lineRule="auto" w:line="240" w:before="0" w:after="0"/>
        <w:jc w:val="both"/>
        <w:rPr>
          <w:rFonts w:ascii="Arial" w:hAnsi="Arial"/>
          <w:sz w:val="24"/>
          <w:szCs w:val="24"/>
        </w:rPr>
      </w:pPr>
      <w:r>
        <w:rPr>
          <w:rFonts w:cs="Arial" w:ascii="Arial" w:hAnsi="Arial"/>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rFonts w:ascii="Arial" w:hAnsi="Arial"/>
          <w:sz w:val="24"/>
          <w:szCs w:val="24"/>
        </w:rPr>
      </w:pPr>
      <w:r>
        <w:rPr>
          <w:rFonts w:cs="Arial" w:ascii="Arial" w:hAnsi="Arial"/>
          <w:sz w:val="24"/>
          <w:szCs w:val="24"/>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rFonts w:ascii="Arial" w:hAnsi="Arial"/>
          <w:sz w:val="24"/>
          <w:szCs w:val="24"/>
        </w:rPr>
      </w:pPr>
      <w:r>
        <w:rPr>
          <w:rFonts w:cs="Arial" w:ascii="Arial" w:hAnsi="Arial"/>
          <w:sz w:val="24"/>
          <w:szCs w:val="24"/>
        </w:rPr>
        <w:t xml:space="preserve">III - Certidão de Regularidade com a Fazenda do Estado; </w:t>
      </w:r>
    </w:p>
    <w:p>
      <w:pPr>
        <w:pStyle w:val="Normal"/>
        <w:spacing w:lineRule="auto" w:line="240" w:before="0" w:after="0"/>
        <w:jc w:val="both"/>
        <w:rPr>
          <w:rFonts w:ascii="Arial" w:hAnsi="Arial"/>
          <w:sz w:val="24"/>
          <w:szCs w:val="24"/>
        </w:rPr>
      </w:pPr>
      <w:r>
        <w:rPr>
          <w:rFonts w:cs="Arial" w:ascii="Arial" w:hAnsi="Arial"/>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0"/>
        <w:jc w:val="both"/>
        <w:rPr>
          <w:rFonts w:ascii="Arial" w:hAnsi="Arial"/>
          <w:sz w:val="24"/>
          <w:szCs w:val="24"/>
        </w:rPr>
      </w:pPr>
      <w:r>
        <w:rPr>
          <w:rFonts w:cs="Arial" w:ascii="Arial" w:hAnsi="Arial"/>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b/>
          <w:sz w:val="24"/>
          <w:szCs w:val="24"/>
        </w:rPr>
        <w:t>DA ANTECIPAÇÃO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FORMA E CRITÉRIOS DE SELEÇÃO DO FORNECEDOR</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VALOR MÁXIMO E 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3"/>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 VALOR ESTIMADO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3"/>
        </w:numPr>
        <w:spacing w:lineRule="auto" w:line="240" w:before="0" w:after="0"/>
        <w:ind w:hanging="0" w:left="0"/>
        <w:contextualSpacing/>
        <w:jc w:val="both"/>
        <w:rPr>
          <w:rFonts w:ascii="Arial" w:hAnsi="Arial"/>
          <w:sz w:val="24"/>
          <w:szCs w:val="24"/>
        </w:rPr>
      </w:pPr>
      <w:r>
        <w:rPr>
          <w:rFonts w:cs="Arial" w:ascii="Arial" w:hAnsi="Arial"/>
          <w:color w:val="000000"/>
          <w:sz w:val="24"/>
          <w:szCs w:val="24"/>
          <w:shd w:fill="auto" w:val="clear"/>
        </w:rPr>
        <w:t xml:space="preserve"> </w:t>
      </w:r>
      <w:r>
        <w:rPr>
          <w:rFonts w:cs="Arial" w:ascii="Arial" w:hAnsi="Arial"/>
          <w:color w:val="000000"/>
          <w:sz w:val="24"/>
          <w:szCs w:val="24"/>
          <w:shd w:fill="auto" w:val="clear"/>
        </w:rPr>
        <w:t xml:space="preserve">O </w:t>
      </w:r>
      <w:r>
        <w:rPr>
          <w:rFonts w:cs="Arial" w:ascii="Arial" w:hAnsi="Arial"/>
          <w:b/>
          <w:color w:val="000000"/>
          <w:sz w:val="24"/>
          <w:szCs w:val="24"/>
          <w:shd w:fill="auto" w:val="clear"/>
        </w:rPr>
        <w:t>valor estimado</w:t>
      </w:r>
      <w:r>
        <w:rPr>
          <w:rFonts w:cs="Arial" w:ascii="Arial" w:hAnsi="Arial"/>
          <w:color w:val="000000"/>
          <w:sz w:val="24"/>
          <w:szCs w:val="24"/>
          <w:shd w:fill="auto" w:val="clear"/>
        </w:rPr>
        <w:t xml:space="preserve"> para custeio das despesas com o consumo de energia pelas unidades relativas à Secretaria de Assistência Social, no exercício de 2026, </w:t>
      </w:r>
      <w:r>
        <w:rPr>
          <w:rFonts w:cs="Arial" w:ascii="Arial" w:hAnsi="Arial"/>
          <w:b/>
          <w:color w:val="000000"/>
          <w:sz w:val="24"/>
          <w:szCs w:val="24"/>
          <w:shd w:fill="auto" w:val="clear"/>
        </w:rPr>
        <w:t xml:space="preserve">é de R$ </w:t>
      </w:r>
      <w:r>
        <w:rPr>
          <w:rFonts w:cs="Arial" w:ascii="Arial" w:hAnsi="Arial"/>
          <w:b/>
          <w:color w:val="000000"/>
          <w:sz w:val="24"/>
          <w:szCs w:val="24"/>
          <w:shd w:fill="auto" w:val="clear"/>
        </w:rPr>
        <w:t>22.500,00</w:t>
      </w:r>
      <w:r>
        <w:rPr>
          <w:rFonts w:cs="Arial" w:ascii="Arial" w:hAnsi="Arial"/>
          <w:b/>
          <w:color w:val="000000"/>
          <w:sz w:val="24"/>
          <w:szCs w:val="24"/>
          <w:shd w:fill="auto" w:val="clear"/>
        </w:rPr>
        <w:t xml:space="preserve"> (</w:t>
      </w:r>
      <w:r>
        <w:rPr>
          <w:rFonts w:cs="Arial" w:ascii="Arial" w:hAnsi="Arial"/>
          <w:b/>
          <w:color w:val="000000"/>
          <w:sz w:val="24"/>
          <w:szCs w:val="24"/>
          <w:shd w:fill="auto" w:val="clear"/>
        </w:rPr>
        <w:t>Vinte Dois Mil e Quinhentos Reais</w:t>
      </w:r>
      <w:r>
        <w:rPr>
          <w:rFonts w:cs="Arial" w:ascii="Arial" w:hAnsi="Arial"/>
          <w:b/>
          <w:color w:val="000000"/>
          <w:sz w:val="24"/>
          <w:szCs w:val="24"/>
          <w:shd w:fill="auto" w:val="clear"/>
        </w:rPr>
        <w:t>).</w:t>
      </w:r>
    </w:p>
    <w:p>
      <w:pPr>
        <w:pStyle w:val="Normal"/>
        <w:spacing w:lineRule="auto" w:line="240" w:before="0" w:after="0"/>
        <w:jc w:val="both"/>
        <w:rPr>
          <w:rFonts w:ascii="Arial" w:hAnsi="Arial" w:cs="Arial"/>
          <w:color w:val="000000"/>
          <w:sz w:val="24"/>
          <w:szCs w:val="24"/>
        </w:rPr>
      </w:pPr>
      <w:r>
        <w:rPr>
          <w:rFonts w:cs="Arial" w:ascii="Arial" w:hAnsi="Arial"/>
          <w:color w:val="000000"/>
          <w:sz w:val="24"/>
          <w:szCs w:val="24"/>
        </w:rPr>
      </w:r>
    </w:p>
    <w:p>
      <w:pPr>
        <w:pStyle w:val="ListParagraph"/>
        <w:numPr>
          <w:ilvl w:val="1"/>
          <w:numId w:val="3"/>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3"/>
        </w:numPr>
        <w:spacing w:lineRule="auto" w:line="240" w:before="0" w:after="0"/>
        <w:ind w:hanging="0" w:left="0"/>
        <w:contextualSpacing/>
        <w:jc w:val="both"/>
        <w:rPr>
          <w:rFonts w:ascii="Arial" w:hAnsi="Arial"/>
          <w:sz w:val="24"/>
          <w:szCs w:val="24"/>
        </w:rPr>
      </w:pPr>
      <w:r>
        <w:rPr>
          <w:rFonts w:cs="Arial" w:ascii="Arial" w:hAnsi="Arial"/>
          <w:color w:val="000000"/>
          <w:sz w:val="24"/>
          <w:szCs w:val="24"/>
          <w:shd w:fill="auto" w:val="clear"/>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Arial" w:hAnsi="Arial"/>
          <w:b/>
          <w:color w:val="000000"/>
          <w:sz w:val="24"/>
          <w:szCs w:val="24"/>
          <w:shd w:fill="auto" w:val="clear"/>
        </w:rPr>
        <w:t>Proposta de Lei Orçamentária Anual (PLOA) vinculada para o exercício financeiro de 2026</w:t>
      </w:r>
      <w:r>
        <w:rPr>
          <w:rFonts w:cs="Arial" w:ascii="Arial" w:hAnsi="Arial"/>
          <w:color w:val="000000"/>
          <w:sz w:val="24"/>
          <w:szCs w:val="24"/>
          <w:shd w:fill="auto" w:val="clear"/>
        </w:rPr>
        <w:t>, a qual será informada pelo requerente, após a aprovação da respectiva Lei.</w:t>
      </w:r>
    </w:p>
    <w:p>
      <w:pPr>
        <w:pStyle w:val="Normal"/>
        <w:widowControl/>
        <w:suppressAutoHyphens w:val="true"/>
        <w:bidi w:val="0"/>
        <w:spacing w:lineRule="auto" w:line="240" w:before="0" w:after="0"/>
        <w:ind w:hanging="0" w:left="0" w:right="0"/>
        <w:jc w:val="both"/>
        <w:rPr>
          <w:rFonts w:ascii="Arial" w:hAnsi="Arial" w:cs="Arial"/>
          <w:sz w:val="24"/>
          <w:szCs w:val="24"/>
        </w:rPr>
      </w:pPr>
      <w:r>
        <w:rPr>
          <w:rFonts w:cs="Arial" w:ascii="Arial" w:hAnsi="Arial"/>
          <w:sz w:val="24"/>
          <w:szCs w:val="24"/>
        </w:rPr>
      </w:r>
    </w:p>
    <w:tbl>
      <w:tblPr>
        <w:tblW w:w="9566" w:type="dxa"/>
        <w:jc w:val="left"/>
        <w:tblInd w:w="184" w:type="dxa"/>
        <w:tblLayout w:type="fixed"/>
        <w:tblCellMar>
          <w:top w:w="0" w:type="dxa"/>
          <w:left w:w="108" w:type="dxa"/>
          <w:bottom w:w="0" w:type="dxa"/>
          <w:right w:w="108" w:type="dxa"/>
        </w:tblCellMar>
      </w:tblPr>
      <w:tblGrid>
        <w:gridCol w:w="9566"/>
      </w:tblGrid>
      <w:tr>
        <w:trPr/>
        <w:tc>
          <w:tcPr>
            <w:tcW w:w="9566" w:type="dxa"/>
            <w:tcBorders>
              <w:top w:val="single" w:sz="4" w:space="0" w:color="000000"/>
              <w:left w:val="single" w:sz="4" w:space="0" w:color="000000"/>
              <w:bottom w:val="single" w:sz="4" w:space="0" w:color="000000"/>
              <w:right w:val="single" w:sz="4" w:space="0" w:color="000000"/>
            </w:tcBorders>
            <w:shd w:fill="D9D9D9" w:val="clear"/>
          </w:tcPr>
          <w:p>
            <w:pPr>
              <w:pStyle w:val="BodyText"/>
              <w:widowControl w:val="false"/>
              <w:spacing w:lineRule="auto" w:line="276" w:before="0" w:after="140"/>
              <w:jc w:val="center"/>
              <w:rPr>
                <w:rFonts w:ascii="Arial" w:hAnsi="Arial" w:cs="Arial"/>
                <w:b/>
                <w:sz w:val="21"/>
                <w:szCs w:val="21"/>
              </w:rPr>
            </w:pPr>
            <w:r>
              <w:rPr>
                <w:rFonts w:cs="Arial" w:ascii="Arial" w:hAnsi="Arial"/>
                <w:b/>
                <w:sz w:val="21"/>
                <w:szCs w:val="21"/>
              </w:rPr>
              <w:t>CENTRO DE REFERÊNCIA DE ASSISTÊNCIA SOCIAL – CRAS</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Dotação Orçamentária:</w:t>
            </w:r>
            <w:r>
              <w:rPr>
                <w:rFonts w:cs="Arial" w:ascii="Arial" w:hAnsi="Arial"/>
                <w:sz w:val="21"/>
                <w:szCs w:val="21"/>
              </w:rPr>
              <w:t xml:space="preserve"> 0901.0824400122.023-Elemento de Despesa 33903900000 – Fonte de Recurso 150000000000 – Ficha 0000115</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 xml:space="preserve">Código do Medidor: </w:t>
            </w:r>
            <w:r>
              <w:rPr>
                <w:rFonts w:cs="Arial" w:ascii="Arial" w:hAnsi="Arial"/>
                <w:sz w:val="21"/>
                <w:szCs w:val="21"/>
              </w:rPr>
              <w:t>099143</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Valor:</w:t>
            </w:r>
            <w:r>
              <w:rPr>
                <w:rFonts w:cs="Arial" w:ascii="Arial" w:hAnsi="Arial"/>
                <w:sz w:val="21"/>
                <w:szCs w:val="21"/>
              </w:rPr>
              <w:t xml:space="preserve"> 8.000,00 (Sete mil reais).</w:t>
            </w:r>
          </w:p>
        </w:tc>
      </w:tr>
      <w:tr>
        <w:trPr/>
        <w:tc>
          <w:tcPr>
            <w:tcW w:w="9566"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76" w:before="0" w:after="160"/>
              <w:jc w:val="center"/>
              <w:rPr>
                <w:rFonts w:ascii="Arial" w:hAnsi="Arial" w:cs="Arial"/>
                <w:b/>
                <w:sz w:val="21"/>
                <w:szCs w:val="21"/>
              </w:rPr>
            </w:pPr>
            <w:r>
              <w:rPr>
                <w:rFonts w:cs="Arial" w:ascii="Arial" w:hAnsi="Arial"/>
                <w:b/>
                <w:sz w:val="21"/>
                <w:szCs w:val="21"/>
              </w:rPr>
              <w:t>CONSELHO TUTELAR</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Dotação Orçamentária</w:t>
            </w:r>
            <w:r>
              <w:rPr>
                <w:rFonts w:cs="Arial" w:ascii="Arial" w:hAnsi="Arial"/>
                <w:sz w:val="21"/>
                <w:szCs w:val="21"/>
              </w:rPr>
              <w:t>: 09050824300122110 – Elemento de Despesa 33903900000 – Fonte de Recurso 150000000000 – Ficha 0000146</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rFonts w:ascii="Arial" w:hAnsi="Arial" w:cs="Arial"/>
                <w:sz w:val="21"/>
                <w:szCs w:val="21"/>
              </w:rPr>
            </w:pPr>
            <w:r>
              <w:rPr>
                <w:rFonts w:cs="Arial" w:ascii="Arial" w:hAnsi="Arial"/>
                <w:b/>
                <w:sz w:val="21"/>
                <w:szCs w:val="21"/>
              </w:rPr>
              <w:t>Código do Medidor:</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Valor</w:t>
            </w:r>
            <w:r>
              <w:rPr>
                <w:rFonts w:cs="Arial" w:ascii="Arial" w:hAnsi="Arial"/>
                <w:sz w:val="21"/>
                <w:szCs w:val="21"/>
              </w:rPr>
              <w:t>: 3.500,00 (Três Mil e Quinhentos Reais).</w:t>
            </w:r>
          </w:p>
        </w:tc>
      </w:tr>
      <w:tr>
        <w:trPr/>
        <w:tc>
          <w:tcPr>
            <w:tcW w:w="9566" w:type="dxa"/>
            <w:tcBorders>
              <w:top w:val="single" w:sz="4" w:space="0" w:color="000000"/>
              <w:left w:val="single" w:sz="4" w:space="0" w:color="000000"/>
              <w:bottom w:val="single" w:sz="4" w:space="0" w:color="000000"/>
              <w:right w:val="single" w:sz="4" w:space="0" w:color="000000"/>
            </w:tcBorders>
            <w:shd w:fill="D9D9D9" w:val="clear"/>
          </w:tcPr>
          <w:p>
            <w:pPr>
              <w:pStyle w:val="BodyText"/>
              <w:widowControl w:val="false"/>
              <w:spacing w:lineRule="auto" w:line="276" w:before="0" w:after="140"/>
              <w:jc w:val="center"/>
              <w:rPr>
                <w:rFonts w:ascii="Arial" w:hAnsi="Arial" w:cs="Arial"/>
                <w:b/>
                <w:sz w:val="21"/>
                <w:szCs w:val="21"/>
              </w:rPr>
            </w:pPr>
            <w:r>
              <w:rPr>
                <w:rFonts w:cs="Arial" w:ascii="Arial" w:hAnsi="Arial"/>
                <w:b/>
                <w:sz w:val="21"/>
                <w:szCs w:val="21"/>
              </w:rPr>
              <w:t>ACOLHIMENTO INSTITUCIONAL PARA CRIANÇAS E ADOLESCENTES</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160"/>
              <w:jc w:val="both"/>
              <w:rPr/>
            </w:pPr>
            <w:r>
              <w:rPr>
                <w:rFonts w:cs="Arial" w:ascii="Arial" w:hAnsi="Arial"/>
                <w:b/>
                <w:sz w:val="21"/>
                <w:szCs w:val="21"/>
              </w:rPr>
              <w:t>Dotação Orçamentária</w:t>
            </w:r>
            <w:r>
              <w:rPr>
                <w:rFonts w:cs="Arial" w:ascii="Arial" w:hAnsi="Arial"/>
                <w:sz w:val="21"/>
                <w:szCs w:val="21"/>
              </w:rPr>
              <w:t>: 901.0824300122.111 – Elemento de Despesa 33903900000 – Fonte de Recurso 166100000005– Ficha 0000104</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rFonts w:ascii="Arial" w:hAnsi="Arial" w:cs="Arial"/>
                <w:sz w:val="21"/>
                <w:szCs w:val="21"/>
              </w:rPr>
            </w:pPr>
            <w:r>
              <w:rPr>
                <w:rFonts w:cs="Arial" w:ascii="Arial" w:hAnsi="Arial"/>
                <w:b/>
                <w:sz w:val="21"/>
                <w:szCs w:val="21"/>
              </w:rPr>
              <w:t>Código do Medidor:</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Valor</w:t>
            </w:r>
            <w:r>
              <w:rPr>
                <w:rFonts w:cs="Arial" w:ascii="Arial" w:hAnsi="Arial"/>
                <w:sz w:val="21"/>
                <w:szCs w:val="21"/>
              </w:rPr>
              <w:t>: 4.000,00 (Quatro Mil Reais).</w:t>
            </w:r>
          </w:p>
        </w:tc>
      </w:tr>
      <w:tr>
        <w:trPr/>
        <w:tc>
          <w:tcPr>
            <w:tcW w:w="9566" w:type="dxa"/>
            <w:tcBorders>
              <w:left w:val="single" w:sz="4" w:space="0" w:color="C0C0C0"/>
              <w:bottom w:val="single" w:sz="4" w:space="0" w:color="C0C0C0"/>
              <w:right w:val="single" w:sz="4" w:space="0" w:color="C0C0C0"/>
            </w:tcBorders>
            <w:shd w:fill="B2B2B2" w:val="clear"/>
          </w:tcPr>
          <w:p>
            <w:pPr>
              <w:pStyle w:val="BodyText"/>
              <w:widowControl w:val="false"/>
              <w:spacing w:lineRule="auto" w:line="276" w:before="0" w:after="140"/>
              <w:jc w:val="center"/>
              <w:rPr/>
            </w:pPr>
            <w:r>
              <w:rPr>
                <w:rFonts w:cs="Arial" w:ascii="Arial" w:hAnsi="Arial"/>
                <w:b/>
                <w:sz w:val="21"/>
                <w:szCs w:val="21"/>
              </w:rPr>
              <w:t>CENTRO DE REFERÊNCIA ESPECIALIZADO DE ASSISTÊNCIA SOCIAL – CREAS</w:t>
            </w:r>
          </w:p>
        </w:tc>
      </w:tr>
      <w:tr>
        <w:trPr/>
        <w:tc>
          <w:tcPr>
            <w:tcW w:w="9566" w:type="dxa"/>
            <w:tcBorders>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Dotação Orçamentária</w:t>
            </w:r>
            <w:r>
              <w:rPr>
                <w:rFonts w:cs="Arial" w:ascii="Arial" w:hAnsi="Arial"/>
                <w:sz w:val="21"/>
                <w:szCs w:val="21"/>
              </w:rPr>
              <w:t>: 0901.0824400122.025.  Elemento de Despesa 33903900000 – Fonte de Recurso 150000000000 – Ficha 0000274</w:t>
            </w:r>
          </w:p>
        </w:tc>
      </w:tr>
      <w:tr>
        <w:trPr/>
        <w:tc>
          <w:tcPr>
            <w:tcW w:w="9566" w:type="dxa"/>
            <w:tcBorders>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Código do Medidor:</w:t>
            </w:r>
            <w:r>
              <w:rPr>
                <w:rFonts w:cs="Arial" w:ascii="Arial" w:hAnsi="Arial"/>
                <w:sz w:val="21"/>
                <w:szCs w:val="21"/>
              </w:rPr>
              <w:t xml:space="preserve"> 149209</w:t>
            </w:r>
          </w:p>
        </w:tc>
      </w:tr>
      <w:tr>
        <w:trPr/>
        <w:tc>
          <w:tcPr>
            <w:tcW w:w="9566" w:type="dxa"/>
            <w:tcBorders>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Valor</w:t>
            </w:r>
            <w:r>
              <w:rPr>
                <w:rFonts w:cs="Arial" w:ascii="Arial" w:hAnsi="Arial"/>
                <w:sz w:val="21"/>
                <w:szCs w:val="21"/>
              </w:rPr>
              <w:t>: 4.000,00 (Quatro mil Reais).</w:t>
            </w:r>
          </w:p>
        </w:tc>
      </w:tr>
      <w:tr>
        <w:trPr/>
        <w:tc>
          <w:tcPr>
            <w:tcW w:w="9566" w:type="dxa"/>
            <w:tcBorders>
              <w:top w:val="single" w:sz="4" w:space="0" w:color="000000"/>
              <w:left w:val="single" w:sz="4" w:space="0" w:color="C0C0C0"/>
              <w:bottom w:val="single" w:sz="4" w:space="0" w:color="C0C0C0"/>
              <w:right w:val="single" w:sz="4" w:space="0" w:color="C0C0C0"/>
            </w:tcBorders>
            <w:shd w:fill="B2B2B2" w:val="clear"/>
          </w:tcPr>
          <w:p>
            <w:pPr>
              <w:pStyle w:val="BodyText"/>
              <w:widowControl w:val="false"/>
              <w:spacing w:lineRule="auto" w:line="276" w:before="0" w:after="140"/>
              <w:jc w:val="center"/>
              <w:rPr/>
            </w:pPr>
            <w:r>
              <w:rPr>
                <w:rFonts w:cs="Arial" w:ascii="Arial" w:hAnsi="Arial"/>
                <w:b/>
                <w:sz w:val="21"/>
                <w:szCs w:val="21"/>
              </w:rPr>
              <w:t>SERVIÇO DE CONVIVÊNCIA E FORTALECIMENTO DE VÍNCULOS- SÃO JACINTO</w:t>
            </w:r>
          </w:p>
        </w:tc>
      </w:tr>
      <w:tr>
        <w:trPr/>
        <w:tc>
          <w:tcPr>
            <w:tcW w:w="9566" w:type="dxa"/>
            <w:tcBorders>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Dotação Orçamentária:</w:t>
            </w:r>
            <w:r>
              <w:rPr>
                <w:rFonts w:cs="Arial" w:ascii="Arial" w:hAnsi="Arial"/>
                <w:sz w:val="21"/>
                <w:szCs w:val="21"/>
              </w:rPr>
              <w:t xml:space="preserve"> 0901.0824400122.023 – Elemento de Despesa 33903900000 – Fonte de Recurso 150000000000 – Ficha 0000115</w:t>
            </w:r>
          </w:p>
        </w:tc>
      </w:tr>
      <w:tr>
        <w:trPr/>
        <w:tc>
          <w:tcPr>
            <w:tcW w:w="9566" w:type="dxa"/>
            <w:tcBorders>
              <w:left w:val="single" w:sz="4" w:space="0" w:color="000000"/>
              <w:bottom w:val="single" w:sz="4" w:space="0" w:color="000000"/>
              <w:right w:val="single" w:sz="4" w:space="0" w:color="000000"/>
            </w:tcBorders>
          </w:tcPr>
          <w:p>
            <w:pPr>
              <w:pStyle w:val="BodyText"/>
              <w:widowControl w:val="false"/>
              <w:spacing w:lineRule="auto" w:line="276" w:before="0" w:after="140"/>
              <w:rPr>
                <w:color w:val="000000"/>
              </w:rPr>
            </w:pPr>
            <w:r>
              <w:rPr>
                <w:rFonts w:cs="Arial" w:ascii="Arial" w:hAnsi="Arial"/>
                <w:b/>
                <w:color w:val="000000"/>
                <w:sz w:val="21"/>
                <w:szCs w:val="21"/>
              </w:rPr>
              <w:t>Código do Medidor:</w:t>
            </w:r>
          </w:p>
        </w:tc>
      </w:tr>
      <w:tr>
        <w:trPr/>
        <w:tc>
          <w:tcPr>
            <w:tcW w:w="9566" w:type="dxa"/>
            <w:tcBorders>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1"/>
                <w:szCs w:val="21"/>
              </w:rPr>
              <w:t>Valor</w:t>
            </w:r>
            <w:r>
              <w:rPr>
                <w:rFonts w:cs="Arial" w:ascii="Arial" w:hAnsi="Arial"/>
                <w:sz w:val="21"/>
                <w:szCs w:val="21"/>
              </w:rPr>
              <w:t>:3.000,00 (Três mil Reais).</w:t>
            </w:r>
          </w:p>
        </w:tc>
      </w:tr>
    </w:tbl>
    <w:p>
      <w:pPr>
        <w:pStyle w:val="Normal"/>
        <w:tabs>
          <w:tab w:val="clear" w:pos="708"/>
          <w:tab w:val="right" w:pos="9639" w:leader="none"/>
        </w:tabs>
        <w:spacing w:lineRule="auto" w:line="360"/>
        <w:ind w:hanging="0" w:right="0"/>
        <w:jc w:val="both"/>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DAS SANÇÕES E PENALIDADES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3"/>
        </w:numPr>
        <w:spacing w:lineRule="auto" w:line="240" w:before="0" w:after="0"/>
        <w:contextualSpacing/>
        <w:jc w:val="both"/>
        <w:rPr>
          <w:rFonts w:ascii="Arial" w:hAnsi="Arial"/>
          <w:sz w:val="24"/>
          <w:szCs w:val="24"/>
        </w:rPr>
      </w:pPr>
      <w:r>
        <w:rPr>
          <w:rFonts w:cs="Arial" w:ascii="Arial" w:hAnsi="Arial"/>
          <w:bCs/>
          <w:color w:val="000000"/>
          <w:sz w:val="24"/>
          <w:szCs w:val="24"/>
        </w:rPr>
        <w:t>Serão aplicadas as infrações administrativas disciplinadas na Lei Federal nº 14.133/2021, na forma de regulamento municipal.</w:t>
      </w:r>
    </w:p>
    <w:p>
      <w:pPr>
        <w:pStyle w:val="ListParagraph"/>
        <w:spacing w:lineRule="auto" w:line="240" w:before="0" w:after="0"/>
        <w:ind w:hanging="0" w:left="585"/>
        <w:contextualSpacing/>
        <w:jc w:val="both"/>
        <w:rPr>
          <w:rFonts w:ascii="Arial" w:hAnsi="Arial" w:cs="Arial"/>
          <w:bCs/>
          <w:color w:val="000000"/>
          <w:sz w:val="24"/>
          <w:szCs w:val="24"/>
        </w:rPr>
      </w:pPr>
      <w:r>
        <w:rPr>
          <w:rFonts w:cs="Arial" w:ascii="Arial" w:hAnsi="Arial"/>
          <w:bCs/>
          <w:color w:val="000000"/>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QUALIFICAÇÃO TÉCNICA</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UNIDADE REQUISITANTE</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sz w:val="24"/>
          <w:szCs w:val="24"/>
        </w:rPr>
        <w:t xml:space="preserve">Constitui unidade requisitante da presente demanda a </w:t>
      </w:r>
      <w:r>
        <w:rPr>
          <w:rFonts w:cs="Arial" w:ascii="Arial" w:hAnsi="Arial"/>
          <w:b/>
          <w:sz w:val="24"/>
          <w:szCs w:val="24"/>
        </w:rPr>
        <w:t>Secretaria Municipal de Administração.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RESPONSÁVEL PELA ELABORAÇÃO DO TERMO DE REFERÊNCIA</w:t>
      </w:r>
    </w:p>
    <w:p>
      <w:pPr>
        <w:pStyle w:val="NormalWeb"/>
        <w:spacing w:beforeAutospacing="0" w:before="0" w:afterAutospacing="0" w:after="0"/>
        <w:jc w:val="both"/>
        <w:rPr>
          <w:rFonts w:ascii="Arial" w:hAnsi="Arial"/>
          <w:sz w:val="24"/>
          <w:szCs w:val="24"/>
        </w:rPr>
      </w:pPr>
      <w:r>
        <w:rPr>
          <w:rFonts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b/>
          <w:sz w:val="24"/>
          <w:szCs w:val="24"/>
        </w:rPr>
        <w:t>Gestor da Unidade Requisitante:</w:t>
      </w:r>
      <w:r>
        <w:rPr>
          <w:rFonts w:cs="Arial" w:ascii="Arial" w:hAnsi="Arial"/>
          <w:sz w:val="24"/>
          <w:szCs w:val="24"/>
        </w:rPr>
        <w:t xml:space="preserve"> </w:t>
      </w:r>
      <w:r>
        <w:rPr>
          <w:rFonts w:eastAsia="Arial Unicode MS" w:cs="Arial" w:ascii="Arial" w:hAnsi="Arial"/>
          <w:b/>
          <w:bCs/>
          <w:color w:themeColor="dark1" w:val="000000"/>
          <w:kern w:val="0"/>
          <w:sz w:val="24"/>
          <w:szCs w:val="24"/>
          <w:shd w:fill="auto" w:val="clear"/>
          <w:lang w:val="pt-BR" w:bidi="ar-SA"/>
        </w:rPr>
        <w:t>FERNANDA ALVES DA SILVA FERRARI</w:t>
      </w:r>
    </w:p>
    <w:p>
      <w:pPr>
        <w:pStyle w:val="NormalWeb"/>
        <w:spacing w:beforeAutospacing="0" w:before="0" w:afterAutospacing="0" w:after="0"/>
        <w:jc w:val="both"/>
        <w:rPr>
          <w:rFonts w:ascii="Arial" w:hAnsi="Arial" w:cs="Arial"/>
          <w:sz w:val="24"/>
          <w:szCs w:val="24"/>
          <w:highlight w:val="lightGray"/>
        </w:rPr>
      </w:pPr>
      <w:r>
        <w:rPr>
          <w:rFonts w:cs="Arial" w:ascii="Arial" w:hAnsi="Arial"/>
          <w:sz w:val="24"/>
          <w:szCs w:val="24"/>
          <w:highlight w:val="lightGray"/>
        </w:rPr>
      </w:r>
    </w:p>
    <w:p>
      <w:pPr>
        <w:pStyle w:val="NormalWeb"/>
        <w:spacing w:beforeAutospacing="0" w:before="0" w:afterAutospacing="0" w:after="0"/>
        <w:jc w:val="right"/>
        <w:rPr>
          <w:rFonts w:ascii="Arial" w:hAnsi="Arial"/>
          <w:sz w:val="24"/>
          <w:szCs w:val="24"/>
        </w:rPr>
      </w:pPr>
      <w:r>
        <w:rPr>
          <w:rFonts w:cs="Arial" w:ascii="Arial" w:hAnsi="Arial"/>
          <w:b/>
          <w:sz w:val="24"/>
          <w:szCs w:val="24"/>
        </w:rPr>
        <w:t>São Roque do Canaã/ES</w:t>
      </w:r>
      <w:r>
        <w:rPr>
          <w:rFonts w:cs="Arial" w:ascii="Arial" w:hAnsi="Arial"/>
          <w:sz w:val="24"/>
          <w:szCs w:val="24"/>
        </w:rPr>
        <w:t>, 08 de janeiro de 2026.</w:t>
      </w:r>
    </w:p>
    <w:p>
      <w:pPr>
        <w:pStyle w:val="NormalWeb"/>
        <w:spacing w:beforeAutospacing="0" w:before="0" w:afterAutospacing="0" w:after="0"/>
        <w:rPr>
          <w:rFonts w:ascii="Arial" w:hAnsi="Arial" w:cs="Arial"/>
          <w:sz w:val="24"/>
          <w:szCs w:val="24"/>
        </w:rPr>
      </w:pPr>
      <w:r>
        <w:rPr>
          <w:rFonts w:cs="Arial" w:ascii="Arial" w:hAnsi="Arial"/>
          <w:sz w:val="24"/>
          <w:szCs w:val="24"/>
        </w:rPr>
      </w:r>
    </w:p>
    <w:tbl>
      <w:tblPr>
        <w:tblStyle w:val="Tabelacomgrade"/>
        <w:tblW w:w="907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71"/>
      </w:tblGrid>
      <w:tr>
        <w:trPr/>
        <w:tc>
          <w:tcPr>
            <w:tcW w:w="9071" w:type="dxa"/>
            <w:tcBorders>
              <w:top w:val="nil"/>
              <w:left w:val="nil"/>
              <w:bottom w:val="nil"/>
              <w:right w:val="nil"/>
            </w:tcBorders>
          </w:tcPr>
          <w:p>
            <w:pPr>
              <w:pStyle w:val="NormalWeb"/>
              <w:widowControl w:val="false"/>
              <w:suppressAutoHyphens w:val="true"/>
              <w:spacing w:beforeAutospacing="0" w:before="0" w:afterAutospacing="0" w:after="0"/>
              <w:jc w:val="center"/>
              <w:rPr>
                <w:rFonts w:ascii="Arial" w:hAnsi="Arial" w:cs="Arial"/>
                <w:sz w:val="24"/>
                <w:szCs w:val="24"/>
              </w:rPr>
            </w:pPr>
            <w:r>
              <w:rPr>
                <w:rFonts w:cs="Arial" w:ascii="Arial" w:hAnsi="Arial"/>
                <w:sz w:val="24"/>
                <w:szCs w:val="24"/>
              </w:rPr>
            </w:r>
          </w:p>
          <w:p>
            <w:pPr>
              <w:pStyle w:val="NormalWeb"/>
              <w:widowControl w:val="false"/>
              <w:suppressAutoHyphens w:val="true"/>
              <w:spacing w:beforeAutospacing="0" w:before="0" w:afterAutospacing="0" w:after="0"/>
              <w:jc w:val="center"/>
              <w:rPr>
                <w:rFonts w:ascii="Arial" w:hAnsi="Arial" w:cs="Arial"/>
                <w:sz w:val="24"/>
                <w:szCs w:val="24"/>
              </w:rPr>
            </w:pPr>
            <w:r>
              <w:rPr>
                <w:rFonts w:cs="Arial" w:ascii="Arial" w:hAnsi="Arial"/>
                <w:sz w:val="24"/>
                <w:szCs w:val="24"/>
              </w:rPr>
            </w:r>
          </w:p>
          <w:p>
            <w:pPr>
              <w:pStyle w:val="NormalWeb"/>
              <w:widowControl w:val="false"/>
              <w:suppressAutoHyphens w:val="true"/>
              <w:spacing w:beforeAutospacing="0" w:before="0" w:afterAutospacing="0" w:after="0"/>
              <w:jc w:val="center"/>
              <w:rPr>
                <w:rFonts w:ascii="Arial" w:hAnsi="Arial"/>
                <w:sz w:val="24"/>
                <w:szCs w:val="24"/>
              </w:rPr>
            </w:pPr>
            <w:r>
              <w:rPr>
                <w:rFonts w:ascii="Arial" w:hAnsi="Arial"/>
                <w:sz w:val="24"/>
                <w:szCs w:val="24"/>
              </w:rPr>
            </w:r>
          </w:p>
          <w:p>
            <w:pPr>
              <w:pStyle w:val="Normal"/>
              <w:jc w:val="center"/>
              <w:rPr>
                <w:rFonts w:ascii="Arial" w:hAnsi="Arial" w:eastAsia="Arial Unicode MS" w:cs="Arial"/>
                <w:b/>
                <w:bCs/>
              </w:rPr>
            </w:pPr>
            <w:r>
              <w:rPr>
                <w:rFonts w:eastAsia="Arial Unicode MS" w:cs="Arial" w:ascii="Arial" w:hAnsi="Arial"/>
                <w:b/>
                <w:bCs/>
                <w:color w:themeColor="dark1" w:val="000000"/>
                <w:kern w:val="0"/>
                <w:sz w:val="24"/>
                <w:szCs w:val="24"/>
                <w:shd w:fill="auto" w:val="clear"/>
                <w:lang w:val="pt-BR" w:bidi="ar-SA"/>
              </w:rPr>
              <w:t>FERNANDA ALVES DA SILVA FERRARI</w:t>
            </w:r>
          </w:p>
          <w:p>
            <w:pPr>
              <w:pStyle w:val="NormalWeb"/>
              <w:widowControl w:val="false"/>
              <w:suppressAutoHyphens w:val="true"/>
              <w:spacing w:beforeAutospacing="0" w:before="0" w:afterAutospacing="0" w:after="0"/>
              <w:jc w:val="center"/>
              <w:rPr>
                <w:rFonts w:cs="Arial"/>
                <w:b/>
                <w:kern w:val="0"/>
                <w:lang w:val="pt-BR" w:bidi="ar-SA"/>
              </w:rPr>
            </w:pPr>
            <w:r>
              <w:rPr>
                <w:rFonts w:cs="Arial" w:ascii="Arial" w:hAnsi="Arial"/>
                <w:color w:themeColor="dark1" w:val="000000"/>
                <w:kern w:val="0"/>
                <w:sz w:val="24"/>
                <w:szCs w:val="24"/>
                <w:shd w:fill="auto" w:val="clear"/>
                <w:lang w:val="pt-BR" w:bidi="ar-SA"/>
              </w:rPr>
              <w:t>Secretária Municipal de Assistência Social</w:t>
            </w:r>
          </w:p>
        </w:tc>
      </w:tr>
    </w:tbl>
    <w:p>
      <w:pPr>
        <w:pStyle w:val="NormalWeb"/>
        <w:spacing w:beforeAutospacing="0" w:before="0" w:afterAutospacing="0" w:after="0"/>
        <w:jc w:val="both"/>
        <w:rPr>
          <w:rFonts w:ascii="Arial" w:hAnsi="Arial"/>
          <w:sz w:val="24"/>
          <w:szCs w:val="24"/>
        </w:rPr>
      </w:pPr>
      <w:r>
        <w:rPr>
          <w:rFonts w:ascii="Arial" w:hAnsi="Arial"/>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ascii="Arial" w:hAnsi="Arial"/>
        <w:sz w:val="20"/>
        <w:szCs w:val="16"/>
      </w:rPr>
    </w:r>
  </w:p>
  <w:p>
    <w:pPr>
      <w:pStyle w:val="Footer"/>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Footer"/>
      <w:jc w:val="center"/>
      <w:rPr/>
    </w:pPr>
    <w:r>
      <w:rPr>
        <w:rFonts w:cs="Arial" w:ascii="Arial" w:hAnsi="Arial"/>
        <w:sz w:val="20"/>
        <w:szCs w:val="16"/>
      </w:rPr>
      <w:t>Telefone: (27) 3729-1120 | E-mail: assistenciasocial@saoroquedocanaa.es.gov.br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ascii="Arial" w:hAnsi="Arial"/>
        <w:sz w:val="20"/>
        <w:szCs w:val="16"/>
      </w:rPr>
    </w:r>
  </w:p>
  <w:p>
    <w:pPr>
      <w:pStyle w:val="Footer"/>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Footer"/>
      <w:jc w:val="center"/>
      <w:rPr/>
    </w:pPr>
    <w:r>
      <w:rPr>
        <w:rFonts w:cs="Arial" w:ascii="Arial" w:hAnsi="Arial"/>
        <w:sz w:val="20"/>
        <w:szCs w:val="16"/>
      </w:rPr>
      <w:t>Telefone: (27) 3729-1120 | E-mail: assistenciasocial@saoroquedocanaa.es.gov.br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a:noFill/>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ascii="Arial" w:hAnsi="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ASSISTÊNCIA SOCIAL</w:t>
    </w:r>
  </w:p>
  <w:p>
    <w:pPr>
      <w:pStyle w:val="Subtitle"/>
      <w:jc w:val="left"/>
      <w:rPr>
        <w:rFonts w:ascii="Arial" w:hAnsi="Arial" w:cs="Arial"/>
        <w:sz w:val="22"/>
        <w:szCs w:val="16"/>
      </w:rPr>
    </w:pPr>
    <w:r>
      <w:rPr>
        <w:rFonts w:cs="Arial" w:ascii="Arial" w:hAnsi="Arial"/>
        <w:sz w:val="22"/>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1"/>
                  <a:stretch>
                    <a:fillRect/>
                  </a:stretch>
                </pic:blipFill>
                <pic:spPr bwMode="auto">
                  <a:xfrm>
                    <a:off x="0" y="0"/>
                    <a:ext cx="647700" cy="650240"/>
                  </a:xfrm>
                  <a:prstGeom prst="rect">
                    <a:avLst/>
                  </a:prstGeom>
                  <a:noFill/>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ascii="Arial" w:hAnsi="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ASSISTÊNCIA SOCIAL</w:t>
    </w:r>
  </w:p>
  <w:p>
    <w:pPr>
      <w:pStyle w:val="Subtitle"/>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lvlText w:val="%1."/>
      <w:lvlJc w:val="left"/>
      <w:pPr>
        <w:tabs>
          <w:tab w:val="num" w:pos="0"/>
        </w:tabs>
        <w:ind w:left="585" w:hanging="585"/>
      </w:pPr>
      <w:rPr/>
    </w:lvl>
    <w:lvl w:ilvl="1">
      <w:start w:val="1"/>
      <w:numFmt w:val="decimal"/>
      <w:lvlText w:val="%1.%2."/>
      <w:lvlJc w:val="left"/>
      <w:pPr>
        <w:tabs>
          <w:tab w:val="num" w:pos="0"/>
        </w:tabs>
        <w:ind w:left="720" w:hanging="720"/>
      </w:pPr>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Heading1">
    <w:name w:val="heading 1"/>
    <w:basedOn w:val="Normal"/>
    <w:next w:val="Normal"/>
    <w:link w:val="Ttulo1Char"/>
    <w:uiPriority w:val="9"/>
    <w:qFormat/>
    <w:rsid w:val="000a2c0f"/>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 w:cs="" w:asciiTheme="majorHAnsi" w:cstheme="majorBidi" w:eastAsiaTheme="majorEastAsia" w:hAnsiTheme="majorHAnsi"/>
      <w:b/>
      <w:bCs/>
      <w:color w:themeColor="accent1" w:themeShade="bf" w:val="2E74B5"/>
      <w:sz w:val="28"/>
      <w:szCs w:val="28"/>
      <w:lang w:eastAsia="en-US"/>
    </w:rPr>
  </w:style>
  <w:style w:type="character" w:styleId="Hyperlink">
    <w:name w:val="Hyperlink"/>
    <w:basedOn w:val="DefaultParagraphFont"/>
    <w:uiPriority w:val="99"/>
    <w:unhideWhenUsed/>
    <w:rsid w:val="000a2c0f"/>
    <w:rPr>
      <w:color w:themeColor="hyperlink" w:val="0563C1"/>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FootnoteCharacters">
    <w:name w:val="Footnote Characters"/>
    <w:basedOn w:val="DefaultParagraphFont"/>
    <w:uiPriority w:val="99"/>
    <w:semiHidden/>
    <w:unhideWhenUsed/>
    <w:qFormat/>
    <w:rsid w:val="003e5cca"/>
    <w:rPr>
      <w:vertAlign w:val="superscript"/>
    </w:rPr>
  </w:style>
  <w:style w:type="character" w:styleId="Caracteresdenotadefim">
    <w:name w:val="Caracteres de nota de fim"/>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Header">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itle">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hanging="0" w:left="72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itle">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FootnoteText">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5212e3"/>
    <w:pPr>
      <w:spacing w:lineRule="auto" w:line="240" w:beforeAutospacing="1" w:after="119"/>
    </w:pPr>
    <w:rPr>
      <w:rFonts w:ascii="Times New Roman" w:hAnsi="Times New Roman" w:eastAsia="Times New Roman" w:cs="Times New Roman"/>
      <w:color w:val="000000"/>
      <w:sz w:val="24"/>
      <w:szCs w:val="24"/>
      <w:lang w:eastAsia="pt-BR"/>
    </w:rPr>
  </w:style>
  <w:style w:type="paragraph" w:styleId="EndnoteText">
    <w:name w:val="endnote text"/>
    <w:basedOn w:val="Normal"/>
    <w:pPr>
      <w:suppressLineNumbers/>
      <w:ind w:hanging="340" w:left="340"/>
    </w:pPr>
    <w:rPr>
      <w:sz w:val="20"/>
      <w:szCs w:val="2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420D8-8CB8-4BE1-84F1-4C7608A44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Application>LibreOffice/25.2.7.2$Windows_X86_64 LibreOffice_project/5cbfd1ab6520636bb5f7b99185aa69bd7456825d</Application>
  <AppVersion>15.0000</AppVersion>
  <Pages>7</Pages>
  <Words>1966</Words>
  <Characters>11232</Characters>
  <CharactersWithSpaces>13064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2023-11-27T17:27:00Z</dcterms:created>
  <dc:creator>COMPUTADOR</dc:creator>
  <dc:description/>
  <dc:language>pt-BR</dc:language>
  <cp:lastModifiedBy/>
  <cp:lastPrinted>2026-01-08T13:06:15Z</cp:lastPrinted>
  <dcterms:modified xsi:type="dcterms:W3CDTF">2026-01-08T13:06:20Z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