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Arial" w:hAnsi="Arial"/>
          <w:sz w:val="24"/>
          <w:szCs w:val="24"/>
        </w:rPr>
      </w:pPr>
      <w:r>
        <w:rPr>
          <w:rFonts w:cs="Arial" w:ascii="Arial" w:hAnsi="Arial"/>
          <w:b/>
          <w:sz w:val="24"/>
          <w:szCs w:val="24"/>
        </w:rPr>
        <w:t>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DESCRIÇÃO DO OBJETO E 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DESCRIÇÃO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objeto do presente Termo de Referência, estabelecer as condições e diretrizes que disciplinarão o empenho estimativo para </w:t>
      </w:r>
      <w:r>
        <w:rPr>
          <w:rFonts w:cs="Arial" w:ascii="Arial" w:hAnsi="Arial"/>
          <w:b/>
          <w:bCs/>
          <w:sz w:val="24"/>
          <w:szCs w:val="24"/>
        </w:rPr>
        <w:t>custear as despesas decorrentes do benefício de vale transporte, assegurado aos servidores pelo Decreto Municipal nº 041/2003, retificado pelo Decreto Municipal nº 028/2005 e Lei Municipal nº 564/2009, no exercício de 202</w:t>
      </w:r>
      <w:r>
        <w:rPr>
          <w:rFonts w:cs="Arial" w:ascii="Arial" w:hAnsi="Arial"/>
          <w:b/>
          <w:bCs/>
          <w:sz w:val="24"/>
          <w:szCs w:val="24"/>
        </w:rPr>
        <w:t>6</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DOS SERVIDORES BENEFICIÁRIOS</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A demanda em questão objetiva a oferta de vale transporte aos servidores, que assim o requereram nos termos d</w:t>
      </w:r>
      <w:r>
        <w:rPr>
          <w:rFonts w:cs="Arial" w:ascii="Arial" w:hAnsi="Arial"/>
          <w:sz w:val="24"/>
          <w:szCs w:val="24"/>
          <w:shd w:fill="auto" w:val="clear"/>
        </w:rPr>
        <w:t>a Lei Municipal nº 564/2009, quais sejam, cuja relação poderá ser alterada a qualquer tempo com a inclusão de novos servidores:</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tbl>
      <w:tblPr>
        <w:tblStyle w:val="Tabelacomgrade"/>
        <w:tblW w:w="4850" w:type="pct"/>
        <w:jc w:val="left"/>
        <w:tblInd w:w="221" w:type="dxa"/>
        <w:tblLayout w:type="fixed"/>
        <w:tblCellMar>
          <w:top w:w="0" w:type="dxa"/>
          <w:left w:w="108" w:type="dxa"/>
          <w:bottom w:w="0" w:type="dxa"/>
          <w:right w:w="108" w:type="dxa"/>
        </w:tblCellMar>
        <w:tblLook w:firstRow="1" w:noVBand="1" w:lastRow="0" w:firstColumn="1" w:lastColumn="0" w:noHBand="0" w:val="04a0"/>
      </w:tblPr>
      <w:tblGrid>
        <w:gridCol w:w="1909"/>
        <w:gridCol w:w="1757"/>
        <w:gridCol w:w="2086"/>
        <w:gridCol w:w="1595"/>
        <w:gridCol w:w="1451"/>
      </w:tblGrid>
      <w:tr>
        <w:trPr>
          <w:trHeight w:val="333" w:hRule="atLeast"/>
        </w:trPr>
        <w:tc>
          <w:tcPr>
            <w:tcW w:w="8798" w:type="dxa"/>
            <w:gridSpan w:val="5"/>
            <w:tcBorders/>
            <w:shd w:color="auto" w:fill="BFBFBF" w:themeFill="background1" w:themeFillShade="bf"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b/>
                <w:kern w:val="0"/>
                <w:sz w:val="24"/>
                <w:szCs w:val="24"/>
                <w:shd w:fill="auto" w:val="clear"/>
                <w:lang w:val="pt-BR" w:bidi="ar-SA"/>
              </w:rPr>
              <w:t>Relação de Servidores usufrutuários do benefício do Vale Transporte</w:t>
            </w:r>
          </w:p>
        </w:tc>
      </w:tr>
      <w:tr>
        <w:trPr>
          <w:trHeight w:val="20" w:hRule="atLeast"/>
        </w:trPr>
        <w:tc>
          <w:tcPr>
            <w:tcW w:w="1909"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b/>
                <w:kern w:val="0"/>
                <w:sz w:val="24"/>
                <w:szCs w:val="24"/>
                <w:shd w:fill="auto" w:val="clear"/>
                <w:lang w:val="pt-BR" w:bidi="ar-SA"/>
              </w:rPr>
              <w:t>Servidor</w:t>
            </w:r>
          </w:p>
        </w:tc>
        <w:tc>
          <w:tcPr>
            <w:tcW w:w="1757"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b/>
                <w:kern w:val="0"/>
                <w:sz w:val="24"/>
                <w:szCs w:val="24"/>
                <w:shd w:fill="auto" w:val="clear"/>
                <w:lang w:val="pt-BR" w:bidi="ar-SA"/>
              </w:rPr>
              <w:t>Transporte utilizado</w:t>
            </w:r>
          </w:p>
        </w:tc>
        <w:tc>
          <w:tcPr>
            <w:tcW w:w="2086"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b/>
                <w:kern w:val="0"/>
                <w:sz w:val="24"/>
                <w:szCs w:val="24"/>
                <w:shd w:fill="auto" w:val="clear"/>
                <w:lang w:val="pt-BR" w:bidi="ar-SA"/>
              </w:rPr>
              <w:t>Trajeto</w:t>
            </w:r>
          </w:p>
        </w:tc>
        <w:tc>
          <w:tcPr>
            <w:tcW w:w="1595"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b/>
                <w:kern w:val="0"/>
                <w:sz w:val="24"/>
                <w:szCs w:val="24"/>
                <w:shd w:fill="auto" w:val="clear"/>
                <w:lang w:val="pt-BR" w:bidi="ar-SA"/>
              </w:rPr>
              <w:t>Passagens diárias</w:t>
            </w:r>
          </w:p>
        </w:tc>
        <w:tc>
          <w:tcPr>
            <w:tcW w:w="1451" w:type="dxa"/>
            <w:tcBorders/>
            <w:shd w:color="auto" w:fill="D9D9D9" w:themeFill="background1" w:themeFillShade="d9"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b/>
                <w:kern w:val="0"/>
                <w:sz w:val="24"/>
                <w:szCs w:val="24"/>
                <w:shd w:fill="auto" w:val="clear"/>
                <w:lang w:val="pt-BR" w:bidi="ar-SA"/>
              </w:rPr>
              <w:t>Dias da semana</w:t>
            </w:r>
          </w:p>
        </w:tc>
      </w:tr>
      <w:tr>
        <w:trPr>
          <w:trHeight w:val="20" w:hRule="atLeast"/>
        </w:trPr>
        <w:tc>
          <w:tcPr>
            <w:tcW w:w="1909" w:type="dxa"/>
            <w:tcBorders/>
            <w:vAlign w:val="center"/>
          </w:tcPr>
          <w:p>
            <w:pPr>
              <w:pStyle w:val="Normal"/>
              <w:widowControl w:val="false"/>
              <w:tabs>
                <w:tab w:val="clear" w:pos="708"/>
                <w:tab w:val="left" w:pos="645" w:leader="none"/>
              </w:tabs>
              <w:spacing w:before="0" w:after="160"/>
              <w:jc w:val="center"/>
              <w:rPr>
                <w:rFonts w:ascii="Arial" w:hAnsi="Arial" w:cs="Arial"/>
                <w:sz w:val="20"/>
                <w:szCs w:val="20"/>
              </w:rPr>
            </w:pPr>
            <w:r>
              <w:rPr>
                <w:rFonts w:eastAsia="Calibri" w:cs="Arial" w:ascii="Arial" w:hAnsi="Arial" w:eastAsiaTheme="minorHAnsi"/>
                <w:kern w:val="0"/>
                <w:sz w:val="24"/>
                <w:szCs w:val="24"/>
                <w:shd w:fill="auto" w:val="clear"/>
                <w:lang w:val="pt-BR" w:bidi="ar-SA"/>
              </w:rPr>
              <w:t>ANA SANTOS DE ALMEIDA</w:t>
            </w:r>
          </w:p>
        </w:tc>
        <w:tc>
          <w:tcPr>
            <w:tcW w:w="1757" w:type="dxa"/>
            <w:tcBorders/>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kern w:val="0"/>
                <w:sz w:val="24"/>
                <w:szCs w:val="24"/>
                <w:shd w:fill="auto" w:val="clear"/>
                <w:lang w:val="pt-BR" w:bidi="ar-SA"/>
              </w:rPr>
              <w:t>Ônibus Intermunicipal</w:t>
            </w:r>
          </w:p>
        </w:tc>
        <w:tc>
          <w:tcPr>
            <w:tcW w:w="2086" w:type="dxa"/>
            <w:tcBorders/>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kern w:val="0"/>
                <w:sz w:val="24"/>
                <w:szCs w:val="24"/>
                <w:shd w:fill="auto" w:val="clear"/>
                <w:lang w:val="pt-BR" w:bidi="ar-SA"/>
              </w:rPr>
              <w:t>Colatina x São Roque do Canaã</w:t>
            </w:r>
          </w:p>
        </w:tc>
        <w:tc>
          <w:tcPr>
            <w:tcW w:w="1595" w:type="dxa"/>
            <w:tcBorders/>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kern w:val="0"/>
                <w:sz w:val="24"/>
                <w:szCs w:val="24"/>
                <w:shd w:fill="auto" w:val="clear"/>
                <w:lang w:val="pt-BR" w:bidi="ar-SA"/>
              </w:rPr>
              <w:t>02 passes</w:t>
            </w:r>
          </w:p>
        </w:tc>
        <w:tc>
          <w:tcPr>
            <w:tcW w:w="1451" w:type="dxa"/>
            <w:tcBorders/>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eastAsiaTheme="minorHAnsi"/>
                <w:kern w:val="0"/>
                <w:sz w:val="24"/>
                <w:szCs w:val="24"/>
                <w:shd w:fill="auto" w:val="clear"/>
                <w:lang w:val="pt-BR" w:bidi="ar-SA"/>
              </w:rPr>
              <w:t>Segunda à Sexta-feira</w:t>
            </w:r>
          </w:p>
        </w:tc>
      </w:tr>
    </w:tbl>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DAS LINHAS DE TRANSPORTE</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ascii="Arial" w:hAnsi="Arial"/>
          <w:sz w:val="24"/>
          <w:szCs w:val="24"/>
        </w:rPr>
        <w:t xml:space="preserve"> </w:t>
      </w:r>
      <w:r>
        <w:rPr>
          <w:rFonts w:cs="Arial" w:ascii="Arial" w:hAnsi="Arial"/>
          <w:sz w:val="24"/>
          <w:szCs w:val="24"/>
        </w:rPr>
        <w:t>Conforme estabelece o art. 171 da Lei Municipal nº 564/2009, o benefício do vale transporte é concedido aos servidores com o objetivo de custear parcialmente as despesas com deslocamento, relacionadas ao trabalho, através de “</w:t>
      </w:r>
      <w:r>
        <w:rPr>
          <w:rFonts w:cs="Arial" w:ascii="Arial" w:hAnsi="Arial"/>
          <w:i/>
          <w:sz w:val="24"/>
          <w:szCs w:val="24"/>
        </w:rPr>
        <w:t>sistema de transporte coletivo (...) intermunicipal (...), geridos (...) mediante concessão ou permissão de linhas regulares e com tarifas fixadas pela autoridade competente</w:t>
      </w:r>
      <w:r>
        <w:rPr>
          <w:rFonts w:cs="Arial" w:ascii="Arial" w:hAnsi="Arial"/>
          <w:sz w:val="24"/>
          <w:szCs w:val="24"/>
        </w:rPr>
        <w:t>”. Nessa perspectiva, são linhas regulares as desempenhadas pelas seguintes empresas: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spacing w:lineRule="auto" w:line="240" w:before="0" w:after="0"/>
        <w:ind w:hanging="0" w:left="0"/>
        <w:contextualSpacing/>
        <w:jc w:val="both"/>
        <w:rPr>
          <w:rFonts w:ascii="Arial" w:hAnsi="Arial"/>
          <w:sz w:val="24"/>
          <w:szCs w:val="24"/>
        </w:rPr>
      </w:pPr>
      <w:r>
        <w:rPr>
          <w:rFonts w:cs="Arial" w:ascii="Arial" w:hAnsi="Arial"/>
          <w:b/>
          <w:sz w:val="24"/>
          <w:szCs w:val="24"/>
        </w:rPr>
        <w:t>a) Viação Lírio dos Vales Ltda.,</w:t>
      </w:r>
      <w:r>
        <w:rPr>
          <w:rFonts w:cs="Arial" w:ascii="Arial" w:hAnsi="Arial"/>
          <w:sz w:val="24"/>
          <w:szCs w:val="24"/>
        </w:rPr>
        <w:t xml:space="preserve"> CNPJ nº 02.615.012/0001-56.</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rPr>
          <w:rFonts w:ascii="Arial" w:hAnsi="Arial"/>
          <w:sz w:val="24"/>
          <w:szCs w:val="24"/>
        </w:rPr>
      </w:pPr>
      <w:r>
        <w:rPr>
          <w:rFonts w:cs="Arial" w:ascii="Arial" w:hAnsi="Arial"/>
          <w:b/>
          <w:sz w:val="24"/>
          <w:szCs w:val="24"/>
        </w:rPr>
        <w:t>DA VIGÊNCIA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O </w:t>
      </w:r>
      <w:r>
        <w:rPr>
          <w:rFonts w:cs="Arial" w:ascii="Arial" w:hAnsi="Arial"/>
          <w:b/>
          <w:sz w:val="24"/>
          <w:szCs w:val="24"/>
        </w:rPr>
        <w:t>empenho estimativo</w:t>
      </w:r>
      <w:r>
        <w:rPr>
          <w:rFonts w:cs="Arial" w:ascii="Arial" w:hAnsi="Arial"/>
          <w:sz w:val="24"/>
          <w:szCs w:val="24"/>
        </w:rPr>
        <w:t xml:space="preserve"> deverá ocorrer, preferencialmente, no mês de janeiro de 2025, com vigência programada para custeio das despesas relativas a oferta do benefício de vale transporte no </w:t>
      </w:r>
      <w:r>
        <w:rPr>
          <w:rFonts w:cs="Arial" w:ascii="Arial" w:hAnsi="Arial"/>
          <w:b/>
          <w:sz w:val="24"/>
          <w:szCs w:val="24"/>
        </w:rPr>
        <w:t>período de 01/01/202</w:t>
      </w:r>
      <w:r>
        <w:rPr>
          <w:rFonts w:cs="Arial" w:ascii="Arial" w:hAnsi="Arial"/>
          <w:b/>
          <w:sz w:val="24"/>
          <w:szCs w:val="24"/>
        </w:rPr>
        <w:t>6</w:t>
      </w:r>
      <w:r>
        <w:rPr>
          <w:rFonts w:cs="Arial" w:ascii="Arial" w:hAnsi="Arial"/>
          <w:b/>
          <w:sz w:val="24"/>
          <w:szCs w:val="24"/>
        </w:rPr>
        <w:t xml:space="preserve"> à 31/12/202</w:t>
      </w:r>
      <w:r>
        <w:rPr>
          <w:rFonts w:cs="Arial" w:ascii="Arial" w:hAnsi="Arial"/>
          <w:b/>
          <w:sz w:val="24"/>
          <w:szCs w:val="24"/>
        </w:rPr>
        <w:t>6</w:t>
      </w:r>
      <w:r>
        <w:rPr>
          <w:rFonts w:cs="Arial" w:ascii="Arial" w:hAnsi="Arial"/>
          <w:b/>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OBJETIVO E DA JUSTIFICATIVA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ascii="Arial" w:hAnsi="Arial"/>
          <w:b/>
          <w:sz w:val="24"/>
          <w:szCs w:val="24"/>
        </w:rPr>
        <w:t>vedada a realização de despesas sem prévio empenho.</w:t>
      </w:r>
      <w:r>
        <w:rPr>
          <w:rFonts w:cs="Arial" w:ascii="Arial" w:hAnsi="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Ademais, no âmbito da Lei Municipal nº 564/2009, ao que se refere a manutenção dos órgãos de saúde, é possível destacar a importância d</w:t>
      </w:r>
      <w:r>
        <w:rPr>
          <w:rFonts w:eastAsia="Calibri" w:cs="Arial" w:ascii="Arial" w:hAnsi="Arial" w:eastAsiaTheme="minorHAnsi"/>
          <w:sz w:val="24"/>
          <w:szCs w:val="24"/>
          <w:lang w:eastAsia="en-US"/>
        </w:rPr>
        <w:t xml:space="preserve">o benefício do vale transporte, </w:t>
      </w:r>
      <w:r>
        <w:rPr>
          <w:rFonts w:cs="Arial" w:ascii="Arial" w:hAnsi="Arial"/>
          <w:sz w:val="24"/>
          <w:szCs w:val="24"/>
        </w:rPr>
        <w:t>fornecido</w:t>
      </w:r>
      <w:r>
        <w:rPr>
          <w:rFonts w:eastAsia="Calibri" w:cs="Arial" w:ascii="Arial" w:hAnsi="Arial" w:eastAsiaTheme="minorHAnsi"/>
          <w:sz w:val="24"/>
          <w:szCs w:val="24"/>
          <w:lang w:eastAsia="en-US"/>
        </w:rPr>
        <w:t xml:space="preserve"> aos servidores municipais. Vejamos, a respectiva norma assevera que o vale transporte constitui benefício que o Município antecipará aos servidores, destinado ao custeio parcial das despesas de deslocamento da residência ao trabalho, </w:t>
      </w:r>
      <w:r>
        <w:rPr>
          <w:rFonts w:eastAsia="Calibri" w:cs="Arial" w:ascii="Arial" w:hAnsi="Arial" w:eastAsiaTheme="minorHAnsi"/>
          <w:b/>
          <w:sz w:val="24"/>
          <w:szCs w:val="24"/>
          <w:lang w:eastAsia="en-US"/>
        </w:rPr>
        <w:t>através do sistema de transporte público, geridos diretamente ou mediante concessão ou permissão de linhas regulares</w:t>
      </w:r>
      <w:r>
        <w:rPr>
          <w:rFonts w:eastAsia="Calibri" w:cs="Arial" w:ascii="Arial" w:hAnsi="Arial" w:eastAsiaTheme="minorHAnsi"/>
          <w:sz w:val="24"/>
          <w:szCs w:val="24"/>
          <w:lang w:eastAsia="en-US"/>
        </w:rPr>
        <w:t xml:space="preserve"> (art. 171, Lei Municipal nº 564/2009).</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eastAsia="Calibri" w:cs="Arial" w:ascii="Arial" w:hAnsi="Arial" w:eastAsiaTheme="minorHAnsi"/>
          <w:sz w:val="24"/>
          <w:szCs w:val="24"/>
          <w:lang w:eastAsia="en-US"/>
        </w:rPr>
        <w:t xml:space="preserve">A concessão desse benefício se reveste de indiscutível importância no contexto jurídico-administrativo de mitigar as dificuldades financeiras e logísticas enfrentadas pelos servidores para alcançar seus postos de trabalho Desse modo, o art. 174 do Estatuto dos Servidores, estabelece que </w:t>
      </w:r>
      <w:r>
        <w:rPr>
          <w:rFonts w:eastAsia="Calibri" w:cs="Arial" w:ascii="Arial" w:hAnsi="Arial" w:eastAsiaTheme="minorHAnsi"/>
          <w:b/>
          <w:sz w:val="24"/>
          <w:szCs w:val="24"/>
          <w:lang w:eastAsia="en-US"/>
        </w:rPr>
        <w:t>cada Poder ou Entidade de origem do servidor será responsável por subsidiar o que exceder a cota de responsabilidade deste</w:t>
      </w:r>
      <w:r>
        <w:rPr>
          <w:rFonts w:eastAsia="Calibri" w:cs="Arial" w:ascii="Arial" w:hAnsi="Arial" w:eastAsiaTheme="minorHAnsi"/>
          <w:sz w:val="24"/>
          <w:szCs w:val="24"/>
          <w:lang w:eastAsia="en-US"/>
        </w:rPr>
        <w:t xml:space="preserve"> (art. 174, II, Lei Municipal nº 564/2009).</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 oferta do benefício de vale transporte aos servidores da Secretaria Municipal de Administração é dada pela norma primária e secundária municipal, qual seja, por consequência, </w:t>
      </w:r>
      <w:r>
        <w:rPr>
          <w:rFonts w:cs="Arial" w:ascii="Arial" w:hAnsi="Arial"/>
          <w:b/>
          <w:sz w:val="24"/>
          <w:szCs w:val="24"/>
        </w:rPr>
        <w:t>a realização de</w:t>
      </w:r>
      <w:r>
        <w:rPr>
          <w:rFonts w:cs="Arial" w:ascii="Arial" w:hAnsi="Arial"/>
          <w:sz w:val="24"/>
          <w:szCs w:val="24"/>
        </w:rPr>
        <w:t xml:space="preserve"> </w:t>
      </w:r>
      <w:r>
        <w:rPr>
          <w:rFonts w:cs="Arial" w:ascii="Arial" w:hAnsi="Arial"/>
          <w:b/>
          <w:sz w:val="24"/>
          <w:szCs w:val="24"/>
        </w:rPr>
        <w:t>empenho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A contratação já está contemplada no </w:t>
      </w:r>
      <w:r>
        <w:rPr>
          <w:rFonts w:cs="Arial" w:ascii="Arial" w:hAnsi="Arial"/>
          <w:b/>
          <w:sz w:val="24"/>
          <w:szCs w:val="24"/>
        </w:rPr>
        <w:t>Plano Anual de Contratações (PAC) 202</w:t>
      </w:r>
      <w:r>
        <w:rPr>
          <w:rFonts w:cs="Arial" w:ascii="Arial" w:hAnsi="Arial"/>
          <w:b/>
          <w:sz w:val="24"/>
          <w:szCs w:val="24"/>
        </w:rPr>
        <w:t>6</w:t>
      </w:r>
      <w:r>
        <w:rPr>
          <w:rFonts w:cs="Arial" w:ascii="Arial" w:hAnsi="Arial"/>
          <w:b/>
          <w:sz w:val="24"/>
          <w:szCs w:val="24"/>
        </w:rPr>
        <w:t>, como despesas ordinárias.</w:t>
      </w:r>
    </w:p>
    <w:p>
      <w:pPr>
        <w:pStyle w:val="ListParagraph"/>
        <w:numPr>
          <w:ilvl w:val="0"/>
          <w:numId w:val="0"/>
        </w:numPr>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Justificando, o presente Termo de Referência visa </w:t>
      </w:r>
      <w:r>
        <w:rPr>
          <w:rFonts w:cs="Arial" w:ascii="Arial" w:hAnsi="Arial"/>
          <w:b/>
          <w:sz w:val="24"/>
          <w:szCs w:val="24"/>
        </w:rPr>
        <w:t xml:space="preserve">esclarecer e direcionar os procedimentos essenciais para a Inexigibilidade de Licitação e realização de Empenho por estimativa, </w:t>
      </w:r>
      <w:r>
        <w:rPr>
          <w:rFonts w:cs="Arial" w:ascii="Arial" w:hAnsi="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FORMALIZAÇÃO DA ATA DE REGISTRO DE PREÇOS, DOS USUÁRIOS DO REGISTRO DE PREÇOS E DO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r>
        <w:rPr>
          <w:rFonts w:cs="Arial" w:ascii="Arial" w:hAnsi="Arial"/>
          <w:sz w:val="24"/>
          <w:szCs w:val="24"/>
        </w:rPr>
        <w:t>.</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OBJETO LICITADO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 SOLUÇÃO E DO CICLO DE VIDA DO OBJETO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b/>
          <w:sz w:val="24"/>
          <w:szCs w:val="24"/>
        </w:rPr>
        <w:t>A descrição da solução como um todo se encontra pormenorizada na Lei Federal nº 14.133/2021, na Lei Federal nº 4.320/1964, nos Decretos Municipais nº 041/2003 e nº 028/2005, Lei Municipal nº 564/2009 e demais normativas vigentes, inclusive municipais, bem como no Documento de Formalização de Demanda</w:t>
      </w:r>
      <w:r>
        <w:rPr>
          <w:rFonts w:cs="Arial" w:ascii="Arial" w:hAnsi="Arial"/>
          <w:sz w:val="24"/>
          <w:szCs w:val="24"/>
        </w:rPr>
        <w:t>, qual seja a inexigibilidade de licitação e a realização de empenho por estimativa para custear as despesas decorrentes da oferta do benefício de vale-transporte.</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REQUISITOS DA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A contratação será realizada em razão da necessidade de custeio das despesas decorrentes da oferta do benefício de vale transporte aos servidores da Secretaria Municipal de A</w:t>
      </w:r>
      <w:r>
        <w:rPr>
          <w:rFonts w:cs="Arial" w:ascii="Arial" w:hAnsi="Arial"/>
          <w:sz w:val="24"/>
          <w:szCs w:val="24"/>
        </w:rPr>
        <w:t>ssistência Social</w:t>
      </w:r>
      <w:r>
        <w:rPr>
          <w:rFonts w:cs="Arial" w:ascii="Arial" w:hAnsi="Arial"/>
          <w:sz w:val="24"/>
          <w:szCs w:val="24"/>
        </w:rPr>
        <w:t>, no exercício de 202</w:t>
      </w:r>
      <w:r>
        <w:rPr>
          <w:rFonts w:cs="Arial" w:ascii="Arial" w:hAnsi="Arial"/>
          <w:sz w:val="24"/>
          <w:szCs w:val="24"/>
        </w:rPr>
        <w:t>6</w:t>
      </w:r>
      <w:r>
        <w:rPr>
          <w:rFonts w:cs="Arial" w:ascii="Arial" w:hAnsi="Arial"/>
          <w:sz w:val="24"/>
          <w:szCs w:val="24"/>
        </w:rPr>
        <w:t>, em virtude do desempenho de suas atividades.</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A demanda em comento leva em conta a necessidade da Secretaria para o exercício financeiro de 202</w:t>
      </w:r>
      <w:r>
        <w:rPr>
          <w:rFonts w:cs="Arial" w:ascii="Arial" w:hAnsi="Arial"/>
          <w:sz w:val="24"/>
          <w:szCs w:val="24"/>
        </w:rPr>
        <w:t>6</w:t>
      </w:r>
      <w:r>
        <w:rPr>
          <w:rFonts w:cs="Arial" w:ascii="Arial" w:hAnsi="Arial"/>
          <w:sz w:val="24"/>
          <w:szCs w:val="24"/>
        </w:rPr>
        <w:t xml:space="preserve">, já estando contemplado no </w:t>
      </w:r>
      <w:r>
        <w:rPr>
          <w:rFonts w:cs="Arial" w:ascii="Arial" w:hAnsi="Arial"/>
          <w:b/>
          <w:sz w:val="24"/>
          <w:szCs w:val="24"/>
        </w:rPr>
        <w:t>Plano Anual de Contratações (PAC) 20</w:t>
      </w:r>
      <w:r>
        <w:rPr>
          <w:rFonts w:cs="Arial" w:ascii="Arial" w:hAnsi="Arial"/>
          <w:b/>
          <w:sz w:val="24"/>
          <w:szCs w:val="24"/>
        </w:rPr>
        <w:t>26</w:t>
      </w:r>
      <w:r>
        <w:rPr>
          <w:rFonts w:cs="Arial" w:ascii="Arial" w:hAnsi="Arial"/>
          <w:b/>
          <w:sz w:val="24"/>
          <w:szCs w:val="24"/>
        </w:rPr>
        <w:t>, como despesas ordinárias.</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FORNECIMENTO E RECEBIMENTO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CONDIÇÕES DE RECEBIMENTO DO OBJETO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DAS OBRIGAÇÕES E RESPONSABILIDADES</w:t>
      </w:r>
    </w:p>
    <w:p>
      <w:pPr>
        <w:pStyle w:val="Normal"/>
        <w:spacing w:lineRule="auto" w:line="240" w:before="0" w:after="0"/>
        <w:jc w:val="both"/>
        <w:rPr>
          <w:rFonts w:ascii="Arial" w:hAnsi="Arial" w:cs="Arial"/>
          <w:sz w:val="24"/>
          <w:szCs w:val="24"/>
          <w:highlight w:val="yellow"/>
        </w:rPr>
      </w:pPr>
      <w:r>
        <w:rPr>
          <w:rFonts w:cs="Arial" w:ascii="Arial" w:hAnsi="Arial"/>
          <w:sz w:val="24"/>
          <w:szCs w:val="24"/>
          <w:highlight w:val="yellow"/>
        </w:rPr>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Caberá ao CONTRATADO o cumprimento das seguintes obrigações: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Prestar os serviços,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Não subcontratar, ceder ou transferir, total ou parcialmente, 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Executar fielmente o objeto da Contratação com fornecimento ininterrupto de transporte público aos servidores municipais de segunda a sexta-feira, nos horários de itinerários pré fixados pelas empresas e aprovados pela CETURB;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5 - Dar plena garantia e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9 - Acatar as determinações feitas pela Contratante no que tange ao cumprimento do objeto do Contrato.</w:t>
      </w:r>
    </w:p>
    <w:p>
      <w:pPr>
        <w:pStyle w:val="ListParagraph"/>
        <w:spacing w:lineRule="auto" w:line="240" w:before="0" w:after="0"/>
        <w:ind w:hanging="0" w:left="0"/>
        <w:contextualSpacing/>
        <w:jc w:val="both"/>
        <w:rPr>
          <w:rFonts w:ascii="Arial" w:hAnsi="Arial"/>
          <w:sz w:val="24"/>
          <w:szCs w:val="24"/>
        </w:rPr>
      </w:pPr>
      <w:r>
        <w:rPr>
          <w:rFonts w:ascii="Arial" w:hAnsi="Arial"/>
          <w:sz w:val="24"/>
          <w:szCs w:val="24"/>
        </w:rPr>
      </w:r>
    </w:p>
    <w:p>
      <w:pPr>
        <w:pStyle w:val="ListParagraph"/>
        <w:numPr>
          <w:ilvl w:val="0"/>
          <w:numId w:val="0"/>
        </w:numPr>
        <w:spacing w:lineRule="auto" w:line="240" w:before="0" w:after="0"/>
        <w:ind w:hanging="0" w:left="0"/>
        <w:contextualSpacing/>
        <w:jc w:val="both"/>
        <w:rPr>
          <w:rFonts w:ascii="Arial" w:hAnsi="Arial"/>
          <w:sz w:val="24"/>
          <w:szCs w:val="24"/>
        </w:rPr>
      </w:pPr>
      <w:r>
        <w:rPr>
          <w:rFonts w:cs="Arial" w:ascii="Arial" w:hAnsi="Arial"/>
          <w:b w:val="false"/>
          <w:bCs w:val="false"/>
          <w:sz w:val="24"/>
          <w:szCs w:val="24"/>
          <w:shd w:fill="DDDDDD" w:val="clear"/>
        </w:rPr>
        <w:t xml:space="preserve">4.6 </w:t>
      </w:r>
      <w:r>
        <w:rPr>
          <w:rFonts w:cs="Arial" w:ascii="Arial" w:hAnsi="Arial"/>
          <w:b/>
          <w:sz w:val="24"/>
          <w:szCs w:val="24"/>
          <w:shd w:fill="DDDDDD" w:val="clear"/>
        </w:rPr>
        <w:tab/>
        <w:t>DAS OBRIGAÇÕES E RESPONSABILIDADES DO MUNICÍPIO:</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1 - Fornecer à Contratada todas as informações relacionadas ao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3 - Assegurar os recursos orçamentários e financeiros para custear as despesas do empenho estimativo;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 xml:space="preserve">4 - Efetuar o pagamento nas condições e preços pactuados; </w:t>
      </w:r>
    </w:p>
    <w:p>
      <w:pPr>
        <w:pStyle w:val="ListParagraph"/>
        <w:spacing w:lineRule="auto" w:line="240" w:before="0" w:after="0"/>
        <w:ind w:hanging="0" w:left="0"/>
        <w:contextualSpacing/>
        <w:jc w:val="both"/>
        <w:rPr>
          <w:rFonts w:ascii="Arial" w:hAnsi="Arial"/>
          <w:sz w:val="24"/>
          <w:szCs w:val="24"/>
        </w:rPr>
      </w:pPr>
      <w:r>
        <w:rPr>
          <w:rFonts w:cs="Arial" w:ascii="Arial" w:hAnsi="Arial"/>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FISCALIZAÇÃO E ACOMPANHAMENTO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Corpodetexto23"/>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GARANTIA PELO FORNECIMENTO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AMOSTRAS</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GESTÃO DO CONTRATO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FATURAMENTO E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bookmarkStart w:id="0" w:name="_Hlk151990632"/>
      <w:r>
        <w:rPr>
          <w:rFonts w:cs="Arial" w:ascii="Arial" w:hAnsi="Arial"/>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A CONTRATADA deverá encaminhar à unidade administrativa responsável pela gestão do contrato, a fatura do fornecimento do serviço do período utilizado, com o respectivo preço e com prazo de pagamento não inferior a 10 (dez) dias úteis contados a partir de sua apresentação. </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r>
        <w:rPr>
          <w:rFonts w:cs="Arial" w:ascii="Arial" w:hAnsi="Arial"/>
          <w:sz w:val="24"/>
          <w:szCs w:val="24"/>
        </w:rPr>
        <w:t xml:space="preserve">Para efeito de pagamento, junto com a Nota Fiscal, deverá ser anexado: </w:t>
      </w:r>
    </w:p>
    <w:p>
      <w:pPr>
        <w:pStyle w:val="Normal"/>
        <w:spacing w:lineRule="auto" w:line="240" w:before="0" w:after="0"/>
        <w:jc w:val="both"/>
        <w:rPr>
          <w:rFonts w:ascii="Arial" w:hAnsi="Arial"/>
          <w:sz w:val="24"/>
          <w:szCs w:val="24"/>
        </w:rPr>
      </w:pPr>
      <w:r>
        <w:rPr>
          <w:rFonts w:cs="Arial" w:ascii="Arial" w:hAnsi="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sz w:val="24"/>
          <w:szCs w:val="24"/>
        </w:rPr>
      </w:pPr>
      <w:r>
        <w:rPr>
          <w:rFonts w:cs="Arial" w:ascii="Arial" w:hAnsi="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sz w:val="24"/>
          <w:szCs w:val="24"/>
        </w:rPr>
      </w:pPr>
      <w:r>
        <w:rPr>
          <w:rFonts w:cs="Arial" w:ascii="Arial" w:hAnsi="Arial"/>
          <w:sz w:val="24"/>
          <w:szCs w:val="24"/>
        </w:rPr>
        <w:t xml:space="preserve">III - Certidão de Regularidade com a Fazenda do Estado; </w:t>
      </w:r>
    </w:p>
    <w:p>
      <w:pPr>
        <w:pStyle w:val="Normal"/>
        <w:spacing w:lineRule="auto" w:line="240" w:before="0" w:after="0"/>
        <w:jc w:val="both"/>
        <w:rPr>
          <w:rFonts w:ascii="Arial" w:hAnsi="Arial"/>
          <w:sz w:val="24"/>
          <w:szCs w:val="24"/>
        </w:rPr>
      </w:pPr>
      <w:r>
        <w:rPr>
          <w:rFonts w:cs="Arial" w:ascii="Arial" w:hAnsi="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sz w:val="24"/>
          <w:szCs w:val="24"/>
        </w:rPr>
      </w:pPr>
      <w:r>
        <w:rPr>
          <w:rFonts w:cs="Arial" w:ascii="Arial" w:hAnsi="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b/>
          <w:sz w:val="24"/>
          <w:szCs w:val="24"/>
        </w:rPr>
        <w:t>DA ANTECIPAÇÃO DO PAGAMENTO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FORMA E CRITÉRIOS DE SELEÇÃO DO FORNECEDOR</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VALOR MÁXIMO E 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 VALOR ESTIMADO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color w:val="000000"/>
          <w:sz w:val="24"/>
          <w:szCs w:val="24"/>
        </w:rPr>
        <w:t xml:space="preserve"> </w:t>
      </w:r>
      <w:r>
        <w:rPr>
          <w:rFonts w:cs="Arial" w:ascii="Arial" w:hAnsi="Arial"/>
          <w:color w:val="000000"/>
          <w:sz w:val="24"/>
          <w:szCs w:val="24"/>
        </w:rPr>
        <w:t xml:space="preserve">O </w:t>
      </w:r>
      <w:r>
        <w:rPr>
          <w:rFonts w:cs="Arial" w:ascii="Arial" w:hAnsi="Arial"/>
          <w:b/>
          <w:color w:val="000000"/>
          <w:sz w:val="24"/>
          <w:szCs w:val="24"/>
        </w:rPr>
        <w:t>valor estimado</w:t>
      </w:r>
      <w:r>
        <w:rPr>
          <w:rFonts w:cs="Arial" w:ascii="Arial" w:hAnsi="Arial"/>
          <w:color w:val="000000"/>
          <w:sz w:val="24"/>
          <w:szCs w:val="24"/>
        </w:rPr>
        <w:t xml:space="preserve"> para custeio das despesas decorrentes da oferta do benefício de vale transporte aos servidores da Secretaria Municipal de </w:t>
      </w:r>
      <w:r>
        <w:rPr>
          <w:rFonts w:cs="Arial" w:ascii="Arial" w:hAnsi="Arial"/>
          <w:color w:val="000000"/>
          <w:sz w:val="24"/>
          <w:szCs w:val="24"/>
        </w:rPr>
        <w:t>Assistência Social Social</w:t>
      </w:r>
      <w:r>
        <w:rPr>
          <w:rFonts w:cs="Arial" w:ascii="Arial" w:hAnsi="Arial"/>
          <w:color w:val="000000"/>
          <w:sz w:val="24"/>
          <w:szCs w:val="24"/>
        </w:rPr>
        <w:t>, no exercício de 202</w:t>
      </w:r>
      <w:r>
        <w:rPr>
          <w:rFonts w:cs="Arial" w:ascii="Arial" w:hAnsi="Arial"/>
          <w:color w:val="000000"/>
          <w:sz w:val="24"/>
          <w:szCs w:val="24"/>
        </w:rPr>
        <w:t>6</w:t>
      </w:r>
      <w:r>
        <w:rPr>
          <w:rFonts w:cs="Arial" w:ascii="Arial" w:hAnsi="Arial"/>
          <w:color w:val="000000"/>
          <w:sz w:val="24"/>
          <w:szCs w:val="24"/>
        </w:rPr>
        <w:t xml:space="preserve">, </w:t>
      </w:r>
      <w:r>
        <w:rPr>
          <w:rFonts w:cs="Arial" w:ascii="Arial" w:hAnsi="Arial"/>
          <w:b/>
          <w:color w:val="000000"/>
          <w:sz w:val="24"/>
          <w:szCs w:val="24"/>
        </w:rPr>
        <w:t xml:space="preserve">é de R$ </w:t>
      </w:r>
      <w:r>
        <w:rPr>
          <w:rFonts w:cs="Arial" w:ascii="Arial" w:hAnsi="Arial"/>
          <w:b/>
          <w:color w:val="000000"/>
          <w:sz w:val="24"/>
          <w:szCs w:val="24"/>
        </w:rPr>
        <w:t>4.000,00</w:t>
      </w:r>
      <w:r>
        <w:rPr>
          <w:rFonts w:cs="Arial" w:ascii="Arial" w:hAnsi="Arial"/>
          <w:b/>
          <w:color w:val="000000"/>
          <w:sz w:val="24"/>
          <w:szCs w:val="24"/>
        </w:rPr>
        <w:t xml:space="preserve"> (</w:t>
      </w:r>
      <w:r>
        <w:rPr>
          <w:rFonts w:cs="Arial" w:ascii="Arial" w:hAnsi="Arial"/>
          <w:b/>
          <w:color w:val="000000"/>
          <w:sz w:val="24"/>
          <w:szCs w:val="24"/>
        </w:rPr>
        <w:t>Q</w:t>
      </w:r>
      <w:r>
        <w:rPr>
          <w:rFonts w:cs="Arial" w:ascii="Arial" w:hAnsi="Arial"/>
          <w:b/>
          <w:color w:val="000000"/>
          <w:sz w:val="24"/>
          <w:szCs w:val="24"/>
        </w:rPr>
        <w:t xml:space="preserve">uatro </w:t>
      </w:r>
      <w:r>
        <w:rPr>
          <w:rFonts w:cs="Arial" w:ascii="Arial" w:hAnsi="Arial"/>
          <w:b/>
          <w:color w:val="000000"/>
          <w:sz w:val="24"/>
          <w:szCs w:val="24"/>
        </w:rPr>
        <w:t>M</w:t>
      </w:r>
      <w:r>
        <w:rPr>
          <w:rFonts w:cs="Arial" w:ascii="Arial" w:hAnsi="Arial"/>
          <w:b/>
          <w:color w:val="000000"/>
          <w:sz w:val="24"/>
          <w:szCs w:val="24"/>
        </w:rPr>
        <w:t xml:space="preserve">il </w:t>
      </w:r>
      <w:r>
        <w:rPr>
          <w:rFonts w:cs="Arial" w:ascii="Arial" w:hAnsi="Arial"/>
          <w:b/>
          <w:color w:val="000000"/>
          <w:sz w:val="24"/>
          <w:szCs w:val="24"/>
        </w:rPr>
        <w:t>Reais</w:t>
      </w:r>
      <w:r>
        <w:rPr>
          <w:rFonts w:cs="Arial" w:ascii="Arial" w:hAnsi="Arial"/>
          <w:b/>
          <w:color w:val="000000"/>
          <w:sz w:val="24"/>
          <w:szCs w:val="24"/>
        </w:rPr>
        <w:t>).</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3"/>
          <w:numId w:val="1"/>
        </w:numPr>
        <w:tabs>
          <w:tab w:val="clear" w:pos="708"/>
          <w:tab w:val="left" w:pos="567" w:leader="none"/>
          <w:tab w:val="left" w:pos="851" w:leader="none"/>
          <w:tab w:val="left" w:pos="1134" w:leader="none"/>
        </w:tabs>
        <w:spacing w:lineRule="auto" w:line="240" w:before="0" w:after="0"/>
        <w:ind w:hanging="0" w:left="0"/>
        <w:contextualSpacing/>
        <w:jc w:val="both"/>
        <w:rPr>
          <w:rFonts w:ascii="Arial" w:hAnsi="Arial"/>
          <w:sz w:val="24"/>
          <w:szCs w:val="24"/>
        </w:rPr>
      </w:pPr>
      <w:r>
        <w:rPr>
          <w:rFonts w:cs="Arial" w:ascii="Arial" w:hAnsi="Arial"/>
          <w:color w:val="000000"/>
          <w:sz w:val="24"/>
          <w:szCs w:val="24"/>
        </w:rPr>
        <w:t>O respectivo valor global é constituído pela distribuição da seguinte forma:</w:t>
      </w:r>
    </w:p>
    <w:p>
      <w:pPr>
        <w:pStyle w:val="Normal"/>
        <w:spacing w:lineRule="auto" w:line="240" w:before="0" w:after="0"/>
        <w:jc w:val="both"/>
        <w:rPr>
          <w:rFonts w:ascii="Arial" w:hAnsi="Arial"/>
          <w:sz w:val="24"/>
          <w:szCs w:val="24"/>
        </w:rPr>
      </w:pPr>
      <w:r>
        <w:rPr>
          <w:rFonts w:ascii="Arial" w:hAnsi="Arial"/>
          <w:sz w:val="24"/>
          <w:szCs w:val="24"/>
        </w:rPr>
      </w:r>
    </w:p>
    <w:p>
      <w:pPr>
        <w:pStyle w:val="Normal"/>
        <w:spacing w:lineRule="auto" w:line="240" w:before="0" w:after="0"/>
        <w:jc w:val="both"/>
        <w:rPr>
          <w:rFonts w:ascii="Arial" w:hAnsi="Arial"/>
          <w:sz w:val="24"/>
          <w:szCs w:val="24"/>
        </w:rPr>
      </w:pPr>
      <w:r>
        <w:rPr>
          <w:rFonts w:cs="Arial" w:ascii="Arial" w:hAnsi="Arial"/>
          <w:b/>
          <w:color w:val="000000"/>
          <w:sz w:val="24"/>
          <w:szCs w:val="24"/>
        </w:rPr>
        <w:t>a)</w:t>
      </w:r>
      <w:r>
        <w:rPr>
          <w:rFonts w:cs="Arial" w:ascii="Arial" w:hAnsi="Arial"/>
          <w:color w:val="000000"/>
          <w:sz w:val="24"/>
          <w:szCs w:val="24"/>
        </w:rPr>
        <w:t xml:space="preserve"> </w:t>
      </w:r>
      <w:r>
        <w:rPr>
          <w:rFonts w:cs="Arial" w:ascii="Arial" w:hAnsi="Arial"/>
          <w:b/>
          <w:color w:val="000000"/>
          <w:sz w:val="24"/>
          <w:szCs w:val="24"/>
        </w:rPr>
        <w:t>Viação Lírio dos Vales Ltda.:</w:t>
      </w:r>
      <w:r>
        <w:rPr>
          <w:rFonts w:cs="Arial" w:ascii="Arial" w:hAnsi="Arial"/>
          <w:color w:val="000000"/>
          <w:sz w:val="24"/>
          <w:szCs w:val="24"/>
        </w:rPr>
        <w:t xml:space="preserve"> R$ 4.</w:t>
      </w:r>
      <w:r>
        <w:rPr>
          <w:rFonts w:cs="Arial" w:ascii="Arial" w:hAnsi="Arial"/>
          <w:color w:val="000000"/>
          <w:sz w:val="24"/>
          <w:szCs w:val="24"/>
        </w:rPr>
        <w:t>000</w:t>
      </w:r>
      <w:r>
        <w:rPr>
          <w:rFonts w:cs="Arial" w:ascii="Arial" w:hAnsi="Arial"/>
          <w:color w:val="000000"/>
          <w:sz w:val="24"/>
          <w:szCs w:val="24"/>
        </w:rPr>
        <w:t xml:space="preserve"> (</w:t>
      </w:r>
      <w:r>
        <w:rPr>
          <w:rFonts w:cs="Arial" w:ascii="Arial" w:hAnsi="Arial"/>
          <w:color w:val="000000"/>
          <w:sz w:val="24"/>
          <w:szCs w:val="24"/>
        </w:rPr>
        <w:t>Quatro Mil Reais</w:t>
      </w:r>
      <w:r>
        <w:rPr>
          <w:rFonts w:cs="Arial" w:ascii="Arial" w:hAnsi="Arial"/>
          <w:color w:val="000000"/>
          <w:sz w:val="24"/>
          <w:szCs w:val="24"/>
        </w:rPr>
        <w:t>).</w:t>
      </w:r>
    </w:p>
    <w:p>
      <w:pPr>
        <w:pStyle w:val="Normal"/>
        <w:spacing w:lineRule="auto" w:line="240" w:before="0" w:after="0"/>
        <w:jc w:val="both"/>
        <w:rPr>
          <w:rFonts w:ascii="Arial" w:hAnsi="Arial" w:cs="Arial"/>
          <w:color w:val="000000"/>
          <w:sz w:val="24"/>
          <w:szCs w:val="24"/>
        </w:rPr>
      </w:pPr>
      <w:r>
        <w:rPr>
          <w:rFonts w:cs="Arial" w:ascii="Arial" w:hAnsi="Arial"/>
          <w:color w:val="000000"/>
          <w:sz w:val="24"/>
          <w:szCs w:val="24"/>
        </w:rPr>
      </w:r>
    </w:p>
    <w:p>
      <w:pPr>
        <w:pStyle w:val="ListParagraph"/>
        <w:numPr>
          <w:ilvl w:val="1"/>
          <w:numId w:val="1"/>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ascii="Arial" w:hAnsi="Arial"/>
          <w:b/>
          <w:sz w:val="24"/>
          <w:szCs w:val="24"/>
        </w:rPr>
        <w:t>DOS RECURSOS ORÇAMENTÁRIOS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2"/>
          <w:numId w:val="1"/>
        </w:numPr>
        <w:spacing w:lineRule="auto" w:line="240" w:before="0" w:after="0"/>
        <w:ind w:hanging="0" w:left="0"/>
        <w:contextualSpacing/>
        <w:jc w:val="both"/>
        <w:rPr>
          <w:rFonts w:ascii="Arial" w:hAnsi="Arial"/>
          <w:sz w:val="24"/>
          <w:szCs w:val="24"/>
        </w:rPr>
      </w:pPr>
      <w:r>
        <w:rPr>
          <w:rFonts w:cs="Arial" w:ascii="Arial" w:hAnsi="Arial"/>
          <w:color w:val="000000"/>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ascii="Arial" w:hAnsi="Arial"/>
          <w:b/>
          <w:color w:val="000000"/>
          <w:sz w:val="24"/>
          <w:szCs w:val="24"/>
        </w:rPr>
        <w:t>Proposta de Lei Orçamentária Anual (PLOA) vinculada para o exercício financeiro de 202</w:t>
      </w:r>
      <w:r>
        <w:rPr>
          <w:rFonts w:cs="Arial" w:ascii="Arial" w:hAnsi="Arial"/>
          <w:b/>
          <w:color w:val="000000"/>
          <w:sz w:val="24"/>
          <w:szCs w:val="24"/>
        </w:rPr>
        <w:t>6</w:t>
      </w:r>
      <w:r>
        <w:rPr>
          <w:rFonts w:cs="Arial" w:ascii="Arial" w:hAnsi="Arial"/>
          <w:color w:val="000000"/>
          <w:sz w:val="24"/>
          <w:szCs w:val="24"/>
        </w:rPr>
        <w:t>, a qual será informada pelo requerente, após a aprovação da respectiva Lei.</w:t>
      </w:r>
    </w:p>
    <w:p>
      <w:pPr>
        <w:pStyle w:val="ListParagraph"/>
        <w:numPr>
          <w:ilvl w:val="0"/>
          <w:numId w:val="0"/>
        </w:numPr>
        <w:spacing w:lineRule="auto" w:line="240" w:before="0" w:after="0"/>
        <w:ind w:hanging="0" w:left="0"/>
        <w:contextualSpacing/>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tbl>
      <w:tblPr>
        <w:tblStyle w:val="Tabelacomgrade"/>
        <w:tblW w:w="8954" w:type="dxa"/>
        <w:jc w:val="left"/>
        <w:tblInd w:w="221" w:type="dxa"/>
        <w:tblLayout w:type="fixed"/>
        <w:tblCellMar>
          <w:top w:w="0" w:type="dxa"/>
          <w:left w:w="108" w:type="dxa"/>
          <w:bottom w:w="0" w:type="dxa"/>
          <w:right w:w="108" w:type="dxa"/>
        </w:tblCellMar>
        <w:tblLook w:firstRow="1" w:noVBand="1" w:lastRow="0" w:firstColumn="1" w:lastColumn="0" w:noHBand="0" w:val="04a0"/>
      </w:tblPr>
      <w:tblGrid>
        <w:gridCol w:w="7306"/>
        <w:gridCol w:w="1647"/>
      </w:tblGrid>
      <w:tr>
        <w:trPr>
          <w:trHeight w:val="516" w:hRule="atLeast"/>
        </w:trPr>
        <w:tc>
          <w:tcPr>
            <w:tcW w:w="8953" w:type="dxa"/>
            <w:gridSpan w:val="2"/>
            <w:tcBorders/>
            <w:shd w:color="auto" w:fill="D9D9D9" w:themeFill="background1" w:themeFillShade="d9" w:val="clear"/>
            <w:vAlign w:val="center"/>
          </w:tcPr>
          <w:p>
            <w:pPr>
              <w:pStyle w:val="Normal"/>
              <w:widowControl w:val="false"/>
              <w:suppressAutoHyphens w:val="true"/>
              <w:spacing w:lineRule="auto" w:line="360" w:before="0" w:after="0"/>
              <w:jc w:val="center"/>
              <w:rPr>
                <w:rFonts w:ascii="Arial" w:hAnsi="Arial"/>
                <w:sz w:val="24"/>
                <w:szCs w:val="24"/>
              </w:rPr>
            </w:pPr>
            <w:r>
              <w:rPr>
                <w:rFonts w:eastAsia="Calibri" w:cs="Arial" w:ascii="Arial" w:hAnsi="Arial"/>
                <w:b/>
                <w:color w:val="000000"/>
                <w:kern w:val="0"/>
                <w:sz w:val="24"/>
                <w:szCs w:val="24"/>
                <w:lang w:val="pt-BR" w:bidi="ar-SA"/>
              </w:rPr>
              <w:t>ESTÃO DAS ATIVIDADES DA SECRETARIA DE ASSISTÊNCIA SOCIAL</w:t>
            </w:r>
          </w:p>
          <w:p>
            <w:pPr>
              <w:pStyle w:val="Normal"/>
              <w:widowControl w:val="false"/>
              <w:suppressAutoHyphens w:val="true"/>
              <w:spacing w:lineRule="auto" w:line="360" w:before="0" w:after="0"/>
              <w:jc w:val="center"/>
              <w:rPr>
                <w:rFonts w:ascii="Arial" w:hAnsi="Arial"/>
                <w:sz w:val="24"/>
                <w:szCs w:val="24"/>
              </w:rPr>
            </w:pPr>
            <w:r>
              <w:rPr>
                <w:rFonts w:eastAsia="Calibri" w:cs="Arial" w:ascii="Arial" w:hAnsi="Arial"/>
                <w:b/>
                <w:color w:val="000000"/>
                <w:kern w:val="0"/>
                <w:sz w:val="24"/>
                <w:szCs w:val="24"/>
                <w:shd w:fill="auto" w:val="clear"/>
                <w:lang w:val="pt-BR" w:bidi="ar-SA"/>
              </w:rPr>
              <w:t>Outros Serviços de Terceiros – Pessoa Jurídica</w:t>
            </w:r>
          </w:p>
        </w:tc>
      </w:tr>
      <w:tr>
        <w:trPr>
          <w:trHeight w:val="340" w:hRule="atLeast"/>
        </w:trPr>
        <w:tc>
          <w:tcPr>
            <w:tcW w:w="7306" w:type="dxa"/>
            <w:tcBorders/>
            <w:shd w:color="auto" w:fill="FFFFFF" w:themeFill="background1" w:val="clear"/>
            <w:vAlign w:val="center"/>
          </w:tcPr>
          <w:p>
            <w:pPr>
              <w:pStyle w:val="BodyText"/>
              <w:widowControl w:val="false"/>
              <w:spacing w:lineRule="auto" w:line="276" w:before="0" w:after="140"/>
              <w:rPr/>
            </w:pPr>
            <w:r>
              <w:rPr>
                <w:rFonts w:cs="Arial" w:ascii="Arial" w:hAnsi="Arial"/>
                <w:sz w:val="22"/>
                <w:szCs w:val="22"/>
              </w:rPr>
              <w:t>0901.0824400122.023 – Elemento de Despesa 33903900000 – Fonte de Recurso 150000000000 – Ficha 0000115</w:t>
            </w:r>
          </w:p>
        </w:tc>
        <w:tc>
          <w:tcPr>
            <w:tcW w:w="1647" w:type="dxa"/>
            <w:tcBorders/>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b/>
                <w:color w:val="000000"/>
                <w:kern w:val="0"/>
                <w:sz w:val="24"/>
                <w:szCs w:val="24"/>
                <w:shd w:fill="auto" w:val="clear"/>
                <w:lang w:val="pt-BR" w:bidi="ar-SA"/>
              </w:rPr>
            </w:r>
          </w:p>
          <w:p>
            <w:pPr>
              <w:pStyle w:val="Normal"/>
              <w:widowControl w:val="false"/>
              <w:suppressAutoHyphens w:val="true"/>
              <w:spacing w:lineRule="auto" w:line="240" w:before="0" w:after="0"/>
              <w:jc w:val="center"/>
              <w:rPr>
                <w:rFonts w:ascii="Arial" w:hAnsi="Arial"/>
                <w:sz w:val="24"/>
                <w:szCs w:val="24"/>
              </w:rPr>
            </w:pPr>
            <w:r>
              <w:rPr>
                <w:rFonts w:eastAsia="Calibri" w:cs="Arial" w:ascii="Arial" w:hAnsi="Arial"/>
                <w:b/>
                <w:color w:val="000000"/>
                <w:kern w:val="0"/>
                <w:sz w:val="24"/>
                <w:szCs w:val="24"/>
                <w:shd w:fill="auto" w:val="clear"/>
                <w:lang w:val="pt-BR" w:bidi="ar-SA"/>
              </w:rPr>
              <w:t>R$ 4.</w:t>
            </w:r>
            <w:r>
              <w:rPr>
                <w:rFonts w:eastAsia="Calibri" w:cs="Arial" w:ascii="Arial" w:hAnsi="Arial"/>
                <w:b/>
                <w:color w:val="000000"/>
                <w:kern w:val="0"/>
                <w:sz w:val="24"/>
                <w:szCs w:val="24"/>
                <w:shd w:fill="auto" w:val="clear"/>
                <w:lang w:val="pt-BR" w:bidi="ar-SA"/>
              </w:rPr>
              <w:t>0</w:t>
            </w:r>
            <w:r>
              <w:rPr>
                <w:rFonts w:eastAsia="Calibri" w:cs="Arial" w:ascii="Arial" w:hAnsi="Arial"/>
                <w:b/>
                <w:color w:val="000000"/>
                <w:kern w:val="0"/>
                <w:sz w:val="24"/>
                <w:szCs w:val="24"/>
                <w:shd w:fill="auto" w:val="clear"/>
                <w:lang w:val="pt-BR" w:bidi="ar-SA"/>
              </w:rPr>
              <w:t>00,00</w:t>
            </w:r>
          </w:p>
        </w:tc>
      </w:tr>
    </w:tbl>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DAS SANÇÕES E PENALIDADES</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sz w:val="24"/>
          <w:szCs w:val="24"/>
        </w:rPr>
      </w:pPr>
      <w:bookmarkStart w:id="1" w:name="_Hlk151990699"/>
      <w:r>
        <w:rPr>
          <w:rFonts w:cs="Arial" w:ascii="Arial" w:hAnsi="Arial"/>
          <w:bCs/>
          <w:color w:val="000000"/>
          <w:sz w:val="24"/>
          <w:szCs w:val="24"/>
        </w:rPr>
        <w:t>Serão aplicadas as infrações administrativas disciplinadas na Lei Federal nº 14.133/2021, na forma de regulamento municipal.</w:t>
      </w:r>
      <w:bookmarkEnd w:id="1"/>
    </w:p>
    <w:p>
      <w:pPr>
        <w:pStyle w:val="Normal"/>
        <w:spacing w:lineRule="auto" w:line="240" w:before="0" w:after="0"/>
        <w:jc w:val="both"/>
        <w:rPr>
          <w:rFonts w:ascii="Arial" w:hAnsi="Arial" w:cs="Arial"/>
          <w:sz w:val="24"/>
          <w:szCs w:val="24"/>
        </w:rPr>
      </w:pPr>
      <w:r>
        <w:rPr>
          <w:rFonts w:cs="Arial" w:ascii="Arial" w:hAnsi="Arial"/>
          <w:sz w:val="24"/>
          <w:szCs w:val="24"/>
        </w:rPr>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QUALIFICAÇÃO TÉCNICA</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i/>
          <w:sz w:val="24"/>
          <w:szCs w:val="24"/>
        </w:rPr>
        <w:t>Não se aplica a presente contratação.</w:t>
      </w:r>
    </w:p>
    <w:p>
      <w:pPr>
        <w:pStyle w:val="Normal"/>
        <w:spacing w:lineRule="auto" w:line="240" w:before="0" w:after="0"/>
        <w:jc w:val="both"/>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DA UNIDADE REQUISITANTE</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sz w:val="24"/>
          <w:szCs w:val="24"/>
        </w:rPr>
        <w:t xml:space="preserve">Constitui unidade requisitante da presente demanda a </w:t>
      </w:r>
      <w:r>
        <w:rPr>
          <w:rFonts w:cs="Arial" w:ascii="Arial" w:hAnsi="Arial"/>
          <w:b/>
          <w:sz w:val="24"/>
          <w:szCs w:val="24"/>
        </w:rPr>
        <w:t>Secretaria Municipal de Assistência Social.</w:t>
      </w:r>
    </w:p>
    <w:p>
      <w:pPr>
        <w:pStyle w:val="Normal"/>
        <w:spacing w:lineRule="auto" w:line="240" w:before="0" w:after="0"/>
        <w:rPr>
          <w:rFonts w:ascii="Arial" w:hAnsi="Arial" w:cs="Arial"/>
          <w:sz w:val="24"/>
          <w:szCs w:val="24"/>
        </w:rPr>
      </w:pPr>
      <w:r>
        <w:rPr>
          <w:rFonts w:cs="Arial" w:ascii="Arial" w:hAnsi="Arial"/>
          <w:sz w:val="24"/>
          <w:szCs w:val="24"/>
        </w:rPr>
      </w:r>
    </w:p>
    <w:p>
      <w:pPr>
        <w:pStyle w:val="ListParagraph"/>
        <w:numPr>
          <w:ilvl w:val="0"/>
          <w:numId w:val="1"/>
        </w:numPr>
        <w:shd w:val="clear" w:color="auto" w:fill="D9D9D9" w:themeFill="background1" w:themeFillShade="d9"/>
        <w:spacing w:lineRule="auto" w:line="240" w:before="0" w:after="0"/>
        <w:ind w:hanging="0" w:left="0"/>
        <w:contextualSpacing/>
        <w:rPr>
          <w:rFonts w:ascii="Arial" w:hAnsi="Arial"/>
          <w:sz w:val="24"/>
          <w:szCs w:val="24"/>
        </w:rPr>
      </w:pPr>
      <w:r>
        <w:rPr>
          <w:rFonts w:cs="Arial" w:ascii="Arial" w:hAnsi="Arial"/>
          <w:b/>
          <w:sz w:val="24"/>
          <w:szCs w:val="24"/>
        </w:rPr>
        <w:t>DO RESPONSÁVEL PELA ELABORAÇÃO DO TERMO DE REFERÊNCIA</w:t>
      </w:r>
    </w:p>
    <w:p>
      <w:pPr>
        <w:pStyle w:val="NormalWeb"/>
        <w:spacing w:beforeAutospacing="0" w:before="0" w:afterAutospacing="0" w:after="0"/>
        <w:jc w:val="both"/>
        <w:rPr>
          <w:rFonts w:ascii="Arial" w:hAnsi="Arial"/>
          <w:sz w:val="24"/>
          <w:szCs w:val="24"/>
        </w:rPr>
      </w:pPr>
      <w:r>
        <w:rPr>
          <w:rFonts w:ascii="Arial" w:hAnsi="Arial"/>
          <w:sz w:val="24"/>
          <w:szCs w:val="24"/>
        </w:rPr>
      </w:r>
    </w:p>
    <w:p>
      <w:pPr>
        <w:pStyle w:val="ListParagraph"/>
        <w:numPr>
          <w:ilvl w:val="1"/>
          <w:numId w:val="1"/>
        </w:numPr>
        <w:spacing w:lineRule="auto" w:line="240" w:before="0" w:after="0"/>
        <w:ind w:hanging="0" w:left="0"/>
        <w:contextualSpacing/>
        <w:jc w:val="both"/>
        <w:rPr>
          <w:rFonts w:ascii="Arial" w:hAnsi="Arial"/>
          <w:sz w:val="24"/>
          <w:szCs w:val="24"/>
        </w:rPr>
      </w:pPr>
      <w:r>
        <w:rPr>
          <w:rFonts w:cs="Arial" w:ascii="Arial" w:hAnsi="Arial"/>
          <w:b/>
          <w:sz w:val="24"/>
          <w:szCs w:val="24"/>
        </w:rPr>
        <w:t xml:space="preserve">Gestor da Unidade Requisitante: </w:t>
      </w:r>
      <w:r>
        <w:rPr>
          <w:rFonts w:cs="Arial" w:ascii="Arial" w:hAnsi="Arial"/>
          <w:b/>
          <w:color w:themeColor="dark1" w:val="000000"/>
          <w:kern w:val="0"/>
          <w:sz w:val="24"/>
          <w:szCs w:val="24"/>
          <w:shd w:fill="auto" w:val="clear"/>
          <w:lang w:val="pt-BR" w:bidi="ar-SA"/>
        </w:rPr>
        <w:t>FERNANDA ALVES DA SILVA FERRARI</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beforeAutospacing="0" w:before="0" w:afterAutospacing="0" w:after="0"/>
        <w:jc w:val="right"/>
        <w:rPr>
          <w:rFonts w:ascii="Arial" w:hAnsi="Arial"/>
          <w:sz w:val="24"/>
          <w:szCs w:val="24"/>
        </w:rPr>
      </w:pPr>
      <w:r>
        <w:rPr>
          <w:rFonts w:cs="Arial" w:ascii="Arial" w:hAnsi="Arial"/>
          <w:b/>
          <w:sz w:val="24"/>
          <w:szCs w:val="24"/>
        </w:rPr>
        <w:t>São Roque do Canaã/ES</w:t>
      </w:r>
      <w:r>
        <w:rPr>
          <w:rFonts w:cs="Arial" w:ascii="Arial" w:hAnsi="Arial"/>
          <w:sz w:val="24"/>
          <w:szCs w:val="24"/>
        </w:rPr>
        <w:t xml:space="preserve">, </w:t>
      </w:r>
      <w:r>
        <w:rPr>
          <w:rFonts w:cs="Arial" w:ascii="Arial" w:hAnsi="Arial"/>
          <w:sz w:val="24"/>
          <w:szCs w:val="24"/>
        </w:rPr>
        <w:t>08 de Janeiro 2026</w:t>
      </w:r>
      <w:r>
        <w:rPr>
          <w:rFonts w:cs="Arial" w:ascii="Arial" w:hAnsi="Arial"/>
          <w:sz w:val="24"/>
          <w:szCs w:val="24"/>
        </w:rPr>
        <w:t>.</w:t>
      </w:r>
    </w:p>
    <w:p>
      <w:pPr>
        <w:pStyle w:val="NormalWeb"/>
        <w:spacing w:beforeAutospacing="0" w:before="0" w:afterAutospacing="0" w:after="0"/>
        <w:rPr>
          <w:rFonts w:ascii="Arial" w:hAnsi="Arial" w:cs="Arial"/>
          <w:sz w:val="24"/>
          <w:szCs w:val="24"/>
        </w:rPr>
      </w:pPr>
      <w:r>
        <w:rPr>
          <w:rFonts w:cs="Arial" w:ascii="Arial" w:hAnsi="Arial"/>
          <w:sz w:val="24"/>
          <w:szCs w:val="24"/>
        </w:rPr>
      </w:r>
    </w:p>
    <w:tbl>
      <w:tblPr>
        <w:tblStyle w:val="Tabelacomgrade"/>
        <w:tblW w:w="9071"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9071"/>
      </w:tblGrid>
      <w:tr>
        <w:trPr/>
        <w:tc>
          <w:tcPr>
            <w:tcW w:w="9071" w:type="dxa"/>
            <w:tcBorders>
              <w:top w:val="nil"/>
              <w:left w:val="nil"/>
              <w:bottom w:val="nil"/>
              <w:right w:val="nil"/>
            </w:tcBorders>
          </w:tcPr>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cs="Arial"/>
                <w:sz w:val="24"/>
                <w:szCs w:val="24"/>
              </w:rPr>
            </w:pPr>
            <w:r>
              <w:rPr>
                <w:rFonts w:cs="Arial"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ascii="Arial" w:hAnsi="Arial"/>
                <w:sz w:val="24"/>
                <w:szCs w:val="24"/>
              </w:rPr>
            </w:r>
          </w:p>
          <w:p>
            <w:pPr>
              <w:pStyle w:val="NormalWeb"/>
              <w:widowControl w:val="false"/>
              <w:suppressAutoHyphens w:val="true"/>
              <w:spacing w:beforeAutospacing="0" w:before="0" w:afterAutospacing="0" w:after="0"/>
              <w:jc w:val="center"/>
              <w:rPr>
                <w:rFonts w:ascii="Arial" w:hAnsi="Arial"/>
                <w:sz w:val="24"/>
                <w:szCs w:val="24"/>
              </w:rPr>
            </w:pPr>
            <w:r>
              <w:rPr>
                <w:rFonts w:cs="Arial" w:ascii="Arial" w:hAnsi="Arial"/>
                <w:b/>
                <w:color w:themeColor="dark1" w:val="000000"/>
                <w:kern w:val="0"/>
                <w:sz w:val="24"/>
                <w:szCs w:val="24"/>
                <w:shd w:fill="auto" w:val="clear"/>
                <w:lang w:val="pt-BR" w:bidi="ar-SA"/>
              </w:rPr>
              <w:t>FERNANDA ALVES DA SILVA FERRARI</w:t>
            </w:r>
          </w:p>
        </w:tc>
      </w:tr>
    </w:tbl>
    <w:p>
      <w:pPr>
        <w:pStyle w:val="NormalWeb"/>
        <w:spacing w:beforeAutospacing="0" w:before="0" w:afterAutospacing="0" w:after="0"/>
        <w:jc w:val="both"/>
        <w:rPr>
          <w:rFonts w:ascii="Arial" w:hAnsi="Arial"/>
          <w:sz w:val="24"/>
          <w:szCs w:val="24"/>
        </w:rPr>
      </w:pPr>
      <w:r>
        <w:rPr>
          <w:rFonts w:ascii="Arial" w:hAnsi="Arial"/>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Cambri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administração@saoroquedocanaa.es.gov.br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ascii="Arial" w:hAnsi="Arial"/>
        <w:sz w:val="20"/>
        <w:szCs w:val="16"/>
      </w:rPr>
    </w:r>
  </w:p>
  <w:p>
    <w:pPr>
      <w:pStyle w:val="Footer"/>
      <w:jc w:val="center"/>
      <w:rPr>
        <w:rFonts w:ascii="Arial" w:hAnsi="Arial" w:cs="Arial"/>
        <w:sz w:val="20"/>
        <w:szCs w:val="16"/>
      </w:rPr>
    </w:pPr>
    <w:r>
      <w:rPr>
        <w:rFonts w:cs="Arial" w:ascii="Arial" w:hAnsi="Arial"/>
        <w:sz w:val="20"/>
        <w:szCs w:val="16"/>
      </w:rPr>
      <w:t>Rua Lourenço Roldi n.º 88, São Roquinho, São Roque do Canaã/ES, CEP: 29665-000</w:t>
    </w:r>
  </w:p>
  <w:p>
    <w:pPr>
      <w:pStyle w:val="Footer"/>
      <w:jc w:val="center"/>
      <w:rPr/>
    </w:pPr>
    <w:r>
      <w:rPr>
        <w:rFonts w:cs="Arial" w:ascii="Arial" w:hAnsi="Arial"/>
        <w:sz w:val="20"/>
        <w:szCs w:val="16"/>
      </w:rPr>
      <w:t>Telefone: (27) 3729-1120 | E-mail: administração@saoroquedocanaa.es.gov.br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 xml:space="preserve">SECRETARIA MUNICIPAL DE  </w:t>
    </w:r>
    <w:r>
      <w:rPr>
        <w:rFonts w:cs="Arial" w:ascii="Arial" w:hAnsi="Arial"/>
        <w:sz w:val="22"/>
        <w:szCs w:val="16"/>
      </w:rPr>
      <w:t>ASSISTÊNCIA SOCIAL</w:t>
    </w:r>
  </w:p>
  <w:p>
    <w:pPr>
      <w:pStyle w:val="Subtitle"/>
      <w:jc w:val="left"/>
      <w:rPr>
        <w:rFonts w:ascii="Arial" w:hAnsi="Arial" w:cs="Arial"/>
        <w:sz w:val="22"/>
        <w:szCs w:val="16"/>
      </w:rPr>
    </w:pPr>
    <w:r>
      <w:rPr>
        <w:rFonts w:cs="Arial" w:ascii="Arial" w:hAnsi="Arial"/>
        <w:sz w:val="22"/>
        <w:szCs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tretch>
                    <a:fillRect/>
                  </a:stretch>
                </pic:blipFill>
                <pic:spPr bwMode="auto">
                  <a:xfrm>
                    <a:off x="0" y="0"/>
                    <a:ext cx="647700" cy="650240"/>
                  </a:xfrm>
                  <a:prstGeom prst="rect">
                    <a:avLst/>
                  </a:prstGeom>
                  <a:noFill/>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ascii="Arial" w:hAnsi="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 xml:space="preserve">SECRETARIA MUNICIPAL DE  </w:t>
    </w:r>
    <w:r>
      <w:rPr>
        <w:rFonts w:cs="Arial" w:ascii="Arial" w:hAnsi="Arial"/>
        <w:sz w:val="22"/>
        <w:szCs w:val="16"/>
      </w:rPr>
      <w:t>ASSISTÊNCIA SOCIAL</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Calibri Light" w:hAnsi="Calibri Light" w:eastAsia="" w:cs="" w:asciiTheme="majorHAnsi" w:cstheme="majorBidi" w:eastAsiaTheme="majorEastAsia" w:hAnsiTheme="majorHAnsi"/>
      <w:b/>
      <w:bCs/>
      <w:color w:themeColor="accent1" w:themeShade="bf" w:val="2E74B5"/>
      <w:sz w:val="28"/>
      <w:szCs w:val="2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Calibri Light" w:hAnsi="Calibri Light" w:eastAsia="" w:c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Caracteresdenotadefim">
    <w:name w:val="Caracteres de nota de fim"/>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Smbolosdenumerao">
    <w:name w:val="Símbolos de numeração"/>
    <w:qFormat/>
    <w:rPr/>
  </w:style>
  <w:style w:type="character" w:styleId="EndnoteCharacters">
    <w:name w:val="Endnote Characters"/>
    <w:qFormat/>
    <w:rPr>
      <w:vertAlign w:val="superscript"/>
    </w:rPr>
  </w:style>
  <w:style w:type="character" w:styleId="FootnoteCharacters">
    <w:name w:val="Footnote Characters"/>
    <w:qFormat/>
    <w:rPr>
      <w:rFonts w:ascii="Times New Roman" w:hAnsi="Times New Roman" w:eastAsia="Times New Roman" w:cs="Times New Roman"/>
      <w:color w:val="000000"/>
      <w:sz w:val="24"/>
      <w:szCs w:val="24"/>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937713"/>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12B63-2EFC-4BFD-819C-BAB8E8304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Application>LibreOffice/25.2.7.2$Windows_X86_64 LibreOffice_project/5cbfd1ab6520636bb5f7b99185aa69bd7456825d</Application>
  <AppVersion>15.0000</AppVersion>
  <Pages>7</Pages>
  <Words>2093</Words>
  <Characters>11809</Characters>
  <CharactersWithSpaces>13756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dc:description/>
  <dc:language>pt-BR</dc:language>
  <cp:lastModifiedBy/>
  <cp:lastPrinted>2025-01-30T08:15:57Z</cp:lastPrinted>
  <dcterms:modified xsi:type="dcterms:W3CDTF">2026-01-08T08:24:51Z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