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Arial" w:hAnsi="Arial"/>
        </w:rPr>
      </w:pPr>
      <w:r>
        <w:rPr>
          <w:rFonts w:cs="Arial" w:ascii="Arial" w:hAnsi="Arial"/>
          <w:b/>
          <w:sz w:val="24"/>
          <w:szCs w:val="24"/>
        </w:rPr>
        <w:t>DFD/SMA Nº. 002/2026</w:t>
      </w:r>
    </w:p>
    <w:p>
      <w:pPr>
        <w:pStyle w:val="Normal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Ao Exmo. Senhor,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MARCOS GERALDO GUERRA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Prefeito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08"/>
          <w:tab w:val="left" w:pos="1701" w:leader="none"/>
        </w:tabs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Ref.:</w:t>
      </w:r>
      <w:r>
        <w:rPr>
          <w:rFonts w:cs="Arial" w:ascii="Arial" w:hAnsi="Arial"/>
          <w:sz w:val="24"/>
          <w:szCs w:val="24"/>
        </w:rPr>
        <w:t xml:space="preserve"> Empenho por Estimativa – Vale Transporte –  VIAÇÃO LIRIO DOS VALES- </w:t>
      </w:r>
      <w:r>
        <w:rPr>
          <w:rFonts w:cs="Arial" w:ascii="Arial" w:hAnsi="Arial"/>
          <w:b w:val="false"/>
          <w:bCs w:val="false"/>
          <w:sz w:val="24"/>
          <w:szCs w:val="24"/>
        </w:rPr>
        <w:t>CATSERV 6470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UNIDADE REQUISITANTE</w:t>
      </w:r>
      <w:r>
        <w:rPr>
          <w:rFonts w:cs="Arial" w:ascii="Arial" w:hAnsi="Arial"/>
          <w:b/>
          <w:sz w:val="24"/>
          <w:szCs w:val="24"/>
          <w:shd w:fill="D9D9D9" w:val="clear"/>
        </w:rPr>
        <w:t>:</w:t>
      </w:r>
      <w:r>
        <w:rPr>
          <w:rFonts w:cs="Arial" w:ascii="Arial" w:hAnsi="Arial"/>
          <w:sz w:val="24"/>
          <w:szCs w:val="24"/>
        </w:rPr>
        <w:t xml:space="preserve"> Secretaria Municipal de Assistência Social.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RESPONSÁVEL PELA DEMANDA:</w:t>
      </w:r>
      <w:r>
        <w:rPr>
          <w:rFonts w:cs="Arial" w:ascii="Arial" w:hAnsi="Arial"/>
          <w:bCs/>
          <w:sz w:val="24"/>
          <w:szCs w:val="24"/>
        </w:rPr>
        <w:t xml:space="preserve"> Responsabilizar-se-á, pela presente demanda, a servidora </w:t>
      </w:r>
      <w:r>
        <w:rPr>
          <w:rFonts w:cs="Arial" w:ascii="Arial" w:hAnsi="Arial"/>
          <w:b/>
          <w:bCs/>
          <w:sz w:val="24"/>
          <w:szCs w:val="24"/>
        </w:rPr>
        <w:t>Fernanda Alves da Silva Ferrari</w:t>
      </w:r>
      <w:r>
        <w:rPr>
          <w:rFonts w:cs="Arial" w:ascii="Arial" w:hAnsi="Arial"/>
          <w:bCs/>
          <w:sz w:val="24"/>
          <w:szCs w:val="24"/>
        </w:rPr>
        <w:t>, ocupante do cargo de Secretária Municipal de Assistência Social, integrante da Unidade Requisitante.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CONTATO DA UNIDADE REQUISITANTE:</w:t>
      </w:r>
      <w:r>
        <w:rPr>
          <w:rFonts w:cs="Arial" w:ascii="Arial" w:hAnsi="Arial"/>
          <w:bCs/>
          <w:sz w:val="24"/>
          <w:szCs w:val="24"/>
        </w:rPr>
        <w:t xml:space="preserve"> </w:t>
      </w:r>
      <w:r>
        <w:rPr>
          <w:rFonts w:cs="Arial" w:ascii="Arial" w:hAnsi="Arial"/>
          <w:bCs/>
          <w:color w:val="000000"/>
          <w:sz w:val="24"/>
          <w:szCs w:val="24"/>
        </w:rPr>
        <w:t>Os contatos com a unidade requisitante podem ser realizados pelo telefone (027) 3729-1120, o e-mail: assistenciasocial@saoroquedocanaa.es.gov.br. ou por meio do atendimento presencial, na sede localizada na Rua João Vago, nº 88, Centro, São Roque do Canaã/ES, CEP nº 29.665-000.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DESCRIÇÃO SUCINTA DO OBJETO E/OU OBJETIVO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  <w:t xml:space="preserve">Constitui objeto da presente demanda a necessidade de </w:t>
      </w:r>
      <w:r>
        <w:rPr>
          <w:rFonts w:cs="Arial" w:ascii="Arial" w:hAnsi="Arial"/>
          <w:b/>
          <w:bCs/>
          <w:sz w:val="24"/>
          <w:szCs w:val="24"/>
        </w:rPr>
        <w:t>custear as despesas decorrentes do benefício de vale transporte, assegurado aos servidores pelo Decreto Municipal nº 041/2003, retificado pelo Decreto Municipal nº 028/2005 e Lei Municipal nº 564/2009, no exercício de 2025 (CATSERV 6470)</w:t>
      </w:r>
      <w:r>
        <w:rPr>
          <w:rFonts w:cs="Arial" w:ascii="Arial" w:hAnsi="Arial"/>
          <w:bCs/>
          <w:sz w:val="24"/>
          <w:szCs w:val="24"/>
        </w:rPr>
        <w:t xml:space="preserve">, com fulcro no art. 60, da Lei Federal nº </w:t>
      </w:r>
      <w:r>
        <w:rPr>
          <w:rFonts w:cs="Arial" w:ascii="Arial" w:hAnsi="Arial"/>
          <w:sz w:val="24"/>
          <w:szCs w:val="24"/>
        </w:rPr>
        <w:t xml:space="preserve">4.320/1964 e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 xml:space="preserve"> </w:t>
      </w: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>É de</w:t>
      </w:r>
      <w:r>
        <w:rPr>
          <w:rFonts w:eastAsia="Calibri"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 xml:space="preserve"> necessidade essencial o uso de vale-transporte por parte dos colaboradores da Prefeitura Municipal. Esta prática visa não apenas atender às demandas logísticas da equipe, mas também contribuir para a eficiência operacional, satisfação dos funcionários e responsabilidade socioambiental.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36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Muito dos colaboradores residem em áreas distantes dos locais de trabalho, e o vale-transporte é fundamental para garantir que todos tenham acesso fácil e eficiente às instalações da Prefeitura. Isso otimiza a pontualidade e a presença dos funcionários.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36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O uso do vale-transporte promove o uso do transporte público, alinhando-se aos princípios de mobilidade urbana sustentável. Contribuir para a redução do tráfego individual, além de ser uma prática ambientalmente responsável, também contribui para a mitigação de congestionamentos nas vias urbanas.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36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Essa medida visa a garantir que o transporte não seja uma barreira financeira para a participação ativa,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promovendo, assim, a inclusão e a equidade.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360"/>
        <w:jc w:val="both"/>
        <w:rPr>
          <w:rFonts w:ascii="Arial" w:hAnsi="Arial" w:eastAsia="Calibri" w:cs="Arial" w:eastAsiaTheme="minorHAnsi"/>
          <w:color w:val="000000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color w:val="000000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 xml:space="preserve">O fornecimento do vale-transporte está em conformidade com a legislação trabalhista vigente, assegurando que a Prefeitura cumpra integralmente as obrigações legais relativas ao transporte de seus colaboradores.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0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 xml:space="preserve">Portanto, é evidente que o Vale-transporte é um elemento vital para o funcionamento integrado e eficaz, impactando diretamente a qualidade de vida de nossos servidores.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360"/>
        <w:jc w:val="both"/>
        <w:rPr>
          <w:rFonts w:ascii="Arial" w:hAnsi="Arial" w:eastAsia="Calibri" w:cs="Arial" w:eastAsiaTheme="minorHAnsi"/>
          <w:color w:val="000000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color w:val="000000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Nesse contexto, </w:t>
      </w:r>
      <w:r>
        <w:rPr>
          <w:rFonts w:cs="Arial" w:ascii="Arial" w:hAnsi="Arial"/>
          <w:b/>
          <w:sz w:val="24"/>
          <w:szCs w:val="24"/>
        </w:rPr>
        <w:t>entende-se necessário custear as despesas decorrentes vale transporte relacionadas à Secretaria Municipal de Assistência Social, no exercício de 2026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bCs/>
          <w:sz w:val="24"/>
          <w:szCs w:val="24"/>
        </w:rPr>
        <w:t>em virtude do desempenho de suas atividades</w:t>
      </w:r>
      <w:r>
        <w:rPr>
          <w:rFonts w:cs="Arial" w:ascii="Arial" w:hAnsi="Arial"/>
          <w:sz w:val="24"/>
          <w:szCs w:val="24"/>
        </w:rPr>
        <w:t>, objetivando uma medida administrativa que se releva essencial à gestão eficiente e eficaz dos recursos públicos, de acordo com as diretrizes da Lei nº 14.133/2021. Essa demanda é respaldada pela premente necessidade de se garantir um direito fundamental e consequente funcionamento pleno das atividades desempenhadas pela Secretaria em questão.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36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Todavia, em regra, segundo o art. 60 da Lei Federal nº 4.320/1964, não se podem realizar despesas sem prévio empenho. Outrossim, considerando a aproximação da abertura de um novo exercício financeiro, qual seja de 2025, </w:t>
      </w:r>
      <w:r>
        <w:rPr>
          <w:rFonts w:cs="Arial" w:ascii="Arial" w:hAnsi="Arial"/>
          <w:b/>
          <w:sz w:val="24"/>
          <w:szCs w:val="24"/>
        </w:rPr>
        <w:t>é essencial que a Administração estime</w:t>
      </w:r>
      <w:r>
        <w:rPr>
          <w:rFonts w:cs="Arial" w:ascii="Arial" w:hAnsi="Arial"/>
          <w:sz w:val="24"/>
          <w:szCs w:val="24"/>
        </w:rPr>
        <w:t xml:space="preserve">, com bases nas despesas dos últimos 12 (doze) meses, </w:t>
      </w:r>
      <w:r>
        <w:rPr>
          <w:rFonts w:cs="Arial" w:ascii="Arial" w:hAnsi="Arial"/>
          <w:b/>
          <w:sz w:val="24"/>
          <w:szCs w:val="24"/>
        </w:rPr>
        <w:t>as despesas para o próximo exercício</w:t>
      </w:r>
      <w:r>
        <w:rPr>
          <w:rFonts w:cs="Arial" w:ascii="Arial" w:hAnsi="Arial"/>
          <w:sz w:val="24"/>
          <w:szCs w:val="24"/>
        </w:rPr>
        <w:t>, para que assim, se possam empenhar os recursos estimados necessários, objetivando melhor gestão do pagamento parcelado de tais despesas.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36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2.9.</w:t>
        <w:tab/>
        <w:t xml:space="preserve">Conceitualmente, o </w:t>
      </w:r>
      <w:r>
        <w:rPr>
          <w:rFonts w:cs="Arial" w:ascii="Arial" w:hAnsi="Arial"/>
          <w:b/>
          <w:sz w:val="24"/>
          <w:szCs w:val="24"/>
        </w:rPr>
        <w:t>empenho por estimativa</w:t>
      </w:r>
      <w:r>
        <w:rPr>
          <w:rFonts w:cs="Arial" w:ascii="Arial" w:hAnsi="Arial"/>
          <w:sz w:val="24"/>
          <w:szCs w:val="24"/>
        </w:rPr>
        <w:t xml:space="preserve">, é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 (art. 60, §2º, Lei Federal nº 4.320/1964)</w:t>
      </w:r>
      <w:r>
        <w:rPr>
          <w:rFonts w:cs="Arial" w:ascii="Arial" w:hAnsi="Arial"/>
          <w:sz w:val="24"/>
          <w:szCs w:val="24"/>
        </w:rPr>
        <w:t xml:space="preserve">, como ocorre, em particular, com as contas de água, luz, gás e telefone. Desse modo, objetivando o pleno e efetivo funcionamento dos estabelecimentos integrantes da Secretaria Municipal de Administração, </w:t>
      </w:r>
      <w:r>
        <w:rPr>
          <w:rFonts w:cs="Arial" w:ascii="Arial" w:hAnsi="Arial"/>
          <w:b/>
          <w:bCs/>
          <w:sz w:val="24"/>
          <w:szCs w:val="24"/>
        </w:rPr>
        <w:t>revela-se evidente que o atendimento da demanda em questão se dará mediante empenho por estimativa</w:t>
      </w:r>
      <w:r>
        <w:rPr>
          <w:rFonts w:cs="Arial" w:ascii="Arial" w:hAnsi="Arial"/>
          <w:bCs/>
          <w:sz w:val="24"/>
          <w:szCs w:val="24"/>
        </w:rPr>
        <w:t>, dada a natureza da despesa.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2.10.</w:t>
        <w:tab/>
        <w:t xml:space="preserve">O objeto aqui 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>consignado</w:t>
      </w:r>
      <w:r>
        <w:rPr>
          <w:rFonts w:cs="Arial" w:ascii="Arial" w:hAnsi="Arial"/>
          <w:sz w:val="24"/>
          <w:szCs w:val="24"/>
        </w:rPr>
        <w:t xml:space="preserve">, objetiva, portanto, o empenho por estimativa das despesas decorrentes do consumo de água pelas unidades relativas à Secretaria Municipal de Administração, </w:t>
      </w:r>
      <w:r>
        <w:rPr>
          <w:rFonts w:cs="Arial" w:ascii="Arial" w:hAnsi="Arial"/>
          <w:bCs/>
          <w:sz w:val="24"/>
          <w:szCs w:val="24"/>
        </w:rPr>
        <w:t xml:space="preserve">com fulcro no art. 60, da Lei Federal nº </w:t>
      </w:r>
      <w:r>
        <w:rPr>
          <w:rFonts w:cs="Arial" w:ascii="Arial" w:hAnsi="Arial"/>
          <w:sz w:val="24"/>
          <w:szCs w:val="24"/>
        </w:rPr>
        <w:t xml:space="preserve">4.320/1964,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  <w:r>
        <w:rPr>
          <w:rFonts w:cs="Arial" w:ascii="Arial" w:hAnsi="Arial"/>
          <w:color w:val="FF000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Nesse sentido, a análise exaustiva da situação atual revela que a Secretaria de Assistência Social já realizou outros empenhos estimativos dessa natureza 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36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shd w:fill="auto" w:val="clear"/>
          <w:lang w:eastAsia="en-US"/>
        </w:rPr>
        <w:t>2.11.</w:t>
        <w:tab/>
        <w:t>Com base nesses dados históricos, torna-se patente que empenho estimativo para custear as despesas decorrentes em questão, constitui um reflexo da inafastável responsabilidade da Secretaria Municipal de Assistência Social com o dever de zelar pela economicidade na gestão dos recursos públicos (art. 70, CF/88). Tal empenho, ainda, atende ao mandamento constitucional que impõe ao Estado o dever de garantir o acesso universal e igualitário à saúde (art. 196, CF/88), reforçando, assim, a imperiosa necessidade do pleno e efetivo funcionamento das unidades inerentes à Secretaria Municipal de Assistência Social 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  <w:highlight w:val="none"/>
          <w:shd w:fill="FFFF00" w:val="clear"/>
        </w:rPr>
      </w:pPr>
      <w:r>
        <w:rPr>
          <w:rFonts w:cs="Arial" w:ascii="Arial" w:hAnsi="Arial"/>
          <w:sz w:val="24"/>
          <w:szCs w:val="24"/>
          <w:shd w:fill="FFFF00" w:val="clear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Não se aplica a presente contratação.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PREVISÃO DE DATA EM QUE DEVE SER INICIADA A CONCLUSÃO DA CONTRATAÇÃO OU REQUISIÇÃO DO BEM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concretização do empenho em questão </w:t>
      </w:r>
      <w:r>
        <w:rPr>
          <w:rFonts w:cs="Arial" w:ascii="Arial" w:hAnsi="Arial"/>
          <w:b/>
          <w:sz w:val="24"/>
          <w:szCs w:val="24"/>
        </w:rPr>
        <w:t>deverá ocorrer, preferencialmente, no mês de janeiro de 2026</w:t>
      </w:r>
      <w:r>
        <w:rPr>
          <w:rFonts w:cs="Arial" w:ascii="Arial" w:hAnsi="Arial"/>
          <w:sz w:val="24"/>
          <w:szCs w:val="24"/>
        </w:rPr>
        <w:t xml:space="preserve">, com vigência programada para o custeio das despesas relativas a oferta do benefício de vale transporte aos servidores da Secretaria Municipal de Assistência Social, no período de 01/01/2026 a 31/12/2026, já estando contemplado no </w:t>
      </w:r>
      <w:r>
        <w:rPr>
          <w:rFonts w:cs="Arial" w:ascii="Arial" w:hAnsi="Arial"/>
          <w:b/>
          <w:sz w:val="24"/>
          <w:szCs w:val="24"/>
        </w:rPr>
        <w:t>Plano Anual de Contratações (PAC) 202</w:t>
      </w:r>
      <w:r>
        <w:rPr>
          <w:rFonts w:cs="Arial" w:ascii="Arial" w:hAnsi="Arial"/>
          <w:b/>
          <w:sz w:val="24"/>
          <w:szCs w:val="24"/>
        </w:rPr>
        <w:t>6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 DISPENSABILIDADE DE ESTUDO TÉCNICO PRELIMINAR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dispensa do Estudo Técnico Preliminar (ETP), neste caso, fundamenta-se em uma série de circunstâncias específicas e de ordem jurídica. Veja, inicialmente, a Lei Federal nº 4.320/1964 dispõe em seu art. 60, que é </w:t>
      </w:r>
      <w:r>
        <w:rPr>
          <w:rFonts w:cs="Arial" w:ascii="Arial" w:hAnsi="Arial"/>
          <w:b/>
          <w:sz w:val="24"/>
          <w:szCs w:val="24"/>
        </w:rPr>
        <w:t>vedada a realização de despesas sem prévio empenho.</w:t>
      </w:r>
      <w:r>
        <w:rPr>
          <w:rFonts w:cs="Arial" w:ascii="Arial" w:hAnsi="Arial"/>
          <w:sz w:val="24"/>
          <w:szCs w:val="24"/>
        </w:rPr>
        <w:t xml:space="preserve"> O empenho, conceitualmente, trata-se do primeiro estágio da execução da despesa pública, o qual se caracteriza como um ato emanado da autoridade competente que compromete parcela de dotação orçamentária disponível, funcionando como uma garantia ao credor do ente público de que existe o crédito necessário para a liquidação de um compromisso assumido (art. 58, LRF).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Nessa perspectiva, o art. 60, §2º, da Lei Federal nº 4.320/1964, disciplina que, nas hipóteses de o montante da despesa não for possível ser determinado, será feito o </w:t>
      </w:r>
      <w:r>
        <w:rPr>
          <w:rFonts w:cs="Arial" w:ascii="Arial" w:hAnsi="Arial"/>
          <w:b/>
          <w:sz w:val="24"/>
          <w:szCs w:val="24"/>
        </w:rPr>
        <w:t>empenho por estimativa.</w:t>
      </w:r>
      <w:r>
        <w:rPr>
          <w:rFonts w:cs="Arial" w:ascii="Arial" w:hAnsi="Arial"/>
          <w:sz w:val="24"/>
          <w:szCs w:val="24"/>
        </w:rPr>
        <w:t xml:space="preserve"> Tem-se, portanto, como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</w:t>
      </w:r>
      <w:r>
        <w:rPr>
          <w:rFonts w:cs="Arial" w:ascii="Arial" w:hAnsi="Arial"/>
          <w:sz w:val="24"/>
          <w:szCs w:val="24"/>
        </w:rPr>
        <w:t>, como ocorre, em particular, com as contas de água, luz, gás e telefone.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Ademais, no âmbito da Lei Municipal nº 564/2009, ao que se refere a manutenção dos órgãos de saúde, é possível destacar a importância d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o benefício do vale transporte, fornecido aos servidores municipais. Vejamos, a respectiva norma assevera que o vale transporte constitui benefício que o Município antecipará aos servidores, destinado ao custeio parcial das despesas de deslocamento da residência ao trabalho, </w:t>
      </w:r>
      <w:r>
        <w:rPr>
          <w:rFonts w:eastAsia="Calibri" w:cs="Arial" w:ascii="Arial" w:hAnsi="Arial" w:eastAsiaTheme="minorHAnsi"/>
          <w:b/>
          <w:sz w:val="24"/>
          <w:szCs w:val="24"/>
          <w:lang w:eastAsia="en-US"/>
        </w:rPr>
        <w:t>através do sistema de transporte público, geridos diretamente ou mediante concessão ou permissão de linhas regulares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 (art. 171, Lei Municipal nº 564/2009).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eastAsia="Calibri" w:cs="Arial" w:eastAsiaTheme="minorHAnsi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A concessão desse benefício se reveste de indiscutível importância no contexto jurídico-administrativo de mitigar as dificuldades financeiras e logísticas enfrentadas pelos servidores para alcançar seus postos de trabalho Desse modo, o art. 174 do Estatuto dos Servidores, estabelece que </w:t>
      </w:r>
      <w:r>
        <w:rPr>
          <w:rFonts w:eastAsia="Calibri" w:cs="Arial" w:ascii="Arial" w:hAnsi="Arial" w:eastAsiaTheme="minorHAnsi"/>
          <w:b/>
          <w:sz w:val="24"/>
          <w:szCs w:val="24"/>
          <w:lang w:eastAsia="en-US"/>
        </w:rPr>
        <w:t>cada Poder ou Entidade de origem do servidor será responsável por subsidiar o que exceder a cota de responsabilidade deste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 (art. 174, II, Lei Municipal nº 564/2009).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eastAsia="Calibri" w:cs="Arial" w:eastAsiaTheme="minorHAnsi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Assim, por consequência, dada à natureza do objeto em questão, </w:t>
      </w:r>
      <w:r>
        <w:rPr>
          <w:rFonts w:cs="Arial" w:ascii="Arial" w:hAnsi="Arial"/>
          <w:b/>
          <w:sz w:val="24"/>
          <w:szCs w:val="24"/>
        </w:rPr>
        <w:t>dispensa-se a elaboração do Estudo Técnico Preliminar (ETP)</w:t>
      </w:r>
      <w:r>
        <w:rPr>
          <w:rFonts w:cs="Arial" w:ascii="Arial" w:hAnsi="Arial"/>
          <w:sz w:val="24"/>
          <w:szCs w:val="24"/>
        </w:rPr>
        <w:t xml:space="preserve">, vez que a </w:t>
      </w:r>
      <w:r>
        <w:rPr>
          <w:rFonts w:cs="Arial" w:ascii="Arial" w:hAnsi="Arial"/>
          <w:b/>
          <w:sz w:val="24"/>
          <w:szCs w:val="24"/>
        </w:rPr>
        <w:t>solução adequada</w:t>
      </w:r>
      <w:r>
        <w:rPr>
          <w:rFonts w:cs="Arial" w:ascii="Arial" w:hAnsi="Arial"/>
          <w:sz w:val="24"/>
          <w:szCs w:val="24"/>
        </w:rPr>
        <w:t xml:space="preserve"> para o custeio da oferta do benefício de vale transporte aos servidores da Secretaria Municipal de Assistência Social é dada pela norma primária e secundária municipal, qual seja, por consequência, </w:t>
      </w:r>
      <w:r>
        <w:rPr>
          <w:rFonts w:cs="Arial" w:ascii="Arial" w:hAnsi="Arial"/>
          <w:b/>
          <w:sz w:val="24"/>
          <w:szCs w:val="24"/>
        </w:rPr>
        <w:t>a realização de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>empenho</w:t>
      </w:r>
      <w:r>
        <w:rPr>
          <w:rFonts w:cs="Arial" w:ascii="Arial" w:hAnsi="Arial"/>
          <w:bCs/>
          <w:sz w:val="24"/>
          <w:szCs w:val="24"/>
        </w:rPr>
        <w:t xml:space="preserve">, com fulcro no art. 60, da Lei Federal nº </w:t>
      </w:r>
      <w:r>
        <w:rPr>
          <w:rFonts w:cs="Arial" w:ascii="Arial" w:hAnsi="Arial"/>
          <w:sz w:val="24"/>
          <w:szCs w:val="24"/>
        </w:rPr>
        <w:t xml:space="preserve">4.320/1964 e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DADOS DE ASSINATURAS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Gestor da Unidade Requisitante: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b/>
          <w:color w:themeColor="dark1" w:val="000000"/>
          <w:kern w:val="0"/>
          <w:sz w:val="24"/>
          <w:szCs w:val="24"/>
          <w:shd w:fill="auto" w:val="clear"/>
          <w:lang w:val="pt-BR" w:bidi="ar-SA"/>
        </w:rPr>
        <w:t>Fernanda Alves da Silva Ferrari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spacing w:beforeAutospacing="0" w:before="0" w:afterAutospacing="0" w:after="0"/>
        <w:jc w:val="right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São Roque do Canaã/ES</w:t>
      </w:r>
      <w:r>
        <w:rPr>
          <w:rFonts w:cs="Arial" w:ascii="Arial" w:hAnsi="Arial"/>
          <w:sz w:val="24"/>
          <w:szCs w:val="24"/>
        </w:rPr>
        <w:t>, 08 de janeiro de 2026.</w:t>
      </w:r>
    </w:p>
    <w:tbl>
      <w:tblPr>
        <w:tblStyle w:val="Tabelacomgrade"/>
        <w:tblW w:w="907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/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b/>
                <w:color w:themeColor="dark1" w:val="000000"/>
                <w:kern w:val="0"/>
                <w:sz w:val="24"/>
                <w:szCs w:val="24"/>
                <w:shd w:fill="auto" w:val="clear"/>
                <w:lang w:val="pt-BR" w:bidi="ar-SA"/>
              </w:rPr>
              <w:t>Fernanda Alves da Silva Ferrari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color w:themeColor="dark1" w:val="000000"/>
                <w:kern w:val="0"/>
                <w:sz w:val="24"/>
                <w:szCs w:val="24"/>
                <w:shd w:fill="auto" w:val="clear"/>
                <w:lang w:val="pt-BR" w:bidi="ar-SA"/>
              </w:rPr>
              <w:t>Secretária Municipal de Assistência Social</w:t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 São Roquinho, São Roque do Canaã/ES, CEP: 29665-000</w:t>
    </w:r>
  </w:p>
  <w:p>
    <w:pPr>
      <w:pStyle w:val="Footer"/>
      <w:jc w:val="center"/>
      <w:rPr/>
    </w:pPr>
    <w:r>
      <w:rPr>
        <w:rFonts w:cs="Arial" w:ascii="Arial" w:hAnsi="Arial"/>
        <w:sz w:val="20"/>
        <w:szCs w:val="16"/>
      </w:rPr>
      <w:t>Telefone: (27) 3729-1120 | E-mail: Assistenciasocial@saoroquedocanaa.es.gov.br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 São Roquinho, São Roque do Canaã/ES, CEP: 29665-000</w:t>
    </w:r>
  </w:p>
  <w:p>
    <w:pPr>
      <w:pStyle w:val="Footer"/>
      <w:jc w:val="center"/>
      <w:rPr/>
    </w:pPr>
    <w:r>
      <w:rPr>
        <w:rFonts w:cs="Arial" w:ascii="Arial" w:hAnsi="Arial"/>
        <w:sz w:val="20"/>
        <w:szCs w:val="16"/>
      </w:rPr>
      <w:t>Telefone: (27) 3729-1120 | E-mail: Assistenciasocial@saoroquedocanaa.es.gov.br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ASSISTÊNCIA SOCIAL</w:t>
    </w:r>
  </w:p>
  <w:p>
    <w:pPr>
      <w:pStyle w:val="Subtitle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2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ASSISTÊNCIA SOCIAL</w:t>
    </w:r>
  </w:p>
  <w:p>
    <w:pPr>
      <w:pStyle w:val="Subtitle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i w:val="false"/>
        <w:b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0a2c0f"/>
    <w:rPr>
      <w:color w:themeColor="hyperlink" w:val="0563C1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PargrafodaListaChar" w:customStyle="1">
    <w:name w:val="Parágrafo da Lista Char"/>
    <w:link w:val="ListParagraph"/>
    <w:qFormat/>
    <w:locked/>
    <w:rsid w:val="006876f3"/>
    <w:rPr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600a63"/>
    <w:rPr>
      <w:b/>
      <w:bCs/>
    </w:rPr>
  </w:style>
  <w:style w:type="character" w:styleId="TtuloChar" w:customStyle="1">
    <w:name w:val="Título Char"/>
    <w:basedOn w:val="DefaultParagraphFont"/>
    <w:qFormat/>
    <w:rsid w:val="000f068c"/>
    <w:rPr>
      <w:rFonts w:ascii="Cambria" w:hAnsi="Cambria" w:eastAsia="Times New Roman" w:cs="Times New Roman"/>
      <w:b/>
      <w:kern w:val="2"/>
      <w:sz w:val="32"/>
    </w:rPr>
  </w:style>
  <w:style w:type="character" w:styleId="Corpodetexto3Char" w:customStyle="1">
    <w:name w:val="Corpo de texto 3 Char"/>
    <w:basedOn w:val="DefaultParagraphFont"/>
    <w:link w:val="BodyText3"/>
    <w:qFormat/>
    <w:rsid w:val="000f068c"/>
    <w:rPr>
      <w:rFonts w:ascii="Times New Roman" w:hAnsi="Times New Roman" w:eastAsia="Times New Roman" w:cs="Times New Roman"/>
      <w:sz w:val="16"/>
      <w:szCs w:val="16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sid w:val="003e5cca"/>
    <w:rPr>
      <w:lang w:eastAsia="en-US"/>
    </w:rPr>
  </w:style>
  <w:style w:type="character" w:styleId="Caracteresdenotaderodap">
    <w:name w:val="Caracteres de nota de rodapé"/>
    <w:uiPriority w:val="99"/>
    <w:semiHidden/>
    <w:unhideWhenUsed/>
    <w:qFormat/>
    <w:rsid w:val="003e5cca"/>
    <w:rPr>
      <w:vertAlign w:val="superscript"/>
    </w:rPr>
  </w:style>
  <w:style w:type="character" w:styleId="Caracteresdenotaderodapuser">
    <w:name w:val="Caracteres de nota de rodapé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Caracteresdenotadefimuser">
    <w:name w:val="Caracteres de nota de fim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Smbolosdenumerao">
    <w:name w:val="Símbolos de numeração"/>
    <w:qFormat/>
    <w:rPr/>
  </w:style>
  <w:style w:type="character" w:styleId="EndnoteCharacters">
    <w:name w:val="Endnote Characters"/>
    <w:qFormat/>
    <w:rPr>
      <w:vertAlign w:val="superscript"/>
    </w:rPr>
  </w:style>
  <w:style w:type="character" w:styleId="FootnoteCharacters">
    <w:name w:val="Footnote Characters"/>
    <w:qFormat/>
    <w:rPr>
      <w:rFonts w:ascii="Times New Roman" w:hAnsi="Times New Roman" w:eastAsia="Times New Roman" w:cs="Times New Roman"/>
      <w:color w:val="000000"/>
      <w:sz w:val="24"/>
      <w:szCs w:val="24"/>
      <w:vertAlign w:val="superscri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Header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-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itle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0b28e5"/>
    <w:pPr>
      <w:spacing w:before="0" w:after="160"/>
      <w:ind w:hanging="0" w:left="72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Title">
    <w:name w:val="Title"/>
    <w:basedOn w:val="Normal"/>
    <w:link w:val="TtuloChar"/>
    <w:qFormat/>
    <w:rsid w:val="000f068c"/>
    <w:pPr>
      <w:spacing w:lineRule="auto" w:line="240" w:before="0" w:after="0"/>
      <w:jc w:val="center"/>
    </w:pPr>
    <w:rPr>
      <w:rFonts w:ascii="Cambria" w:hAnsi="Cambria" w:eastAsia="Times New Roman" w:cs="Times New Roman"/>
      <w:b/>
      <w:kern w:val="2"/>
      <w:sz w:val="32"/>
      <w:szCs w:val="20"/>
      <w:lang w:eastAsia="pt-BR"/>
    </w:rPr>
  </w:style>
  <w:style w:type="paragraph" w:styleId="BodyText3">
    <w:name w:val="Body Text 3"/>
    <w:basedOn w:val="Normal"/>
    <w:link w:val="Corpodetexto3Char"/>
    <w:qFormat/>
    <w:rsid w:val="000f068c"/>
    <w:pPr>
      <w:spacing w:lineRule="auto" w:line="240" w:before="0" w:after="120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3e5cca"/>
    <w:pPr>
      <w:spacing w:lineRule="auto" w:line="240" w:before="0" w:after="0"/>
    </w:pPr>
    <w:rPr>
      <w:sz w:val="20"/>
      <w:szCs w:val="20"/>
    </w:rPr>
  </w:style>
  <w:style w:type="paragraph" w:styleId="western" w:customStyle="1">
    <w:name w:val="western"/>
    <w:basedOn w:val="Normal"/>
    <w:qFormat/>
    <w:rsid w:val="00937713"/>
    <w:pPr>
      <w:spacing w:lineRule="auto" w:line="240" w:beforeAutospacing="1" w:after="119"/>
    </w:pPr>
    <w:rPr>
      <w:rFonts w:ascii="Times New Roman" w:hAnsi="Times New Roman" w:eastAsia="Times New Roman" w:cs="Times New Roman"/>
      <w:color w:val="000000"/>
      <w:sz w:val="24"/>
      <w:szCs w:val="24"/>
      <w:lang w:eastAsia="pt-BR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12B63-2EFC-4BFD-819C-BAB8E8304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Application>LibreOffice/25.2.7.2$Windows_X86_64 LibreOffice_project/5cbfd1ab6520636bb5f7b99185aa69bd7456825d</Application>
  <AppVersion>15.0000</AppVersion>
  <Pages>4</Pages>
  <Words>1387</Words>
  <Characters>8025</Characters>
  <CharactersWithSpaces>9351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dc:description/>
  <dc:language>pt-BR</dc:language>
  <cp:lastModifiedBy/>
  <cp:lastPrinted>2026-01-09T09:31:11Z</cp:lastPrinted>
  <dcterms:modified xsi:type="dcterms:W3CDTF">2026-01-09T09:33:26Z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