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DFD/SMOSU Nº. 014/2025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Municipal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Água – CESAN 2026 – CATSERV 22845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Obras e Serviços Urbanos.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o servidor </w:t>
      </w:r>
      <w:r>
        <w:rPr>
          <w:rFonts w:cs="Arial" w:ascii="Arial" w:hAnsi="Arial"/>
          <w:b/>
          <w:bCs/>
          <w:sz w:val="24"/>
          <w:szCs w:val="24"/>
        </w:rPr>
        <w:t>Junior Priori Perinni</w:t>
      </w:r>
      <w:r>
        <w:rPr>
          <w:rFonts w:cs="Arial" w:ascii="Arial" w:hAnsi="Arial"/>
          <w:bCs/>
          <w:sz w:val="24"/>
          <w:szCs w:val="24"/>
        </w:rPr>
        <w:t>, ocupante do cargo de Secretário Municipal de Obras e Serviços Urbanos,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O</w:t>
      </w:r>
      <w:r>
        <w:rPr>
          <w:rFonts w:cs="Arial" w:ascii="Arial" w:hAnsi="Arial"/>
          <w:bCs/>
          <w:color w:val="000000"/>
          <w:sz w:val="24"/>
          <w:szCs w:val="24"/>
        </w:rPr>
        <w:t>s contatos com a unidade requisitante podem ser realizados pelo e-mail: obras@saoroquedocanaa.es.gov.br. ou por meio do atendimento presencial, na sede localizada na Rua João Vago, 333, Centro, São Roque do Canaã/ES, CEP nº 29.665-000.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consumo de água pelas unidades relacionadas à Secretaria Municipal de Obras e Serviços Urbanos, no exercício de 2026</w:t>
      </w:r>
      <w:r>
        <w:rPr>
          <w:rFonts w:cs="Arial" w:ascii="Arial" w:hAnsi="Arial"/>
          <w:bCs/>
          <w:sz w:val="24"/>
          <w:szCs w:val="24"/>
        </w:rPr>
        <w:t xml:space="preserve">, (CATSERV 22845) em virtude do desempenho de suas atividades,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à saúde. A ausência ou interrupção, por sua vez, do abastecimento hídrico não apenas vulnera a dignidade da pessoa humana, mas, também compromete de maneira direta o alcance pleno do direito constitucionalmente, interrompendo a prestação de serviços.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36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De igual modo, na ordem jurídica brasileira,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 xml:space="preserve">a garantia do fornecimento contínuo de água emerge como um direito fundamental, intrinsecamente vinculado ao direito.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36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do consumo de água pelas unidades relacionadas à Secretaria Municipal de Obras e Serviços Urbanos, no exercício de 2026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2026,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2.8.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Obras e Serviços Urbanos,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shd w:fill="auto" w:val="clear"/>
        </w:rPr>
        <w:t>2.9.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>consignado</w:t>
      </w:r>
      <w:r>
        <w:rPr>
          <w:rFonts w:cs="Arial" w:ascii="Arial" w:hAnsi="Arial"/>
          <w:sz w:val="24"/>
          <w:szCs w:val="24"/>
          <w:shd w:fill="auto" w:val="clear"/>
        </w:rPr>
        <w:t xml:space="preserve">, objetiva, portanto, o empenho por estimativa das despesas decorrentes do consumo de água pelas unidades relativas à Secretaria Municipal de Obras e Serviços Urbanos, </w:t>
      </w:r>
      <w:r>
        <w:rPr>
          <w:rFonts w:cs="Arial" w:ascii="Arial" w:hAnsi="Arial"/>
          <w:bCs/>
          <w:sz w:val="24"/>
          <w:szCs w:val="24"/>
          <w:shd w:fill="auto" w:val="clear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  <w:shd w:fill="auto" w:val="clear"/>
        </w:rPr>
        <w:t xml:space="preserve">4.320/1964, art. 74, </w:t>
      </w:r>
      <w:r>
        <w:rPr>
          <w:rFonts w:cs="Arial" w:ascii="Arial" w:hAnsi="Arial"/>
          <w:i/>
          <w:sz w:val="24"/>
          <w:szCs w:val="24"/>
          <w:shd w:fill="auto" w:val="clear"/>
        </w:rPr>
        <w:t>caput</w:t>
      </w:r>
      <w:r>
        <w:rPr>
          <w:rFonts w:cs="Arial" w:ascii="Arial" w:hAnsi="Arial"/>
          <w:sz w:val="24"/>
          <w:szCs w:val="24"/>
          <w:shd w:fill="auto" w:val="clear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  <w:shd w:fill="auto" w:val="clear"/>
        </w:rPr>
        <w:t xml:space="preserve"> </w:t>
      </w:r>
      <w:r>
        <w:rPr>
          <w:rFonts w:cs="Arial" w:ascii="Arial" w:hAnsi="Arial"/>
          <w:sz w:val="24"/>
          <w:szCs w:val="24"/>
          <w:shd w:fill="auto" w:val="clear"/>
        </w:rPr>
        <w:t>Nesse sentido, a análise exaustiva da situação atual revela que a Secretaria Municipal de Obras e Serviços Urbanos já realizou outros empenhos estimativos dessa natureza e, inclusive, quanto ao objeto aqui destacado, pode-se citar por meio dos seguintes instrumentos: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a) </w:t>
      </w:r>
      <w:r>
        <w:rPr>
          <w:rFonts w:cs="Arial" w:ascii="Arial" w:hAnsi="Arial"/>
          <w:b/>
          <w:bCs/>
          <w:sz w:val="24"/>
          <w:szCs w:val="24"/>
        </w:rPr>
        <w:t>SMOSU/SRC MEMO Nº 003/2021</w:t>
      </w:r>
      <w:r>
        <w:rPr>
          <w:rFonts w:cs="Arial" w:ascii="Arial" w:hAnsi="Arial"/>
          <w:sz w:val="24"/>
          <w:szCs w:val="24"/>
        </w:rPr>
        <w:t xml:space="preserve">  – </w:t>
      </w:r>
      <w:r>
        <w:rPr>
          <w:rFonts w:cs="Arial" w:ascii="Arial" w:hAnsi="Arial"/>
          <w:b w:val="false"/>
          <w:bCs w:val="false"/>
          <w:sz w:val="24"/>
          <w:szCs w:val="24"/>
        </w:rPr>
        <w:t>Empenho estimativo, CESAN 2021;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b) </w:t>
      </w:r>
      <w:r>
        <w:rPr>
          <w:rFonts w:cs="Arial" w:ascii="Arial" w:hAnsi="Arial"/>
          <w:b/>
          <w:sz w:val="24"/>
          <w:szCs w:val="24"/>
        </w:rPr>
        <w:t xml:space="preserve">SMOSU/SRC MEMO Nº 190/2021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estimativo, CESAN 2021;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c) </w:t>
      </w:r>
      <w:r>
        <w:rPr>
          <w:rFonts w:cs="Arial" w:ascii="Arial" w:hAnsi="Arial"/>
          <w:b/>
          <w:sz w:val="24"/>
          <w:szCs w:val="24"/>
        </w:rPr>
        <w:t xml:space="preserve">SMOSU/SRC MEMO Nº 118/2022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estimativo, CESAN 2022;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d) </w:t>
      </w:r>
      <w:r>
        <w:rPr>
          <w:rFonts w:cs="Arial" w:ascii="Arial" w:hAnsi="Arial"/>
          <w:b/>
          <w:bCs w:val="false"/>
          <w:sz w:val="24"/>
          <w:szCs w:val="24"/>
        </w:rPr>
        <w:t xml:space="preserve">SMOSU/SRC MEMO Nº 010/2023 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estimativo, CESAN 2023;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e) </w:t>
      </w:r>
      <w:r>
        <w:rPr>
          <w:rFonts w:cs="Arial" w:ascii="Arial" w:hAnsi="Arial"/>
          <w:b/>
          <w:bCs/>
          <w:sz w:val="24"/>
          <w:szCs w:val="24"/>
        </w:rPr>
        <w:t>SMOSU/SRC DFD Nº 003/2024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 CESAN 2024;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f) </w:t>
      </w:r>
      <w:r>
        <w:rPr>
          <w:rFonts w:cs="Arial" w:ascii="Arial" w:hAnsi="Arial"/>
          <w:b/>
          <w:bCs/>
          <w:sz w:val="24"/>
          <w:szCs w:val="24"/>
        </w:rPr>
        <w:t>SMOSU/SRC DFD Nº 020/2024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 CESAN 2024;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g) </w:t>
      </w:r>
      <w:r>
        <w:rPr>
          <w:rFonts w:cs="Arial" w:ascii="Arial" w:hAnsi="Arial"/>
          <w:b/>
          <w:bCs/>
          <w:sz w:val="24"/>
          <w:szCs w:val="24"/>
        </w:rPr>
        <w:t>SMOSU/SRC DFD Nº 029/2024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 CESAN 2024;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h) </w:t>
      </w:r>
      <w:r>
        <w:rPr>
          <w:rFonts w:cs="Arial" w:ascii="Arial" w:hAnsi="Arial"/>
          <w:b/>
          <w:bCs/>
          <w:sz w:val="24"/>
          <w:szCs w:val="24"/>
        </w:rPr>
        <w:t>SMOSU/SRC DFD Nº 009/2025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estimativo CESAN 2025;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2.10</w:t>
        <w:tab/>
        <w:t xml:space="preserve">Com base nesses dados históricos, torna-se patente que empenho estimativo para custear as despesas decorrentes do consumo de água em questão, constitui um reflexo da inafastável responsabilidade da Secretaria </w:t>
      </w:r>
      <w:r>
        <w:rPr>
          <w:rFonts w:eastAsia="Calibri" w:cs="Arial" w:ascii="Arial" w:hAnsi="Arial"/>
          <w:sz w:val="24"/>
          <w:szCs w:val="24"/>
          <w:shd w:fill="auto" w:val="clear"/>
          <w:lang w:eastAsia="en-US"/>
        </w:rPr>
        <w:t>Municipal de Obras e Serviços Urbanos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com a promoção desse direito, em consonância ao princípio constitucional da eficiência (art. 37, CF/88) e com o dever de zelar pela economicidade na gestão dos recursos públicos (art. 70, CF/88). 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2026</w:t>
      </w:r>
      <w:r>
        <w:rPr>
          <w:rFonts w:cs="Arial" w:ascii="Arial" w:hAnsi="Arial"/>
          <w:sz w:val="24"/>
          <w:szCs w:val="24"/>
        </w:rPr>
        <w:t>, com vigência programada para o custeio das despesas relativas ao consumo de água no período de 05/01/2026 a 31/12/2026.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presente contratação não está incluída no Plano Anual de Contratações 2026, o qual deverá ser alterado, para que se conste a presente previsão.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determina a inexigibilidade de licitação nas hipóteses de ser inviável a competição. Desse modo, com celebrado entre o Município de São Roque do Canaã e a Companhia Espírito Santense de Saneamento – CESAN no âmbito do Plano de Saneamento Básico, cuja vigência é de 30 (trinta) anos, conforme cláusula primeira torna-se evidente a exceção à regra.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água pelas unidades relativas à Secretaria Municipal de Obras e Serviços Urbanos,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/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J</w:t>
      </w:r>
      <w:r>
        <w:rPr>
          <w:rFonts w:cs="Arial" w:ascii="Arial" w:hAnsi="Arial"/>
          <w:sz w:val="24"/>
          <w:szCs w:val="24"/>
        </w:rPr>
        <w:t>Ú</w:t>
      </w:r>
      <w:r>
        <w:rPr>
          <w:rFonts w:cs="Arial" w:ascii="Arial" w:hAnsi="Arial"/>
          <w:sz w:val="24"/>
          <w:szCs w:val="24"/>
        </w:rPr>
        <w:t>NIOR PRIORI PERINNI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/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 19 de dezembro de 2025.</w:t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/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/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/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/>
      </w:r>
    </w:p>
    <w:p>
      <w:pPr>
        <w:pStyle w:val="NormalWeb"/>
        <w:spacing w:beforeAutospacing="0" w:before="0" w:afterAutospacing="0" w:after="0"/>
        <w:jc w:val="center"/>
        <w:rPr>
          <w:rFonts w:ascii="Arial" w:hAnsi="Arial" w:cs="Arial"/>
          <w:sz w:val="24"/>
          <w:szCs w:val="24"/>
        </w:rPr>
      </w:pPr>
      <w:r>
        <w:rPr>
          <w:b/>
          <w:bCs/>
        </w:rPr>
      </w:r>
    </w:p>
    <w:p>
      <w:pPr>
        <w:pStyle w:val="NormalWeb"/>
        <w:spacing w:beforeAutospacing="0" w:before="0" w:afterAutospacing="0" w:after="0"/>
        <w:jc w:val="center"/>
        <w:rPr>
          <w:b/>
          <w:bCs/>
        </w:rPr>
      </w:pPr>
      <w:r>
        <w:rPr>
          <w:rFonts w:cs="Arial" w:ascii="Arial" w:hAnsi="Arial"/>
          <w:b/>
          <w:bCs/>
          <w:sz w:val="24"/>
          <w:szCs w:val="24"/>
        </w:rPr>
        <w:t>JÚNIOR PRIORI PERINNI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134" w:gutter="0" w:header="709" w:top="1701" w:footer="709" w:bottom="1134"/>
          <w:pgNumType w:fmt="decimal"/>
          <w:formProt w:val="false"/>
          <w:textDirection w:val="lrTb"/>
          <w:docGrid w:type="default" w:linePitch="360" w:charSpace="0"/>
        </w:sectPr>
        <w:pStyle w:val="NormalWeb"/>
        <w:spacing w:beforeAutospacing="0" w:before="0" w:afterAutospacing="0" w:after="0"/>
        <w:jc w:val="center"/>
        <w:rPr/>
      </w:pPr>
      <w:r>
        <w:rPr>
          <w:rFonts w:cs="Arial" w:ascii="Arial" w:hAnsi="Arial"/>
          <w:sz w:val="24"/>
          <w:szCs w:val="24"/>
        </w:rPr>
        <w:t>Secretário Municipal de Obras e Serviços Urbanos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</w:t>
    </w:r>
    <w:r>
      <w:rPr>
        <w:rFonts w:cs="Arial" w:ascii="Arial" w:hAnsi="Arial"/>
        <w:sz w:val="20"/>
        <w:szCs w:val="16"/>
      </w:rPr>
      <w:t xml:space="preserve"> obras@saoroquedocanaa.es.gov.br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bCs/>
        <w:i/>
        <w:color w:val="000000"/>
        <w:sz w:val="20"/>
        <w:szCs w:val="16"/>
      </w:rPr>
      <w:t>Telefone: (27) 3729-1120 | E-mail:</w:t>
    </w:r>
    <w:r>
      <w:rPr>
        <w:rFonts w:cs="Arial" w:ascii="Arial" w:hAnsi="Arial"/>
        <w:sz w:val="20"/>
        <w:szCs w:val="16"/>
      </w:rPr>
      <w:t xml:space="preserve"> obras@saoroquedocanaa.es.gov.br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OBRAS E SERVIÇOS URBANOS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OBRAS E SERVIÇOS URBANOS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Application>LibreOffice/7.6.4.1$Windows_X86_64 LibreOffice_project/e19e193f88cd6c0525a17fb7a176ed8e6a3e2aa1</Application>
  <AppVersion>15.0000</AppVersion>
  <Pages>6</Pages>
  <Words>1431</Words>
  <Characters>8048</Characters>
  <CharactersWithSpaces>9424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2025-12-31T10:20:21Z</cp:lastPrinted>
  <dcterms:modified xsi:type="dcterms:W3CDTF">2025-12-31T10:20:38Z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