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cs="Arial" w:ascii="Arial" w:hAnsi="Arial"/>
          <w:b/>
        </w:rPr>
        <w:t>TERMO DE REFERÊNCIA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DESCRIÇÃO DO OBJETO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2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Constitui objeto do presente Termo de Referência, estabelecer as condições e diretrizes que disciplinarão o empenho estimativo para </w:t>
      </w:r>
      <w:r>
        <w:rPr>
          <w:rFonts w:cs="Arial" w:ascii="Arial" w:hAnsi="Arial"/>
          <w:b/>
        </w:rPr>
        <w:t>c</w:t>
      </w:r>
      <w:r>
        <w:rPr>
          <w:rFonts w:cs="Arial" w:ascii="Arial" w:hAnsi="Arial"/>
          <w:b/>
          <w:bCs/>
        </w:rPr>
        <w:t>ustear as despesas decorrentes aos depósitos bancários pelas unidades relacionadas à Secretaria Municipal de Administração, no exercício de 2026</w:t>
      </w:r>
      <w:r>
        <w:rPr>
          <w:rFonts w:cs="Arial" w:ascii="Arial" w:hAnsi="Arial"/>
          <w:bCs/>
        </w:rPr>
        <w:t xml:space="preserve">, o qual será materializada em favor da empresa </w:t>
      </w:r>
      <w:r>
        <w:rPr>
          <w:rFonts w:cs="Arial" w:ascii="Arial" w:hAnsi="Arial"/>
          <w:b/>
          <w:bCs/>
          <w:sz w:val="24"/>
          <w:szCs w:val="24"/>
        </w:rPr>
        <w:t xml:space="preserve">BANCO DO BRASIL S.A, inscrito no CNPJ sob o nº </w:t>
      </w:r>
      <w:r>
        <w:rPr>
          <w:rFonts w:cs="Arial" w:ascii="Arial" w:hAnsi="Arial"/>
          <w:b/>
          <w:bCs/>
          <w:color w:val="000000"/>
          <w:sz w:val="24"/>
          <w:szCs w:val="24"/>
          <w:shd w:fill="FEFEFE" w:val="clear"/>
        </w:rPr>
        <w:t>00.000.000/3826-12</w:t>
      </w:r>
      <w:r>
        <w:rPr>
          <w:rFonts w:cs="Arial" w:ascii="Arial" w:hAnsi="Arial"/>
          <w:b/>
          <w:bCs/>
          <w:color w:val="000000"/>
          <w:shd w:fill="FEFEFE" w:val="clear"/>
        </w:rPr>
        <w:t>,</w:t>
      </w:r>
      <w:r>
        <w:rPr>
          <w:rFonts w:cs="Arial" w:ascii="Arial" w:hAnsi="Arial"/>
          <w:b/>
          <w:bCs/>
        </w:rPr>
        <w:t xml:space="preserve"> </w:t>
      </w:r>
      <w:r>
        <w:rPr>
          <w:rFonts w:cs="Arial" w:ascii="Arial" w:hAnsi="Arial"/>
          <w:bCs/>
        </w:rPr>
        <w:t xml:space="preserve">com fulcro no art. 60, da Lei Federal nº </w:t>
      </w:r>
      <w:r>
        <w:rPr>
          <w:rFonts w:cs="Arial" w:ascii="Arial" w:hAnsi="Arial"/>
        </w:rPr>
        <w:t xml:space="preserve">4.320/1964, art. 74, </w:t>
      </w:r>
      <w:r>
        <w:rPr>
          <w:rFonts w:cs="Arial" w:ascii="Arial" w:hAnsi="Arial"/>
          <w:i/>
        </w:rPr>
        <w:t>caput</w:t>
      </w:r>
      <w:r>
        <w:rPr>
          <w:rFonts w:cs="Arial" w:ascii="Arial" w:hAnsi="Arial"/>
        </w:rPr>
        <w:t>, da Lei Federal nº 14.133/2021.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VIGÊNCIA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O </w:t>
      </w:r>
      <w:r>
        <w:rPr>
          <w:rFonts w:cs="Arial" w:ascii="Arial" w:hAnsi="Arial"/>
          <w:b/>
        </w:rPr>
        <w:t>empenho estimativo</w:t>
      </w:r>
      <w:r>
        <w:rPr>
          <w:rFonts w:cs="Arial" w:ascii="Arial" w:hAnsi="Arial"/>
        </w:rPr>
        <w:t xml:space="preserve"> deverá ocorrer, preferencialmente, no mês de janeiro de 2024, com vigência programada para custeio das despesas relativas a tarifas bancárias no </w:t>
      </w:r>
      <w:r>
        <w:rPr>
          <w:rFonts w:cs="Arial" w:ascii="Arial" w:hAnsi="Arial"/>
          <w:b/>
        </w:rPr>
        <w:t>período de 05/01/2026 à 31/12/2026.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DO OBJETIVO E DA JUSTIFICATIVA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Arial" w:hAnsi="Arial" w:cs="Arial"/>
          <w:highlight w:val="yellow"/>
        </w:rPr>
      </w:pPr>
      <w:r>
        <w:rPr>
          <w:rFonts w:cs="Arial" w:ascii="Arial" w:hAnsi="Arial"/>
          <w:highlight w:val="yellow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A fundamentação pormenorizada quanto à necessidade de contratação do presente objeto pode ser encontrada no Documento de Formalização de Demanda e neste instrumento referencial, de modo que, em virtude da natureza do objeto em questão, dispensa-se a elaboração do Estudo Técnico Preliminar (ETP), conforme se passa a demonstrar.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Veja, em síntese, pode-se destacar que a dispensa do Estudo Técnico Preliminar (ETP) para a contratação em questão se fundamenta em uma série de circunstâncias específicas e de ordem jurídica, como a Lei Federal nº 4.320/1964. A respectiva norma dispõe em seu art. 60, que é </w:t>
      </w:r>
      <w:r>
        <w:rPr>
          <w:rFonts w:cs="Arial" w:ascii="Arial" w:hAnsi="Arial"/>
          <w:b/>
        </w:rPr>
        <w:t>vedada a realização de despesas sem prévio empenho.</w:t>
      </w:r>
      <w:r>
        <w:rPr>
          <w:rFonts w:cs="Arial" w:ascii="Arial" w:hAnsi="Arial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</w:rPr>
        <w:t>empenho por estimativa.</w:t>
      </w:r>
      <w:r>
        <w:rPr>
          <w:rFonts w:cs="Arial" w:ascii="Arial" w:hAnsi="Arial"/>
        </w:rPr>
        <w:t xml:space="preserve"> Tem-se, portanto, como aquele em que </w:t>
      </w:r>
      <w:r>
        <w:rPr>
          <w:rFonts w:cs="Arial" w:ascii="Arial" w:hAnsi="Arial"/>
          <w:b/>
        </w:rPr>
        <w:t>não se pode determinar previamente o montante exato a ser pago</w:t>
      </w:r>
      <w:r>
        <w:rPr>
          <w:rFonts w:cs="Arial" w:ascii="Arial" w:hAnsi="Arial"/>
        </w:rPr>
        <w:t>, como ocorre, em particular, com as contas de água, luz, gás e telefone.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Assim, por consequência, dada à natureza do objeto em questão, </w:t>
      </w:r>
      <w:r>
        <w:rPr>
          <w:rFonts w:cs="Arial" w:ascii="Arial" w:hAnsi="Arial"/>
          <w:b/>
        </w:rPr>
        <w:t>dispensa-se a elaboração do Estudo Técnico Preliminar (ETP)</w:t>
      </w:r>
      <w:r>
        <w:rPr>
          <w:rFonts w:cs="Arial" w:ascii="Arial" w:hAnsi="Arial"/>
        </w:rPr>
        <w:t xml:space="preserve">, vez que a </w:t>
      </w:r>
      <w:r>
        <w:rPr>
          <w:rFonts w:cs="Arial" w:ascii="Arial" w:hAnsi="Arial"/>
          <w:b/>
        </w:rPr>
        <w:t>solução adequada</w:t>
      </w:r>
      <w:r>
        <w:rPr>
          <w:rFonts w:cs="Arial" w:ascii="Arial" w:hAnsi="Arial"/>
        </w:rPr>
        <w:t xml:space="preserve"> para o custeio das despesas decorrentes do consumo de água pelas unidades relativas à Secretaria Municipal de Administração, </w:t>
      </w:r>
      <w:r>
        <w:rPr>
          <w:rFonts w:cs="Arial" w:ascii="Arial" w:hAnsi="Arial"/>
          <w:b/>
        </w:rPr>
        <w:t>é a realização de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b/>
        </w:rPr>
        <w:t>empenho estimativo</w:t>
      </w:r>
      <w:r>
        <w:rPr>
          <w:rFonts w:cs="Arial" w:ascii="Arial" w:hAnsi="Arial"/>
          <w:bCs/>
        </w:rPr>
        <w:t xml:space="preserve">, com fulcro no art. 60, da Lei Federal nº </w:t>
      </w:r>
      <w:r>
        <w:rPr>
          <w:rFonts w:cs="Arial" w:ascii="Arial" w:hAnsi="Arial"/>
        </w:rPr>
        <w:t xml:space="preserve">4.320/1964 e art. 74, </w:t>
      </w:r>
      <w:r>
        <w:rPr>
          <w:rFonts w:cs="Arial" w:ascii="Arial" w:hAnsi="Arial"/>
          <w:i/>
        </w:rPr>
        <w:t>caput</w:t>
      </w:r>
      <w:r>
        <w:rPr>
          <w:rFonts w:cs="Arial" w:ascii="Arial" w:hAnsi="Arial"/>
        </w:rPr>
        <w:t>, da Lei Federal nº 14.133/2021.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highlight w:val="none"/>
          <w:shd w:fill="auto" w:val="clear"/>
        </w:rPr>
      </w:pPr>
      <w:r>
        <w:rPr>
          <w:rFonts w:cs="Arial" w:ascii="Arial" w:hAnsi="Arial"/>
          <w:color w:val="000000"/>
          <w:shd w:fill="auto" w:val="clear"/>
        </w:rPr>
        <w:t xml:space="preserve">Ademais, </w:t>
      </w:r>
      <w:r>
        <w:rPr>
          <w:rFonts w:cs="Arial" w:ascii="Arial" w:hAnsi="Arial"/>
          <w:b/>
          <w:bCs/>
          <w:color w:val="000000"/>
          <w:shd w:fill="auto" w:val="clear"/>
        </w:rPr>
        <w:t>não será n</w:t>
      </w:r>
      <w:r>
        <w:rPr>
          <w:rFonts w:cs="Arial" w:ascii="Arial" w:hAnsi="Arial"/>
          <w:b/>
          <w:color w:val="000000"/>
          <w:shd w:fill="auto" w:val="clear"/>
        </w:rPr>
        <w:t>ecessária a atualização do Plano Anual de Contratações (PAC) para o exercício de 202</w:t>
      </w:r>
      <w:r>
        <w:rPr>
          <w:rFonts w:cs="Arial" w:ascii="Arial" w:hAnsi="Arial"/>
          <w:b/>
          <w:color w:val="000000"/>
          <w:shd w:fill="auto" w:val="clear"/>
        </w:rPr>
        <w:t>6.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Justificando, o presente Termo de Referência visa </w:t>
      </w:r>
      <w:r>
        <w:rPr>
          <w:rFonts w:cs="Arial" w:ascii="Arial" w:hAnsi="Arial"/>
          <w:b/>
        </w:rPr>
        <w:t xml:space="preserve">esclarecer e direcionar os procedimentos essenciais para a Inexigibilidade de Licitação e realização de Empenho por estimativa, </w:t>
      </w:r>
      <w:r>
        <w:rPr>
          <w:rFonts w:cs="Arial" w:ascii="Arial" w:hAnsi="Arial"/>
        </w:rPr>
        <w:t>de modo que, apresentam-se sugestões básicas sobre os procedimentos administrativos mais comuns nas licitações públicas municipais e o atendimento aos requisitos estabelecidos evitará equívocos nas compras e contrações a serem realizadas, em decorrência da presente demanda.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</w:t>
      </w:r>
      <w:r>
        <w:rPr>
          <w:rFonts w:cs="Arial" w:ascii="Arial" w:hAnsi="Arial"/>
        </w:rPr>
        <w:t>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DO OBJETO LICITADO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A descrição da solução como um todo se encontra pormenorizada na Lei Federal nº 14.133/2021, na Lei Federal nº 4.320/1964 e demais normativas vigentes, inclusive municipais, bem como no Documento de Formalização de Demanda</w:t>
      </w:r>
      <w:r>
        <w:rPr>
          <w:rFonts w:cs="Arial" w:ascii="Arial" w:hAnsi="Arial"/>
        </w:rPr>
        <w:t>, qual seja a inexigibilidade de licitação e a realização de empenho por estimativa para custear as despesas decorrentes do consumo de água.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A contratação será realizada em razão da necessidade de custeio das despesas decorrentes aos depósitos bancários pelas unidades relacionadas à Secretaria Municipal de Administração, no exercício de 2026, em virtude do desempenho de suas atividades.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A demanda em comento leva em conta a necessidade da Secretaria para o exercício financeiro de 2026,</w:t>
      </w:r>
      <w:r>
        <w:rPr>
          <w:rFonts w:cs="Arial" w:ascii="Arial" w:hAnsi="Arial"/>
          <w:color w:val="000000"/>
        </w:rPr>
        <w:t xml:space="preserve"> </w:t>
      </w:r>
      <w:r>
        <w:rPr>
          <w:rFonts w:cs="Arial" w:ascii="Arial" w:hAnsi="Arial"/>
          <w:b/>
          <w:bCs/>
          <w:color w:val="000000"/>
          <w:shd w:fill="auto" w:val="clear"/>
        </w:rPr>
        <w:t>NÃO havendo, para tanto, a necessidade de atualização do Plano Anual de Contratações (PAC) 202</w:t>
      </w:r>
      <w:r>
        <w:rPr>
          <w:rFonts w:cs="Arial" w:ascii="Arial" w:hAnsi="Arial"/>
          <w:b/>
          <w:bCs/>
          <w:color w:val="000000"/>
          <w:shd w:fill="auto" w:val="clear"/>
        </w:rPr>
        <w:t>6</w:t>
      </w:r>
      <w:r>
        <w:rPr>
          <w:rFonts w:cs="Arial" w:ascii="Arial" w:hAnsi="Arial"/>
          <w:b/>
          <w:color w:val="000000"/>
          <w:shd w:fill="auto" w:val="clear"/>
        </w:rPr>
        <w:t>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Para a demanda em questão, se necessário,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1"/>
        </w:numPr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ListParagraph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ind w:left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1"/>
        </w:numPr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highlight w:val="yellow"/>
        </w:rPr>
      </w:pPr>
      <w:r>
        <w:rPr>
          <w:rFonts w:cs="Arial" w:ascii="Arial" w:hAnsi="Arial"/>
          <w:highlight w:val="yellow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highlight w:val="yellow"/>
        </w:rPr>
      </w:pPr>
      <w:r>
        <w:rPr>
          <w:rFonts w:cs="Arial" w:ascii="Arial" w:hAnsi="Arial"/>
          <w:highlight w:val="yellow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DAS OBRIGAÇÕES E RESPONSABILIDADES DA EMPRESA CONTRATADA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highlight w:val="yellow"/>
        </w:rPr>
      </w:pPr>
      <w:r>
        <w:rPr>
          <w:rFonts w:cs="Arial" w:ascii="Arial" w:hAnsi="Arial"/>
          <w:highlight w:val="yellow"/>
        </w:rPr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Caberá ao CONTRATADO o cumprimento das seguintes obrigações: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1 - Prestar os serviços, objeto da Contratação;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2 - Não subcontratar, ceder ou transferir, total ou parcialmente, o objeto da Contratação;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3 - Responsabilizar-se pelos encargos trabalhistas, previdenciários, fiscais e comerciais, resultantes da execução do objeto deste projeto;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4 - Executar fielmente o objeto da Contratação com fornecimento ininterrupto de água tratada e tratamento de esgoto durante 365 (trezentos e sessenta e cinco) dias do ano de 202</w:t>
      </w:r>
      <w:r>
        <w:rPr>
          <w:rFonts w:cs="Arial" w:ascii="Arial" w:hAnsi="Arial"/>
        </w:rPr>
        <w:t>6</w:t>
      </w:r>
      <w:r>
        <w:rPr>
          <w:rFonts w:cs="Arial" w:ascii="Arial" w:hAnsi="Arial"/>
        </w:rPr>
        <w:t xml:space="preserve">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5 - Dar plena garantia e qualidade do serviço prestado;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6 - Manter durante toda a execução do Contrato, em compatibilidade com as obrigações por ele assumidas, todas as condições de habilitação e qualificação legalmente exigidas;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7 - Prestar, de imediato, todos os esclarecimentos que forem solicitados pela contratante, obrigando-se a atender todas as reclamações a respeito da qualidade do serviço prestado;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8 - Comunicar a contratante, de imediato e por escrito, qualquer irregularidade verificada durante a execução do serviço, para a adoção das medidas necessárias à sua regularização;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9 - Acatar as determinações feitas pela Contratante no que tange ao cumprimento do objeto do Contrato.</w:t>
      </w:r>
    </w:p>
    <w:p>
      <w:pPr>
        <w:pStyle w:val="Western"/>
        <w:spacing w:beforeAutospacing="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numPr>
          <w:ilvl w:val="2"/>
          <w:numId w:val="3"/>
        </w:numPr>
        <w:spacing w:lineRule="auto" w:line="240" w:before="0" w:after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DAS OBRIGAÇÕES E RESPONSABILIDADES DO MUNICÍPIO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Caberá a Prefeitura Municipal de São Roque do Canaã/ES, como CONTRATANTE: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1 - Fornecer à Contratada todas as informações relacionadas ao objeto da Contratação;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2 - Notificar por escrito a Contratada, a respeito de qualquer irregularidade constatada na execução do objeto da Contratação;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3 - Assegurar os recursos orçamentários e financeiros para custear as despesas do empenho estimativo;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4 - Efetuar o pagamento nas condições e preços pactuados; 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5 - Acompanhar, verificar, fiscalizar e intervir na execução do serviço, para assegurar a fiel observância de suas cláusulas, bem como do que consta das especificações do presente Termo de Referência.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FISCALIZAÇÃO E ACOMPANHAMENTO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Corpodetexto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GARANTIA PELO FORNECIMENTO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DAS AMOSTRAS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GESTÃO DO CONTRATO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DO FATURAMENTO E DO PAGAMENTO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O pagamento se realizará após a devida liquidação, conforme dispõe a Lei nº 4.320/64, que estatui normas gerais de Direito Financeiro para elaboração e controle dos orçamentos e balanços da União, dos Estados, dos Municípios e do Distrito Federal.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A CONTRATADA deverá encaminhar à unidade administrativa responsável pela gestão do contrato, a fatura do fornecimento de água e esgoto correspondente à leitura do período de consumo abrangido, com o respectivo preço e com prazo de pagamento não inferior a 10 (dez) dias úteis contados a partir de sua apresentação.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>Na ocorrência de rejeição da Nota Fiscal/Fatura, motivada por erro ou incorreções, o prazo para pagamento estipulado no item acima passará a ser contado a partir da data da sua reapresentação.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Para efeito de pagamento, junto com o Recibo, deverá ser anexado: </w:t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I - Certidão Negativa de Débitos Relativos às Contribuições Previdenciárias e às de Terceiros, expedida pela Secretaria da Receita Federal do Brasil (Anexo XI da Portaria Conjunta PGFN/RFB nº 3, de 2.5.2007), observado o disposto no art. 4º do Decreto nº 6.106, de 30.04.2007; </w:t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II - Certificado de Regularidade do Fundo de Garantia por Tempo de Serviço – FGTS, fornecido pela CEF – Caixa Econômica Federal, devidamente atualizado (Lei n.º 8.036/90); </w:t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III - Certidão de Regularidade com a Fazenda do Estado; </w:t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IV - Prova de regularidade com a Fazenda Federal por meio de Certidão Conjunto de débitos relativo aos tributos federais e a Dívida Ativa da União, expedida pelo Ministério da Fazenda/Secretaria da Receita Federal do Brasil; </w:t>
      </w:r>
    </w:p>
    <w:p>
      <w:pPr>
        <w:pStyle w:val="Normal"/>
        <w:spacing w:lineRule="auto" w:line="240" w:before="0" w:after="0"/>
        <w:jc w:val="both"/>
        <w:rPr>
          <w:rFonts w:ascii="Arial" w:hAnsi="Arial"/>
        </w:rPr>
      </w:pPr>
      <w:r>
        <w:rPr>
          <w:rFonts w:cs="Arial" w:ascii="Arial" w:hAnsi="Arial"/>
        </w:rPr>
        <w:t>V - Prova de regularidade relativa a débitos inadimplidos perante a Justiça do Trabalho, mediante a apresentação de certidão negativa ou positiva com efeito de negativa que poderá ser obtida no site www.tst.jus.br/certidão.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DA ANTECIPAÇÃO DO PAGAMENTO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1"/>
          <w:numId w:val="3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DO VALOR MÁXIMO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2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color w:val="000000"/>
        </w:rPr>
        <w:t xml:space="preserve"> </w:t>
      </w:r>
      <w:r>
        <w:rPr>
          <w:rFonts w:cs="Arial" w:ascii="Arial" w:hAnsi="Arial"/>
          <w:color w:val="000000"/>
        </w:rPr>
        <w:t xml:space="preserve">O </w:t>
      </w:r>
      <w:r>
        <w:rPr>
          <w:rFonts w:cs="Arial" w:ascii="Arial" w:hAnsi="Arial"/>
          <w:b/>
          <w:color w:val="000000"/>
        </w:rPr>
        <w:t>valor máximo estimado</w:t>
      </w:r>
      <w:r>
        <w:rPr>
          <w:rFonts w:cs="Arial" w:ascii="Arial" w:hAnsi="Arial"/>
          <w:color w:val="000000"/>
        </w:rPr>
        <w:t xml:space="preserve"> para custeio das despesas bancárias pelas unidades relativas à Secretaria de Administração, no exercício de 2026, </w:t>
      </w:r>
      <w:r>
        <w:rPr>
          <w:rFonts w:cs="Arial" w:ascii="Arial" w:hAnsi="Arial"/>
          <w:b/>
          <w:color w:val="000000"/>
        </w:rPr>
        <w:t xml:space="preserve">é de R$ </w:t>
      </w:r>
      <w:r>
        <w:rPr>
          <w:rFonts w:cs="Arial" w:ascii="Arial" w:hAnsi="Arial"/>
          <w:b/>
          <w:color w:val="000000"/>
          <w:shd w:fill="auto" w:val="clear"/>
        </w:rPr>
        <w:t xml:space="preserve">13.500,00 (treze mil e </w:t>
      </w:r>
      <w:r>
        <w:rPr>
          <w:rFonts w:cs="Arial" w:ascii="Arial" w:hAnsi="Arial"/>
          <w:b/>
          <w:color w:val="000000"/>
          <w:shd w:fill="auto" w:val="clear"/>
        </w:rPr>
        <w:t>quinh</w:t>
      </w:r>
      <w:r>
        <w:rPr>
          <w:rFonts w:cs="Arial" w:ascii="Arial" w:hAnsi="Arial"/>
          <w:b/>
          <w:color w:val="000000"/>
          <w:shd w:fill="auto" w:val="clear"/>
        </w:rPr>
        <w:t>entos reais).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hd w:fill="FFFF00" w:val="clear"/>
        </w:rPr>
      </w:pPr>
      <w:r>
        <w:rPr>
          <w:rFonts w:cs="Arial" w:ascii="Arial" w:hAnsi="Arial"/>
          <w:color w:val="000000"/>
          <w:shd w:fill="FFFF00" w:val="clear"/>
        </w:rPr>
      </w:r>
    </w:p>
    <w:p>
      <w:pPr>
        <w:pStyle w:val="ListParagraph"/>
        <w:numPr>
          <w:ilvl w:val="1"/>
          <w:numId w:val="3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DOS RECURSOS ORÇAMENTÁRIOS</w:t>
      </w:r>
    </w:p>
    <w:p>
      <w:pPr>
        <w:pStyle w:val="ListParagraph"/>
        <w:numPr>
          <w:ilvl w:val="2"/>
          <w:numId w:val="3"/>
        </w:numPr>
        <w:suppressAutoHyphens w:val="false"/>
        <w:spacing w:lineRule="auto" w:line="240" w:before="0" w:after="12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>As despesas decorrentes da execução da contratação</w:t>
      </w:r>
      <w:r>
        <w:rPr>
          <w:rFonts w:cs="Times New Roman" w:ascii="Arial" w:hAnsi="Arial"/>
        </w:rPr>
        <w:t xml:space="preserve"> encontram-se disponíveis na dotação orçamentária prevista</w:t>
      </w:r>
      <w:r>
        <w:rPr>
          <w:rFonts w:cs="Times New Roman" w:ascii="Arial" w:hAnsi="Arial"/>
          <w:shd w:fill="auto" w:val="clear"/>
        </w:rPr>
        <w:t xml:space="preserve"> </w:t>
      </w:r>
      <w:r>
        <w:rPr>
          <w:rFonts w:cs="Arial" w:ascii="Arial" w:hAnsi="Arial"/>
          <w:b/>
          <w:shd w:fill="auto" w:val="clear"/>
        </w:rPr>
        <w:t>Lei Orçamentária Anual (LOA) vinculada para o exercício financeiro de 202</w:t>
      </w:r>
      <w:r>
        <w:rPr>
          <w:rFonts w:cs="Arial" w:ascii="Arial" w:hAnsi="Arial"/>
          <w:b/>
          <w:shd w:fill="auto" w:val="clear"/>
        </w:rPr>
        <w:t>6</w:t>
      </w:r>
      <w:r>
        <w:rPr>
          <w:rFonts w:cs="Arial" w:ascii="Arial" w:hAnsi="Arial"/>
          <w:shd w:fill="auto" w:val="clear"/>
        </w:rPr>
        <w:t>, dispostas da seguinte forma:</w:t>
      </w:r>
    </w:p>
    <w:tbl>
      <w:tblPr>
        <w:tblStyle w:val="Tabelacomgrade"/>
        <w:tblW w:w="895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50"/>
      </w:tblGrid>
      <w:tr>
        <w:trPr>
          <w:trHeight w:val="567" w:hRule="atLeast"/>
        </w:trPr>
        <w:tc>
          <w:tcPr>
            <w:tcW w:w="895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24"/>
                <w:szCs w:val="24"/>
                <w:lang w:val="pt-BR" w:bidi="ar-SA"/>
              </w:rPr>
              <w:t>Gestão Administrativa Secretaria Municipal de Administração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24"/>
                <w:szCs w:val="24"/>
                <w:lang w:val="pt-BR" w:bidi="ar-SA"/>
              </w:rPr>
              <w:t>Outros Serviços de Terceiros – Pessoa Jurídica</w:t>
            </w:r>
          </w:p>
        </w:tc>
      </w:tr>
      <w:tr>
        <w:trPr>
          <w:trHeight w:val="399" w:hRule="atLeast"/>
        </w:trPr>
        <w:tc>
          <w:tcPr>
            <w:tcW w:w="8950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4"/>
                <w:szCs w:val="24"/>
                <w:lang w:val="pt-BR" w:bidi="ar-SA"/>
              </w:rPr>
              <w:t>0501.0412200042.004 – 33903900000 – FR 1500 – F 040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cs="Arial"/>
          <w:shd w:fill="FFFF00" w:val="clear"/>
        </w:rPr>
      </w:pPr>
      <w:r>
        <w:rPr>
          <w:rFonts w:cs="Arial" w:ascii="Arial" w:hAnsi="Arial"/>
          <w:shd w:fill="FFFF00" w:val="clear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DAS SANÇÕES E PENALIDADES</w:t>
      </w:r>
    </w:p>
    <w:p>
      <w:pPr>
        <w:pStyle w:val="ListParagraph"/>
        <w:numPr>
          <w:ilvl w:val="1"/>
          <w:numId w:val="3"/>
        </w:numPr>
        <w:tabs>
          <w:tab w:val="clear" w:pos="708"/>
        </w:tabs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Cs/>
          <w:color w:val="000000"/>
        </w:rPr>
        <w:t>Serão aplicadas as infrações administrativas disciplinadas na Lei Federal nº 14.133/2021, na forma de regulamento municipal.</w:t>
      </w:r>
    </w:p>
    <w:p>
      <w:pPr>
        <w:pStyle w:val="ListParagraph"/>
        <w:rPr>
          <w:rFonts w:ascii="Arial" w:hAnsi="Arial" w:cs="Arial"/>
          <w:bCs/>
          <w:color w:val="000000"/>
        </w:rPr>
      </w:pPr>
      <w:r>
        <w:rPr>
          <w:rFonts w:cs="Arial" w:ascii="Arial" w:hAnsi="Arial"/>
          <w:bCs/>
          <w:color w:val="000000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QUALIFICAÇÃO TÉCNICA</w:t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i/>
        </w:rPr>
        <w:t>Não se aplica a presente contratação.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DA UNIDADE REQUISITANTE</w:t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Constitui unidade requisitante da presente demanda a </w:t>
      </w:r>
      <w:r>
        <w:rPr>
          <w:rFonts w:cs="Arial" w:ascii="Arial" w:hAnsi="Arial"/>
          <w:b/>
        </w:rPr>
        <w:t>Secretaria Municipal de Administração.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3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Arial" w:hAnsi="Arial"/>
        </w:rPr>
      </w:pPr>
      <w:r>
        <w:rPr>
          <w:rFonts w:cs="Arial" w:ascii="Arial" w:hAnsi="Arial"/>
          <w:b/>
        </w:rPr>
        <w:t>DO RESPONSÁVEL PELA ELABORAÇÃO DO TERMO DE REFERÊNCIA</w:t>
      </w:r>
    </w:p>
    <w:p>
      <w:pPr>
        <w:pStyle w:val="ListParagraph"/>
        <w:numPr>
          <w:ilvl w:val="1"/>
          <w:numId w:val="3"/>
        </w:numPr>
        <w:spacing w:lineRule="auto" w:line="240" w:before="0" w:after="0"/>
        <w:ind w:hanging="0" w:left="0"/>
        <w:contextualSpacing/>
        <w:jc w:val="both"/>
        <w:rPr>
          <w:rFonts w:ascii="Arial" w:hAnsi="Arial"/>
        </w:rPr>
      </w:pPr>
      <w:r>
        <w:rPr>
          <w:rFonts w:cs="Arial" w:ascii="Arial" w:hAnsi="Arial"/>
          <w:b/>
        </w:rPr>
        <w:t>Gestor da Unidade Requisitante: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b/>
          <w:color w:themeColor="text1" w:val="000000"/>
        </w:rPr>
        <w:t>NAYANE ALLINE DA SILVA MALAVASI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rFonts w:cs="Arial" w:ascii="Arial" w:hAnsi="Arial"/>
          <w:sz w:val="22"/>
          <w:szCs w:val="22"/>
          <w:highlight w:val="lightGray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rFonts w:cs="Arial" w:ascii="Arial" w:hAnsi="Arial"/>
          <w:sz w:val="22"/>
          <w:szCs w:val="22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São Roque do Canaã/ES</w:t>
      </w:r>
      <w:r>
        <w:rPr>
          <w:rFonts w:cs="Arial" w:ascii="Arial" w:hAnsi="Arial"/>
          <w:sz w:val="22"/>
          <w:szCs w:val="22"/>
        </w:rPr>
        <w:t>, 18 de dezembro de 2025.</w:t>
      </w:r>
    </w:p>
    <w:tbl>
      <w:tblPr>
        <w:tblStyle w:val="Tabelacomgrade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1983" w:hRule="atLeast"/>
        </w:trP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themeColor="text1" w:val="000000"/>
                <w:kern w:val="0"/>
                <w:sz w:val="22"/>
                <w:szCs w:val="22"/>
                <w:lang w:val="pt-BR" w:bidi="ar-SA"/>
              </w:rPr>
              <w:t>NAYANE ALLINE DA SILVA MALAVASI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color w:themeColor="text1" w:val="000000"/>
                <w:kern w:val="0"/>
                <w:sz w:val="22"/>
                <w:szCs w:val="22"/>
                <w:lang w:val="pt-BR" w:bidi="ar-SA"/>
              </w:rPr>
              <w:t>Secretária Municipal de Administração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highlight w:val="lightGray"/>
        </w:rPr>
      </w:pPr>
      <w:r>
        <w:rPr>
          <w:highlight w:val="lightGray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366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administração@saoroquedocanaa.es.gov.br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ADMINISTRAÇÃO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false"/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>
        <w:i w:val="false"/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5"/>
      <w:numFmt w:val="decimal"/>
      <w:lvlText w:val="%1."/>
      <w:lvlJc w:val="left"/>
      <w:pPr>
        <w:tabs>
          <w:tab w:val="num" w:pos="0"/>
        </w:tabs>
        <w:ind w:left="585" w:hanging="585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/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eastAsia="en-US" w:val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3e5cca"/>
    <w:rPr>
      <w:vertAlign w:val="superscript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qFormat/>
    <w:rPr>
      <w:vertAlign w:val="superscript"/>
    </w:rPr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EndnoteText">
    <w:name w:val="Endnote Text"/>
    <w:basedOn w:val="Normal"/>
    <w:pPr>
      <w:suppressLineNumbers/>
      <w:ind w:hanging="340" w:left="34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Application>LibreOffice/7.6.4.1$Windows_X86_64 LibreOffice_project/e19e193f88cd6c0525a17fb7a176ed8e6a3e2aa1</Application>
  <AppVersion>15.0000</AppVersion>
  <Pages>5</Pages>
  <Words>1685</Words>
  <Characters>9423</Characters>
  <CharactersWithSpaces>10987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2025-12-24T16:31:00Z</dcterms:created>
  <dc:creator>COMPUTADOR</dc:creator>
  <dc:description/>
  <dc:language>pt-BR</dc:language>
  <cp:lastModifiedBy/>
  <cp:lastPrinted>2024-12-30T14:10:00Z</cp:lastPrinted>
  <dcterms:modified xsi:type="dcterms:W3CDTF">2025-12-29T08:40:22Z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