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</w:rPr>
      </w:pPr>
      <w:r>
        <w:rPr>
          <w:rFonts w:cs="Arial" w:ascii="Arial" w:hAnsi="Arial"/>
          <w:b/>
        </w:rPr>
        <w:t>DFD/SMA Nº. 029/2025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  <w:b/>
        </w:rPr>
      </w:pPr>
      <w:r>
        <w:rPr>
          <w:rFonts w:cs="Arial" w:ascii="Arial" w:hAnsi="Arial"/>
          <w:b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Ref.:</w:t>
      </w:r>
      <w:r>
        <w:rPr>
          <w:rFonts w:cs="Arial" w:ascii="Arial" w:hAnsi="Arial"/>
        </w:rPr>
        <w:t xml:space="preserve"> Empenho por Estimativa – Banco do Brasil BANCOS 2026 - CATSERV 13811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shd w:fill="D9D9D9" w:val="clear"/>
        </w:rPr>
        <w:t>UNIDADE REQUISITANTE</w:t>
      </w:r>
      <w:r>
        <w:rPr>
          <w:rFonts w:cs="Arial" w:ascii="Arial" w:hAnsi="Arial"/>
          <w:b/>
          <w:sz w:val="22"/>
          <w:szCs w:val="22"/>
          <w:shd w:fill="D9D9D9" w:val="clear"/>
        </w:rPr>
        <w:t>:</w:t>
      </w:r>
      <w:r>
        <w:rPr>
          <w:rFonts w:cs="Arial" w:ascii="Arial" w:hAnsi="Arial"/>
          <w:sz w:val="22"/>
          <w:szCs w:val="22"/>
        </w:rPr>
        <w:t xml:space="preserve"> Secretaria Municipal de Administração.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shd w:fill="D9D9D9" w:val="clear"/>
        </w:rPr>
        <w:t>RESPONSÁVEL PELA DEMANDA:</w:t>
      </w:r>
      <w:r>
        <w:rPr>
          <w:rFonts w:cs="Arial" w:ascii="Arial" w:hAnsi="Arial"/>
          <w:bCs/>
          <w:sz w:val="22"/>
          <w:szCs w:val="22"/>
        </w:rPr>
        <w:t xml:space="preserve"> Responsabilizar-se-á, pela presente demanda, a servidora </w:t>
      </w:r>
      <w:r>
        <w:rPr>
          <w:rFonts w:cs="Arial" w:ascii="Arial" w:hAnsi="Arial"/>
          <w:b/>
          <w:bCs/>
          <w:sz w:val="22"/>
          <w:szCs w:val="22"/>
        </w:rPr>
        <w:t>Nayane Alline da Silva Malavasi</w:t>
      </w:r>
      <w:r>
        <w:rPr>
          <w:rFonts w:cs="Arial" w:ascii="Arial" w:hAnsi="Arial"/>
          <w:bCs/>
          <w:sz w:val="22"/>
          <w:szCs w:val="22"/>
        </w:rPr>
        <w:t>, ocupante do cargo de Secretária Municipal de Administração,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shd w:fill="D9D9D9" w:val="clear"/>
        </w:rPr>
        <w:t>CONTATO DA UNIDADE REQUISITANTE:</w:t>
      </w:r>
      <w:r>
        <w:rPr>
          <w:rFonts w:cs="Arial" w:ascii="Arial" w:hAnsi="Arial"/>
          <w:bCs/>
          <w:sz w:val="22"/>
          <w:szCs w:val="22"/>
        </w:rPr>
        <w:t xml:space="preserve"> Os contatos com a unidade requisitante podem ser realizados pelo telefone (027) 3729-1120, o e-mail: administração@saoroquedocanaa.es.gov.br. </w:t>
      </w:r>
      <w:r>
        <w:rPr>
          <w:rFonts w:cs="Arial" w:ascii="Arial" w:hAnsi="Arial"/>
          <w:sz w:val="22"/>
          <w:szCs w:val="22"/>
        </w:rPr>
        <w:t xml:space="preserve">ou por meio do atendimento presencial, na sede localizada na </w:t>
      </w:r>
      <w:r>
        <w:rPr>
          <w:rFonts w:cs="Arial" w:ascii="Arial" w:hAnsi="Arial"/>
          <w:bCs/>
          <w:sz w:val="22"/>
          <w:szCs w:val="22"/>
        </w:rPr>
        <w:t>Rua Lourenço Roldi, nº 88, São Roquinho, São Roque do Canaã/ES, CEP nº 29.665-000.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DESCRIÇÃO SUSCINTA DO OBJETO E/OU OBJETIVO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/>
        <w:t xml:space="preserve">Constitui </w:t>
      </w:r>
      <w:r>
        <w:rPr>
          <w:rFonts w:cs="Arial" w:ascii="Arial" w:hAnsi="Arial"/>
          <w:bCs/>
          <w:sz w:val="22"/>
          <w:szCs w:val="22"/>
        </w:rPr>
        <w:t xml:space="preserve">objeto da presente demanda a necessidade de </w:t>
      </w:r>
      <w:r>
        <w:rPr>
          <w:rFonts w:cs="Arial" w:ascii="Arial" w:hAnsi="Arial"/>
          <w:b/>
          <w:bCs/>
          <w:sz w:val="22"/>
          <w:szCs w:val="22"/>
        </w:rPr>
        <w:t>custear as despesas decorrentes aos depósitos bancários pelas unidades relacionadas à Secretaria Municipal de Administração, no exercício de 2026 (CATSERV 13811)</w:t>
      </w:r>
      <w:r>
        <w:rPr>
          <w:rFonts w:cs="Arial" w:ascii="Arial" w:hAnsi="Arial"/>
          <w:bCs/>
          <w:sz w:val="22"/>
          <w:szCs w:val="22"/>
        </w:rPr>
        <w:t xml:space="preserve">, em virtude do desempenho de suas atividades, com fulcro no art. 60, da Lei Federal nº </w:t>
      </w:r>
      <w:r>
        <w:rPr>
          <w:rFonts w:cs="Arial" w:ascii="Arial" w:hAnsi="Arial"/>
          <w:sz w:val="22"/>
          <w:szCs w:val="22"/>
        </w:rPr>
        <w:t xml:space="preserve">4.320/1964, art. 74, </w:t>
      </w:r>
      <w:r>
        <w:rPr>
          <w:rFonts w:cs="Arial" w:ascii="Arial" w:hAnsi="Arial"/>
          <w:i/>
          <w:sz w:val="22"/>
          <w:szCs w:val="22"/>
        </w:rPr>
        <w:t>caput</w:t>
      </w:r>
      <w:r>
        <w:rPr>
          <w:rFonts w:cs="Arial" w:ascii="Arial" w:hAnsi="Arial"/>
          <w:sz w:val="22"/>
          <w:szCs w:val="22"/>
        </w:rPr>
        <w:t>, da Lei Federal nº 14.133/2021</w:t>
      </w:r>
      <w:r>
        <w:rPr>
          <w:rFonts w:cs="Arial" w:ascii="Arial" w:hAnsi="Arial"/>
          <w:sz w:val="22"/>
          <w:szCs w:val="22"/>
          <w:shd w:fill="auto" w:val="clear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2"/>
          <w:szCs w:val="22"/>
          <w:highlight w:val="none"/>
          <w:shd w:fill="auto" w:val="clear"/>
        </w:rPr>
      </w:pPr>
      <w:r>
        <w:rPr>
          <w:rFonts w:cs="Arial" w:ascii="Arial" w:hAnsi="Arial"/>
          <w:bCs/>
          <w:sz w:val="22"/>
          <w:szCs w:val="22"/>
          <w:shd w:fill="auto" w:val="clear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lang w:eastAsia="en-US"/>
        </w:rPr>
        <w:t>A adoção desse método não apenas se alinha às melhores práticas de administração pública, mas também contribui significativamente para a transparência, controle financeiro e eficiência operacional.</w:t>
      </w:r>
      <w:r>
        <w:rPr>
          <w:rFonts w:eastAsia="Calibri" w:cs="Arial" w:ascii="Arial" w:hAnsi="Arial" w:eastAsiaTheme="minorHAnsi"/>
          <w:color w:val="000000"/>
          <w:sz w:val="22"/>
          <w:szCs w:val="22"/>
          <w:lang w:eastAsia="en-US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O uso de contas bancárias proporciona um registro transparente e rastreável de todas as transações financeiras da Prefeitura. Permitindo que os órgãos de controle, a comunidade e demais interessados acompanhem de forma clara e eficaz a movimentação financeira.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Contas bancárias oferecem níveis adicionais de segurança em comparação com o manejo exclusivo de recursos em espécie. Através de instrumentos bancários como cheques, transferências eletrônicas e cartões, é possível implementar medidas de controle interno mais rigorosas, reduzindo riscos de fraudes e desvios.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O uso de contas bancárias simplifica e agiliza as transações financeiras, proporcionando maior eficiência na movimentação de recursos, pagamento de fornecedores, recebimento de receitas e execução de pagamentos a servidores públicos.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eastAsia="Calibri" w:cs="Arial" w:eastAsiaTheme="minorHAnsi"/>
          <w:color w:val="000000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color w:val="000000"/>
          <w:sz w:val="22"/>
          <w:szCs w:val="22"/>
          <w:lang w:eastAsia="en-US"/>
        </w:rPr>
      </w:r>
    </w:p>
    <w:p>
      <w:pPr>
        <w:pStyle w:val="NormalWeb"/>
        <w:widowControl/>
        <w:numPr>
          <w:ilvl w:val="1"/>
          <w:numId w:val="1"/>
        </w:numPr>
        <w:suppressAutoHyphens w:val="true"/>
        <w:bidi w:val="0"/>
        <w:spacing w:lineRule="auto" w:line="240" w:beforeAutospacing="0" w:before="0" w:afterAutospacing="0" w:after="0"/>
        <w:ind w:hanging="0" w:left="0" w:right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lang w:eastAsia="en-US"/>
        </w:rPr>
        <w:t xml:space="preserve">É inquestionável a necessidade do uso de contas bancárias na Prefeitura Municipal como parte integrante de uma gestão financeira moderna, transparente e eficiente.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eastAsia="Calibri" w:cs="Arial" w:eastAsiaTheme="minorHAnsi"/>
          <w:color w:val="000000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color w:val="000000"/>
          <w:sz w:val="22"/>
          <w:szCs w:val="22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Nesse contexto, </w:t>
      </w:r>
      <w:r>
        <w:rPr>
          <w:rFonts w:cs="Arial" w:ascii="Arial" w:hAnsi="Arial"/>
          <w:b/>
          <w:sz w:val="22"/>
          <w:szCs w:val="22"/>
        </w:rPr>
        <w:t>entende-se necessário custear as despesas decorrentes d</w:t>
      </w:r>
      <w:r>
        <w:rPr>
          <w:rFonts w:cs="Arial" w:ascii="Arial" w:hAnsi="Arial"/>
          <w:b/>
          <w:bCs/>
          <w:sz w:val="22"/>
          <w:szCs w:val="22"/>
        </w:rPr>
        <w:t>os depósitos bancários</w:t>
      </w:r>
      <w:r>
        <w:rPr>
          <w:rFonts w:cs="Arial" w:ascii="Arial" w:hAnsi="Arial"/>
          <w:b/>
          <w:sz w:val="22"/>
          <w:szCs w:val="22"/>
        </w:rPr>
        <w:t xml:space="preserve"> pelas unidades relacionadas à Secretaria Municipal de Administração, no exercício de 2026</w:t>
      </w:r>
      <w:r>
        <w:rPr>
          <w:rFonts w:cs="Arial" w:ascii="Arial" w:hAnsi="Arial"/>
          <w:sz w:val="22"/>
          <w:szCs w:val="22"/>
        </w:rPr>
        <w:t xml:space="preserve">, </w:t>
      </w:r>
      <w:r>
        <w:rPr>
          <w:rFonts w:cs="Arial" w:ascii="Arial" w:hAnsi="Arial"/>
          <w:bCs/>
          <w:sz w:val="22"/>
          <w:szCs w:val="22"/>
        </w:rPr>
        <w:t>em virtude do desempenho de suas atividades</w:t>
      </w:r>
      <w:r>
        <w:rPr>
          <w:rFonts w:cs="Arial" w:ascii="Arial" w:hAnsi="Arial"/>
          <w:sz w:val="22"/>
          <w:szCs w:val="22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Todavia, em regra, segundo o art. 60 da Lei Federal nº 4.320/1964, não se podem realizar despesas sem prévio empenho. Outrossim, considerando a aproximação da abertura de um novo exercício financeiro, qual seja de 2026, </w:t>
      </w:r>
      <w:r>
        <w:rPr>
          <w:rFonts w:cs="Arial" w:ascii="Arial" w:hAnsi="Arial"/>
          <w:b/>
          <w:sz w:val="22"/>
          <w:szCs w:val="22"/>
        </w:rPr>
        <w:t>é essencial que a Administração estime</w:t>
      </w:r>
      <w:r>
        <w:rPr>
          <w:rFonts w:cs="Arial" w:ascii="Arial" w:hAnsi="Arial"/>
          <w:sz w:val="22"/>
          <w:szCs w:val="22"/>
        </w:rPr>
        <w:t xml:space="preserve">, com bases nas despesas dos últimos 12 (doze) meses, </w:t>
      </w:r>
      <w:r>
        <w:rPr>
          <w:rFonts w:cs="Arial" w:ascii="Arial" w:hAnsi="Arial"/>
          <w:b/>
          <w:sz w:val="22"/>
          <w:szCs w:val="22"/>
        </w:rPr>
        <w:t>as despesas para o próximo exercício</w:t>
      </w:r>
      <w:r>
        <w:rPr>
          <w:rFonts w:cs="Arial" w:ascii="Arial" w:hAnsi="Arial"/>
          <w:sz w:val="22"/>
          <w:szCs w:val="22"/>
        </w:rPr>
        <w:t>, para que assim, se possam empenhar os recursos estimados necessários, objetivando melhor gestão do pagamento parcelado de tais despesas.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spacing w:beforeAutospacing="0" w:before="0" w:afterAutospacing="0" w:after="0"/>
        <w:ind w:hanging="0" w:left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2.9.</w:t>
        <w:tab/>
        <w:t xml:space="preserve">Conceitualmente, o </w:t>
      </w:r>
      <w:r>
        <w:rPr>
          <w:rFonts w:cs="Arial" w:ascii="Arial" w:hAnsi="Arial"/>
          <w:b/>
          <w:sz w:val="22"/>
          <w:szCs w:val="22"/>
        </w:rPr>
        <w:t>empenho por estimativa</w:t>
      </w:r>
      <w:r>
        <w:rPr>
          <w:rFonts w:cs="Arial" w:ascii="Arial" w:hAnsi="Arial"/>
          <w:sz w:val="22"/>
          <w:szCs w:val="22"/>
        </w:rPr>
        <w:t xml:space="preserve">, é aquele em que </w:t>
      </w:r>
      <w:r>
        <w:rPr>
          <w:rFonts w:cs="Arial" w:ascii="Arial" w:hAnsi="Arial"/>
          <w:b/>
          <w:sz w:val="22"/>
          <w:szCs w:val="22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2"/>
          <w:szCs w:val="22"/>
        </w:rPr>
        <w:t xml:space="preserve">, como ocorre, em particular, com as contas de água, luz, gás e telefone. Desse modo, objetivando o pleno e efetivo funcionamento dos estabelecimentos integrantes da Secretaria Municipal de Administração, </w:t>
      </w:r>
      <w:r>
        <w:rPr>
          <w:rFonts w:cs="Arial" w:ascii="Arial" w:hAnsi="Arial"/>
          <w:b/>
          <w:bCs/>
          <w:sz w:val="22"/>
          <w:szCs w:val="22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2"/>
          <w:szCs w:val="22"/>
        </w:rPr>
        <w:t>, dada a natureza da despesa.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2.10.</w:t>
        <w:tab/>
        <w:t xml:space="preserve">O objeto aqui </w:t>
      </w:r>
      <w:r>
        <w:rPr>
          <w:rFonts w:eastAsia="Calibri" w:cs="Arial" w:ascii="Arial" w:hAnsi="Arial" w:eastAsiaTheme="minorHAnsi"/>
          <w:sz w:val="22"/>
          <w:szCs w:val="22"/>
          <w:lang w:eastAsia="en-US"/>
        </w:rPr>
        <w:t>consignado</w:t>
      </w:r>
      <w:r>
        <w:rPr>
          <w:rFonts w:cs="Arial" w:ascii="Arial" w:hAnsi="Arial"/>
          <w:sz w:val="22"/>
          <w:szCs w:val="22"/>
        </w:rPr>
        <w:t xml:space="preserve">, objetiva, portanto, o empenho por estimativa das despesas decorrentes </w:t>
      </w:r>
      <w:r>
        <w:rPr>
          <w:rFonts w:cs="Arial" w:ascii="Arial" w:hAnsi="Arial"/>
          <w:b w:val="false"/>
          <w:bCs w:val="false"/>
          <w:sz w:val="22"/>
          <w:szCs w:val="22"/>
        </w:rPr>
        <w:t>aos depósitos bancários</w:t>
      </w:r>
      <w:r>
        <w:rPr>
          <w:rFonts w:cs="Arial" w:ascii="Arial" w:hAnsi="Arial"/>
          <w:sz w:val="22"/>
          <w:szCs w:val="22"/>
        </w:rPr>
        <w:t xml:space="preserve"> pelas unidades relativas à Secretaria Municipal de Administração, </w:t>
      </w:r>
      <w:r>
        <w:rPr>
          <w:rFonts w:cs="Arial" w:ascii="Arial" w:hAnsi="Arial"/>
          <w:bCs/>
          <w:sz w:val="22"/>
          <w:szCs w:val="22"/>
        </w:rPr>
        <w:t xml:space="preserve">com fulcro no art. 60, da Lei Federal nº </w:t>
      </w:r>
      <w:r>
        <w:rPr>
          <w:rFonts w:cs="Arial" w:ascii="Arial" w:hAnsi="Arial"/>
          <w:sz w:val="22"/>
          <w:szCs w:val="22"/>
        </w:rPr>
        <w:t xml:space="preserve">4.320/1964, art. 74, </w:t>
      </w:r>
      <w:r>
        <w:rPr>
          <w:rFonts w:cs="Arial" w:ascii="Arial" w:hAnsi="Arial"/>
          <w:i/>
          <w:sz w:val="22"/>
          <w:szCs w:val="22"/>
        </w:rPr>
        <w:t>caput</w:t>
      </w:r>
      <w:r>
        <w:rPr>
          <w:rFonts w:cs="Arial" w:ascii="Arial" w:hAnsi="Arial"/>
          <w:sz w:val="22"/>
          <w:szCs w:val="22"/>
        </w:rPr>
        <w:t>, da Lei Federal nº 14.133/2021.</w:t>
      </w:r>
      <w:r>
        <w:rPr>
          <w:rFonts w:cs="Arial" w:ascii="Arial" w:hAnsi="Arial"/>
          <w:color w:val="FF0000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Nesse sentido, a análise exaustiva da situação atual revela que a Secretaria de Administração já realizou outros empenhos estimativos dessa natureza.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2.11.</w:t>
        <w:tab/>
        <w:t xml:space="preserve">Com base nesses dados históricos, torna-se patente que empenho estimativo para custear as despesas decorrentes </w:t>
      </w: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a</w:t>
      </w:r>
      <w:r>
        <w:rPr>
          <w:rFonts w:eastAsia="Calibri" w:cs="Arial" w:ascii="Arial" w:hAnsi="Arial" w:eastAsiaTheme="minorHAnsi"/>
          <w:b w:val="false"/>
          <w:bCs w:val="false"/>
          <w:sz w:val="22"/>
          <w:szCs w:val="22"/>
          <w:lang w:eastAsia="en-US"/>
        </w:rPr>
        <w:t>os depósitos bancários</w:t>
      </w:r>
      <w:r>
        <w:rPr>
          <w:rFonts w:eastAsia="Calibri" w:cs="Arial" w:ascii="Arial" w:hAnsi="Arial" w:eastAsiaTheme="minorHAnsi"/>
          <w:sz w:val="22"/>
          <w:szCs w:val="22"/>
          <w:lang w:eastAsia="en-US"/>
        </w:rPr>
        <w:t xml:space="preserve"> em questão, constitui um reflexo da inafastável responsabilidade da Secretaria de Administração com o dever de zelar pela economicidade na gestão dos recursos públicos (art. 70, CF/88).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rFonts w:cs="Arial" w:ascii="Arial" w:hAnsi="Arial"/>
          <w:sz w:val="22"/>
          <w:szCs w:val="22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i/>
          <w:i/>
          <w:sz w:val="22"/>
          <w:szCs w:val="22"/>
        </w:rPr>
      </w:pPr>
      <w:r>
        <w:rPr>
          <w:rFonts w:cs="Arial" w:ascii="Arial" w:hAnsi="Arial"/>
          <w:i/>
          <w:sz w:val="22"/>
          <w:szCs w:val="22"/>
        </w:rPr>
        <w:t>Não se aplica a presente contratação.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PREVISÃO DE DATA EM QUE DEVE SER INICIADA A CONCLUSÃO DA CONTRATAÇÃO OU REQUISIÇÃO DO BEM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rFonts w:cs="Arial" w:ascii="Arial" w:hAnsi="Arial"/>
          <w:sz w:val="22"/>
          <w:szCs w:val="22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 concretização do empenho em questão </w:t>
      </w:r>
      <w:r>
        <w:rPr>
          <w:rFonts w:cs="Arial" w:ascii="Arial" w:hAnsi="Arial"/>
          <w:b/>
          <w:sz w:val="22"/>
          <w:szCs w:val="22"/>
        </w:rPr>
        <w:t>deverá ocorrer, preferencialmente, no mês de janeiro de 2026</w:t>
      </w:r>
      <w:r>
        <w:rPr>
          <w:rFonts w:cs="Arial" w:ascii="Arial" w:hAnsi="Arial"/>
          <w:sz w:val="22"/>
          <w:szCs w:val="22"/>
        </w:rPr>
        <w:t xml:space="preserve">, com vigência programada para o custeio das despesas relativas a tarifas bancárias no período de 05/01/2026 a 31/12/2026. 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presente contratação não está incluída no Plano Anual de Contratações 2026, o qual deverá ser alterado, para que se conste a presente previsão.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DA DISPENSABILIDADE DE ESTUDO TÉCNICO PRELIMINAR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2"/>
          <w:szCs w:val="22"/>
        </w:rPr>
        <w:t>vedada a realização de despesas sem prévio empenho.</w:t>
      </w:r>
      <w:r>
        <w:rPr>
          <w:rFonts w:cs="Arial" w:ascii="Arial" w:hAnsi="Arial"/>
          <w:sz w:val="22"/>
          <w:szCs w:val="22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2"/>
          <w:szCs w:val="22"/>
        </w:rPr>
        <w:t>empenho por estimativa.</w:t>
      </w:r>
      <w:r>
        <w:rPr>
          <w:rFonts w:cs="Arial" w:ascii="Arial" w:hAnsi="Arial"/>
          <w:sz w:val="22"/>
          <w:szCs w:val="22"/>
        </w:rPr>
        <w:t xml:space="preserve"> Tem-se, portanto, como aquele em que </w:t>
      </w:r>
      <w:r>
        <w:rPr>
          <w:rFonts w:cs="Arial" w:ascii="Arial" w:hAnsi="Arial"/>
          <w:b/>
          <w:sz w:val="22"/>
          <w:szCs w:val="22"/>
        </w:rPr>
        <w:t>não se pode determinar previamente o montante exato a ser pago</w:t>
      </w:r>
      <w:r>
        <w:rPr>
          <w:rFonts w:cs="Arial" w:ascii="Arial" w:hAnsi="Arial"/>
          <w:sz w:val="22"/>
          <w:szCs w:val="22"/>
        </w:rPr>
        <w:t>, como ocorre, em particular, com as contas de água, luz, gás e telefone.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Assim, por consequência, dada à natureza do objeto em questão, </w:t>
      </w:r>
      <w:r>
        <w:rPr>
          <w:rFonts w:cs="Arial" w:ascii="Arial" w:hAnsi="Arial"/>
          <w:b/>
          <w:sz w:val="22"/>
          <w:szCs w:val="22"/>
        </w:rPr>
        <w:t>dispensa-se a elaboração do Estudo Técnico Preliminar (ETP)</w:t>
      </w:r>
      <w:r>
        <w:rPr>
          <w:rFonts w:cs="Arial" w:ascii="Arial" w:hAnsi="Arial"/>
          <w:sz w:val="22"/>
          <w:szCs w:val="22"/>
        </w:rPr>
        <w:t xml:space="preserve">, vez que a </w:t>
      </w:r>
      <w:r>
        <w:rPr>
          <w:rFonts w:cs="Arial" w:ascii="Arial" w:hAnsi="Arial"/>
          <w:b/>
          <w:sz w:val="22"/>
          <w:szCs w:val="22"/>
        </w:rPr>
        <w:t>solução adequada</w:t>
      </w:r>
      <w:r>
        <w:rPr>
          <w:rFonts w:cs="Arial" w:ascii="Arial" w:hAnsi="Arial"/>
          <w:sz w:val="22"/>
          <w:szCs w:val="22"/>
        </w:rPr>
        <w:t xml:space="preserve"> para o custeio das despesas decorrentes do consumo de água pelas unidades relativas à Secretaria Municipal de Administração, </w:t>
      </w:r>
      <w:r>
        <w:rPr>
          <w:rFonts w:cs="Arial" w:ascii="Arial" w:hAnsi="Arial"/>
          <w:b/>
          <w:sz w:val="22"/>
          <w:szCs w:val="22"/>
        </w:rPr>
        <w:t>é a realização de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b/>
          <w:sz w:val="22"/>
          <w:szCs w:val="22"/>
        </w:rPr>
        <w:t>empenho</w:t>
      </w:r>
      <w:r>
        <w:rPr>
          <w:rFonts w:cs="Arial" w:ascii="Arial" w:hAnsi="Arial"/>
          <w:bCs/>
          <w:sz w:val="22"/>
          <w:szCs w:val="22"/>
        </w:rPr>
        <w:t xml:space="preserve">, com fulcro no art. 60, da Lei Federal nº </w:t>
      </w:r>
      <w:r>
        <w:rPr>
          <w:rFonts w:cs="Arial" w:ascii="Arial" w:hAnsi="Arial"/>
          <w:sz w:val="22"/>
          <w:szCs w:val="22"/>
        </w:rPr>
        <w:t xml:space="preserve">4.320/1964 e art. 74, </w:t>
      </w:r>
      <w:r>
        <w:rPr>
          <w:rFonts w:cs="Arial" w:ascii="Arial" w:hAnsi="Arial"/>
          <w:i/>
          <w:sz w:val="22"/>
          <w:szCs w:val="22"/>
        </w:rPr>
        <w:t>caput</w:t>
      </w:r>
      <w:r>
        <w:rPr>
          <w:rFonts w:cs="Arial" w:ascii="Arial" w:hAnsi="Arial"/>
          <w:sz w:val="22"/>
          <w:szCs w:val="22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rFonts w:cs="Arial" w:ascii="Arial" w:hAnsi="Arial"/>
          <w:sz w:val="22"/>
          <w:szCs w:val="22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Gestor da Unidade Requisitante: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b/>
          <w:color w:themeColor="text1" w:val="000000"/>
          <w:kern w:val="0"/>
          <w:sz w:val="22"/>
          <w:szCs w:val="22"/>
          <w:shd w:fill="auto" w:val="clear"/>
          <w:lang w:val="pt-BR" w:bidi="ar-SA"/>
        </w:rPr>
        <w:t>NAYANE ALLINE DA SILVA MALAVASI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rFonts w:cs="Arial" w:ascii="Arial" w:hAnsi="Arial"/>
          <w:sz w:val="22"/>
          <w:szCs w:val="22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São Roque do Canaã/ES</w:t>
      </w:r>
      <w:r>
        <w:rPr>
          <w:rFonts w:cs="Arial" w:ascii="Arial" w:hAnsi="Arial"/>
          <w:sz w:val="22"/>
          <w:szCs w:val="22"/>
        </w:rPr>
        <w:t>, 18 de dezembro de 2025.</w:t>
      </w:r>
    </w:p>
    <w:tbl>
      <w:tblPr>
        <w:tblStyle w:val="Tabelacomgrade"/>
        <w:tblW w:w="90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1808" w:hRule="atLeast"/>
        </w:trP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themeColor="text1" w:val="000000"/>
                <w:kern w:val="0"/>
                <w:sz w:val="22"/>
                <w:szCs w:val="22"/>
                <w:shd w:fill="auto" w:val="clear"/>
                <w:lang w:val="pt-BR" w:bidi="ar-SA"/>
              </w:rPr>
              <w:t>NAYANE ALLINE DA SILVA MALAVASI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themeColor="text1" w:val="000000"/>
                <w:kern w:val="0"/>
                <w:sz w:val="22"/>
                <w:szCs w:val="22"/>
                <w:shd w:fill="auto" w:val="clear"/>
                <w:lang w:val="pt-BR" w:bidi="ar-SA"/>
              </w:rPr>
              <w:t>Secretária Municipal de Administração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sz w:val="20"/>
        <w:szCs w:val="16"/>
      </w:rPr>
      <w:t>Telefone: (27) 3729-1120 | E-mail: administração@saoroquedocanaa.es.gov.br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ADMINISTRAÇÃO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e5cca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hanging="0"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itle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5212e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EndnoteText">
    <w:name w:val="Endnote Text"/>
    <w:basedOn w:val="Normal"/>
    <w:pPr>
      <w:suppressLineNumbers/>
      <w:ind w:hanging="340" w:left="34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0D8-8CB8-4BE1-84F1-4C7608A4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Application>LibreOffice/7.6.4.1$Windows_X86_64 LibreOffice_project/e19e193f88cd6c0525a17fb7a176ed8e6a3e2aa1</Application>
  <AppVersion>15.0000</AppVersion>
  <Pages>3</Pages>
  <Words>1103</Words>
  <Characters>6397</Characters>
  <CharactersWithSpaces>7447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dc:description/>
  <dc:language>pt-BR</dc:language>
  <cp:lastModifiedBy/>
  <cp:lastPrinted>2024-12-30T14:05:30Z</cp:lastPrinted>
  <dcterms:modified xsi:type="dcterms:W3CDTF">2025-12-18T15:25:34Z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