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E1504E">
      <w:pPr>
        <w:spacing w:line="360" w:lineRule="auto"/>
        <w:jc w:val="center"/>
        <w:rPr>
          <w:rFonts w:ascii="Arial" w:hAnsi="Arial" w:cs="Arial"/>
          <w:highlight w:val="none"/>
        </w:rPr>
      </w:pPr>
    </w:p>
    <w:p w14:paraId="7D5A2643">
      <w:pPr>
        <w:spacing w:before="0" w:after="0" w:line="360" w:lineRule="auto"/>
        <w:rPr>
          <w:rFonts w:hint="default"/>
          <w:sz w:val="22"/>
          <w:szCs w:val="22"/>
          <w:highlight w:val="none"/>
          <w:lang w:val="pt-BR"/>
        </w:rPr>
      </w:pPr>
      <w:r>
        <w:rPr>
          <w:rFonts w:ascii="Times New Roman" w:hAnsi="Times New Roman" w:cs="Arial"/>
          <w:b/>
          <w:sz w:val="22"/>
          <w:szCs w:val="22"/>
          <w:highlight w:val="none"/>
        </w:rPr>
        <w:t>DFD/S</w:t>
      </w:r>
      <w:r>
        <w:rPr>
          <w:rFonts w:hint="default" w:ascii="Times New Roman" w:hAnsi="Times New Roman" w:cs="Arial"/>
          <w:b/>
          <w:sz w:val="22"/>
          <w:szCs w:val="22"/>
          <w:highlight w:val="none"/>
          <w:lang w:val="pt-BR"/>
        </w:rPr>
        <w:t>MTCEL</w:t>
      </w:r>
      <w:r>
        <w:rPr>
          <w:rFonts w:ascii="Times New Roman" w:hAnsi="Times New Roman" w:cs="Arial"/>
          <w:b/>
          <w:sz w:val="22"/>
          <w:szCs w:val="22"/>
          <w:highlight w:val="none"/>
        </w:rPr>
        <w:t xml:space="preserve"> Nº. 0</w:t>
      </w:r>
      <w:r>
        <w:rPr>
          <w:rFonts w:hint="default" w:ascii="Times New Roman" w:hAnsi="Times New Roman" w:cs="Arial"/>
          <w:b/>
          <w:sz w:val="22"/>
          <w:szCs w:val="22"/>
          <w:highlight w:val="none"/>
          <w:lang w:val="pt-BR"/>
        </w:rPr>
        <w:t>01</w:t>
      </w:r>
      <w:r>
        <w:rPr>
          <w:rFonts w:ascii="Times New Roman" w:hAnsi="Times New Roman" w:cs="Arial"/>
          <w:b/>
          <w:sz w:val="22"/>
          <w:szCs w:val="22"/>
          <w:highlight w:val="none"/>
        </w:rPr>
        <w:t>/202</w:t>
      </w:r>
      <w:r>
        <w:rPr>
          <w:rFonts w:hint="default" w:ascii="Times New Roman" w:hAnsi="Times New Roman" w:cs="Arial"/>
          <w:b/>
          <w:sz w:val="22"/>
          <w:szCs w:val="22"/>
          <w:highlight w:val="none"/>
          <w:lang w:val="pt-BR"/>
        </w:rPr>
        <w:t>6</w:t>
      </w:r>
    </w:p>
    <w:p w14:paraId="7266B09C">
      <w:pPr>
        <w:spacing w:before="0" w:after="0" w:line="360" w:lineRule="auto"/>
        <w:jc w:val="both"/>
        <w:rPr>
          <w:sz w:val="22"/>
          <w:szCs w:val="22"/>
          <w:highlight w:val="none"/>
        </w:rPr>
      </w:pPr>
      <w:r>
        <w:rPr>
          <w:rFonts w:ascii="Times New Roman" w:hAnsi="Times New Roman" w:cs="Arial"/>
          <w:sz w:val="22"/>
          <w:szCs w:val="22"/>
          <w:highlight w:val="none"/>
        </w:rPr>
        <w:t>Ao Exmo. Senhor,</w:t>
      </w:r>
    </w:p>
    <w:p w14:paraId="1A310736">
      <w:pPr>
        <w:widowControl w:val="0"/>
        <w:tabs>
          <w:tab w:val="left" w:pos="1701"/>
        </w:tabs>
        <w:spacing w:before="0" w:after="0" w:line="360" w:lineRule="auto"/>
        <w:rPr>
          <w:sz w:val="22"/>
          <w:szCs w:val="22"/>
          <w:highlight w:val="none"/>
        </w:rPr>
      </w:pPr>
      <w:r>
        <w:rPr>
          <w:rFonts w:ascii="Times New Roman" w:hAnsi="Times New Roman" w:cs="Arial"/>
          <w:b/>
          <w:sz w:val="22"/>
          <w:szCs w:val="22"/>
          <w:highlight w:val="none"/>
        </w:rPr>
        <w:t>MARCOS GERALDO GUERRA</w:t>
      </w:r>
    </w:p>
    <w:p w14:paraId="07CDD150">
      <w:pPr>
        <w:widowControl w:val="0"/>
        <w:tabs>
          <w:tab w:val="left" w:pos="1701"/>
        </w:tabs>
        <w:spacing w:before="0" w:after="0" w:line="360" w:lineRule="auto"/>
        <w:rPr>
          <w:sz w:val="22"/>
          <w:szCs w:val="22"/>
          <w:highlight w:val="none"/>
        </w:rPr>
      </w:pPr>
      <w:r>
        <w:rPr>
          <w:rFonts w:ascii="Times New Roman" w:hAnsi="Times New Roman" w:cs="Arial"/>
          <w:sz w:val="22"/>
          <w:szCs w:val="22"/>
          <w:highlight w:val="none"/>
        </w:rPr>
        <w:t>Prefeito Municipal de São Roque do Canaã/ES</w:t>
      </w:r>
    </w:p>
    <w:p w14:paraId="29582E3A">
      <w:pPr>
        <w:widowControl w:val="0"/>
        <w:tabs>
          <w:tab w:val="left" w:pos="1701"/>
        </w:tabs>
        <w:spacing w:before="0" w:after="0" w:line="360" w:lineRule="auto"/>
        <w:rPr>
          <w:rFonts w:ascii="Times New Roman" w:hAnsi="Times New Roman" w:cs="Arial"/>
          <w:sz w:val="22"/>
          <w:szCs w:val="22"/>
          <w:highlight w:val="none"/>
        </w:rPr>
      </w:pPr>
    </w:p>
    <w:p w14:paraId="360599A7">
      <w:pPr>
        <w:widowControl w:val="0"/>
        <w:pBdr>
          <w:bottom w:val="single" w:color="000000" w:sz="4" w:space="1"/>
        </w:pBdr>
        <w:tabs>
          <w:tab w:val="left" w:pos="1701"/>
        </w:tabs>
        <w:spacing w:before="0" w:after="0" w:line="360" w:lineRule="auto"/>
        <w:jc w:val="both"/>
        <w:rPr>
          <w:rFonts w:hint="default"/>
          <w:sz w:val="22"/>
          <w:szCs w:val="22"/>
          <w:highlight w:val="none"/>
          <w:lang w:val="pt-BR"/>
        </w:rPr>
      </w:pPr>
      <w:r>
        <w:rPr>
          <w:rFonts w:ascii="Times New Roman" w:hAnsi="Times New Roman" w:cs="Arial"/>
          <w:b/>
          <w:sz w:val="22"/>
          <w:szCs w:val="22"/>
          <w:highlight w:val="none"/>
        </w:rPr>
        <w:t>Ref.:</w:t>
      </w:r>
      <w:r>
        <w:rPr>
          <w:rFonts w:ascii="Times New Roman" w:hAnsi="Times New Roman" w:cs="Arial"/>
          <w:sz w:val="22"/>
          <w:szCs w:val="22"/>
          <w:highlight w:val="none"/>
        </w:rPr>
        <w:t xml:space="preserve"> Empenho por Estimativa – Energia Elétrica – LUZ E FORÇA SANTA MARIA 202</w:t>
      </w:r>
      <w:r>
        <w:rPr>
          <w:rFonts w:hint="default" w:ascii="Times New Roman" w:hAnsi="Times New Roman" w:cs="Arial"/>
          <w:sz w:val="22"/>
          <w:szCs w:val="22"/>
          <w:highlight w:val="none"/>
          <w:lang w:val="pt-BR"/>
        </w:rPr>
        <w:t>6</w:t>
      </w:r>
    </w:p>
    <w:p w14:paraId="6F727037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039122A0">
      <w:pPr>
        <w:pStyle w:val="12"/>
        <w:spacing w:before="0" w:beforeAutospacing="0" w:after="0" w:afterAutospacing="0" w:line="360" w:lineRule="auto"/>
        <w:jc w:val="both"/>
        <w:rPr>
          <w:rFonts w:hint="default"/>
          <w:sz w:val="22"/>
          <w:szCs w:val="22"/>
          <w:highlight w:val="none"/>
          <w:lang w:val="pt-BR"/>
        </w:rPr>
      </w:pPr>
      <w:r>
        <w:rPr>
          <w:rFonts w:cs="Arial"/>
          <w:b/>
          <w:bCs/>
          <w:sz w:val="22"/>
          <w:szCs w:val="22"/>
          <w:highlight w:val="none"/>
          <w:shd w:val="clear" w:fill="D9D9D9"/>
        </w:rPr>
        <w:t>UNIDADE REQUISITANTE</w:t>
      </w:r>
      <w:r>
        <w:rPr>
          <w:rFonts w:cs="Arial"/>
          <w:b/>
          <w:sz w:val="22"/>
          <w:szCs w:val="22"/>
          <w:highlight w:val="none"/>
          <w:shd w:val="clear" w:fill="D9D9D9"/>
        </w:rPr>
        <w:t>:</w:t>
      </w:r>
      <w:r>
        <w:rPr>
          <w:rFonts w:cs="Arial"/>
          <w:sz w:val="22"/>
          <w:szCs w:val="22"/>
          <w:highlight w:val="none"/>
        </w:rPr>
        <w:t xml:space="preserve">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Lazer.</w:t>
      </w:r>
    </w:p>
    <w:p w14:paraId="27F6791C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1D271C1D">
      <w:pPr>
        <w:pStyle w:val="12"/>
        <w:spacing w:before="0" w:beforeAutospacing="0" w:after="0" w:afterAutospacing="0" w:line="360" w:lineRule="auto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  <w:shd w:val="clear" w:fill="D9D9D9"/>
        </w:rPr>
        <w:t>RESPONSÁVEL PELA DEMANDA:</w:t>
      </w:r>
      <w:r>
        <w:rPr>
          <w:rFonts w:cs="Arial"/>
          <w:bCs/>
          <w:sz w:val="22"/>
          <w:szCs w:val="22"/>
          <w:highlight w:val="none"/>
        </w:rPr>
        <w:t xml:space="preserve"> 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Responsabilizar-se-á, pela presente demanda, 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a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servidor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a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</w:t>
      </w:r>
      <w:r>
        <w:rPr>
          <w:rFonts w:hint="default" w:cs="Arial"/>
          <w:b/>
          <w:bCs/>
          <w:color w:val="000000"/>
          <w:sz w:val="22"/>
          <w:szCs w:val="22"/>
          <w:highlight w:val="none"/>
          <w:lang w:val="pt-BR"/>
        </w:rPr>
        <w:t>ELIANE RENATA CIMERO CALCI,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ocupante do cargo de Secretári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a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Municipal de 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bCs/>
          <w:color w:val="000000"/>
          <w:sz w:val="22"/>
          <w:szCs w:val="22"/>
          <w:highlight w:val="none"/>
        </w:rPr>
        <w:t>, integrante da Unidade Requisitante.</w:t>
      </w:r>
    </w:p>
    <w:p w14:paraId="063684FC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216A3FFA">
      <w:pPr>
        <w:pStyle w:val="12"/>
        <w:spacing w:before="0" w:beforeAutospacing="0" w:after="0" w:afterAutospacing="0" w:line="360" w:lineRule="auto"/>
        <w:jc w:val="both"/>
        <w:rPr>
          <w:rFonts w:hint="default"/>
          <w:sz w:val="22"/>
          <w:szCs w:val="22"/>
          <w:highlight w:val="none"/>
          <w:lang w:val="pt-BR"/>
        </w:rPr>
      </w:pPr>
      <w:r>
        <w:rPr>
          <w:rFonts w:cs="Arial"/>
          <w:b/>
          <w:bCs/>
          <w:sz w:val="22"/>
          <w:szCs w:val="22"/>
          <w:highlight w:val="none"/>
          <w:shd w:val="clear" w:fill="D9D9D9"/>
        </w:rPr>
        <w:t>CONTATO DA UNIDADE REQUISITANTE:</w:t>
      </w:r>
      <w:r>
        <w:rPr>
          <w:rFonts w:cs="Arial"/>
          <w:bCs/>
          <w:sz w:val="22"/>
          <w:szCs w:val="22"/>
          <w:highlight w:val="none"/>
        </w:rPr>
        <w:t xml:space="preserve"> 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Os contatos com a unidade requisitante podem ser realizados pelo </w:t>
      </w:r>
      <w:r>
        <w:rPr>
          <w:rFonts w:cs="Arial"/>
          <w:bCs/>
          <w:color w:val="000000"/>
          <w:sz w:val="22"/>
          <w:szCs w:val="22"/>
          <w:highlight w:val="none"/>
          <w:shd w:val="clear" w:fill="auto"/>
        </w:rPr>
        <w:t xml:space="preserve">telefone </w:t>
      </w:r>
      <w:r>
        <w:rPr>
          <w:rFonts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</w:rPr>
        <w:t>(27) 3729-1</w:t>
      </w:r>
      <w:r>
        <w:rPr>
          <w:rFonts w:hint="default"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  <w:lang w:val="pt-BR"/>
        </w:rPr>
        <w:t>997</w:t>
      </w:r>
      <w:r>
        <w:rPr>
          <w:rFonts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</w:rPr>
        <w:t xml:space="preserve">, </w:t>
      </w:r>
      <w:r>
        <w:rPr>
          <w:rFonts w:hint="default"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shd w:val="clear" w:fill="auto"/>
          <w:lang w:val="pt-BR"/>
        </w:rPr>
        <w:t>pelo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 e-mail: </w:t>
      </w:r>
      <w:r>
        <w:rPr>
          <w:rFonts w:hint="default" w:cs="Arial"/>
          <w:bCs/>
          <w:color w:val="000000"/>
          <w:sz w:val="22"/>
          <w:szCs w:val="22"/>
          <w:highlight w:val="none"/>
          <w:lang w:val="pt-BR"/>
        </w:rPr>
        <w:t>turismo</w:t>
      </w:r>
      <w:r>
        <w:rPr>
          <w:rFonts w:cs="Arial"/>
          <w:bCs/>
          <w:color w:val="000000"/>
          <w:sz w:val="22"/>
          <w:szCs w:val="22"/>
          <w:highlight w:val="none"/>
        </w:rPr>
        <w:t xml:space="preserve">@saoroquedocanaa.es.gov.br. ou por meio do atendimento presencial, na sede localizada na </w:t>
      </w:r>
      <w:r>
        <w:rPr>
          <w:rFonts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</w:rPr>
        <w:t>Rua Lourenço Roldi, nº 88 – Bairro São Roquinho – CEP: 29665000</w:t>
      </w:r>
      <w:r>
        <w:rPr>
          <w:rFonts w:hint="default" w:cs="Arial"/>
          <w:b w:val="0"/>
          <w:bCs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val="pt-BR"/>
        </w:rPr>
        <w:t>.</w:t>
      </w:r>
    </w:p>
    <w:p w14:paraId="47D3B3E0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34ECE405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DESCRIÇÃO SUCINTA DO OBJETO E/OU OBJETIVO</w:t>
      </w:r>
    </w:p>
    <w:p w14:paraId="35A14371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0D3E4E0E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Cs/>
          <w:sz w:val="22"/>
          <w:szCs w:val="22"/>
          <w:highlight w:val="none"/>
        </w:rPr>
        <w:t xml:space="preserve">Constitui objeto da presente demanda a necessidade de </w:t>
      </w:r>
      <w:r>
        <w:rPr>
          <w:rFonts w:cs="Arial"/>
          <w:b/>
          <w:bCs/>
          <w:sz w:val="22"/>
          <w:szCs w:val="22"/>
          <w:highlight w:val="none"/>
        </w:rPr>
        <w:t>custear</w:t>
      </w:r>
      <w:r>
        <w:rPr>
          <w:rFonts w:hint="default" w:cs="Arial"/>
          <w:b/>
          <w:bCs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highlight w:val="none"/>
        </w:rPr>
        <w:t xml:space="preserve">serviço </w:t>
      </w:r>
      <w:r>
        <w:rPr>
          <w:rFonts w:hint="default" w:eastAsia="SimSun" w:cs="Times New Roman"/>
          <w:b/>
          <w:bCs/>
          <w:sz w:val="22"/>
          <w:szCs w:val="22"/>
          <w:highlight w:val="none"/>
          <w:lang w:val="pt-BR"/>
        </w:rPr>
        <w:t xml:space="preserve">adicional </w:t>
      </w:r>
      <w:r>
        <w:rPr>
          <w:rFonts w:hint="default" w:ascii="Times New Roman" w:hAnsi="Times New Roman" w:eastAsia="SimSun" w:cs="Times New Roman"/>
          <w:b/>
          <w:bCs/>
          <w:sz w:val="22"/>
          <w:szCs w:val="22"/>
          <w:highlight w:val="none"/>
        </w:rPr>
        <w:t>de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 xml:space="preserve"> </w:t>
      </w:r>
      <w:r>
        <w:rPr>
          <w:rFonts w:cs="Arial"/>
          <w:b/>
          <w:bCs/>
          <w:sz w:val="22"/>
          <w:szCs w:val="22"/>
          <w:highlight w:val="none"/>
        </w:rPr>
        <w:t xml:space="preserve">energia elétrica pelas unidades relacionadas à </w:t>
      </w:r>
      <w:r>
        <w:rPr>
          <w:rFonts w:hint="default" w:cs="Arial"/>
          <w:b/>
          <w:bCs/>
          <w:sz w:val="22"/>
          <w:szCs w:val="22"/>
          <w:highlight w:val="none"/>
          <w:lang w:val="pt-BR"/>
        </w:rPr>
        <w:t>Secretaria Municipal de Turismo, Cultura, Esporte e Lazer</w:t>
      </w:r>
      <w:r>
        <w:rPr>
          <w:rFonts w:cs="Arial"/>
          <w:b/>
          <w:bCs/>
          <w:sz w:val="22"/>
          <w:szCs w:val="22"/>
          <w:highlight w:val="none"/>
        </w:rPr>
        <w:t>, no exercício de 202</w:t>
      </w:r>
      <w:r>
        <w:rPr>
          <w:rFonts w:hint="default" w:cs="Arial"/>
          <w:b/>
          <w:bCs/>
          <w:sz w:val="22"/>
          <w:szCs w:val="22"/>
          <w:highlight w:val="none"/>
          <w:lang w:val="pt-BR"/>
        </w:rPr>
        <w:t>6</w:t>
      </w:r>
      <w:r>
        <w:rPr>
          <w:rFonts w:cs="Arial"/>
          <w:bCs/>
          <w:sz w:val="22"/>
          <w:szCs w:val="22"/>
          <w:highlight w:val="none"/>
        </w:rPr>
        <w:t xml:space="preserve">, em virtude do desempenho de suas atividades, com fulcro no art. 60, da Lei Federal nº </w:t>
      </w:r>
      <w:r>
        <w:rPr>
          <w:rFonts w:cs="Arial"/>
          <w:sz w:val="22"/>
          <w:szCs w:val="22"/>
          <w:highlight w:val="none"/>
        </w:rPr>
        <w:t xml:space="preserve">4.320/1964,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da Lei Federal nº 14.133/2021.</w:t>
      </w:r>
    </w:p>
    <w:p w14:paraId="22A27A0B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bCs/>
          <w:sz w:val="22"/>
          <w:szCs w:val="22"/>
          <w:highlight w:val="none"/>
        </w:rPr>
      </w:pPr>
    </w:p>
    <w:p w14:paraId="49901AA2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JUSTIFICATIVA DA NECESSIDADE/IMPORTÂNCIA DA COMPRA DO BEM/MATERIAL OU PRESTAÇÃO DE SERVIÇOS, CONSIDERANDO O PLANEJAMENTO ESTRATÉGICO, SE FOR O CASO.</w:t>
      </w:r>
    </w:p>
    <w:p w14:paraId="38F2D824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95406D0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 xml:space="preserve"> 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A Secretaria de Turismo, Cultura, Esporte e Lazer desempenha um papel crucial na promoção e realização de eventos e atividades que enriquecem a vida cultural e social da comunidade. Com o planejamento estratégico para o ano de 202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>6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, há uma necessidade premente de garantir um fornecimento de energia elétrica adequado para suportar o aumento das atividades e eventos programados.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  <w:lang w:eastAsia="en-US"/>
        </w:rPr>
        <w:t xml:space="preserve"> </w:t>
      </w:r>
    </w:p>
    <w:p w14:paraId="05E7E1B0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jc w:val="both"/>
        <w:rPr>
          <w:rFonts w:ascii="Times New Roman" w:hAnsi="Times New Roman" w:cs="Arial"/>
          <w:color w:val="000000"/>
          <w:sz w:val="22"/>
          <w:szCs w:val="22"/>
          <w:highlight w:val="none"/>
        </w:rPr>
      </w:pPr>
    </w:p>
    <w:p w14:paraId="38C854E9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color w:val="000000"/>
          <w:sz w:val="22"/>
          <w:szCs w:val="22"/>
          <w:highlight w:val="none"/>
        </w:rPr>
      </w:pPr>
    </w:p>
    <w:p w14:paraId="7ACBA994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2"/>
          <w:szCs w:val="22"/>
          <w:highlight w:val="none"/>
        </w:rPr>
      </w:pP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Nos últimos anos, a Secretaria tem experimentado um crescimento significativo nas suas atividades e eventos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  <w:lang w:val="pt-BR"/>
        </w:rPr>
        <w:t>, tal como o a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umento na quantidade e na escala de eventos culturais, esportivos e de lazer, que demandam maior consumo de energia para iluminação, som e equipamentos diversos.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highlight w:val="none"/>
        </w:rPr>
        <w:t xml:space="preserve">Além disso, a inauguração de um novo campo </w:t>
      </w:r>
      <w:r>
        <w:rPr>
          <w:rFonts w:hint="default" w:cs="Times New Roman"/>
          <w:sz w:val="22"/>
          <w:szCs w:val="22"/>
          <w:highlight w:val="none"/>
          <w:lang w:val="pt-BR"/>
        </w:rPr>
        <w:t xml:space="preserve">“Campo Bom de Bola”, </w:t>
      </w:r>
      <w:r>
        <w:rPr>
          <w:rFonts w:hint="default" w:ascii="Times New Roman" w:hAnsi="Times New Roman" w:cs="Times New Roman"/>
          <w:sz w:val="22"/>
          <w:szCs w:val="22"/>
          <w:highlight w:val="none"/>
        </w:rPr>
        <w:t>destinado ao lazer e à recreação dos moradores, que promove momentos únicos de interação com amigos e familiares, também demanda um maior consumo de energia elétrica devido aos seus horários de funcionamento ampliados.</w:t>
      </w:r>
    </w:p>
    <w:p w14:paraId="054AB387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hint="default" w:ascii="Times New Roman" w:hAnsi="Times New Roman" w:cs="Times New Roman"/>
          <w:color w:val="000000"/>
          <w:sz w:val="22"/>
          <w:szCs w:val="22"/>
          <w:highlight w:val="none"/>
        </w:rPr>
      </w:pPr>
    </w:p>
    <w:p w14:paraId="57057DBE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2"/>
          <w:szCs w:val="22"/>
          <w:highlight w:val="none"/>
        </w:rPr>
      </w:pP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Implementação de novas tecnologias para a realização de eventos de grande porte, como o Rodeio Festival Show, que inclui um espetáculo pirotécnico e o uso de tecnologias audiovisuais avançadas. Além disso, melhorias nas instalações existentes, como praças, ginásios e arenas esportivas,</w:t>
      </w:r>
      <w:r>
        <w:rPr>
          <w:rFonts w:hint="default" w:eastAsia="SimSun" w:cs="Times New Roman"/>
          <w:sz w:val="22"/>
          <w:szCs w:val="22"/>
          <w:highlight w:val="none"/>
          <w:lang w:val="pt-BR"/>
        </w:rPr>
        <w:t xml:space="preserve"> que </w:t>
      </w: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exigem um fornecimento de energia mais robusto. A continuidade e a qualidade desses serviços estão diretamente dependentes de um fornecimento de energia ininterrupto</w:t>
      </w:r>
      <w:r>
        <w:rPr>
          <w:rFonts w:ascii="SimSun" w:hAnsi="SimSun" w:eastAsia="SimSun" w:cs="SimSun"/>
          <w:sz w:val="24"/>
          <w:szCs w:val="24"/>
          <w:highlight w:val="none"/>
        </w:rPr>
        <w:t>.</w:t>
      </w:r>
    </w:p>
    <w:p w14:paraId="012ADB24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hint="default" w:ascii="Times New Roman" w:hAnsi="Times New Roman" w:cs="Times New Roman" w:eastAsiaTheme="minorHAnsi"/>
          <w:color w:val="000000"/>
          <w:sz w:val="22"/>
          <w:szCs w:val="22"/>
          <w:highlight w:val="none"/>
          <w:lang w:eastAsia="en-US"/>
        </w:rPr>
      </w:pPr>
    </w:p>
    <w:p w14:paraId="76DB81E4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 w:ascii="Times New Roman" w:hAnsi="Times New Roman" w:cs="Times New Roman"/>
          <w:sz w:val="22"/>
          <w:szCs w:val="22"/>
          <w:highlight w:val="none"/>
        </w:rPr>
      </w:pPr>
      <w:r>
        <w:rPr>
          <w:rFonts w:hint="default" w:ascii="Times New Roman" w:hAnsi="Times New Roman" w:eastAsia="SimSun" w:cs="Times New Roman"/>
          <w:sz w:val="22"/>
          <w:szCs w:val="22"/>
          <w:highlight w:val="none"/>
        </w:rPr>
        <w:t>Projeção de eventos especiais e festivais destinados a engajar a comunidade, que requerem um suporte energético adicional para assegurar uma execução sem problemas. Entre estes eventos, estão incluídas feiras ao ar livre com apresentações musicais, que necessitam de estruturas específicas e um maior consumo de energia elétrica para iluminação, som e equipamentos técnicos. Além disso, barracas de comidas e bebidas de empreendedores locais precisam de instalações elétricas adequadas para o funcionamento de equipamentos essenciais, como freezers, fritadeiras elétricas e iluminação, garantindo a operação eficiente e segura desses empreendimentos.</w:t>
      </w:r>
    </w:p>
    <w:p w14:paraId="3C8139E1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Chars="0"/>
        <w:jc w:val="both"/>
        <w:rPr>
          <w:sz w:val="22"/>
          <w:szCs w:val="22"/>
          <w:highlight w:val="none"/>
        </w:rPr>
      </w:pPr>
    </w:p>
    <w:p w14:paraId="1B788CF8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>Escolas municipais dependem da energia para operar efetivamente. Equipamentos educacionais, sistemas de iluminação, climatização e a infraestrutura necessária para atividades culturais demand</w:t>
      </w:r>
      <w:r>
        <w:rPr>
          <w:rFonts w:hint="default"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val="pt-BR" w:eastAsia="en-US"/>
        </w:rPr>
        <w:t>a</w:t>
      </w: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>m uma fonte estável de energia.</w:t>
      </w:r>
    </w:p>
    <w:p w14:paraId="5D315092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rFonts w:ascii="Times New Roman" w:hAnsi="Times New Roman"/>
          <w:color w:val="000000"/>
          <w:sz w:val="22"/>
          <w:szCs w:val="22"/>
          <w:highlight w:val="none"/>
        </w:rPr>
      </w:pPr>
    </w:p>
    <w:p w14:paraId="56561FDF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b w:val="0"/>
          <w:i w:val="0"/>
          <w:caps w:val="0"/>
          <w:smallCaps w:val="0"/>
          <w:color w:val="000000"/>
          <w:spacing w:val="0"/>
          <w:sz w:val="22"/>
          <w:szCs w:val="22"/>
          <w:highlight w:val="none"/>
          <w:lang w:eastAsia="en-US"/>
        </w:rPr>
        <w:t>Portanto, é evidente que a energia elétrica é um elemento vital para o funcionamento integrado e eficaz de nossa prefeitura, impactando diretamente a qualidade de vida de nossos servidores e munícipes. Estamos comprometidos em garantir o fornecimento seguro e contínuo de energia para atender às necessidades da comunidade.</w:t>
      </w:r>
    </w:p>
    <w:p w14:paraId="3EE325F0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 w:eastAsiaTheme="minorHAnsi"/>
          <w:color w:val="000000"/>
          <w:sz w:val="22"/>
          <w:szCs w:val="22"/>
          <w:highlight w:val="none"/>
          <w:lang w:eastAsia="en-US"/>
        </w:rPr>
      </w:pPr>
    </w:p>
    <w:p w14:paraId="0080C906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Nesse contexto, </w:t>
      </w:r>
      <w:r>
        <w:rPr>
          <w:rFonts w:cs="Arial"/>
          <w:b/>
          <w:sz w:val="22"/>
          <w:szCs w:val="22"/>
          <w:highlight w:val="none"/>
        </w:rPr>
        <w:t>entende-se necessário custear as despesas decorrentes d</w:t>
      </w:r>
      <w:r>
        <w:rPr>
          <w:rFonts w:hint="default" w:cs="Arial"/>
          <w:b/>
          <w:sz w:val="22"/>
          <w:szCs w:val="22"/>
          <w:highlight w:val="none"/>
          <w:lang w:val="pt-BR"/>
        </w:rPr>
        <w:t>o aumento do</w:t>
      </w:r>
      <w:r>
        <w:rPr>
          <w:rFonts w:cs="Arial"/>
          <w:b/>
          <w:sz w:val="22"/>
          <w:szCs w:val="22"/>
          <w:highlight w:val="none"/>
        </w:rPr>
        <w:t xml:space="preserve"> consumo de energia pelas unidades relacionadas à Secretaria Municipal de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b/>
          <w:sz w:val="22"/>
          <w:szCs w:val="22"/>
          <w:highlight w:val="none"/>
        </w:rPr>
        <w:t>, no exercício de 202</w:t>
      </w:r>
      <w:r>
        <w:rPr>
          <w:rFonts w:hint="default" w:cs="Arial"/>
          <w:b/>
          <w:sz w:val="22"/>
          <w:szCs w:val="22"/>
          <w:highlight w:val="none"/>
          <w:lang w:val="pt-BR"/>
        </w:rPr>
        <w:t>6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Cs/>
          <w:sz w:val="22"/>
          <w:szCs w:val="22"/>
          <w:highlight w:val="none"/>
        </w:rPr>
        <w:t>em virtude do desempenho de suas atividades</w:t>
      </w:r>
      <w:r>
        <w:rPr>
          <w:rFonts w:cs="Arial"/>
          <w:sz w:val="22"/>
          <w:szCs w:val="22"/>
          <w:highlight w:val="none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 w14:paraId="16A58292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3292E549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Todavia, em regra, segundo o art. 60 da Lei Federal nº 4.320/1964, não se podem realizar despesas sem prévio empenho. Outrossim, considerando a </w:t>
      </w:r>
      <w:r>
        <w:rPr>
          <w:rFonts w:hint="default" w:cs="Arial"/>
          <w:sz w:val="22"/>
          <w:szCs w:val="22"/>
          <w:highlight w:val="none"/>
          <w:lang w:val="pt-BR"/>
        </w:rPr>
        <w:t>necessidade de aquisição adicional para findar o</w:t>
      </w:r>
      <w:r>
        <w:rPr>
          <w:rFonts w:cs="Arial"/>
          <w:sz w:val="22"/>
          <w:szCs w:val="22"/>
          <w:highlight w:val="none"/>
        </w:rPr>
        <w:t xml:space="preserve"> exercício financeiro,</w:t>
      </w:r>
      <w:r>
        <w:rPr>
          <w:rFonts w:hint="default" w:cs="Arial"/>
          <w:sz w:val="22"/>
          <w:szCs w:val="22"/>
          <w:highlight w:val="none"/>
          <w:lang w:val="pt-BR"/>
        </w:rPr>
        <w:t xml:space="preserve"> </w:t>
      </w:r>
      <w:r>
        <w:rPr>
          <w:rFonts w:cs="Arial"/>
          <w:sz w:val="22"/>
          <w:szCs w:val="22"/>
          <w:highlight w:val="none"/>
        </w:rPr>
        <w:t>qual seja de 202</w:t>
      </w:r>
      <w:r>
        <w:rPr>
          <w:rFonts w:hint="default" w:cs="Arial"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/>
          <w:sz w:val="22"/>
          <w:szCs w:val="22"/>
          <w:highlight w:val="none"/>
        </w:rPr>
        <w:t>é essencial que a Administração estime</w:t>
      </w:r>
      <w:r>
        <w:rPr>
          <w:rFonts w:cs="Arial"/>
          <w:sz w:val="22"/>
          <w:szCs w:val="22"/>
          <w:highlight w:val="none"/>
        </w:rPr>
        <w:t xml:space="preserve">, com bases nas despesas dos últimos 12 (doze) meses, </w:t>
      </w:r>
      <w:r>
        <w:rPr>
          <w:rFonts w:cs="Arial"/>
          <w:b/>
          <w:sz w:val="22"/>
          <w:szCs w:val="22"/>
          <w:highlight w:val="none"/>
        </w:rPr>
        <w:t xml:space="preserve">as despesas para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complementar o</w:t>
      </w:r>
      <w:r>
        <w:rPr>
          <w:rFonts w:cs="Arial"/>
          <w:b/>
          <w:sz w:val="22"/>
          <w:szCs w:val="22"/>
          <w:highlight w:val="none"/>
        </w:rPr>
        <w:t xml:space="preserve"> exercício</w:t>
      </w:r>
      <w:r>
        <w:rPr>
          <w:rFonts w:cs="Arial"/>
          <w:sz w:val="22"/>
          <w:szCs w:val="22"/>
          <w:highlight w:val="none"/>
        </w:rPr>
        <w:t>, para que assim, se possam empenhar os recursos estimados necessários, objetivando melhor gestão do pagamento parcelado de tais despesas.</w:t>
      </w:r>
    </w:p>
    <w:p w14:paraId="498085A1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4C9CF98C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>2.9.</w:t>
      </w:r>
      <w:r>
        <w:rPr>
          <w:rFonts w:cs="Arial"/>
          <w:sz w:val="22"/>
          <w:szCs w:val="22"/>
          <w:highlight w:val="none"/>
        </w:rPr>
        <w:tab/>
      </w:r>
      <w:r>
        <w:rPr>
          <w:rFonts w:cs="Arial"/>
          <w:sz w:val="22"/>
          <w:szCs w:val="22"/>
          <w:highlight w:val="none"/>
        </w:rPr>
        <w:t xml:space="preserve">Conceitualmente, o </w:t>
      </w:r>
      <w:r>
        <w:rPr>
          <w:rFonts w:cs="Arial"/>
          <w:b/>
          <w:sz w:val="22"/>
          <w:szCs w:val="22"/>
          <w:highlight w:val="none"/>
        </w:rPr>
        <w:t>empenho por estimativa</w:t>
      </w:r>
      <w:r>
        <w:rPr>
          <w:rFonts w:cs="Arial"/>
          <w:sz w:val="22"/>
          <w:szCs w:val="22"/>
          <w:highlight w:val="none"/>
        </w:rPr>
        <w:t xml:space="preserve">, é aquele em que </w:t>
      </w:r>
      <w:r>
        <w:rPr>
          <w:rFonts w:cs="Arial"/>
          <w:b/>
          <w:sz w:val="22"/>
          <w:szCs w:val="22"/>
          <w:highlight w:val="none"/>
        </w:rPr>
        <w:t>não se pode determinar previamente o montante exato a ser pago (art. 60, §2º, Lei Federal nº 4.320/1964)</w:t>
      </w:r>
      <w:r>
        <w:rPr>
          <w:rFonts w:cs="Arial"/>
          <w:sz w:val="22"/>
          <w:szCs w:val="22"/>
          <w:highlight w:val="none"/>
        </w:rPr>
        <w:t xml:space="preserve">, como ocorre, em particular, com as contas de água, luz, gás e telefone. Desse modo, objetivando o pleno e efetivo funcionamento dos estabelecimentos integrantes da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/>
          <w:bCs/>
          <w:sz w:val="22"/>
          <w:szCs w:val="22"/>
          <w:highlight w:val="none"/>
        </w:rPr>
        <w:t>revela-se evidente que o atendimento da demanda em questão se dará mediante empenho por estimativa</w:t>
      </w:r>
      <w:r>
        <w:rPr>
          <w:rFonts w:cs="Arial"/>
          <w:bCs/>
          <w:sz w:val="22"/>
          <w:szCs w:val="22"/>
          <w:highlight w:val="none"/>
        </w:rPr>
        <w:t>, dada a natureza da despesa.</w:t>
      </w:r>
    </w:p>
    <w:p w14:paraId="5C2AF7BA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687E8639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F991081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>2.10.</w:t>
      </w:r>
      <w:r>
        <w:rPr>
          <w:rFonts w:cs="Arial"/>
          <w:sz w:val="22"/>
          <w:szCs w:val="22"/>
          <w:highlight w:val="none"/>
        </w:rPr>
        <w:tab/>
      </w:r>
      <w:r>
        <w:rPr>
          <w:rFonts w:cs="Arial"/>
          <w:sz w:val="22"/>
          <w:szCs w:val="22"/>
          <w:highlight w:val="none"/>
        </w:rPr>
        <w:t xml:space="preserve">O objeto aqui </w:t>
      </w:r>
      <w:r>
        <w:rPr>
          <w:rFonts w:cs="Arial" w:eastAsiaTheme="minorHAnsi"/>
          <w:sz w:val="22"/>
          <w:szCs w:val="22"/>
          <w:highlight w:val="none"/>
          <w:lang w:eastAsia="en-US"/>
        </w:rPr>
        <w:t>consignado</w:t>
      </w:r>
      <w:r>
        <w:rPr>
          <w:rFonts w:cs="Arial"/>
          <w:sz w:val="22"/>
          <w:szCs w:val="22"/>
          <w:highlight w:val="none"/>
        </w:rPr>
        <w:t>, objetiva, portanto, o empenho por estimativa das despesas</w:t>
      </w:r>
      <w:r>
        <w:rPr>
          <w:rFonts w:hint="default" w:cs="Arial"/>
          <w:sz w:val="22"/>
          <w:szCs w:val="22"/>
          <w:highlight w:val="none"/>
          <w:lang w:val="pt-BR"/>
        </w:rPr>
        <w:t xml:space="preserve"> adicionais </w:t>
      </w:r>
      <w:r>
        <w:rPr>
          <w:rFonts w:cs="Arial"/>
          <w:sz w:val="22"/>
          <w:szCs w:val="22"/>
          <w:highlight w:val="none"/>
        </w:rPr>
        <w:t xml:space="preserve">decorrentes do consumo de </w:t>
      </w:r>
      <w:r>
        <w:rPr>
          <w:rFonts w:hint="default" w:cs="Arial"/>
          <w:sz w:val="22"/>
          <w:szCs w:val="22"/>
          <w:highlight w:val="none"/>
          <w:lang w:val="pt-BR"/>
        </w:rPr>
        <w:t>energia</w:t>
      </w:r>
      <w:r>
        <w:rPr>
          <w:rFonts w:cs="Arial"/>
          <w:sz w:val="22"/>
          <w:szCs w:val="22"/>
          <w:highlight w:val="none"/>
        </w:rPr>
        <w:t xml:space="preserve"> pelas unidades relativas à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Cs/>
          <w:sz w:val="22"/>
          <w:szCs w:val="22"/>
          <w:highlight w:val="none"/>
        </w:rPr>
        <w:t xml:space="preserve">com fulcro no art. 60, da Lei Federal nº </w:t>
      </w:r>
      <w:r>
        <w:rPr>
          <w:rFonts w:cs="Arial"/>
          <w:sz w:val="22"/>
          <w:szCs w:val="22"/>
          <w:highlight w:val="none"/>
        </w:rPr>
        <w:t xml:space="preserve">4.320/1964,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da Lei Federal nº 14.133/2021.</w:t>
      </w:r>
      <w:r>
        <w:rPr>
          <w:rFonts w:cs="Arial"/>
          <w:color w:val="FF0000"/>
          <w:sz w:val="22"/>
          <w:szCs w:val="22"/>
          <w:highlight w:val="none"/>
        </w:rPr>
        <w:t xml:space="preserve"> </w:t>
      </w:r>
      <w:r>
        <w:rPr>
          <w:rFonts w:cs="Arial"/>
          <w:sz w:val="22"/>
          <w:szCs w:val="22"/>
          <w:highlight w:val="none"/>
        </w:rPr>
        <w:t xml:space="preserve">Nesse sentido, a análise exaustiva da situação atual revela que a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 já realizou outros empenhos estimativos dessa natureza.</w:t>
      </w:r>
    </w:p>
    <w:p w14:paraId="560BD7E2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095B257F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360" w:firstLine="0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67273EF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>2.11.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ab/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 xml:space="preserve">Com base nesses dados históricos, torna-se patente que empenho estimativo para custear as despesas decorrentes do consumo de </w:t>
      </w:r>
      <w:r>
        <w:rPr>
          <w:rFonts w:hint="default" w:cs="Arial" w:eastAsiaTheme="minorHAnsi"/>
          <w:sz w:val="22"/>
          <w:szCs w:val="22"/>
          <w:highlight w:val="none"/>
          <w:shd w:val="clear" w:fill="auto"/>
          <w:lang w:val="pt-BR" w:eastAsia="en-US"/>
        </w:rPr>
        <w:t>energia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 xml:space="preserve"> em questão, constitui um reflexo da inafastável responsabilidade da Secretaria Municipal de </w:t>
      </w:r>
      <w:r>
        <w:rPr>
          <w:rFonts w:hint="default" w:cs="Arial" w:eastAsiaTheme="minorHAnsi"/>
          <w:sz w:val="22"/>
          <w:szCs w:val="22"/>
          <w:highlight w:val="none"/>
          <w:shd w:val="clear" w:fill="auto"/>
          <w:lang w:val="pt-BR" w:eastAsia="en-US"/>
        </w:rPr>
        <w:t>Turismo, Cultura, Esporte e Lazer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 xml:space="preserve"> com o dever de zelar pela economicidade na gestão dos recursos públicos (art. 70, CF/88). Tal empenho, ainda, atende ao mandamento constitucional que impõe ao Estado o dever de garantir o acesso universal e igualitário à saúde (art. 196, CF/88), reforçando, assim, a imperiosa necessidade do pleno e efetivo funcionamento das unidades inerentes à Secretaria Municipal de </w:t>
      </w:r>
      <w:r>
        <w:rPr>
          <w:rFonts w:hint="default" w:cs="Arial" w:eastAsiaTheme="minorHAnsi"/>
          <w:sz w:val="22"/>
          <w:szCs w:val="22"/>
          <w:highlight w:val="none"/>
          <w:shd w:val="clear" w:fill="auto"/>
          <w:lang w:val="pt-BR" w:eastAsia="en-US"/>
        </w:rPr>
        <w:t>Turismo, Cultura, Esporte e Lazer</w:t>
      </w:r>
      <w:r>
        <w:rPr>
          <w:rFonts w:cs="Arial" w:eastAsiaTheme="minorHAnsi"/>
          <w:sz w:val="22"/>
          <w:szCs w:val="22"/>
          <w:highlight w:val="none"/>
          <w:shd w:val="clear" w:fill="auto"/>
          <w:lang w:eastAsia="en-US"/>
        </w:rPr>
        <w:t>.</w:t>
      </w:r>
    </w:p>
    <w:p w14:paraId="4D1897D3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rFonts w:ascii="Times New Roman" w:hAnsi="Times New Roman"/>
          <w:sz w:val="22"/>
          <w:szCs w:val="22"/>
          <w:highlight w:val="none"/>
        </w:rPr>
      </w:pPr>
    </w:p>
    <w:p w14:paraId="5C5075F7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cs="Arial"/>
          <w:b/>
          <w:bCs/>
          <w:sz w:val="22"/>
          <w:szCs w:val="22"/>
          <w:highlight w:val="none"/>
          <w:shd w:val="clear" w:fill="auto"/>
        </w:rPr>
        <w:t>SM</w:t>
      </w: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TCEL</w:t>
      </w:r>
      <w:r>
        <w:rPr>
          <w:rFonts w:cs="Arial"/>
          <w:b/>
          <w:bCs/>
          <w:sz w:val="22"/>
          <w:szCs w:val="22"/>
          <w:highlight w:val="none"/>
          <w:shd w:val="clear" w:fill="auto"/>
        </w:rPr>
        <w:t>/SRC MEMO Nº 0</w:t>
      </w: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81</w:t>
      </w:r>
      <w:r>
        <w:rPr>
          <w:rFonts w:cs="Arial"/>
          <w:b/>
          <w:bCs/>
          <w:sz w:val="22"/>
          <w:szCs w:val="22"/>
          <w:highlight w:val="none"/>
          <w:shd w:val="clear" w:fill="auto"/>
        </w:rPr>
        <w:t>/202</w:t>
      </w: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2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2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;</w:t>
      </w:r>
    </w:p>
    <w:p w14:paraId="4B8F7048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SMTCEL/SRC DFD Nº 001/2024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4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;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 </w:t>
      </w:r>
    </w:p>
    <w:p w14:paraId="68F0EB38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SMTCEL/SRC DFD Nº 0013/2024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4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;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</w:p>
    <w:p w14:paraId="56FB8FAB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cs="Arial"/>
          <w:b w:val="0"/>
          <w:bCs w:val="0"/>
          <w:sz w:val="22"/>
          <w:szCs w:val="22"/>
          <w:highlight w:val="none"/>
          <w:shd w:val="clear" w:fill="auto"/>
        </w:rPr>
      </w:pPr>
      <w:r>
        <w:rPr>
          <w:rFonts w:hint="default" w:cs="Arial"/>
          <w:b/>
          <w:bCs/>
          <w:sz w:val="22"/>
          <w:szCs w:val="22"/>
          <w:highlight w:val="none"/>
          <w:shd w:val="clear" w:fill="auto"/>
          <w:lang w:val="pt-BR"/>
        </w:rPr>
        <w:t>SMTCEL/SRC DFD Nº 003/2025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 xml:space="preserve"> </w:t>
      </w:r>
      <w:r>
        <w:rPr>
          <w:rFonts w:cs="Arial"/>
          <w:sz w:val="22"/>
          <w:szCs w:val="22"/>
          <w:highlight w:val="none"/>
          <w:shd w:val="clear" w:fill="auto"/>
        </w:rPr>
        <w:t xml:space="preserve"> – </w:t>
      </w:r>
      <w:r>
        <w:rPr>
          <w:rFonts w:cs="Arial"/>
          <w:b w:val="0"/>
          <w:bCs w:val="0"/>
          <w:sz w:val="22"/>
          <w:szCs w:val="22"/>
          <w:highlight w:val="none"/>
          <w:shd w:val="clear" w:fill="auto"/>
        </w:rPr>
        <w:t>Empenho estimativo, LUZ E FORÇA SANTA MARIA 202</w:t>
      </w:r>
      <w:r>
        <w:rPr>
          <w:rFonts w:hint="default" w:cs="Arial"/>
          <w:b w:val="0"/>
          <w:bCs w:val="0"/>
          <w:sz w:val="22"/>
          <w:szCs w:val="22"/>
          <w:highlight w:val="none"/>
          <w:shd w:val="clear" w:fill="auto"/>
          <w:lang w:val="pt-BR"/>
        </w:rPr>
        <w:t>5.</w:t>
      </w:r>
    </w:p>
    <w:p w14:paraId="0C21B32D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5096CDB3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QUANTIDADE DE COMPRA DO BEM/MATERIAL A SER ADQUIRIDO OU PRESTAÇÃO DE SERVIÇOS A SEREM CONTRATADAS, QUANDO COUBER, CONSIDERADA A EXPECTATIVA DE CONSUMO ANUAL E LOCAIS DE ENTREGA/EXECUÇÃO.</w:t>
      </w:r>
    </w:p>
    <w:p w14:paraId="637B412B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64BBA5A1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i/>
          <w:sz w:val="22"/>
          <w:szCs w:val="22"/>
          <w:highlight w:val="none"/>
        </w:rPr>
        <w:t>Não se aplica a presente contratação.</w:t>
      </w:r>
    </w:p>
    <w:p w14:paraId="58706FBA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4CD348A0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PREVISÃO DE DATA EM QUE DEVE SER INICIADA A CONCLUSÃO DA CONTRATAÇÃO OU REQUISIÇÃO DO BEM</w:t>
      </w:r>
    </w:p>
    <w:p w14:paraId="1621066E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color w:val="000000"/>
          <w:sz w:val="22"/>
          <w:szCs w:val="22"/>
          <w:highlight w:val="none"/>
        </w:rPr>
      </w:pPr>
    </w:p>
    <w:p w14:paraId="2C83A04A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 concretização do empenho em questão </w:t>
      </w:r>
      <w:r>
        <w:rPr>
          <w:rFonts w:cs="Arial"/>
          <w:b/>
          <w:sz w:val="22"/>
          <w:szCs w:val="22"/>
          <w:highlight w:val="none"/>
        </w:rPr>
        <w:t xml:space="preserve">deverá ocorrer,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especificamente</w:t>
      </w:r>
      <w:r>
        <w:rPr>
          <w:rFonts w:cs="Arial"/>
          <w:b/>
          <w:sz w:val="22"/>
          <w:szCs w:val="22"/>
          <w:highlight w:val="none"/>
        </w:rPr>
        <w:t xml:space="preserve">, </w:t>
      </w:r>
      <w:r>
        <w:rPr>
          <w:rFonts w:hint="default" w:cs="Arial"/>
          <w:b/>
          <w:sz w:val="22"/>
          <w:szCs w:val="22"/>
          <w:highlight w:val="none"/>
          <w:lang w:val="pt-BR"/>
        </w:rPr>
        <w:t>para o exercício de</w:t>
      </w:r>
      <w:r>
        <w:rPr>
          <w:rFonts w:cs="Arial"/>
          <w:b/>
          <w:sz w:val="22"/>
          <w:szCs w:val="22"/>
          <w:highlight w:val="none"/>
        </w:rPr>
        <w:t xml:space="preserve"> 202</w:t>
      </w:r>
      <w:r>
        <w:rPr>
          <w:rFonts w:hint="default" w:cs="Arial"/>
          <w:b/>
          <w:sz w:val="22"/>
          <w:szCs w:val="22"/>
          <w:highlight w:val="none"/>
          <w:lang w:val="pt-BR"/>
        </w:rPr>
        <w:t>5</w:t>
      </w:r>
      <w:r>
        <w:rPr>
          <w:rFonts w:cs="Arial"/>
          <w:sz w:val="22"/>
          <w:szCs w:val="22"/>
          <w:highlight w:val="none"/>
        </w:rPr>
        <w:t>, com vigência programada para o custeio das despesas relativas ao consumo de energia elétrica no</w:t>
      </w:r>
      <w:r>
        <w:rPr>
          <w:rFonts w:hint="default" w:cs="Arial"/>
          <w:sz w:val="22"/>
          <w:szCs w:val="22"/>
          <w:highlight w:val="none"/>
          <w:lang w:val="pt-BR"/>
        </w:rPr>
        <w:t xml:space="preserve"> </w:t>
      </w:r>
      <w:r>
        <w:rPr>
          <w:rFonts w:cs="Arial"/>
          <w:sz w:val="22"/>
          <w:szCs w:val="22"/>
          <w:highlight w:val="none"/>
        </w:rPr>
        <w:t xml:space="preserve">período </w:t>
      </w:r>
      <w:r>
        <w:rPr>
          <w:rFonts w:hint="default" w:cs="Arial"/>
          <w:sz w:val="22"/>
          <w:szCs w:val="22"/>
          <w:highlight w:val="none"/>
          <w:lang w:val="pt-BR"/>
        </w:rPr>
        <w:t>até</w:t>
      </w:r>
      <w:r>
        <w:rPr>
          <w:rFonts w:cs="Arial"/>
          <w:sz w:val="22"/>
          <w:szCs w:val="22"/>
          <w:highlight w:val="none"/>
        </w:rPr>
        <w:t xml:space="preserve"> 31/12/202</w:t>
      </w:r>
      <w:r>
        <w:rPr>
          <w:rFonts w:hint="default" w:cs="Arial"/>
          <w:sz w:val="22"/>
          <w:szCs w:val="22"/>
          <w:highlight w:val="none"/>
          <w:lang w:val="pt-BR"/>
        </w:rPr>
        <w:t>6</w:t>
      </w:r>
      <w:r>
        <w:rPr>
          <w:rFonts w:cs="Arial"/>
          <w:sz w:val="22"/>
          <w:szCs w:val="22"/>
          <w:highlight w:val="none"/>
        </w:rPr>
        <w:t>, estando incluída no PAC 202</w:t>
      </w:r>
      <w:r>
        <w:rPr>
          <w:rFonts w:hint="default" w:cs="Arial"/>
          <w:sz w:val="22"/>
          <w:szCs w:val="22"/>
          <w:highlight w:val="none"/>
          <w:lang w:val="pt-BR"/>
        </w:rPr>
        <w:t>6</w:t>
      </w:r>
      <w:r>
        <w:rPr>
          <w:rFonts w:cs="Arial"/>
          <w:sz w:val="22"/>
          <w:szCs w:val="22"/>
          <w:highlight w:val="none"/>
        </w:rPr>
        <w:t>.</w:t>
      </w:r>
    </w:p>
    <w:p w14:paraId="067A0BC2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1931F2EF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DA DISPENSABILIDADE DE ESTUDO TÉCNICO PRELIMINAR</w:t>
      </w:r>
    </w:p>
    <w:p w14:paraId="38846BB8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A10F515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/>
          <w:b/>
          <w:sz w:val="22"/>
          <w:szCs w:val="22"/>
          <w:highlight w:val="none"/>
        </w:rPr>
        <w:t>vedada a realização de despesas sem prévio empenho.</w:t>
      </w:r>
      <w:r>
        <w:rPr>
          <w:rFonts w:cs="Arial"/>
          <w:sz w:val="22"/>
          <w:szCs w:val="22"/>
          <w:highlight w:val="none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 w14:paraId="74ED11D9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20BA79D3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/>
          <w:b/>
          <w:sz w:val="22"/>
          <w:szCs w:val="22"/>
          <w:highlight w:val="none"/>
        </w:rPr>
        <w:t>empenho por estimativa.</w:t>
      </w:r>
      <w:r>
        <w:rPr>
          <w:rFonts w:cs="Arial"/>
          <w:sz w:val="22"/>
          <w:szCs w:val="22"/>
          <w:highlight w:val="none"/>
        </w:rPr>
        <w:t xml:space="preserve"> Tem-se, portanto, como aquele em que </w:t>
      </w:r>
      <w:r>
        <w:rPr>
          <w:rFonts w:cs="Arial"/>
          <w:b/>
          <w:sz w:val="22"/>
          <w:szCs w:val="22"/>
          <w:highlight w:val="none"/>
        </w:rPr>
        <w:t>não se pode determinar previamente o montante exato a ser pago</w:t>
      </w:r>
      <w:r>
        <w:rPr>
          <w:rFonts w:cs="Arial"/>
          <w:sz w:val="22"/>
          <w:szCs w:val="22"/>
          <w:highlight w:val="none"/>
        </w:rPr>
        <w:t>, como ocorre, em particular, com as contas de água, luz, gás e telefone.</w:t>
      </w:r>
    </w:p>
    <w:p w14:paraId="27110A83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2EBAED7D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Ademais, a Lei Federal nº 14.133, por meio do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determina a inexigibilidade de licitação nas hipóteses de ser inviável a competição. Desse modo, com base no Contrato de Concessão de Distribuição nº 20/99, celebrado entre a União e a Empresa Luz e Força Santa Maria S.A., cuja vigência se estende até 07 de julho de 2045, do qual o Município de São Roque do Canaã é integrante das áreas de concessão, torna-se evidente a exceção à regra.</w:t>
      </w:r>
    </w:p>
    <w:p w14:paraId="67F34ED8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7CA8478B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sz w:val="22"/>
          <w:szCs w:val="22"/>
          <w:highlight w:val="none"/>
        </w:rPr>
        <w:t xml:space="preserve">Assim, por consequência, dada à natureza do objeto em questão, </w:t>
      </w:r>
      <w:r>
        <w:rPr>
          <w:rFonts w:cs="Arial"/>
          <w:b/>
          <w:sz w:val="22"/>
          <w:szCs w:val="22"/>
          <w:highlight w:val="none"/>
        </w:rPr>
        <w:t>dispensa-se a elaboração do Estudo Técnico Preliminar (ETP)</w:t>
      </w:r>
      <w:r>
        <w:rPr>
          <w:rFonts w:cs="Arial"/>
          <w:sz w:val="22"/>
          <w:szCs w:val="22"/>
          <w:highlight w:val="none"/>
        </w:rPr>
        <w:t xml:space="preserve">, vez que a </w:t>
      </w:r>
      <w:r>
        <w:rPr>
          <w:rFonts w:cs="Arial"/>
          <w:b/>
          <w:sz w:val="22"/>
          <w:szCs w:val="22"/>
          <w:highlight w:val="none"/>
        </w:rPr>
        <w:t>solução adequada</w:t>
      </w:r>
      <w:r>
        <w:rPr>
          <w:rFonts w:cs="Arial"/>
          <w:sz w:val="22"/>
          <w:szCs w:val="22"/>
          <w:highlight w:val="none"/>
        </w:rPr>
        <w:t xml:space="preserve"> para o custeio das despesas decorrentes do consumo de energia elétrica pelas unidades relativas à Secretaria Municipal de </w:t>
      </w:r>
      <w:r>
        <w:rPr>
          <w:rFonts w:hint="default" w:cs="Arial"/>
          <w:sz w:val="22"/>
          <w:szCs w:val="22"/>
          <w:highlight w:val="none"/>
          <w:lang w:val="pt-BR"/>
        </w:rPr>
        <w:t>Turismo, Cultura, Esporte e Lazer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cs="Arial"/>
          <w:b/>
          <w:sz w:val="22"/>
          <w:szCs w:val="22"/>
          <w:highlight w:val="none"/>
        </w:rPr>
        <w:t>é a realização de</w:t>
      </w:r>
      <w:r>
        <w:rPr>
          <w:rFonts w:cs="Arial"/>
          <w:sz w:val="22"/>
          <w:szCs w:val="22"/>
          <w:highlight w:val="none"/>
        </w:rPr>
        <w:t xml:space="preserve"> </w:t>
      </w:r>
      <w:r>
        <w:rPr>
          <w:rFonts w:cs="Arial"/>
          <w:b/>
          <w:sz w:val="22"/>
          <w:szCs w:val="22"/>
          <w:highlight w:val="none"/>
        </w:rPr>
        <w:t>empenho</w:t>
      </w:r>
      <w:r>
        <w:rPr>
          <w:rFonts w:cs="Arial"/>
          <w:bCs/>
          <w:sz w:val="22"/>
          <w:szCs w:val="22"/>
          <w:highlight w:val="none"/>
        </w:rPr>
        <w:t xml:space="preserve">, com fulcro no art. 60, da Lei Federal nº </w:t>
      </w:r>
      <w:r>
        <w:rPr>
          <w:rFonts w:cs="Arial"/>
          <w:sz w:val="22"/>
          <w:szCs w:val="22"/>
          <w:highlight w:val="none"/>
        </w:rPr>
        <w:t xml:space="preserve">4.320/1964, art. 74, </w:t>
      </w:r>
      <w:r>
        <w:rPr>
          <w:rFonts w:cs="Arial"/>
          <w:i/>
          <w:sz w:val="22"/>
          <w:szCs w:val="22"/>
          <w:highlight w:val="none"/>
        </w:rPr>
        <w:t>caput</w:t>
      </w:r>
      <w:r>
        <w:rPr>
          <w:rFonts w:cs="Arial"/>
          <w:sz w:val="22"/>
          <w:szCs w:val="22"/>
          <w:highlight w:val="none"/>
        </w:rPr>
        <w:t>, da Lei Federal nº 14.133/2021.</w:t>
      </w:r>
    </w:p>
    <w:p w14:paraId="0B8D840E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1E8E1AB0">
      <w:pPr>
        <w:pStyle w:val="12"/>
        <w:numPr>
          <w:ilvl w:val="0"/>
          <w:numId w:val="1"/>
        </w:numPr>
        <w:shd w:val="clear" w:color="auto" w:fill="D8D8D8" w:themeFill="background1" w:themeFillShade="D9"/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bCs/>
          <w:sz w:val="22"/>
          <w:szCs w:val="22"/>
          <w:highlight w:val="none"/>
        </w:rPr>
        <w:t>DADOS DE ASSINATURAS</w:t>
      </w:r>
    </w:p>
    <w:p w14:paraId="31539A32">
      <w:pPr>
        <w:pStyle w:val="12"/>
        <w:spacing w:before="0" w:beforeAutospacing="0" w:after="0" w:afterAutospacing="0" w:line="360" w:lineRule="auto"/>
        <w:jc w:val="both"/>
        <w:rPr>
          <w:rFonts w:ascii="Times New Roman" w:hAnsi="Times New Roman" w:cs="Arial"/>
          <w:sz w:val="22"/>
          <w:szCs w:val="22"/>
          <w:highlight w:val="none"/>
        </w:rPr>
      </w:pPr>
    </w:p>
    <w:p w14:paraId="2A9F5969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sz w:val="22"/>
          <w:szCs w:val="22"/>
          <w:highlight w:val="none"/>
        </w:rPr>
      </w:pPr>
      <w:r>
        <w:rPr>
          <w:rFonts w:cs="Arial"/>
          <w:b/>
          <w:sz w:val="22"/>
          <w:szCs w:val="22"/>
          <w:highlight w:val="none"/>
        </w:rPr>
        <w:t>Responsável pela Elaboração:</w:t>
      </w:r>
      <w:r>
        <w:rPr>
          <w:rFonts w:hint="default" w:cs="Arial"/>
          <w:b/>
          <w:sz w:val="22"/>
          <w:szCs w:val="22"/>
          <w:highlight w:val="none"/>
          <w:lang w:val="pt-BR"/>
        </w:rPr>
        <w:t xml:space="preserve"> </w:t>
      </w:r>
      <w:r>
        <w:rPr>
          <w:rFonts w:hint="default" w:cs="Arial"/>
          <w:sz w:val="22"/>
          <w:szCs w:val="22"/>
          <w:highlight w:val="none"/>
          <w:lang w:val="pt-BR"/>
        </w:rPr>
        <w:t>AMANDA MIELKE.</w:t>
      </w:r>
    </w:p>
    <w:p w14:paraId="7C4EA8FA">
      <w:pPr>
        <w:pStyle w:val="12"/>
        <w:numPr>
          <w:ilvl w:val="1"/>
          <w:numId w:val="1"/>
        </w:numPr>
        <w:spacing w:before="0" w:beforeAutospacing="0" w:after="0" w:afterAutospacing="0" w:line="360" w:lineRule="auto"/>
        <w:ind w:left="0" w:firstLine="0"/>
        <w:jc w:val="both"/>
        <w:rPr>
          <w:rFonts w:hint="default"/>
          <w:sz w:val="22"/>
          <w:szCs w:val="22"/>
          <w:highlight w:val="none"/>
          <w:lang w:val="en-US"/>
        </w:rPr>
      </w:pPr>
      <w:r>
        <w:rPr>
          <w:rFonts w:cs="Arial"/>
          <w:b/>
          <w:sz w:val="22"/>
          <w:szCs w:val="22"/>
          <w:highlight w:val="none"/>
        </w:rPr>
        <w:t>Gestor da Unidade Requisitante:</w:t>
      </w:r>
      <w:r>
        <w:rPr>
          <w:rFonts w:cs="Arial"/>
          <w:sz w:val="22"/>
          <w:szCs w:val="22"/>
          <w:highlight w:val="none"/>
        </w:rPr>
        <w:t xml:space="preserve"> </w:t>
      </w:r>
      <w:r>
        <w:rPr>
          <w:rFonts w:hint="default" w:cs="Arial"/>
          <w:sz w:val="22"/>
          <w:szCs w:val="22"/>
          <w:highlight w:val="none"/>
          <w:lang w:val="pt-BR"/>
        </w:rPr>
        <w:t>ELIANE RENATA CIMERO CALCI.</w:t>
      </w:r>
    </w:p>
    <w:p w14:paraId="4E36CB90">
      <w:pPr>
        <w:pStyle w:val="12"/>
        <w:numPr>
          <w:ilvl w:val="0"/>
          <w:numId w:val="0"/>
        </w:numPr>
        <w:spacing w:before="0" w:beforeAutospacing="0" w:after="0" w:afterAutospacing="0" w:line="360" w:lineRule="auto"/>
        <w:ind w:left="0" w:firstLine="0"/>
        <w:jc w:val="both"/>
        <w:rPr>
          <w:rFonts w:ascii="Times New Roman" w:hAnsi="Times New Roman" w:cs="Arial"/>
          <w:highlight w:val="none"/>
        </w:rPr>
      </w:pPr>
    </w:p>
    <w:p w14:paraId="3644327B">
      <w:pPr>
        <w:pStyle w:val="12"/>
        <w:spacing w:before="0" w:beforeAutospacing="0" w:after="0" w:afterAutospacing="0" w:line="360" w:lineRule="auto"/>
        <w:jc w:val="right"/>
        <w:rPr>
          <w:sz w:val="22"/>
          <w:szCs w:val="22"/>
          <w:highlight w:val="none"/>
        </w:rPr>
      </w:pPr>
      <w:r>
        <w:rPr>
          <w:rFonts w:cs="Arial"/>
          <w:b/>
          <w:sz w:val="22"/>
          <w:szCs w:val="22"/>
          <w:highlight w:val="none"/>
        </w:rPr>
        <w:t>São Roque do Canaã/ES</w:t>
      </w:r>
      <w:r>
        <w:rPr>
          <w:rFonts w:cs="Arial"/>
          <w:sz w:val="22"/>
          <w:szCs w:val="22"/>
          <w:highlight w:val="none"/>
        </w:rPr>
        <w:t xml:space="preserve">, </w:t>
      </w:r>
      <w:r>
        <w:rPr>
          <w:rFonts w:hint="default" w:cs="Arial"/>
          <w:sz w:val="22"/>
          <w:szCs w:val="22"/>
          <w:highlight w:val="none"/>
          <w:lang w:val="pt-BR"/>
        </w:rPr>
        <w:t>09</w:t>
      </w:r>
      <w:r>
        <w:rPr>
          <w:rFonts w:cs="Arial"/>
          <w:sz w:val="22"/>
          <w:szCs w:val="22"/>
          <w:highlight w:val="none"/>
        </w:rPr>
        <w:t xml:space="preserve"> de </w:t>
      </w:r>
      <w:r>
        <w:rPr>
          <w:rFonts w:hint="default" w:cs="Arial"/>
          <w:sz w:val="22"/>
          <w:szCs w:val="22"/>
          <w:highlight w:val="none"/>
          <w:lang w:val="pt-BR"/>
        </w:rPr>
        <w:t>Janeiro</w:t>
      </w:r>
      <w:r>
        <w:rPr>
          <w:rFonts w:cs="Arial"/>
          <w:sz w:val="22"/>
          <w:szCs w:val="22"/>
          <w:highlight w:val="none"/>
        </w:rPr>
        <w:t xml:space="preserve"> de 202</w:t>
      </w:r>
      <w:r>
        <w:rPr>
          <w:rFonts w:hint="default" w:cs="Arial"/>
          <w:sz w:val="22"/>
          <w:szCs w:val="22"/>
          <w:highlight w:val="none"/>
          <w:lang w:val="pt-BR"/>
        </w:rPr>
        <w:t>6</w:t>
      </w:r>
      <w:r>
        <w:rPr>
          <w:rFonts w:cs="Arial"/>
          <w:sz w:val="22"/>
          <w:szCs w:val="22"/>
          <w:highlight w:val="none"/>
        </w:rPr>
        <w:t>.</w:t>
      </w:r>
    </w:p>
    <w:p w14:paraId="67115B11">
      <w:pPr>
        <w:pStyle w:val="12"/>
        <w:spacing w:before="0" w:beforeAutospacing="0" w:after="0" w:afterAutospacing="0" w:line="360" w:lineRule="auto"/>
        <w:jc w:val="right"/>
        <w:rPr>
          <w:rFonts w:ascii="Times New Roman" w:hAnsi="Times New Roman" w:cs="Arial"/>
          <w:highlight w:val="none"/>
        </w:rPr>
      </w:pPr>
    </w:p>
    <w:tbl>
      <w:tblPr>
        <w:tblStyle w:val="5"/>
        <w:tblW w:w="921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5"/>
        <w:gridCol w:w="4605"/>
      </w:tblGrid>
      <w:tr w14:paraId="012ED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5" w:type="dxa"/>
          </w:tcPr>
          <w:p w14:paraId="477218B9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color w:val="000000" w:themeColor="text1"/>
                <w:sz w:val="22"/>
                <w:szCs w:val="22"/>
                <w:highlight w:val="none"/>
              </w:rPr>
            </w:pPr>
          </w:p>
          <w:p w14:paraId="55151A32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b/>
                <w:bCs/>
                <w:color w:val="000000" w:themeColor="text1"/>
                <w:sz w:val="22"/>
                <w:szCs w:val="22"/>
                <w:highlight w:val="none"/>
              </w:rPr>
            </w:pPr>
          </w:p>
          <w:p w14:paraId="32ED6789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</w:pPr>
            <w:r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AMANDA MIELKE</w:t>
            </w:r>
          </w:p>
          <w:p w14:paraId="5387C9B1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/>
                <w:sz w:val="22"/>
                <w:szCs w:val="22"/>
                <w:highlight w:val="none"/>
                <w:lang w:val="pt-BR"/>
              </w:rPr>
            </w:pPr>
            <w:r>
              <w:rPr>
                <w:rFonts w:hint="default"/>
                <w:sz w:val="22"/>
                <w:szCs w:val="22"/>
                <w:highlight w:val="none"/>
                <w:lang w:val="pt-BR"/>
              </w:rPr>
              <w:t>Assessor do Executivo I</w:t>
            </w:r>
          </w:p>
        </w:tc>
        <w:tc>
          <w:tcPr>
            <w:tcW w:w="4605" w:type="dxa"/>
          </w:tcPr>
          <w:p w14:paraId="566A6CCF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b/>
                <w:color w:val="000000" w:themeColor="text1"/>
                <w:kern w:val="0"/>
                <w:highlight w:val="none"/>
                <w:lang w:val="pt-BR" w:bidi="ar-SA"/>
              </w:rPr>
            </w:pPr>
          </w:p>
          <w:p w14:paraId="4820C05F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ascii="Times New Roman" w:hAnsi="Times New Roman" w:cs="Arial"/>
                <w:b/>
                <w:color w:val="000000" w:themeColor="text1"/>
                <w:kern w:val="0"/>
                <w:highlight w:val="none"/>
                <w:lang w:val="pt-BR" w:bidi="ar-SA"/>
              </w:rPr>
            </w:pPr>
          </w:p>
          <w:p w14:paraId="163CB323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 w:cs="Arial"/>
                <w:b/>
                <w:color w:val="000000" w:themeColor="text1"/>
                <w:kern w:val="0"/>
                <w:sz w:val="22"/>
                <w:szCs w:val="22"/>
                <w:highlight w:val="none"/>
                <w:lang w:val="pt-BR" w:bidi="ar-SA"/>
              </w:rPr>
            </w:pPr>
            <w:r>
              <w:rPr>
                <w:rFonts w:hint="default" w:cs="Arial"/>
                <w:b/>
                <w:color w:val="000000" w:themeColor="text1"/>
                <w:kern w:val="0"/>
                <w:sz w:val="22"/>
                <w:szCs w:val="22"/>
                <w:highlight w:val="none"/>
                <w:lang w:val="pt-BR" w:bidi="ar-SA"/>
              </w:rPr>
              <w:t>ELIANE RENATA CIMERO CALCI</w:t>
            </w:r>
          </w:p>
          <w:p w14:paraId="0DE2FC0F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rFonts w:hint="default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S</w:t>
            </w:r>
            <w:r>
              <w:rPr>
                <w:rFonts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ecretári</w:t>
            </w:r>
            <w:r>
              <w:rPr>
                <w:rFonts w:hint="default"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a</w:t>
            </w:r>
            <w:r>
              <w:rPr>
                <w:rFonts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 xml:space="preserve"> Municipal de </w:t>
            </w:r>
            <w:r>
              <w:rPr>
                <w:rFonts w:hint="default" w:cs="Arial"/>
                <w:color w:val="000000" w:themeColor="text1"/>
                <w:kern w:val="0"/>
                <w:sz w:val="24"/>
                <w:szCs w:val="24"/>
                <w:highlight w:val="none"/>
                <w:lang w:val="pt-BR" w:bidi="ar-SA"/>
              </w:rPr>
              <w:t>Turismo, Cultura, Esporte e Lazer</w:t>
            </w:r>
          </w:p>
          <w:p w14:paraId="6CB43808">
            <w:pPr>
              <w:pStyle w:val="12"/>
              <w:widowControl w:val="0"/>
              <w:suppressAutoHyphens/>
              <w:spacing w:before="0" w:beforeAutospacing="0" w:after="0" w:afterAutospacing="0" w:line="360" w:lineRule="auto"/>
              <w:jc w:val="center"/>
              <w:rPr>
                <w:sz w:val="22"/>
                <w:szCs w:val="22"/>
                <w:highlight w:val="none"/>
              </w:rPr>
            </w:pPr>
          </w:p>
        </w:tc>
      </w:tr>
    </w:tbl>
    <w:p w14:paraId="21919535">
      <w:pPr>
        <w:rPr>
          <w:highlight w:val="none"/>
        </w:rPr>
        <w:sectPr>
          <w:footerReference r:id="rId8" w:type="first"/>
          <w:headerReference r:id="rId5" w:type="default"/>
          <w:footerReference r:id="rId6" w:type="default"/>
          <w:footerReference r:id="rId7" w:type="even"/>
          <w:pgSz w:w="11906" w:h="16838"/>
          <w:pgMar w:top="1843" w:right="1134" w:bottom="992" w:left="1134" w:header="284" w:footer="386" w:gutter="0"/>
          <w:pgNumType w:fmt="decimal"/>
          <w:cols w:space="720" w:num="1"/>
          <w:formProt w:val="0"/>
          <w:docGrid w:linePitch="100" w:charSpace="4096"/>
        </w:sectPr>
      </w:pPr>
      <w:bookmarkStart w:id="0" w:name="_GoBack"/>
      <w:bookmarkEnd w:id="0"/>
    </w:p>
    <w:p w14:paraId="4B39886C">
      <w:pPr>
        <w:spacing w:before="0" w:after="0" w:line="240" w:lineRule="auto"/>
        <w:rPr>
          <w:rFonts w:ascii="Times New Roman" w:hAnsi="Times New Roman" w:cs="Arial"/>
          <w:sz w:val="22"/>
          <w:szCs w:val="22"/>
          <w:highlight w:val="none"/>
        </w:rPr>
      </w:pPr>
    </w:p>
    <w:sectPr>
      <w:headerReference r:id="rId9" w:type="default"/>
      <w:footerReference r:id="rId10" w:type="default"/>
      <w:pgSz w:w="11906" w:h="16838"/>
      <w:pgMar w:top="1134" w:right="1134" w:bottom="1134" w:left="1134" w:header="0" w:footer="0" w:gutter="0"/>
      <w:pgNumType w:fmt="decimal"/>
      <w:cols w:space="720" w:num="1"/>
      <w:formProt w:val="0"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roman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25018">
    <w:pPr>
      <w:pStyle w:val="15"/>
      <w:jc w:val="center"/>
      <w:rPr>
        <w:rFonts w:ascii="Arial" w:hAnsi="Arial" w:cs="Arial"/>
        <w:sz w:val="20"/>
        <w:szCs w:val="16"/>
      </w:rPr>
    </w:pPr>
  </w:p>
  <w:p w14:paraId="30DA6BA4">
    <w:pPr>
      <w:pStyle w:val="15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>Rua Lourenço Roldi n.º 88,São Roquinho, São Roque do Canaã/ES, CEP: 29665-000</w:t>
    </w:r>
  </w:p>
  <w:p w14:paraId="047BF156">
    <w:pPr>
      <w:pStyle w:val="15"/>
      <w:spacing w:before="0" w:after="160"/>
      <w:jc w:val="center"/>
      <w:rPr>
        <w:sz w:val="20"/>
        <w:szCs w:val="20"/>
      </w:rPr>
    </w:pPr>
    <w:r>
      <w:rPr>
        <w:rFonts w:ascii="Arial" w:hAnsi="Arial" w:cs="Arial"/>
        <w:bCs/>
        <w:i/>
        <w:color w:val="000000"/>
        <w:sz w:val="20"/>
        <w:szCs w:val="16"/>
      </w:rPr>
      <w:t>Telefone: (27) 3729-1</w:t>
    </w:r>
    <w:r>
      <w:rPr>
        <w:rFonts w:hint="default" w:ascii="Arial" w:hAnsi="Arial" w:cs="Arial"/>
        <w:bCs/>
        <w:i/>
        <w:color w:val="000000"/>
        <w:sz w:val="20"/>
        <w:szCs w:val="16"/>
        <w:lang w:val="pt-BR"/>
      </w:rPr>
      <w:t>997</w:t>
    </w:r>
    <w:r>
      <w:rPr>
        <w:rFonts w:ascii="Arial" w:hAnsi="Arial" w:cs="Arial"/>
        <w:bCs/>
        <w:i/>
        <w:color w:val="000000"/>
        <w:sz w:val="20"/>
        <w:szCs w:val="16"/>
      </w:rPr>
      <w:t xml:space="preserve"> | E-mail: </w:t>
    </w:r>
    <w:r>
      <w:rPr>
        <w:rFonts w:hint="default" w:ascii="Arial" w:hAnsi="Arial" w:cs="Arial"/>
        <w:bCs/>
        <w:i/>
        <w:color w:val="000000"/>
        <w:sz w:val="20"/>
        <w:szCs w:val="16"/>
        <w:lang w:val="pt-BR"/>
      </w:rPr>
      <w:t>turismo</w:t>
    </w:r>
    <w:r>
      <w:rPr>
        <w:rFonts w:ascii="Arial" w:hAnsi="Arial" w:cs="Arial"/>
        <w:bCs/>
        <w:i/>
        <w:color w:val="000000"/>
        <w:sz w:val="20"/>
        <w:szCs w:val="16"/>
      </w:rPr>
      <w:t>@saoroquedocanaa.es.gov.br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AE561A">
    <w:pPr>
      <w:pStyle w:val="15"/>
      <w:spacing w:before="0" w:after="160"/>
      <w:ind w:right="360" w:firstLine="0"/>
    </w:pPr>
    <w:r>
      <mc:AlternateContent>
        <mc:Choice Requires="wps">
          <w:drawing>
            <wp:anchor distT="0" distB="0" distL="0" distR="0" simplePos="0" relativeHeight="251659264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minor"/>
                    </wps:style>
                    <wps:txbx>
                      <w:txbxContent>
                        <w:p w14:paraId="0D979586">
                          <w:pPr>
                            <w:pStyle w:val="15"/>
                            <w:spacing w:before="0" w:after="160"/>
                            <w:rPr>
                              <w:rStyle w:val="9"/>
                            </w:rPr>
                          </w:pPr>
                          <w:r>
                            <w:rPr>
                              <w:rStyle w:val="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9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Quadro1" o:spid="_x0000_s1026" o:spt="1" style="position:absolute;left:0pt;margin-top:0.05pt;height:1.15pt;width:1.15pt;mso-position-horizontal:right;mso-position-horizontal-relative:margin;mso-wrap-distance-bottom:0pt;mso-wrap-distance-left:0pt;mso-wrap-distance-right:0pt;mso-wrap-distance-top:0pt;z-index:-251657216;mso-width-relative:page;mso-height-relative:page;" filled="f" stroked="f" coordsize="21600,21600" o:allowincell="f" o:gfxdata="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PIBUUHOAAAAAQEAAA8AAAAA&#10;AAAAAQAgAAAAIgAAAGRycy9kb3ducmV2LnhtbFBLAQIUABQAAAAIAIdO4kBbLujrrAEAAIADAAAO&#10;AAAAAAAAAAEAIAAAAB0BAABkcnMvZTJvRG9jLnhtbFBLBQYAAAAABgAGAFkBAAA7BQAAAAA=&#10;">
              <v:fill on="f" focussize="0,0"/>
              <v:stroke on="f" weight="0pt"/>
              <v:imagedata o:title=""/>
              <o:lock v:ext="edit" aspectratio="f"/>
              <v:textbox inset="0mm,0mm,0mm,0mm" style="mso-fit-shape-to-text:t;">
                <w:txbxContent>
                  <w:p w14:paraId="0D979586">
                    <w:pPr>
                      <w:pStyle w:val="15"/>
                      <w:spacing w:before="0" w:after="160"/>
                      <w:rPr>
                        <w:rStyle w:val="9"/>
                      </w:rPr>
                    </w:pPr>
                    <w:r>
                      <w:rPr>
                        <w:rStyle w:val="9"/>
                        <w:color w:val="000000"/>
                      </w:rPr>
                      <w:fldChar w:fldCharType="begin"/>
                    </w:r>
                    <w:r>
                      <w:rPr>
                        <w:rStyle w:val="9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9"/>
                        <w:color w:val="000000"/>
                      </w:rPr>
                      <w:fldChar w:fldCharType="separate"/>
                    </w:r>
                    <w:r>
                      <w:rPr>
                        <w:rStyle w:val="9"/>
                        <w:color w:val="000000"/>
                      </w:rPr>
                      <w:t>0</w:t>
                    </w:r>
                    <w:r>
                      <w:rPr>
                        <w:rStyle w:val="9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B2E9D">
    <w:pPr>
      <w:pStyle w:val="15"/>
      <w:jc w:val="center"/>
      <w:rPr>
        <w:rFonts w:ascii="Arial" w:hAnsi="Arial" w:cs="Arial"/>
        <w:sz w:val="20"/>
        <w:szCs w:val="16"/>
      </w:rPr>
    </w:pPr>
  </w:p>
  <w:p w14:paraId="54EBCA2C">
    <w:pPr>
      <w:pStyle w:val="15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>Rua Lourenço Roldi n.º 88,São Roquinho, São Roque do Canaã/ES, CEP: 29665-000</w:t>
    </w:r>
  </w:p>
  <w:p w14:paraId="70924FC7">
    <w:pPr>
      <w:pStyle w:val="15"/>
      <w:spacing w:before="0" w:after="160"/>
      <w:jc w:val="center"/>
      <w:rPr>
        <w:sz w:val="20"/>
        <w:szCs w:val="20"/>
      </w:rPr>
    </w:pPr>
    <w:r>
      <w:rPr>
        <w:rFonts w:ascii="Arial" w:hAnsi="Arial" w:cs="Arial"/>
        <w:bCs/>
        <w:i/>
        <w:color w:val="000000"/>
        <w:sz w:val="20"/>
        <w:szCs w:val="16"/>
      </w:rPr>
      <w:t>Telefone: (27) 3729-1120 | E-mail: desenvolvimentoeconomico@saoroquedocanaa.es.gov.br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393542">
    <w:pPr>
      <w:pStyle w:val="15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>Rua Lourenço Roldi n.º 88,São Roquinho, São Roque do Canaã/ES, CEP: 29665-000</w:t>
    </w:r>
  </w:p>
  <w:p w14:paraId="172E64CD">
    <w:pPr>
      <w:pStyle w:val="15"/>
      <w:spacing w:before="0" w:after="160"/>
      <w:jc w:val="center"/>
      <w:rPr>
        <w:sz w:val="20"/>
        <w:szCs w:val="20"/>
      </w:rPr>
    </w:pPr>
    <w:r>
      <w:rPr>
        <w:rFonts w:ascii="Arial" w:hAnsi="Arial" w:cs="Arial"/>
        <w:bCs/>
        <w:i/>
        <w:color w:val="000000"/>
        <w:sz w:val="22"/>
        <w:szCs w:val="16"/>
      </w:rPr>
      <w:t>Telefone: (27) 3729-1</w:t>
    </w:r>
    <w:r>
      <w:rPr>
        <w:rFonts w:hint="default" w:ascii="Arial" w:hAnsi="Arial" w:cs="Arial"/>
        <w:bCs/>
        <w:i/>
        <w:color w:val="000000"/>
        <w:sz w:val="22"/>
        <w:szCs w:val="16"/>
        <w:lang w:val="pt-BR"/>
      </w:rPr>
      <w:t>997</w:t>
    </w:r>
    <w:r>
      <w:rPr>
        <w:rFonts w:ascii="Arial" w:hAnsi="Arial" w:cs="Arial"/>
        <w:bCs/>
        <w:i/>
        <w:color w:val="000000"/>
        <w:sz w:val="22"/>
        <w:szCs w:val="16"/>
      </w:rPr>
      <w:t xml:space="preserve"> | E-mail: </w:t>
    </w:r>
    <w:r>
      <w:rPr>
        <w:rFonts w:hint="default" w:ascii="Arial" w:hAnsi="Arial" w:cs="Arial"/>
        <w:bCs/>
        <w:i/>
        <w:color w:val="000000"/>
        <w:sz w:val="22"/>
        <w:szCs w:val="22"/>
        <w:lang w:val="pt-BR"/>
      </w:rPr>
      <w:t>turismo</w:t>
    </w:r>
    <w:r>
      <w:rPr>
        <w:rFonts w:ascii="Arial" w:hAnsi="Arial" w:cs="Arial"/>
        <w:bCs/>
        <w:i/>
        <w:color w:val="000000"/>
        <w:sz w:val="22"/>
        <w:szCs w:val="22"/>
      </w:rPr>
      <w:t>@saoroquedocanaa.es.gov.br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C9FFF">
    <w:pPr>
      <w:pStyle w:val="14"/>
      <w:spacing w:before="0"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2798445</wp:posOffset>
          </wp:positionH>
          <wp:positionV relativeFrom="paragraph">
            <wp:posOffset>-46990</wp:posOffset>
          </wp:positionV>
          <wp:extent cx="647700" cy="650240"/>
          <wp:effectExtent l="0" t="0" r="0" b="0"/>
          <wp:wrapNone/>
          <wp:docPr id="1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4F37FC">
    <w:pPr>
      <w:pStyle w:val="14"/>
      <w:spacing w:before="0" w:after="0" w:line="240" w:lineRule="auto"/>
      <w:jc w:val="center"/>
      <w:rPr>
        <w:rFonts w:ascii="Times New Roman" w:hAnsi="Times New Roman"/>
        <w:sz w:val="36"/>
        <w:szCs w:val="36"/>
      </w:rPr>
    </w:pPr>
  </w:p>
  <w:p w14:paraId="4C9268B5">
    <w:pPr>
      <w:pStyle w:val="14"/>
      <w:spacing w:before="0" w:after="0" w:line="240" w:lineRule="auto"/>
      <w:jc w:val="center"/>
      <w:rPr>
        <w:rFonts w:ascii="Times New Roman" w:hAnsi="Times New Roman"/>
        <w:sz w:val="32"/>
        <w:szCs w:val="32"/>
      </w:rPr>
    </w:pPr>
  </w:p>
  <w:p w14:paraId="0B520A66">
    <w:pPr>
      <w:pStyle w:val="14"/>
      <w:spacing w:before="0"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SÃO ROQUE DO CANAÃ</w:t>
    </w:r>
  </w:p>
  <w:p w14:paraId="409BCDDD">
    <w:pPr>
      <w:pStyle w:val="14"/>
      <w:spacing w:before="0"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ESPÍRITO SANTO</w:t>
    </w:r>
  </w:p>
  <w:p w14:paraId="23B50D94">
    <w:pPr>
      <w:pStyle w:val="14"/>
      <w:spacing w:before="0" w:after="0" w:line="240" w:lineRule="auto"/>
      <w:jc w:val="center"/>
      <w:rPr>
        <w:rFonts w:hint="default" w:ascii="Times New Roman" w:hAnsi="Times New Roman"/>
        <w:lang w:val="pt-BR"/>
      </w:rPr>
    </w:pPr>
    <w:r>
      <w:rPr>
        <w:rFonts w:hint="default" w:ascii="Times New Roman" w:hAnsi="Times New Roman"/>
        <w:lang w:val="pt-BR"/>
      </w:rPr>
      <w:t>SECRETARIA MUNICIPAL DE TURISMO, CULTURA, ESPORTE E LAZER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3FF8DD">
    <w:pPr>
      <w:widowControl/>
      <w:suppressAutoHyphens/>
      <w:bidi w:val="0"/>
      <w:spacing w:before="0" w:after="160" w:line="259" w:lineRule="auto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  <w:rPr>
        <w:rFonts w:ascii="Arial" w:hAnsi="Arial" w:cs="Arial"/>
        <w:b w:val="0"/>
        <w:i w:val="0"/>
        <w:color w:val="000000"/>
      </w:r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2631" w:hanging="504"/>
      </w:pPr>
      <w:rPr>
        <w:b w:val="0"/>
        <w:i w:val="0"/>
      </w:r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 w:tentative="0">
      <w:start w:val="1"/>
      <w:numFmt w:val="upperRoman"/>
      <w:lvlText w:val="%6)"/>
      <w:lvlJc w:val="left"/>
      <w:pPr>
        <w:tabs>
          <w:tab w:val="left" w:pos="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">
    <w:nsid w:val="D8EDB9F7"/>
    <w:multiLevelType w:val="singleLevel"/>
    <w:tmpl w:val="D8EDB9F7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20"/>
  <w:autoHyphenation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000000"/>
    <w:rsid w:val="08982933"/>
    <w:rsid w:val="0F616FF8"/>
    <w:rsid w:val="241E094C"/>
    <w:rsid w:val="2F8F6E49"/>
    <w:rsid w:val="35316883"/>
    <w:rsid w:val="3A6229EB"/>
    <w:rsid w:val="3AE34093"/>
    <w:rsid w:val="456E7B03"/>
    <w:rsid w:val="46A6731E"/>
    <w:rsid w:val="46E16D2B"/>
    <w:rsid w:val="51E01C14"/>
    <w:rsid w:val="555F6C77"/>
    <w:rsid w:val="55EF2E27"/>
    <w:rsid w:val="738878C8"/>
    <w:rsid w:val="75775B6F"/>
    <w:rsid w:val="76745475"/>
    <w:rsid w:val="7EE778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qFormat="1" w:uiPriority="99" w:name="page number"/>
    <w:lsdException w:qFormat="1" w:unhideWhenUsed="0" w:uiPriority="0" w:semiHidden="0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160" w:line="259" w:lineRule="auto"/>
      <w:jc w:val="left"/>
    </w:pPr>
    <w:rPr>
      <w:rFonts w:cs="Times New Roman" w:asciiTheme="minorHAnsi" w:hAnsiTheme="minorHAnsi" w:eastAsiaTheme="minorEastAsia"/>
      <w:color w:val="auto"/>
      <w:kern w:val="0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/>
      <w:b/>
      <w:bCs/>
      <w:kern w:val="2"/>
      <w:sz w:val="32"/>
      <w:szCs w:val="32"/>
    </w:rPr>
  </w:style>
  <w:style w:type="paragraph" w:styleId="3">
    <w:name w:val="heading 2"/>
    <w:basedOn w:val="1"/>
    <w:unhideWhenUsed/>
    <w:qFormat/>
    <w:uiPriority w:val="9"/>
    <w:pPr>
      <w:widowControl w:val="0"/>
      <w:spacing w:before="0" w:after="0" w:line="240" w:lineRule="auto"/>
      <w:ind w:left="196" w:firstLine="0"/>
      <w:outlineLvl w:val="1"/>
    </w:pPr>
    <w:rPr>
      <w:rFonts w:ascii="Arial" w:hAnsi="Arial" w:eastAsia="Times New Roman" w:cs="Arial"/>
      <w:b/>
      <w:bCs/>
      <w:sz w:val="20"/>
      <w:szCs w:val="20"/>
      <w:lang w:val="pt-PT" w:eastAsia="pt-PT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ndnote reference"/>
    <w:qFormat/>
    <w:uiPriority w:val="0"/>
    <w:rPr>
      <w:vertAlign w:val="superscript"/>
    </w:rPr>
  </w:style>
  <w:style w:type="character" w:styleId="7">
    <w:name w:val="Strong"/>
    <w:qFormat/>
    <w:uiPriority w:val="0"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8">
    <w:name w:val="footnote reference"/>
    <w:qFormat/>
    <w:uiPriority w:val="0"/>
    <w:rPr>
      <w:vertAlign w:val="superscript"/>
    </w:rPr>
  </w:style>
  <w:style w:type="character" w:styleId="9">
    <w:name w:val="page number"/>
    <w:basedOn w:val="4"/>
    <w:semiHidden/>
    <w:unhideWhenUsed/>
    <w:qFormat/>
    <w:uiPriority w:val="99"/>
    <w:rPr>
      <w:rFonts w:cs="Times New Roman"/>
    </w:rPr>
  </w:style>
  <w:style w:type="paragraph" w:styleId="10">
    <w:name w:val="List"/>
    <w:basedOn w:val="11"/>
    <w:qFormat/>
    <w:uiPriority w:val="0"/>
    <w:rPr>
      <w:rFonts w:cs="Lucida Sans"/>
    </w:rPr>
  </w:style>
  <w:style w:type="paragraph" w:styleId="11">
    <w:name w:val="Body Text"/>
    <w:basedOn w:val="1"/>
    <w:link w:val="23"/>
    <w:qFormat/>
    <w:uiPriority w:val="1"/>
    <w:pPr>
      <w:widowControl w:val="0"/>
      <w:spacing w:before="0" w:after="0" w:line="240" w:lineRule="auto"/>
    </w:pPr>
    <w:rPr>
      <w:rFonts w:ascii="Arial" w:hAnsi="Arial" w:eastAsia="Times New Roman" w:cs="Arial"/>
      <w:sz w:val="20"/>
      <w:szCs w:val="20"/>
      <w:lang w:val="pt-PT" w:eastAsia="pt-PT"/>
    </w:rPr>
  </w:style>
  <w:style w:type="paragraph" w:styleId="12">
    <w:name w:val="Normal (Web)"/>
    <w:basedOn w:val="1"/>
    <w:qFormat/>
    <w:uiPriority w:val="0"/>
    <w:pPr>
      <w:spacing w:beforeAutospacing="1" w:afterAutospacing="1" w:line="240" w:lineRule="exact"/>
    </w:pPr>
    <w:rPr>
      <w:rFonts w:ascii="Times New Roman" w:hAnsi="Times New Roman" w:eastAsia="Times New Roman" w:cs="Times New Roman"/>
      <w:lang w:eastAsia="pt-BR"/>
    </w:rPr>
  </w:style>
  <w:style w:type="paragraph" w:styleId="13">
    <w:name w:val="Body Text 3"/>
    <w:basedOn w:val="1"/>
    <w:qFormat/>
    <w:uiPriority w:val="0"/>
    <w:pPr>
      <w:spacing w:before="0" w:after="120" w:line="240" w:lineRule="exact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14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7">
    <w:name w:val="Balloon Text"/>
    <w:basedOn w:val="1"/>
    <w:qFormat/>
    <w:uiPriority w:val="0"/>
    <w:pPr>
      <w:spacing w:before="0" w:after="0" w:line="240" w:lineRule="exact"/>
    </w:pPr>
    <w:rPr>
      <w:rFonts w:ascii="Tahoma" w:hAnsi="Tahoma" w:cs="Tahoma"/>
      <w:sz w:val="16"/>
      <w:szCs w:val="16"/>
    </w:rPr>
  </w:style>
  <w:style w:type="paragraph" w:styleId="18">
    <w:name w:val="footnote text"/>
    <w:basedOn w:val="1"/>
    <w:qFormat/>
    <w:uiPriority w:val="0"/>
  </w:style>
  <w:style w:type="character" w:customStyle="1" w:styleId="19">
    <w:name w:val="Título 1 Char"/>
    <w:basedOn w:val="4"/>
    <w:qFormat/>
    <w:locked/>
    <w:uiPriority w:val="9"/>
    <w:rPr>
      <w:rFonts w:cs="Times New Roman" w:asciiTheme="majorHAnsi" w:hAnsiTheme="majorHAnsi" w:eastAsiaTheme="majorEastAsia"/>
      <w:b/>
      <w:bCs/>
      <w:kern w:val="2"/>
      <w:sz w:val="32"/>
      <w:szCs w:val="32"/>
    </w:rPr>
  </w:style>
  <w:style w:type="character" w:customStyle="1" w:styleId="20">
    <w:name w:val="Título 2 Char"/>
    <w:basedOn w:val="4"/>
    <w:qFormat/>
    <w:locked/>
    <w:uiPriority w:val="9"/>
    <w:rPr>
      <w:rFonts w:ascii="Arial" w:hAnsi="Arial" w:eastAsia="Times New Roman" w:cs="Arial"/>
      <w:b/>
      <w:bCs/>
      <w:sz w:val="20"/>
      <w:szCs w:val="20"/>
      <w:lang w:val="pt-PT" w:eastAsia="pt-PT"/>
    </w:rPr>
  </w:style>
  <w:style w:type="character" w:customStyle="1" w:styleId="21">
    <w:name w:val="Cabeçalho Char"/>
    <w:basedOn w:val="4"/>
    <w:link w:val="14"/>
    <w:qFormat/>
    <w:locked/>
    <w:uiPriority w:val="99"/>
    <w:rPr>
      <w:rFonts w:cs="Times New Roman"/>
    </w:rPr>
  </w:style>
  <w:style w:type="character" w:customStyle="1" w:styleId="22">
    <w:name w:val="Rodapé Char"/>
    <w:basedOn w:val="4"/>
    <w:link w:val="15"/>
    <w:qFormat/>
    <w:locked/>
    <w:uiPriority w:val="99"/>
    <w:rPr>
      <w:rFonts w:cs="Times New Roman"/>
    </w:rPr>
  </w:style>
  <w:style w:type="character" w:customStyle="1" w:styleId="23">
    <w:name w:val="Corpo de texto Char"/>
    <w:basedOn w:val="4"/>
    <w:link w:val="11"/>
    <w:qFormat/>
    <w:locked/>
    <w:uiPriority w:val="1"/>
    <w:rPr>
      <w:rFonts w:ascii="Arial" w:hAnsi="Arial" w:eastAsia="Times New Roman" w:cs="Arial"/>
      <w:sz w:val="20"/>
      <w:szCs w:val="20"/>
      <w:lang w:val="pt-PT" w:eastAsia="pt-PT"/>
    </w:rPr>
  </w:style>
  <w:style w:type="character" w:customStyle="1" w:styleId="24">
    <w:name w:val="Texto de balão Char"/>
    <w:qFormat/>
    <w:uiPriority w:val="0"/>
    <w:rPr>
      <w:rFonts w:ascii="Tahoma" w:hAnsi="Tahoma" w:eastAsia="Times New Roman" w:cs="Tahoma"/>
      <w:color w:val="000000"/>
      <w:sz w:val="16"/>
      <w:szCs w:val="16"/>
    </w:rPr>
  </w:style>
  <w:style w:type="character" w:customStyle="1" w:styleId="25">
    <w:name w:val="Texto de nota de rodapé Char"/>
    <w:qFormat/>
    <w:uiPriority w:val="0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customStyle="1" w:styleId="26">
    <w:name w:val="Corpo de texto 3 Char"/>
    <w:qFormat/>
    <w:uiPriority w:val="0"/>
    <w:rPr>
      <w:rFonts w:ascii="Times New Roman" w:hAnsi="Times New Roman" w:eastAsia="Times New Roman" w:cs="Times New Roman"/>
      <w:color w:val="000000"/>
      <w:sz w:val="16"/>
      <w:szCs w:val="16"/>
    </w:rPr>
  </w:style>
  <w:style w:type="character" w:customStyle="1" w:styleId="27">
    <w:name w:val="Título Char"/>
    <w:qFormat/>
    <w:uiPriority w:val="0"/>
    <w:rPr>
      <w:rFonts w:ascii="Cambria" w:hAnsi="Cambria" w:eastAsia="Times New Roman" w:cs="Times New Roman"/>
      <w:b/>
      <w:color w:val="000000"/>
      <w:sz w:val="32"/>
      <w:szCs w:val="24"/>
    </w:rPr>
  </w:style>
  <w:style w:type="character" w:customStyle="1" w:styleId="28">
    <w:name w:val="Parágrafo da Lista Char"/>
    <w:qFormat/>
    <w:uiPriority w:val="0"/>
    <w:rPr>
      <w:sz w:val="22"/>
      <w:szCs w:val="22"/>
      <w:lang w:eastAsia="en-US"/>
    </w:rPr>
  </w:style>
  <w:style w:type="character" w:customStyle="1" w:styleId="29">
    <w:name w:val="Subtítulo Char"/>
    <w:qFormat/>
    <w:uiPriority w:val="0"/>
    <w:rPr>
      <w:rFonts w:ascii="Cambria" w:hAnsi="Cambria" w:eastAsia="Times New Roman" w:cs="Times New Roman"/>
      <w:color w:val="000000"/>
      <w:szCs w:val="24"/>
    </w:rPr>
  </w:style>
  <w:style w:type="character" w:customStyle="1" w:styleId="30">
    <w:name w:val="markedcontent"/>
    <w:qFormat/>
    <w:uiPriority w:val="0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customStyle="1" w:styleId="31">
    <w:name w:val="Caracteres de nota de rodapé"/>
    <w:qFormat/>
    <w:uiPriority w:val="0"/>
    <w:rPr>
      <w:vertAlign w:val="superscript"/>
    </w:rPr>
  </w:style>
  <w:style w:type="character" w:customStyle="1" w:styleId="32">
    <w:name w:val="Caracteres de nota de fim"/>
    <w:qFormat/>
    <w:uiPriority w:val="0"/>
    <w:rPr>
      <w:vertAlign w:val="superscript"/>
    </w:rPr>
  </w:style>
  <w:style w:type="paragraph" w:customStyle="1" w:styleId="33">
    <w:name w:val="Título1"/>
    <w:basedOn w:val="1"/>
    <w:next w:val="11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34">
    <w:name w:val="Índice"/>
    <w:basedOn w:val="1"/>
    <w:qFormat/>
    <w:uiPriority w:val="0"/>
    <w:pPr>
      <w:suppressLineNumbers/>
    </w:pPr>
    <w:rPr>
      <w:rFonts w:cs="Lucida Sans"/>
      <w:lang w:val="zh-CN" w:eastAsia="zh-CN" w:bidi="zh-CN"/>
    </w:rPr>
  </w:style>
  <w:style w:type="paragraph" w:customStyle="1" w:styleId="35">
    <w:name w:val="Cabeçalho e Rodapé"/>
    <w:basedOn w:val="1"/>
    <w:qFormat/>
    <w:uiPriority w:val="0"/>
  </w:style>
  <w:style w:type="paragraph" w:styleId="36">
    <w:name w:val="List Paragraph"/>
    <w:basedOn w:val="1"/>
    <w:qFormat/>
    <w:uiPriority w:val="1"/>
    <w:pPr>
      <w:widowControl w:val="0"/>
      <w:spacing w:before="0" w:after="0" w:line="240" w:lineRule="auto"/>
      <w:ind w:left="196" w:firstLine="0"/>
      <w:jc w:val="both"/>
    </w:pPr>
    <w:rPr>
      <w:rFonts w:ascii="Arial" w:hAnsi="Arial" w:eastAsia="Times New Roman" w:cs="Arial"/>
      <w:lang w:val="pt-PT" w:eastAsia="pt-PT"/>
    </w:rPr>
  </w:style>
  <w:style w:type="paragraph" w:customStyle="1" w:styleId="37">
    <w:name w:val="Table Paragraph"/>
    <w:basedOn w:val="1"/>
    <w:qFormat/>
    <w:uiPriority w:val="1"/>
    <w:pPr>
      <w:widowControl w:val="0"/>
      <w:spacing w:before="11" w:after="0" w:line="223" w:lineRule="exact"/>
      <w:ind w:left="102" w:right="95" w:firstLine="0"/>
      <w:jc w:val="center"/>
    </w:pPr>
    <w:rPr>
      <w:rFonts w:ascii="Arial" w:hAnsi="Arial" w:eastAsia="Times New Roman" w:cs="Arial"/>
      <w:lang w:val="pt-PT" w:eastAsia="pt-PT"/>
    </w:rPr>
  </w:style>
  <w:style w:type="paragraph" w:customStyle="1" w:styleId="38">
    <w:name w:val="Conteúdo do quadro"/>
    <w:basedOn w:val="1"/>
    <w:qFormat/>
    <w:uiPriority w:val="0"/>
  </w:style>
  <w:style w:type="paragraph" w:customStyle="1" w:styleId="39">
    <w:name w:val="Conteúdo da tabela"/>
    <w:basedOn w:val="1"/>
    <w:qFormat/>
    <w:uiPriority w:val="0"/>
  </w:style>
  <w:style w:type="paragraph" w:customStyle="1" w:styleId="40">
    <w:name w:val="western"/>
    <w:basedOn w:val="1"/>
    <w:qFormat/>
    <w:uiPriority w:val="0"/>
    <w:pPr>
      <w:spacing w:beforeAutospacing="1" w:after="119" w:line="240" w:lineRule="exact"/>
    </w:pPr>
    <w:rPr>
      <w:rFonts w:ascii="Times New Roman" w:hAnsi="Times New Roman" w:eastAsia="Times New Roman" w:cs="Times New Roman"/>
      <w:color w:val="000000"/>
      <w:lang w:eastAsia="pt-BR"/>
    </w:rPr>
  </w:style>
  <w:style w:type="paragraph" w:customStyle="1" w:styleId="41">
    <w:name w:val="Corpo de texto 23"/>
    <w:basedOn w:val="1"/>
    <w:qFormat/>
    <w:uiPriority w:val="0"/>
    <w:pPr>
      <w:spacing w:before="0" w:after="0" w:line="240" w:lineRule="exact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customStyle="1" w:styleId="42">
    <w:name w:val="WW-Corpo de texto 3"/>
    <w:basedOn w:val="1"/>
    <w:qFormat/>
    <w:uiPriority w:val="0"/>
    <w:pPr>
      <w:spacing w:before="0" w:after="0" w:line="240" w:lineRule="exact"/>
      <w:jc w:val="both"/>
    </w:pPr>
    <w:rPr>
      <w:rFonts w:ascii="Times New Roman" w:hAnsi="Times New Roman" w:eastAsia="Times New Roman" w:cs="Times New Roman"/>
      <w:szCs w:val="20"/>
      <w:lang w:eastAsia="pt-BR"/>
    </w:rPr>
  </w:style>
  <w:style w:type="paragraph" w:customStyle="1" w:styleId="43">
    <w:name w:val="Título de tabela"/>
    <w:basedOn w:val="39"/>
    <w:qFormat/>
    <w:uiPriority w:val="0"/>
    <w:pPr>
      <w:suppressLineNumbers/>
      <w:jc w:val="center"/>
    </w:pPr>
    <w:rPr>
      <w:b/>
      <w:bCs/>
    </w:rPr>
  </w:style>
  <w:style w:type="table" w:customStyle="1" w:styleId="44">
    <w:name w:val="Table Normal"/>
    <w:semiHidden/>
    <w:unhideWhenUsed/>
    <w:qFormat/>
    <w:uiPriority w:val="2"/>
    <w:pPr>
      <w:spacing w:after="0" w:line="240" w:lineRule="auto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92D7D0-11D7-4D85-AD0D-18217DF989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3193</Words>
  <Characters>18067</Characters>
  <Paragraphs>151</Paragraphs>
  <TotalTime>3</TotalTime>
  <ScaleCrop>false</ScaleCrop>
  <LinksUpToDate>false</LinksUpToDate>
  <CharactersWithSpaces>21072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2024-01-03T10:46:00Z</dcterms:created>
  <dc:creator>user</dc:creator>
  <cp:lastModifiedBy>USER</cp:lastModifiedBy>
  <cp:lastPrinted>2026-01-09T16:36:35Z</cp:lastPrinted>
  <dcterms:modified xsi:type="dcterms:W3CDTF">2026-01-09T16:37:31Z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99F27F4511E048A1AA4EF4B4CAE1C372_12</vt:lpwstr>
  </property>
</Properties>
</file>