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ascii="Arial" w:hAnsi="Arial" w:cs="Arial"/>
        </w:rPr>
      </w:pPr>
      <w:r>
        <w:rPr>
          <w:rFonts w:cs="Arial"/>
        </w:rPr>
      </w:r>
    </w:p>
    <w:p>
      <w:pPr>
        <w:pStyle w:val="Normal"/>
        <w:spacing w:lineRule="auto" w:line="240" w:before="0" w:after="0"/>
        <w:jc w:val="center"/>
        <w:rPr>
          <w:rFonts w:ascii="Arial" w:hAnsi="Arial"/>
        </w:rPr>
      </w:pPr>
      <w:r>
        <w:rPr>
          <w:rFonts w:cs="Arial"/>
          <w:b/>
        </w:rPr>
        <w:t>TERMO DE REFERÊNCIA</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DESCRIÇÃO DO OBJETO E DA VIGÊNCIA</w:t>
      </w:r>
    </w:p>
    <w:p>
      <w:pPr>
        <w:pStyle w:val="Normal"/>
        <w:spacing w:lineRule="auto" w:line="240" w:before="0" w:after="0"/>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rPr>
      </w:pPr>
      <w:r>
        <w:rPr>
          <w:rFonts w:cs="Arial"/>
          <w:b/>
        </w:rPr>
        <w:t>DA DESCRIÇÃO DO OBJETO</w:t>
      </w:r>
    </w:p>
    <w:p>
      <w:pPr>
        <w:pStyle w:val="Normal"/>
        <w:spacing w:lineRule="auto" w:line="240" w:before="0" w:after="0"/>
        <w:rPr>
          <w:rFonts w:ascii="Arial" w:hAnsi="Arial" w:cs="Arial"/>
        </w:rPr>
      </w:pPr>
      <w:r>
        <w:rPr>
          <w:rFonts w:cs="Arial"/>
        </w:rPr>
      </w:r>
    </w:p>
    <w:p>
      <w:pPr>
        <w:pStyle w:val="ListParagraph"/>
        <w:numPr>
          <w:ilvl w:val="2"/>
          <w:numId w:val="2"/>
        </w:numPr>
        <w:spacing w:lineRule="auto" w:line="240" w:before="0" w:after="0"/>
        <w:ind w:hanging="0" w:left="0"/>
        <w:contextualSpacing/>
        <w:jc w:val="both"/>
        <w:rPr>
          <w:rFonts w:ascii="Arial" w:hAnsi="Arial"/>
        </w:rPr>
      </w:pPr>
      <w:r>
        <w:rPr>
          <w:rFonts w:cs="Arial"/>
        </w:rPr>
        <w:t xml:space="preserve">Constitui objeto do presente Termo de Referência, estabelecer as condições e diretrizes que disciplinarão o empenho estimativo para </w:t>
      </w:r>
      <w:r>
        <w:rPr>
          <w:rFonts w:cs="Arial"/>
          <w:b/>
        </w:rPr>
        <w:t>c</w:t>
      </w:r>
      <w:r>
        <w:rPr>
          <w:rFonts w:cs="Arial"/>
          <w:b/>
          <w:bCs/>
        </w:rPr>
        <w:t>ustear as despesas decorrentes do uso de linhas telefônicas pelas unidades relacionadas à Secretaria Municipal de Obras e Serviços Urbanos, no exercício de 2026</w:t>
      </w:r>
      <w:r>
        <w:rPr>
          <w:rFonts w:cs="Arial"/>
          <w:bCs/>
        </w:rPr>
        <w:t xml:space="preserve">, em virtude do desempenho de suas atividades, em favor da empresa OI S.A., com fulcro no art. 60, da Lei Federal nº 4.320/1964 e art. 74, </w:t>
      </w:r>
      <w:r>
        <w:rPr>
          <w:rFonts w:cs="Arial"/>
          <w:bCs/>
          <w:i/>
        </w:rPr>
        <w:t>caput</w:t>
      </w:r>
      <w:r>
        <w:rPr>
          <w:rFonts w:cs="Arial"/>
          <w:bCs/>
        </w:rPr>
        <w:t>, da Lei Federal nº 14.133/2021.</w:t>
      </w:r>
    </w:p>
    <w:p>
      <w:pPr>
        <w:pStyle w:val="ListParagraph"/>
        <w:spacing w:lineRule="auto" w:line="240" w:before="0" w:after="0"/>
        <w:ind w:left="0"/>
        <w:contextualSpacing/>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rPr>
      </w:pPr>
      <w:r>
        <w:rPr>
          <w:rFonts w:cs="Arial"/>
          <w:b/>
        </w:rPr>
        <w:t>DAS UNIDADES CONSUMIDORAS</w:t>
      </w:r>
    </w:p>
    <w:p>
      <w:pPr>
        <w:pStyle w:val="ListParagraph"/>
        <w:spacing w:lineRule="auto" w:line="240" w:before="0" w:after="0"/>
        <w:ind w:left="0"/>
        <w:contextualSpacing/>
        <w:jc w:val="both"/>
        <w:rPr>
          <w:rFonts w:ascii="Arial" w:hAnsi="Arial" w:cs="Arial"/>
        </w:rPr>
      </w:pPr>
      <w:r>
        <w:rPr>
          <w:rFonts w:cs="Arial"/>
        </w:rPr>
      </w:r>
    </w:p>
    <w:p>
      <w:pPr>
        <w:pStyle w:val="ListParagraph"/>
        <w:numPr>
          <w:ilvl w:val="2"/>
          <w:numId w:val="2"/>
        </w:numPr>
        <w:spacing w:lineRule="auto" w:line="240" w:before="0" w:after="0"/>
        <w:ind w:hanging="0" w:left="0"/>
        <w:contextualSpacing/>
        <w:jc w:val="both"/>
        <w:rPr>
          <w:rFonts w:ascii="Arial" w:hAnsi="Arial"/>
        </w:rPr>
      </w:pPr>
      <w:r>
        <w:rPr>
          <w:rFonts w:cs="Arial"/>
        </w:rPr>
        <w:t>A demanda em questão objetiva o pleno e efetivo funcionamento dos estabelecimentos integrantes da Secretaria de Obras e Serviços Urbanos, quais sejam:</w:t>
      </w:r>
    </w:p>
    <w:p>
      <w:pPr>
        <w:pStyle w:val="ListParagraph"/>
        <w:spacing w:lineRule="auto" w:line="240" w:before="0" w:after="0"/>
        <w:ind w:left="0"/>
        <w:contextualSpacing/>
        <w:jc w:val="both"/>
        <w:rPr>
          <w:rFonts w:ascii="Arial" w:hAnsi="Arial" w:cs="Arial"/>
        </w:rPr>
      </w:pPr>
      <w:r>
        <w:rPr>
          <w:rFonts w:cs="Arial"/>
        </w:rPr>
      </w:r>
    </w:p>
    <w:p>
      <w:pPr>
        <w:pStyle w:val="ListParagraph"/>
        <w:numPr>
          <w:ilvl w:val="0"/>
          <w:numId w:val="3"/>
        </w:numPr>
        <w:spacing w:lineRule="auto" w:line="240" w:before="0" w:after="0"/>
        <w:ind w:hanging="0" w:left="0"/>
        <w:contextualSpacing/>
        <w:jc w:val="both"/>
        <w:rPr>
          <w:rFonts w:ascii="Arial" w:hAnsi="Arial"/>
        </w:rPr>
      </w:pPr>
      <w:r>
        <w:rPr/>
        <w:t>Almoxarifado (3729-2059)</w:t>
      </w:r>
    </w:p>
    <w:p>
      <w:pPr>
        <w:pStyle w:val="ListParagraph"/>
        <w:spacing w:lineRule="auto" w:line="240" w:before="0" w:after="0"/>
        <w:ind w:left="0"/>
        <w:contextualSpacing/>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rPr>
      </w:pPr>
      <w:r>
        <w:rPr>
          <w:rFonts w:cs="Arial"/>
          <w:b/>
        </w:rPr>
        <w:t>DA VIGÊNCIA</w:t>
      </w:r>
    </w:p>
    <w:p>
      <w:pPr>
        <w:pStyle w:val="Normal"/>
        <w:spacing w:lineRule="auto" w:line="240" w:before="0" w:after="0"/>
        <w:rPr>
          <w:rFonts w:ascii="Arial" w:hAnsi="Arial" w:cs="Arial"/>
        </w:rPr>
      </w:pPr>
      <w:r>
        <w:rPr>
          <w:rFonts w:cs="Arial"/>
        </w:rPr>
      </w:r>
    </w:p>
    <w:p>
      <w:pPr>
        <w:pStyle w:val="ListParagraph"/>
        <w:numPr>
          <w:ilvl w:val="2"/>
          <w:numId w:val="1"/>
        </w:numPr>
        <w:spacing w:lineRule="auto" w:line="240" w:before="0" w:after="0"/>
        <w:ind w:hanging="0" w:left="0"/>
        <w:contextualSpacing/>
        <w:jc w:val="both"/>
        <w:rPr>
          <w:rFonts w:ascii="Arial" w:hAnsi="Arial"/>
        </w:rPr>
      </w:pPr>
      <w:r>
        <w:rPr>
          <w:rFonts w:cs="Arial"/>
        </w:rPr>
        <w:t xml:space="preserve">O </w:t>
      </w:r>
      <w:r>
        <w:rPr>
          <w:rFonts w:cs="Arial"/>
          <w:b/>
        </w:rPr>
        <w:t>empenho estimativo</w:t>
      </w:r>
      <w:r>
        <w:rPr>
          <w:rFonts w:cs="Arial"/>
        </w:rPr>
        <w:t xml:space="preserve"> deverá ocorrer, preferencialmente, no mês de janeiro de 2026, com vigência programada para custeio das despesas relativas ao </w:t>
      </w:r>
      <w:r>
        <w:rPr>
          <w:rFonts w:cs="Arial"/>
          <w:b/>
          <w:bCs/>
        </w:rPr>
        <w:t xml:space="preserve">uso de linhas telefônicas </w:t>
      </w:r>
      <w:r>
        <w:rPr>
          <w:rFonts w:cs="Arial"/>
        </w:rPr>
        <w:t xml:space="preserve">no </w:t>
      </w:r>
      <w:r>
        <w:rPr>
          <w:rFonts w:cs="Arial"/>
          <w:b/>
        </w:rPr>
        <w:t>período de 05/01/2026 à 31/12/2026.</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DO OBJETIVO E DA JUSTIFICATIVA</w:t>
      </w:r>
    </w:p>
    <w:p>
      <w:pPr>
        <w:pStyle w:val="Normal"/>
        <w:spacing w:lineRule="auto" w:line="240" w:before="0" w:after="0"/>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240" w:before="0" w:after="0"/>
        <w:rPr>
          <w:rFonts w:ascii="Arial" w:hAnsi="Arial" w:cs="Arial"/>
          <w:highlight w:val="yellow"/>
        </w:rPr>
      </w:pPr>
      <w:r>
        <w:rPr>
          <w:rFonts w:cs="Arial"/>
          <w:highlight w:val="yellow"/>
        </w:rPr>
      </w:r>
    </w:p>
    <w:p>
      <w:pPr>
        <w:pStyle w:val="ListParagraph"/>
        <w:numPr>
          <w:ilvl w:val="1"/>
          <w:numId w:val="1"/>
        </w:numPr>
        <w:spacing w:lineRule="auto" w:line="240" w:before="0" w:after="0"/>
        <w:ind w:hanging="0" w:left="0"/>
        <w:contextualSpacing/>
        <w:jc w:val="both"/>
        <w:rPr>
          <w:rFonts w:ascii="Arial" w:hAnsi="Arial"/>
        </w:rPr>
      </w:pPr>
      <w:r>
        <w:rPr>
          <w:rFonts w:cs="Arial"/>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b/>
        </w:rPr>
        <w:t>vedada a realização de despesas sem prévio empenho.</w:t>
      </w:r>
      <w:r>
        <w:rPr>
          <w:rFonts w:cs="Arial"/>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rPr>
        <w:t xml:space="preserve">Nessa perspectiva, o art. 60, §2º, da Lei Federal nº 4.320/1964, disciplina que, nas hipóteses de o montante da despesa não for possível ser determinado, será feito o </w:t>
      </w:r>
      <w:r>
        <w:rPr>
          <w:rFonts w:cs="Arial"/>
          <w:b/>
        </w:rPr>
        <w:t>empenho por estimativa.</w:t>
      </w:r>
      <w:r>
        <w:rPr>
          <w:rFonts w:cs="Arial"/>
        </w:rPr>
        <w:t xml:space="preserve"> Tem-se, portanto, como aquele em que </w:t>
      </w:r>
      <w:r>
        <w:rPr>
          <w:rFonts w:cs="Arial"/>
          <w:b/>
        </w:rPr>
        <w:t>não se pode determinar previamente o montante exato a ser pago</w:t>
      </w:r>
      <w:r>
        <w:rPr>
          <w:rFonts w:cs="Arial"/>
        </w:rPr>
        <w:t>, como ocorre, em particular, com as contas de água, luz, gás e telefone.</w:t>
      </w:r>
    </w:p>
    <w:p>
      <w:pPr>
        <w:pStyle w:val="ListParagraph"/>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rPr>
        <w:t xml:space="preserve">Assim, por consequência, dada à natureza do objeto em questão, </w:t>
      </w:r>
      <w:r>
        <w:rPr>
          <w:rFonts w:cs="Arial"/>
          <w:b/>
        </w:rPr>
        <w:t>dispensa-se a elaboração do Estudo Técnico Preliminar (ETP)</w:t>
      </w:r>
      <w:r>
        <w:rPr>
          <w:rFonts w:cs="Arial"/>
        </w:rPr>
        <w:t xml:space="preserve">, vez que a </w:t>
      </w:r>
      <w:r>
        <w:rPr>
          <w:rFonts w:cs="Arial"/>
          <w:b/>
        </w:rPr>
        <w:t>solução adequada</w:t>
      </w:r>
      <w:r>
        <w:rPr>
          <w:rFonts w:cs="Arial"/>
        </w:rPr>
        <w:t xml:space="preserve"> para o custeio das despesas decorrentes do </w:t>
      </w:r>
      <w:r>
        <w:rPr>
          <w:rFonts w:cs="Arial"/>
          <w:b/>
          <w:bCs/>
        </w:rPr>
        <w:t xml:space="preserve">uso de linhas telefônicas </w:t>
      </w:r>
      <w:r>
        <w:rPr>
          <w:rFonts w:cs="Arial"/>
        </w:rPr>
        <w:t xml:space="preserve">pelas unidades relativas à Secretaria Municipal de Obras e Serviços Urbanos, </w:t>
      </w:r>
      <w:r>
        <w:rPr>
          <w:rFonts w:cs="Arial"/>
          <w:b/>
        </w:rPr>
        <w:t>é a realização de</w:t>
      </w:r>
      <w:r>
        <w:rPr>
          <w:rFonts w:cs="Arial"/>
        </w:rPr>
        <w:t xml:space="preserve"> </w:t>
      </w:r>
      <w:r>
        <w:rPr>
          <w:rFonts w:cs="Arial"/>
          <w:b/>
        </w:rPr>
        <w:t>empenho estimativo</w:t>
      </w:r>
      <w:r>
        <w:rPr>
          <w:rFonts w:cs="Arial"/>
          <w:bCs/>
        </w:rPr>
        <w:t xml:space="preserve">, com fulcro no art. 60, da Lei Federal nº </w:t>
      </w:r>
      <w:r>
        <w:rPr>
          <w:rFonts w:cs="Arial"/>
        </w:rPr>
        <w:t xml:space="preserve">4.320/1964 e art. 74, </w:t>
      </w:r>
      <w:r>
        <w:rPr>
          <w:rFonts w:cs="Arial"/>
          <w:i/>
        </w:rPr>
        <w:t>caput</w:t>
      </w:r>
      <w:r>
        <w:rPr>
          <w:rFonts w:cs="Arial"/>
        </w:rPr>
        <w:t>, da Lei Federal nº 14.133/2021.</w:t>
      </w:r>
    </w:p>
    <w:p>
      <w:pPr>
        <w:pStyle w:val="ListParagraph"/>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rPr>
        <w:t xml:space="preserve">Justificando, o presente Termo de Referência visa </w:t>
      </w:r>
      <w:r>
        <w:rPr>
          <w:rFonts w:cs="Arial"/>
          <w:b/>
        </w:rPr>
        <w:t xml:space="preserve">esclarecer e direcionar os procedimentos essenciais para a Inexigibilidade de Licitação e realização de Empenho por estimativa, </w:t>
      </w:r>
      <w:r>
        <w:rPr>
          <w:rFonts w:cs="Arial"/>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jc w:val="both"/>
        <w:rPr>
          <w:rFonts w:ascii="Arial" w:hAnsi="Arial"/>
        </w:rPr>
      </w:pPr>
      <w:r>
        <w:rPr>
          <w:rFonts w:cs="Arial"/>
          <w:b/>
        </w:rPr>
        <w:t>DA FORMALIZAÇÃO DA ATA DE REGISTRO DE PREÇOS, DOS USUÁRIOS DO REGISTRO DE PREÇOS E DO FORNECIMENTO</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r>
        <w:rPr>
          <w:rFonts w:cs="Arial"/>
        </w:rPr>
        <w:t>.</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DO OBJETO LICITADO</w:t>
      </w:r>
    </w:p>
    <w:p>
      <w:pPr>
        <w:pStyle w:val="Normal"/>
        <w:spacing w:lineRule="auto" w:line="240" w:before="0" w:after="0"/>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DA SOLUÇÃO E DO CICLO DE VIDA DO OBJETO</w:t>
      </w:r>
    </w:p>
    <w:p>
      <w:pPr>
        <w:pStyle w:val="ListParagraph"/>
        <w:numPr>
          <w:ilvl w:val="2"/>
          <w:numId w:val="1"/>
        </w:numPr>
        <w:spacing w:lineRule="auto" w:line="240" w:before="0" w:after="0"/>
        <w:ind w:hanging="0" w:left="0"/>
        <w:contextualSpacing/>
        <w:jc w:val="both"/>
        <w:rPr>
          <w:rFonts w:ascii="Arial" w:hAnsi="Arial"/>
        </w:rPr>
      </w:pPr>
      <w:r>
        <w:rPr>
          <w:rFonts w:cs="Arial"/>
          <w:b/>
        </w:rPr>
        <w:t>A descrição da solução como um todo se encontra pormenorizada na Lei Federal nº 14.133/2021, na Lei Federal nº 4.320/1964 e demais normativas vigentes, inclusive municipais, bem como no Documento de Formalização de Demanda</w:t>
      </w:r>
      <w:r>
        <w:rPr>
          <w:rFonts w:cs="Arial"/>
        </w:rPr>
        <w:t xml:space="preserve">, qual seja a inexigibilidade de licitação e a realização de empenho por estimativa para custear as despesas decorrentes do </w:t>
      </w:r>
      <w:r>
        <w:rPr>
          <w:rFonts w:cs="Arial"/>
          <w:b/>
          <w:bCs/>
        </w:rPr>
        <w:t>uso de linhas telefônicas.</w:t>
      </w:r>
    </w:p>
    <w:p>
      <w:pPr>
        <w:pStyle w:val="ListParagraph"/>
        <w:spacing w:lineRule="auto" w:line="240" w:before="0" w:after="0"/>
        <w:ind w:left="0"/>
        <w:contextualSpacing/>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DOS REQUISITOS DA CONTRATAÇÃO</w:t>
      </w:r>
    </w:p>
    <w:p>
      <w:pPr>
        <w:pStyle w:val="ListParagraph"/>
        <w:numPr>
          <w:ilvl w:val="2"/>
          <w:numId w:val="1"/>
        </w:numPr>
        <w:spacing w:lineRule="auto" w:line="240" w:before="0" w:after="0"/>
        <w:ind w:hanging="0" w:left="0"/>
        <w:contextualSpacing/>
        <w:jc w:val="both"/>
        <w:rPr>
          <w:rFonts w:ascii="Arial" w:hAnsi="Arial"/>
        </w:rPr>
      </w:pPr>
      <w:r>
        <w:rPr>
          <w:rFonts w:cs="Arial"/>
        </w:rPr>
        <w:t xml:space="preserve">A contratação será realizada em razão da necessidade de custeio das despesas decorrentes do </w:t>
      </w:r>
      <w:r>
        <w:rPr>
          <w:rFonts w:cs="Arial"/>
          <w:b/>
          <w:bCs/>
        </w:rPr>
        <w:t xml:space="preserve">uso de linhas telefônicas </w:t>
      </w:r>
      <w:r>
        <w:rPr>
          <w:rFonts w:cs="Arial"/>
        </w:rPr>
        <w:t>pelas unidades relacionadas à Secretaria Municipal de Obras e Serviços Urbanos, no exercício de 2026, em virtude do desempenho de suas atividades.</w:t>
      </w:r>
    </w:p>
    <w:p>
      <w:pPr>
        <w:pStyle w:val="Normal"/>
        <w:spacing w:lineRule="auto" w:line="240" w:before="0" w:after="0"/>
        <w:jc w:val="both"/>
        <w:rPr>
          <w:rFonts w:ascii="Arial" w:hAnsi="Arial" w:cs="Arial"/>
        </w:rPr>
      </w:pPr>
      <w:r>
        <w:rPr>
          <w:rFonts w:cs="Arial"/>
        </w:rPr>
      </w:r>
    </w:p>
    <w:p>
      <w:pPr>
        <w:pStyle w:val="ListParagraph"/>
        <w:numPr>
          <w:ilvl w:val="2"/>
          <w:numId w:val="1"/>
        </w:numPr>
        <w:spacing w:lineRule="auto" w:line="240" w:before="0" w:after="0"/>
        <w:ind w:hanging="0" w:left="0"/>
        <w:contextualSpacing/>
        <w:jc w:val="both"/>
        <w:rPr>
          <w:rFonts w:ascii="Arial" w:hAnsi="Arial"/>
        </w:rPr>
      </w:pPr>
      <w:r>
        <w:rPr>
          <w:rFonts w:cs="Arial"/>
        </w:rPr>
        <w:t xml:space="preserve">A demanda em comento leva em conta a necessidade da Secretaria para o exercício financeiro de 2026, </w:t>
      </w:r>
      <w:r>
        <w:rPr>
          <w:rFonts w:cs="Arial"/>
          <w:sz w:val="24"/>
          <w:szCs w:val="24"/>
        </w:rPr>
        <w:t>A presente contratação não está incluída no Plano Anual de Contratações 2026, o qual deverá ser alterado, para que se conste a presente previsão.</w:t>
      </w:r>
    </w:p>
    <w:p>
      <w:pPr>
        <w:pStyle w:val="ListParagraph"/>
        <w:ind w:left="2631"/>
        <w:rPr>
          <w:rFonts w:ascii="Arial" w:hAnsi="Arial" w:cs="Arial"/>
        </w:rPr>
      </w:pPr>
      <w:r>
        <w:rPr>
          <w:rFonts w:cs="Arial"/>
        </w:rPr>
      </w:r>
    </w:p>
    <w:p>
      <w:pPr>
        <w:pStyle w:val="Normal"/>
        <w:spacing w:lineRule="auto" w:line="240" w:before="0" w:after="0"/>
        <w:jc w:val="both"/>
        <w:rPr>
          <w:rFonts w:ascii="Arial" w:hAnsi="Arial" w:cs="Arial"/>
        </w:rPr>
      </w:pPr>
      <w:r>
        <w:rPr>
          <w:rFonts w:cs="Arial"/>
        </w:rPr>
      </w:r>
    </w:p>
    <w:p>
      <w:pPr>
        <w:pStyle w:val="ListParagraph"/>
        <w:numPr>
          <w:ilvl w:val="2"/>
          <w:numId w:val="1"/>
        </w:numPr>
        <w:spacing w:lineRule="auto" w:line="240" w:before="0" w:after="0"/>
        <w:ind w:hanging="0" w:left="0"/>
        <w:contextualSpacing/>
        <w:jc w:val="both"/>
        <w:rPr>
          <w:rFonts w:ascii="Arial" w:hAnsi="Arial"/>
        </w:rPr>
      </w:pPr>
      <w:r>
        <w:rPr>
          <w:rFonts w:cs="Arial"/>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left="0"/>
        <w:contextualSpacing/>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DO FORNECIMENTO E RECEBIMENTO</w:t>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rPr>
      </w:pPr>
      <w:r>
        <w:rPr>
          <w:rFonts w:cs="Arial"/>
          <w:i/>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contextualSpacing/>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DAS CONDIÇÕES DE RECEBIMENTO DO OBJETO</w:t>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jc w:val="both"/>
        <w:rPr>
          <w:rFonts w:ascii="Arial" w:hAnsi="Arial" w:cs="Arial"/>
          <w:highlight w:val="yellow"/>
        </w:rPr>
      </w:pPr>
      <w:r>
        <w:rPr>
          <w:rFonts w:cs="Arial"/>
          <w:highlight w:val="yellow"/>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DAS OBRIGAÇÕES E RESPONSABILIDADES</w:t>
      </w:r>
    </w:p>
    <w:p>
      <w:pPr>
        <w:pStyle w:val="ListParagraph"/>
        <w:spacing w:lineRule="auto" w:line="240" w:before="0" w:after="0"/>
        <w:ind w:left="0"/>
        <w:contextualSpacing/>
        <w:jc w:val="both"/>
        <w:rPr>
          <w:rFonts w:ascii="Arial" w:hAnsi="Arial"/>
        </w:rPr>
      </w:pPr>
      <w:r>
        <w:rPr>
          <w:rFonts w:cs="Arial"/>
        </w:rPr>
        <w:t xml:space="preserve">Caberá ao CONTRATADO o cumprimento das seguintes obrigações: </w:t>
      </w:r>
    </w:p>
    <w:p>
      <w:pPr>
        <w:pStyle w:val="ListParagraph"/>
        <w:spacing w:lineRule="auto" w:line="240" w:before="0" w:after="0"/>
        <w:ind w:left="0"/>
        <w:contextualSpacing/>
        <w:jc w:val="both"/>
        <w:rPr>
          <w:rFonts w:ascii="Arial" w:hAnsi="Arial"/>
        </w:rPr>
      </w:pPr>
      <w:r>
        <w:rPr>
          <w:rFonts w:cs="Arial"/>
        </w:rPr>
        <w:t xml:space="preserve">1 - Prestar os serviços, objeto da Contratação; </w:t>
      </w:r>
    </w:p>
    <w:p>
      <w:pPr>
        <w:pStyle w:val="ListParagraph"/>
        <w:spacing w:lineRule="auto" w:line="240" w:before="0" w:after="0"/>
        <w:ind w:left="0"/>
        <w:contextualSpacing/>
        <w:jc w:val="both"/>
        <w:rPr>
          <w:rFonts w:ascii="Arial" w:hAnsi="Arial"/>
        </w:rPr>
      </w:pPr>
      <w:r>
        <w:rPr>
          <w:rFonts w:cs="Arial"/>
        </w:rPr>
        <w:t xml:space="preserve">2 - Não subcontratar, ceder ou transferir, total ou parcialmente, o objeto da Contratação; </w:t>
      </w:r>
    </w:p>
    <w:p>
      <w:pPr>
        <w:pStyle w:val="ListParagraph"/>
        <w:spacing w:lineRule="auto" w:line="240" w:before="0" w:after="0"/>
        <w:ind w:left="0"/>
        <w:contextualSpacing/>
        <w:jc w:val="both"/>
        <w:rPr>
          <w:rFonts w:ascii="Arial" w:hAnsi="Arial"/>
        </w:rPr>
      </w:pPr>
      <w:r>
        <w:rPr>
          <w:rFonts w:cs="Arial"/>
        </w:rPr>
        <w:t>3 - Responsabilizar-se pelos encargos trabalhistas, previdenciários, fiscais e comerciais, resultantes da execução do objeto deste projeto;</w:t>
      </w:r>
    </w:p>
    <w:p>
      <w:pPr>
        <w:pStyle w:val="ListParagraph"/>
        <w:spacing w:lineRule="auto" w:line="240" w:before="0" w:after="0"/>
        <w:ind w:left="0"/>
        <w:contextualSpacing/>
        <w:jc w:val="both"/>
        <w:rPr>
          <w:rFonts w:ascii="Arial" w:hAnsi="Arial"/>
        </w:rPr>
      </w:pPr>
      <w:r>
        <w:rPr>
          <w:rFonts w:cs="Arial"/>
        </w:rPr>
        <w:t xml:space="preserve">4 - Executar fielmente o objeto da Contratação com fornecimento ininterrupto de linhas telefônicas para chamadas interurbanas; </w:t>
      </w:r>
    </w:p>
    <w:p>
      <w:pPr>
        <w:pStyle w:val="ListParagraph"/>
        <w:spacing w:lineRule="auto" w:line="240" w:before="0" w:after="0"/>
        <w:ind w:left="0"/>
        <w:contextualSpacing/>
        <w:jc w:val="both"/>
        <w:rPr>
          <w:rFonts w:ascii="Arial" w:hAnsi="Arial"/>
        </w:rPr>
      </w:pPr>
      <w:r>
        <w:rPr>
          <w:rFonts w:cs="Arial"/>
        </w:rPr>
        <w:t xml:space="preserve">5 - Dar plena garantia e qualidade do serviço prestado; </w:t>
      </w:r>
    </w:p>
    <w:p>
      <w:pPr>
        <w:pStyle w:val="ListParagraph"/>
        <w:spacing w:lineRule="auto" w:line="240" w:before="0" w:after="0"/>
        <w:ind w:left="0"/>
        <w:contextualSpacing/>
        <w:jc w:val="both"/>
        <w:rPr>
          <w:rFonts w:ascii="Arial" w:hAnsi="Arial"/>
        </w:rPr>
      </w:pPr>
      <w:r>
        <w:rPr>
          <w:rFonts w:cs="Arial"/>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left="0"/>
        <w:contextualSpacing/>
        <w:jc w:val="both"/>
        <w:rPr>
          <w:rFonts w:ascii="Arial" w:hAnsi="Arial"/>
        </w:rPr>
      </w:pPr>
      <w:r>
        <w:rPr>
          <w:rFonts w:cs="Arial"/>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left="0"/>
        <w:contextualSpacing/>
        <w:jc w:val="both"/>
        <w:rPr>
          <w:rFonts w:ascii="Arial" w:hAnsi="Arial"/>
        </w:rPr>
      </w:pPr>
      <w:r>
        <w:rPr>
          <w:rFonts w:cs="Arial"/>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left="0"/>
        <w:contextualSpacing/>
        <w:jc w:val="both"/>
        <w:rPr>
          <w:rFonts w:ascii="Arial" w:hAnsi="Arial" w:cs="Arial"/>
        </w:rPr>
      </w:pPr>
      <w:r>
        <w:rPr>
          <w:rFonts w:cs="Arial"/>
        </w:rPr>
        <w:t>9 - Acatar as determinações feitas pela Contratante no que tange ao cumprimento do objeto do Contrato.</w:t>
      </w:r>
    </w:p>
    <w:p>
      <w:pPr>
        <w:pStyle w:val="ListParagraph"/>
        <w:spacing w:lineRule="auto" w:line="240" w:before="0" w:after="0"/>
        <w:ind w:left="0"/>
        <w:contextualSpacing/>
        <w:jc w:val="both"/>
        <w:rPr>
          <w:rFonts w:ascii="Arial" w:hAnsi="Arial"/>
        </w:rPr>
      </w:pPr>
      <w:r>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DAS OBRIGAÇÕES E RESPONSABILIDADES DO MUNICÍPIO:</w:t>
      </w:r>
    </w:p>
    <w:p>
      <w:pPr>
        <w:pStyle w:val="ListParagraph"/>
        <w:spacing w:lineRule="auto" w:line="240" w:before="0" w:after="0"/>
        <w:ind w:left="0"/>
        <w:contextualSpacing/>
        <w:jc w:val="both"/>
        <w:rPr>
          <w:rFonts w:ascii="Arial" w:hAnsi="Arial"/>
        </w:rPr>
      </w:pPr>
      <w:r>
        <w:rPr>
          <w:rFonts w:cs="Arial"/>
        </w:rPr>
        <w:t xml:space="preserve">1 - Fornecer à Contratada todas as informações relacionadas ao objeto da Contratação; </w:t>
      </w:r>
    </w:p>
    <w:p>
      <w:pPr>
        <w:pStyle w:val="ListParagraph"/>
        <w:spacing w:lineRule="auto" w:line="240" w:before="0" w:after="0"/>
        <w:ind w:left="0"/>
        <w:contextualSpacing/>
        <w:jc w:val="both"/>
        <w:rPr>
          <w:rFonts w:ascii="Arial" w:hAnsi="Arial"/>
        </w:rPr>
      </w:pPr>
      <w:r>
        <w:rPr>
          <w:rFonts w:cs="Arial"/>
        </w:rPr>
        <w:t xml:space="preserve">2 - Notificar por escrito a Contratada, a respeito de qualquer irregularidade constatada na execução do objeto da Contratação; </w:t>
      </w:r>
    </w:p>
    <w:p>
      <w:pPr>
        <w:pStyle w:val="ListParagraph"/>
        <w:spacing w:lineRule="auto" w:line="240" w:before="0" w:after="0"/>
        <w:ind w:left="0"/>
        <w:contextualSpacing/>
        <w:jc w:val="both"/>
        <w:rPr>
          <w:rFonts w:ascii="Arial" w:hAnsi="Arial"/>
        </w:rPr>
      </w:pPr>
      <w:r>
        <w:rPr>
          <w:rFonts w:cs="Arial"/>
        </w:rPr>
        <w:t xml:space="preserve">3 - Assegurar os recursos orçamentários e financeiros para custear as despesas do empenho estimativo; </w:t>
      </w:r>
    </w:p>
    <w:p>
      <w:pPr>
        <w:pStyle w:val="ListParagraph"/>
        <w:spacing w:lineRule="auto" w:line="240" w:before="0" w:after="0"/>
        <w:ind w:left="0"/>
        <w:contextualSpacing/>
        <w:jc w:val="both"/>
        <w:rPr>
          <w:rFonts w:ascii="Arial" w:hAnsi="Arial"/>
        </w:rPr>
      </w:pPr>
      <w:r>
        <w:rPr>
          <w:rFonts w:cs="Arial"/>
        </w:rPr>
        <w:t xml:space="preserve">4 - Efetuar o pagamento nas condições e preços pactuados; </w:t>
      </w:r>
    </w:p>
    <w:p>
      <w:pPr>
        <w:pStyle w:val="ListParagraph"/>
        <w:spacing w:lineRule="auto" w:line="240" w:before="0" w:after="0"/>
        <w:ind w:left="0"/>
        <w:contextualSpacing/>
        <w:jc w:val="both"/>
        <w:rPr>
          <w:rFonts w:ascii="Arial" w:hAnsi="Arial"/>
        </w:rPr>
      </w:pPr>
      <w:r>
        <w:rPr>
          <w:rFonts w:cs="Arial"/>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FISCALIZAÇÃO E ACOMPANHAMENTO</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Corpodetexto23"/>
        <w:rPr>
          <w:rFonts w:ascii="Arial" w:hAnsi="Arial" w:cs="Arial"/>
          <w:sz w:val="22"/>
          <w:szCs w:val="22"/>
        </w:rPr>
      </w:pPr>
      <w:r>
        <w:rPr>
          <w:rFonts w:cs="Arial" w:ascii="Arial" w:hAnsi="Arial"/>
          <w:sz w:val="22"/>
          <w:szCs w:val="22"/>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GARANTIA PELO FORNECIMENTO</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DAS AMOSTRAS</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GESTÃO DO CONTRATO</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DO FATURAMENTO E DO PAGAMENTO</w:t>
      </w:r>
    </w:p>
    <w:p>
      <w:pPr>
        <w:pStyle w:val="Normal"/>
        <w:spacing w:lineRule="auto" w:line="240" w:before="0" w:after="0"/>
        <w:jc w:val="both"/>
        <w:rPr>
          <w:rFonts w:ascii="Arial" w:hAnsi="Arial"/>
        </w:rPr>
      </w:pPr>
      <w:bookmarkStart w:id="0" w:name="_Hlk151990632"/>
      <w:r>
        <w:rPr>
          <w:rFonts w:cs="Arial"/>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240" w:before="0" w:after="0"/>
        <w:jc w:val="both"/>
        <w:rPr>
          <w:rFonts w:ascii="Arial" w:hAnsi="Arial" w:cs="Arial"/>
        </w:rPr>
      </w:pPr>
      <w:r>
        <w:rPr>
          <w:rFonts w:cs="Arial"/>
        </w:rPr>
      </w:r>
    </w:p>
    <w:p>
      <w:pPr>
        <w:pStyle w:val="Normal"/>
        <w:spacing w:lineRule="auto" w:line="240" w:before="0" w:after="0"/>
        <w:jc w:val="both"/>
        <w:rPr>
          <w:rFonts w:ascii="Arial" w:hAnsi="Arial"/>
        </w:rPr>
      </w:pPr>
      <w:r>
        <w:rPr>
          <w:rFonts w:cs="Arial"/>
        </w:rPr>
        <w:t>A CONTRATADA deverá encaminhar à unidade administrativa responsável pela gestão do contrato, apresentação de Nota Fiscal, com os respectivos valores devidos, cujo valor será depositado em conta corrente da Contratada indicada para tanto.</w:t>
      </w:r>
    </w:p>
    <w:p>
      <w:pPr>
        <w:pStyle w:val="Normal"/>
        <w:spacing w:lineRule="auto" w:line="240" w:before="0" w:after="0"/>
        <w:jc w:val="both"/>
        <w:rPr>
          <w:rFonts w:ascii="Arial" w:hAnsi="Arial" w:cs="Arial"/>
        </w:rPr>
      </w:pPr>
      <w:r>
        <w:rPr>
          <w:rFonts w:cs="Arial"/>
        </w:rPr>
      </w:r>
    </w:p>
    <w:p>
      <w:pPr>
        <w:pStyle w:val="Normal"/>
        <w:spacing w:lineRule="auto" w:line="240" w:before="0" w:after="0"/>
        <w:jc w:val="both"/>
        <w:rPr>
          <w:rFonts w:ascii="Arial" w:hAnsi="Arial"/>
        </w:rPr>
      </w:pPr>
      <w:r>
        <w:rPr>
          <w:rFonts w:cs="Arial"/>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rPr>
      </w:pPr>
      <w:r>
        <w:rPr>
          <w:rFonts w:cs="Arial"/>
        </w:rPr>
      </w:r>
    </w:p>
    <w:p>
      <w:pPr>
        <w:pStyle w:val="Normal"/>
        <w:spacing w:lineRule="auto" w:line="240" w:before="0" w:after="0"/>
        <w:jc w:val="both"/>
        <w:rPr>
          <w:rFonts w:ascii="Arial" w:hAnsi="Arial"/>
        </w:rPr>
      </w:pPr>
      <w:r>
        <w:rPr>
          <w:rFonts w:cs="Arial"/>
        </w:rPr>
        <w:t xml:space="preserve">Para efeito de pagamento, junto com a Nota Fiscal, deverá ser anexado: </w:t>
      </w:r>
    </w:p>
    <w:p>
      <w:pPr>
        <w:pStyle w:val="Normal"/>
        <w:spacing w:lineRule="auto" w:line="240" w:before="0" w:after="0"/>
        <w:jc w:val="both"/>
        <w:rPr>
          <w:rFonts w:ascii="Arial" w:hAnsi="Arial"/>
        </w:rPr>
      </w:pPr>
      <w:r>
        <w:rPr>
          <w:rFonts w:cs="Arial"/>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rPr>
      </w:pPr>
      <w:r>
        <w:rPr>
          <w:rFonts w:cs="Arial"/>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rPr>
      </w:pPr>
      <w:r>
        <w:rPr>
          <w:rFonts w:cs="Arial"/>
        </w:rPr>
        <w:t xml:space="preserve">III - Certidão de Regularidade com a Fazenda do Estado; </w:t>
      </w:r>
    </w:p>
    <w:p>
      <w:pPr>
        <w:pStyle w:val="Normal"/>
        <w:spacing w:lineRule="auto" w:line="240" w:before="0" w:after="0"/>
        <w:jc w:val="both"/>
        <w:rPr>
          <w:rFonts w:ascii="Arial" w:hAnsi="Arial"/>
        </w:rPr>
      </w:pPr>
      <w:r>
        <w:rPr>
          <w:rFonts w:cs="Arial"/>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rPr>
      </w:pPr>
      <w:r>
        <w:rPr>
          <w:rFonts w:cs="Arial"/>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rPr>
      </w:pPr>
      <w:r>
        <w:rPr>
          <w:rFonts w:cs="Arial"/>
        </w:rPr>
      </w:r>
    </w:p>
    <w:p>
      <w:pPr>
        <w:pStyle w:val="ListParagraph"/>
        <w:numPr>
          <w:ilvl w:val="1"/>
          <w:numId w:val="1"/>
        </w:numPr>
        <w:spacing w:lineRule="auto" w:line="240" w:before="0" w:after="0"/>
        <w:ind w:hanging="0" w:left="0"/>
        <w:contextualSpacing/>
        <w:jc w:val="both"/>
        <w:rPr>
          <w:rFonts w:ascii="Arial" w:hAnsi="Arial"/>
        </w:rPr>
      </w:pPr>
      <w:r>
        <w:rPr>
          <w:rFonts w:cs="Arial"/>
          <w:b/>
        </w:rPr>
        <w:t>DA ANTECIPAÇÃO DO PAGAMENTO</w:t>
      </w:r>
    </w:p>
    <w:p>
      <w:pPr>
        <w:pStyle w:val="ListParagraph"/>
        <w:numPr>
          <w:ilvl w:val="2"/>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FORMA E CRITÉRIOS DE SELEÇÃO DO FORNECEDOR</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DO VALOR MÁXIMO E DOS RECURSOS ORÇAMENTÁRIOS</w:t>
      </w:r>
    </w:p>
    <w:p>
      <w:pPr>
        <w:pStyle w:val="Normal"/>
        <w:spacing w:lineRule="auto" w:line="240" w:before="0" w:after="0"/>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DO VALOR ESTIMADO</w:t>
      </w:r>
    </w:p>
    <w:p>
      <w:pPr>
        <w:pStyle w:val="Normal"/>
        <w:spacing w:lineRule="auto" w:line="240" w:before="0" w:after="0"/>
        <w:jc w:val="both"/>
        <w:rPr>
          <w:rFonts w:ascii="Arial" w:hAnsi="Arial" w:cs="Arial"/>
          <w:color w:val="000000"/>
        </w:rPr>
      </w:pPr>
      <w:r>
        <w:rPr>
          <w:rFonts w:cs="Arial"/>
          <w:color w:val="000000"/>
        </w:rPr>
      </w:r>
    </w:p>
    <w:p>
      <w:pPr>
        <w:pStyle w:val="ListParagraph"/>
        <w:numPr>
          <w:ilvl w:val="2"/>
          <w:numId w:val="1"/>
        </w:numPr>
        <w:spacing w:lineRule="auto" w:line="240" w:before="0" w:after="0"/>
        <w:ind w:hanging="0" w:left="0"/>
        <w:contextualSpacing/>
        <w:jc w:val="both"/>
        <w:rPr>
          <w:rFonts w:ascii="Arial" w:hAnsi="Arial"/>
        </w:rPr>
      </w:pPr>
      <w:r>
        <w:rPr>
          <w:rFonts w:cs="Arial"/>
          <w:color w:val="000000"/>
        </w:rPr>
        <w:t xml:space="preserve"> </w:t>
      </w:r>
      <w:r>
        <w:rPr>
          <w:rFonts w:cs="Arial"/>
          <w:color w:val="000000"/>
        </w:rPr>
        <w:t xml:space="preserve">O </w:t>
      </w:r>
      <w:r>
        <w:rPr>
          <w:rFonts w:cs="Arial"/>
          <w:b/>
          <w:color w:val="000000"/>
        </w:rPr>
        <w:t>valor máximo estimado</w:t>
      </w:r>
      <w:r>
        <w:rPr>
          <w:rFonts w:cs="Arial"/>
          <w:color w:val="000000"/>
        </w:rPr>
        <w:t xml:space="preserve"> para custeio das despesas com o </w:t>
      </w:r>
      <w:r>
        <w:rPr>
          <w:rFonts w:cs="Arial"/>
          <w:bCs/>
          <w:color w:val="000000"/>
        </w:rPr>
        <w:t>uso de linhas telefônicas</w:t>
      </w:r>
      <w:r>
        <w:rPr>
          <w:rFonts w:cs="Arial"/>
          <w:color w:val="000000"/>
        </w:rPr>
        <w:t xml:space="preserve"> pelas unidades relativas à Secretaria de Obras e Serviços Urbanos no exercício de 2026, </w:t>
      </w:r>
      <w:r>
        <w:rPr>
          <w:rFonts w:cs="Arial"/>
          <w:b/>
          <w:color w:val="000000"/>
        </w:rPr>
        <w:t>é de R$ 2.080,00 (dois mil e oitenta reais).</w:t>
      </w:r>
    </w:p>
    <w:p>
      <w:pPr>
        <w:pStyle w:val="Normal"/>
        <w:spacing w:lineRule="auto" w:line="240" w:before="0" w:after="0"/>
        <w:jc w:val="both"/>
        <w:rPr>
          <w:rFonts w:ascii="Arial" w:hAnsi="Arial" w:cs="Arial"/>
        </w:rPr>
      </w:pPr>
      <w:r>
        <w:rPr>
          <w:rFonts w:cs="Arial"/>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rPr>
      </w:pPr>
      <w:r>
        <w:rPr>
          <w:rFonts w:cs="Arial"/>
          <w:b/>
        </w:rPr>
        <w:t>DOS RECURSOS ORÇAMENTÁRIOS</w:t>
      </w:r>
    </w:p>
    <w:p>
      <w:pPr>
        <w:pStyle w:val="ListParagraph"/>
        <w:numPr>
          <w:ilvl w:val="2"/>
          <w:numId w:val="1"/>
        </w:numPr>
        <w:spacing w:lineRule="auto" w:line="240" w:before="0" w:after="240"/>
        <w:ind w:hanging="0" w:left="0"/>
        <w:contextualSpacing w:val="false"/>
        <w:jc w:val="both"/>
        <w:rPr>
          <w:rFonts w:ascii="Arial" w:hAnsi="Arial"/>
        </w:rPr>
      </w:pPr>
      <w:r>
        <w:rPr>
          <w:rFonts w:cs="Arial"/>
          <w:color w:val="000000"/>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b/>
          <w:color w:val="000000"/>
        </w:rPr>
        <w:t>Lei Orçamentária Anual (LOA) vinculada para o exercício financeiro de 2026</w:t>
      </w:r>
      <w:r>
        <w:rPr>
          <w:rFonts w:cs="Arial"/>
          <w:color w:val="000000"/>
        </w:rPr>
        <w:t>, a qual será informada pelo requerente, após a aprovação da respectiva Lei.</w:t>
      </w:r>
    </w:p>
    <w:tbl>
      <w:tblPr>
        <w:tblStyle w:val="Tabelacomgrade"/>
        <w:tblW w:w="907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9075"/>
      </w:tblGrid>
      <w:tr>
        <w:trPr>
          <w:trHeight w:val="567" w:hRule="atLeast"/>
        </w:trPr>
        <w:tc>
          <w:tcPr>
            <w:tcW w:w="9075" w:type="dxa"/>
            <w:tcBorders/>
            <w:shd w:color="auto" w:fill="D9D9D9" w:themeFill="background1" w:themeFillShade="d9" w:val="clear"/>
            <w:vAlign w:val="center"/>
          </w:tcPr>
          <w:p>
            <w:pPr>
              <w:pStyle w:val="Normal"/>
              <w:widowControl/>
              <w:suppressAutoHyphens w:val="true"/>
              <w:spacing w:lineRule="auto" w:line="240" w:before="0" w:after="0"/>
              <w:jc w:val="center"/>
              <w:rPr>
                <w:rFonts w:ascii="Arial" w:hAnsi="Arial" w:cs="Arial"/>
              </w:rPr>
            </w:pPr>
            <w:r>
              <w:rPr>
                <w:rFonts w:eastAsia="Arial" w:cs="Arial"/>
                <w:b/>
                <w:kern w:val="0"/>
                <w:sz w:val="20"/>
                <w:lang w:val="pt-BR" w:bidi="ar-SA"/>
              </w:rPr>
              <w:t>MANUTENÇÃO E OPERAÇÃO DOS SERVIÇOS PÚBLICOS URBANOS</w:t>
            </w:r>
          </w:p>
          <w:p>
            <w:pPr>
              <w:pStyle w:val="Normal"/>
              <w:widowControl/>
              <w:suppressAutoHyphens w:val="true"/>
              <w:spacing w:lineRule="auto" w:line="240" w:before="0" w:after="0"/>
              <w:jc w:val="center"/>
              <w:rPr>
                <w:rFonts w:ascii="Arial" w:hAnsi="Arial" w:cs="Arial"/>
              </w:rPr>
            </w:pPr>
            <w:r>
              <w:rPr>
                <w:rFonts w:eastAsia="Arial" w:cs="Arial"/>
                <w:kern w:val="0"/>
                <w:sz w:val="20"/>
                <w:lang w:val="pt-BR" w:bidi="ar-SA"/>
              </w:rPr>
              <w:t>Outros Serviços de Terceiros – Pessoa Jurídica</w:t>
            </w:r>
          </w:p>
        </w:tc>
      </w:tr>
      <w:tr>
        <w:trPr>
          <w:trHeight w:val="340" w:hRule="atLeast"/>
        </w:trPr>
        <w:tc>
          <w:tcPr>
            <w:tcW w:w="9075" w:type="dxa"/>
            <w:tcBorders/>
            <w:shd w:color="auto" w:fill="FFFFFF" w:themeFill="background1" w:val="clear"/>
            <w:vAlign w:val="center"/>
          </w:tcPr>
          <w:p>
            <w:pPr>
              <w:pStyle w:val="Normal"/>
              <w:widowControl/>
              <w:suppressAutoHyphens w:val="true"/>
              <w:spacing w:lineRule="auto" w:line="240" w:before="0" w:after="0"/>
              <w:jc w:val="center"/>
              <w:rPr>
                <w:rFonts w:ascii="Arial" w:hAnsi="Arial" w:cs="Arial"/>
              </w:rPr>
            </w:pPr>
            <w:r>
              <w:rPr>
                <w:rFonts w:eastAsia="Arial" w:cs="Arial"/>
                <w:kern w:val="0"/>
                <w:sz w:val="20"/>
                <w:lang w:val="pt-BR" w:bidi="ar-SA"/>
              </w:rPr>
              <w:t>1201.1545200102.019 – 339039000000 – FR 1500 – F 254</w:t>
            </w:r>
          </w:p>
        </w:tc>
      </w:tr>
    </w:tbl>
    <w:p>
      <w:pPr>
        <w:pStyle w:val="Normal"/>
        <w:spacing w:lineRule="auto" w:line="240" w:before="0" w:after="0"/>
        <w:jc w:val="both"/>
        <w:rPr>
          <w:rFonts w:ascii="Arial" w:hAnsi="Arial" w:cs="Arial"/>
        </w:rPr>
      </w:pPr>
      <w:r>
        <w:rPr>
          <w:rFonts w:cs="Arial"/>
        </w:rPr>
      </w:r>
    </w:p>
    <w:p>
      <w:pPr>
        <w:pStyle w:val="Normal"/>
        <w:spacing w:lineRule="auto" w:line="240" w:before="0" w:after="0"/>
        <w:jc w:val="both"/>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DAS SANÇÕES E PENALIDADES</w:t>
      </w:r>
      <w:bookmarkStart w:id="1" w:name="_Hlk151990699"/>
    </w:p>
    <w:p>
      <w:pPr>
        <w:pStyle w:val="ListParagraph"/>
        <w:numPr>
          <w:ilvl w:val="1"/>
          <w:numId w:val="1"/>
        </w:numPr>
        <w:spacing w:lineRule="auto" w:line="240" w:before="0" w:after="0"/>
        <w:ind w:hanging="0" w:left="0"/>
        <w:contextualSpacing/>
        <w:jc w:val="both"/>
        <w:rPr>
          <w:rFonts w:ascii="Arial" w:hAnsi="Arial"/>
        </w:rPr>
      </w:pPr>
      <w:r>
        <w:rPr>
          <w:rFonts w:cs="Arial"/>
          <w:bCs/>
          <w:color w:val="000000"/>
        </w:rPr>
        <w:t>Serão aplicadas as infrações administrativas disciplinadas na Lei Federal nº 14.133/2021, na forma de regulamento municipal.</w:t>
      </w:r>
      <w:bookmarkEnd w:id="1"/>
    </w:p>
    <w:p>
      <w:pPr>
        <w:pStyle w:val="Normal"/>
        <w:spacing w:lineRule="auto" w:line="240" w:before="0" w:after="0"/>
        <w:jc w:val="both"/>
        <w:rPr>
          <w:rFonts w:ascii="Arial" w:hAnsi="Arial" w:cs="Arial"/>
        </w:rPr>
      </w:pPr>
      <w:r>
        <w:rPr>
          <w:rFonts w:cs="Arial"/>
        </w:rPr>
      </w:r>
    </w:p>
    <w:p>
      <w:pPr>
        <w:pStyle w:val="Normal"/>
        <w:spacing w:lineRule="auto" w:line="240" w:before="0" w:after="0"/>
        <w:jc w:val="both"/>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QUALIFICAÇÃO TÉCNICA</w:t>
      </w:r>
    </w:p>
    <w:p>
      <w:pPr>
        <w:pStyle w:val="ListParagraph"/>
        <w:numPr>
          <w:ilvl w:val="1"/>
          <w:numId w:val="1"/>
        </w:numPr>
        <w:spacing w:lineRule="auto" w:line="240" w:before="0" w:after="0"/>
        <w:ind w:hanging="0" w:left="0"/>
        <w:contextualSpacing/>
        <w:jc w:val="both"/>
        <w:rPr>
          <w:rFonts w:ascii="Arial" w:hAnsi="Arial"/>
        </w:rPr>
      </w:pPr>
      <w:r>
        <w:rPr>
          <w:rFonts w:cs="Arial"/>
          <w:i/>
        </w:rPr>
        <w:t>Não se aplica a presente contratação.</w:t>
      </w:r>
    </w:p>
    <w:p>
      <w:pPr>
        <w:pStyle w:val="Normal"/>
        <w:spacing w:lineRule="auto" w:line="240" w:before="0" w:after="0"/>
        <w:jc w:val="both"/>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DA UNIDADE REQUISITANTE</w:t>
      </w:r>
    </w:p>
    <w:p>
      <w:pPr>
        <w:pStyle w:val="ListParagraph"/>
        <w:numPr>
          <w:ilvl w:val="1"/>
          <w:numId w:val="1"/>
        </w:numPr>
        <w:spacing w:lineRule="auto" w:line="240" w:before="0" w:after="0"/>
        <w:ind w:hanging="0" w:left="0"/>
        <w:contextualSpacing/>
        <w:jc w:val="both"/>
        <w:rPr>
          <w:rFonts w:ascii="Arial" w:hAnsi="Arial"/>
        </w:rPr>
      </w:pPr>
      <w:r>
        <w:rPr>
          <w:rFonts w:cs="Arial"/>
        </w:rPr>
        <w:t xml:space="preserve">Constitui unidade requisitante da presente demanda a </w:t>
      </w:r>
      <w:r>
        <w:rPr>
          <w:rFonts w:cs="Arial"/>
          <w:b/>
        </w:rPr>
        <w:t>Secretaria Municipal de Obras e Serviços Urbanos.</w:t>
      </w:r>
    </w:p>
    <w:p>
      <w:pPr>
        <w:pStyle w:val="Normal"/>
        <w:spacing w:lineRule="auto" w:line="240" w:before="0" w:after="0"/>
        <w:rPr>
          <w:rFonts w:ascii="Arial" w:hAnsi="Arial" w:cs="Arial"/>
        </w:rPr>
      </w:pPr>
      <w:r>
        <w:rPr>
          <w:rFonts w:cs="Arial"/>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rPr>
      </w:pPr>
      <w:r>
        <w:rPr>
          <w:rFonts w:cs="Arial"/>
          <w:b/>
        </w:rPr>
        <w:t>DO RESPONSÁVEL PELA ELABORAÇÃO DO TERMO DE REFERÊNCIA</w:t>
      </w:r>
    </w:p>
    <w:p>
      <w:pPr>
        <w:pStyle w:val="ListParagraph"/>
        <w:numPr>
          <w:ilvl w:val="1"/>
          <w:numId w:val="1"/>
        </w:numPr>
        <w:spacing w:lineRule="auto" w:line="240" w:before="0" w:after="0"/>
        <w:ind w:hanging="0" w:left="0"/>
        <w:contextualSpacing/>
        <w:jc w:val="both"/>
        <w:rPr>
          <w:rFonts w:ascii="Arial" w:hAnsi="Arial"/>
        </w:rPr>
      </w:pPr>
      <w:r>
        <w:rPr>
          <w:rFonts w:cs="Arial"/>
          <w:b/>
        </w:rPr>
        <w:t>Gestor da Unidade Requisitante:</w:t>
      </w:r>
      <w:r>
        <w:rPr>
          <w:rFonts w:cs="Arial"/>
        </w:rPr>
        <w:t xml:space="preserve"> JÚNIOR PRIORI PERINNI</w:t>
      </w:r>
    </w:p>
    <w:p>
      <w:pPr>
        <w:pStyle w:val="NormalWeb"/>
        <w:spacing w:beforeAutospacing="0" w:before="0" w:afterAutospacing="0" w:after="0"/>
        <w:jc w:val="both"/>
        <w:rPr>
          <w:rFonts w:ascii="Arial" w:hAnsi="Arial" w:cs="Arial"/>
          <w:sz w:val="22"/>
          <w:szCs w:val="22"/>
          <w:highlight w:val="lightGray"/>
        </w:rPr>
      </w:pPr>
      <w:r>
        <w:rPr>
          <w:rFonts w:cs="Arial" w:ascii="Arial" w:hAnsi="Arial"/>
          <w:sz w:val="22"/>
          <w:szCs w:val="22"/>
          <w:highlight w:val="lightGray"/>
        </w:rPr>
      </w:r>
    </w:p>
    <w:p>
      <w:pPr>
        <w:pStyle w:val="NormalWeb"/>
        <w:spacing w:beforeAutospacing="0" w:before="0" w:afterAutospacing="0" w:after="0"/>
        <w:jc w:val="both"/>
        <w:rPr>
          <w:rFonts w:ascii="Arial" w:hAnsi="Arial" w:cs="Arial"/>
          <w:sz w:val="22"/>
          <w:szCs w:val="22"/>
          <w:highlight w:val="lightGray"/>
        </w:rPr>
      </w:pPr>
      <w:r>
        <w:rPr>
          <w:rFonts w:cs="Arial" w:ascii="Arial" w:hAnsi="Arial"/>
          <w:sz w:val="22"/>
          <w:szCs w:val="22"/>
          <w:highlight w:val="lightGray"/>
        </w:rPr>
      </w:r>
    </w:p>
    <w:p>
      <w:pPr>
        <w:pStyle w:val="NormalWeb"/>
        <w:spacing w:beforeAutospacing="0" w:before="0" w:afterAutospacing="0" w:after="0"/>
        <w:jc w:val="right"/>
        <w:rPr>
          <w:rFonts w:ascii="Arial" w:hAnsi="Arial"/>
          <w:sz w:val="22"/>
          <w:szCs w:val="22"/>
        </w:rPr>
      </w:pPr>
      <w:r>
        <w:rPr>
          <w:rFonts w:cs="Arial" w:ascii="Arial" w:hAnsi="Arial"/>
          <w:b/>
          <w:sz w:val="22"/>
          <w:szCs w:val="22"/>
        </w:rPr>
        <w:t>São Roque do Canaã/ES</w:t>
      </w:r>
      <w:r>
        <w:rPr>
          <w:rFonts w:cs="Arial" w:ascii="Arial" w:hAnsi="Arial"/>
          <w:sz w:val="22"/>
          <w:szCs w:val="22"/>
        </w:rPr>
        <w:t>, 23 de dezembro de 202</w:t>
      </w:r>
      <w:r>
        <w:rPr>
          <w:rFonts w:cs="Arial" w:ascii="Arial" w:hAnsi="Arial"/>
          <w:sz w:val="22"/>
          <w:szCs w:val="22"/>
        </w:rPr>
        <w:t>5</w:t>
      </w:r>
      <w:r>
        <w:rPr>
          <w:rFonts w:cs="Arial" w:ascii="Arial" w:hAnsi="Arial"/>
          <w:sz w:val="22"/>
          <w:szCs w:val="22"/>
        </w:rPr>
        <w:t>.</w:t>
      </w:r>
    </w:p>
    <w:p>
      <w:pPr>
        <w:pStyle w:val="NormalWeb"/>
        <w:spacing w:beforeAutospacing="0" w:before="0" w:afterAutospacing="0" w:after="0"/>
        <w:jc w:val="right"/>
        <w:rPr>
          <w:rFonts w:ascii="Arial" w:hAnsi="Arial"/>
          <w:sz w:val="22"/>
          <w:szCs w:val="22"/>
        </w:rPr>
      </w:pPr>
      <w:r>
        <w:rPr/>
      </w:r>
    </w:p>
    <w:p>
      <w:pPr>
        <w:pStyle w:val="NormalWeb"/>
        <w:spacing w:beforeAutospacing="0" w:before="0" w:afterAutospacing="0" w:after="0"/>
        <w:jc w:val="right"/>
        <w:rPr>
          <w:rFonts w:ascii="Arial" w:hAnsi="Arial"/>
          <w:sz w:val="22"/>
          <w:szCs w:val="22"/>
        </w:rPr>
      </w:pPr>
      <w:r>
        <w:rPr/>
      </w:r>
    </w:p>
    <w:p>
      <w:pPr>
        <w:pStyle w:val="NormalWeb"/>
        <w:spacing w:beforeAutospacing="0" w:before="0" w:afterAutospacing="0" w:after="0"/>
        <w:jc w:val="center"/>
        <w:rPr>
          <w:rFonts w:ascii="Arial" w:hAnsi="Arial" w:cs="Arial"/>
          <w:sz w:val="22"/>
          <w:szCs w:val="22"/>
        </w:rPr>
      </w:pPr>
      <w:r>
        <w:rPr>
          <w:b/>
          <w:bCs/>
        </w:rPr>
      </w:r>
    </w:p>
    <w:p>
      <w:pPr>
        <w:pStyle w:val="NormalWeb"/>
        <w:spacing w:beforeAutospacing="0" w:before="0" w:afterAutospacing="0" w:after="0"/>
        <w:jc w:val="center"/>
        <w:rPr>
          <w:rFonts w:ascii="Arial" w:hAnsi="Arial" w:cs="Arial"/>
          <w:sz w:val="22"/>
          <w:szCs w:val="22"/>
        </w:rPr>
      </w:pPr>
      <w:r>
        <w:rPr>
          <w:b/>
          <w:bCs/>
        </w:rPr>
      </w:r>
    </w:p>
    <w:p>
      <w:pPr>
        <w:pStyle w:val="NormalWeb"/>
        <w:spacing w:beforeAutospacing="0" w:before="0" w:afterAutospacing="0" w:after="0"/>
        <w:jc w:val="center"/>
        <w:rPr>
          <w:b/>
          <w:bCs/>
        </w:rPr>
      </w:pPr>
      <w:r>
        <w:rPr>
          <w:rFonts w:cs="Arial" w:ascii="Arial" w:hAnsi="Arial"/>
          <w:b/>
          <w:bCs/>
          <w:sz w:val="22"/>
          <w:szCs w:val="22"/>
        </w:rPr>
        <w:t>JÚNIOR PRIORI PERINNI</w:t>
      </w:r>
    </w:p>
    <w:p>
      <w:pPr>
        <w:pStyle w:val="NormalWeb"/>
        <w:spacing w:beforeAutospacing="0" w:before="0" w:afterAutospacing="0" w:after="0"/>
        <w:jc w:val="center"/>
        <w:rPr/>
      </w:pPr>
      <w:r>
        <w:rPr>
          <w:rFonts w:cs="Arial" w:ascii="Arial" w:hAnsi="Arial"/>
          <w:sz w:val="22"/>
          <w:szCs w:val="22"/>
        </w:rPr>
        <w:t>Secretário Municipal de Obras e Serviços Urbanos</w:t>
      </w:r>
    </w:p>
    <w:p>
      <w:pPr>
        <w:pStyle w:val="NormalWeb"/>
        <w:spacing w:beforeAutospacing="0" w:before="0" w:afterAutospacing="0" w:after="0"/>
        <w:jc w:val="center"/>
        <w:rPr>
          <w:rFonts w:ascii="Arial" w:hAnsi="Arial"/>
          <w:sz w:val="22"/>
          <w:szCs w:val="22"/>
        </w:rPr>
      </w:pPr>
      <w:r>
        <w:rPr>
          <w:rFonts w:ascii="Arial" w:hAnsi="Arial"/>
          <w:sz w:val="22"/>
          <w:szCs w:val="22"/>
        </w:rPr>
      </w:r>
    </w:p>
    <w:sectPr>
      <w:headerReference w:type="default" r:id="rId2"/>
      <w:footerReference w:type="default" r:id="rId3"/>
      <w:type w:val="nextPage"/>
      <w:pgSz w:w="11906" w:h="16838"/>
      <w:pgMar w:left="1701" w:right="1134" w:gutter="0" w:header="709" w:top="1701" w:footer="366"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egoe UI">
    <w:charset w:val="00"/>
    <w:family w:val="roman"/>
    <w:pitch w:val="variable"/>
  </w:font>
  <w:font w:name="Cambri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sz w:val="20"/>
        <w:szCs w:val="16"/>
      </w:rPr>
      <w:t>Rua Lourenço Roldi n.º 88,São Roquinho, São Roque do Canaã/ES, CEP: 29665-000</w:t>
    </w:r>
  </w:p>
  <w:p>
    <w:pPr>
      <w:pStyle w:val="Footer"/>
      <w:jc w:val="center"/>
      <w:rPr/>
    </w:pPr>
    <w:r>
      <w:rPr>
        <w:rFonts w:cs="Arial"/>
        <w:bCs/>
        <w:i/>
        <w:color w:val="000000"/>
        <w:sz w:val="20"/>
        <w:szCs w:val="16"/>
      </w:rPr>
      <w:t>Telefone: (27) 3729-1120 | E-mail:</w:t>
    </w:r>
    <w:r>
      <w:rPr>
        <w:rFonts w:cs="Arial"/>
        <w:sz w:val="20"/>
        <w:szCs w:val="16"/>
      </w:rPr>
      <w:t xml:space="preserve"> obras@saoroquedocanaa.es.gov.br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OBRAS E SERVIÇOS URBANOS</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2417"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lowerLetter"/>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rial" w:hAnsi="Arial" w:eastAsia="Arial" w:cs="DejaVu Sans" w:asciiTheme="minorHAnsi" w:cstheme="minorBidi" w:eastAsiaTheme="minorHAnsi" w:hAnsiTheme="minorHAnsi"/>
      <w:color w:val="auto"/>
      <w:kern w:val="0"/>
      <w:sz w:val="22"/>
      <w:szCs w:val="22"/>
      <w:lang w:eastAsia="en-US" w:val="pt-BR"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Arial" w:hAnsi="Arial" w:eastAsia="DejaVu Sans" w:cs="DejaVu Sans" w:asciiTheme="majorHAnsi" w:cstheme="majorBidi" w:eastAsiaTheme="majorEastAsia" w:hAnsiTheme="majorHAnsi"/>
      <w:b/>
      <w:bCs/>
      <w:color w:themeColor="accent1" w:themeShade="bf" w:val="117A02"/>
      <w:sz w:val="28"/>
      <w:szCs w:val="28"/>
    </w:rPr>
  </w:style>
  <w:style w:type="paragraph" w:styleId="Heading2">
    <w:name w:val="Heading 2"/>
    <w:basedOn w:val="Normal"/>
    <w:qFormat/>
    <w:pPr>
      <w:widowControl w:val="false"/>
      <w:spacing w:lineRule="auto" w:line="240" w:before="0" w:after="0"/>
      <w:ind w:left="196"/>
      <w:outlineLvl w:val="1"/>
    </w:pPr>
    <w:rPr>
      <w:rFonts w:ascii="Arial" w:hAnsi="Arial" w:eastAsia="Times New Roman" w:cs="Arial"/>
      <w:b/>
      <w:bCs/>
      <w:sz w:val="20"/>
      <w:szCs w:val="20"/>
      <w:lang w:val="pt-PT" w:eastAsia="pt-PT"/>
    </w:rPr>
  </w:style>
  <w:style w:type="character" w:styleId="DefaultParagraphFont" w:default="1">
    <w:name w:val="Default Paragraph Font"/>
    <w:uiPriority w:val="1"/>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Arial" w:hAnsi="Arial" w:eastAsia="DejaVu Sans" w:cs="DejaVu Sans" w:asciiTheme="majorHAnsi" w:cstheme="majorBidi" w:eastAsiaTheme="majorEastAsia" w:hAnsiTheme="majorHAnsi"/>
      <w:b/>
      <w:bCs/>
      <w:color w:themeColor="accent1" w:themeShade="bf" w:val="117A02"/>
      <w:sz w:val="28"/>
      <w:szCs w:val="28"/>
      <w:lang w:eastAsia="en-US"/>
    </w:rPr>
  </w:style>
  <w:style w:type="character" w:styleId="Hyperlink">
    <w:name w:val="Hyperlink"/>
    <w:basedOn w:val="DefaultParagraphFont"/>
    <w:uiPriority w:val="99"/>
    <w:unhideWhenUsed/>
    <w:rsid w:val="000a2c0f"/>
    <w:rPr>
      <w:color w:themeColor="hyperlink" w:val="0000EE"/>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customStyle="1">
    <w:name w:val="Caracteres de nota de rodapé"/>
    <w:uiPriority w:val="99"/>
    <w:semiHidden/>
    <w:unhideWhenUsed/>
    <w:qFormat/>
    <w:rsid w:val="003e5cca"/>
    <w:rPr>
      <w:vertAlign w:val="superscript"/>
    </w:rPr>
  </w:style>
  <w:style w:type="character" w:styleId="FootnoteReference">
    <w:name w:val="Footnote Reference"/>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TextodenotadefimChar" w:customStyle="1">
    <w:name w:val="Texto de nota de fim Char"/>
    <w:qFormat/>
    <w:rPr/>
  </w:style>
  <w:style w:type="character" w:styleId="WW8Num5z0" w:customStyle="1">
    <w:name w:val="WW8Num5z0"/>
    <w:qFormat/>
    <w:rPr/>
  </w:style>
  <w:style w:type="character" w:styleId="WW8Num3z0" w:customStyle="1">
    <w:name w:val="WW8Num3z0"/>
    <w:qFormat/>
    <w:rPr/>
  </w:style>
  <w:style w:type="character" w:styleId="WW8Num2z0" w:customStyle="1">
    <w:name w:val="WW8Num2z0"/>
    <w:qFormat/>
    <w:rPr/>
  </w:style>
  <w:style w:type="character" w:styleId="WW8Num1z0" w:customStyle="1">
    <w:name w:val="WW8Num1z0"/>
    <w:qFormat/>
    <w:rPr/>
  </w:style>
  <w:style w:type="character" w:styleId="Marcadores" w:customStyle="1">
    <w:name w:val="Marcadores"/>
    <w:qFormat/>
    <w:rPr>
      <w:rFonts w:ascii="OpenSymbol" w:hAnsi="OpenSymbol" w:eastAsia="OpenSymbol" w:cs="OpenSymbol"/>
    </w:rPr>
  </w:style>
  <w:style w:type="character" w:styleId="CorpodetextoChar" w:customStyle="1">
    <w:name w:val="Corpo de texto Char"/>
    <w:basedOn w:val="DefaultParagraphFont"/>
    <w:qFormat/>
    <w:rPr>
      <w:rFonts w:ascii="Arial" w:hAnsi="Arial" w:eastAsia="Times New Roman" w:cs="Arial"/>
      <w:sz w:val="20"/>
      <w:szCs w:val="20"/>
      <w:lang w:val="pt-PT" w:eastAsia="pt-PT"/>
    </w:rPr>
  </w:style>
  <w:style w:type="character" w:styleId="Pagenumber">
    <w:name w:val="page number"/>
    <w:basedOn w:val="DefaultParagraphFont"/>
    <w:qFormat/>
    <w:rPr>
      <w:rFonts w:cs="Times New Roman"/>
    </w:rPr>
  </w:style>
  <w:style w:type="character" w:styleId="Ttulo2Char" w:customStyle="1">
    <w:name w:val="Título 2 Char"/>
    <w:basedOn w:val="DefaultParagraphFont"/>
    <w:qFormat/>
    <w:rPr>
      <w:rFonts w:ascii="Arial" w:hAnsi="Arial" w:eastAsia="Times New Roman" w:cs="Arial"/>
      <w:b/>
      <w:bCs/>
      <w:sz w:val="20"/>
      <w:szCs w:val="20"/>
      <w:lang w:val="pt-PT" w:eastAsia="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Caption1">
    <w:name w:val="caption1"/>
    <w:basedOn w:val="Normal"/>
    <w:qFormat/>
    <w:pPr>
      <w:suppressLineNumbers/>
      <w:spacing w:before="120" w:after="120"/>
    </w:pPr>
    <w:rPr>
      <w:rFonts w:cs="Arial"/>
      <w:i/>
      <w:iCs/>
      <w:sz w:val="24"/>
      <w:szCs w:val="24"/>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customStyle="1">
    <w:name w:val="Cabeçalho e Rodapé"/>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qFormat/>
    <w:pPr>
      <w:spacing w:lineRule="exact" w:line="240" w:before="0" w:after="0"/>
    </w:pPr>
    <w:rPr>
      <w:rFonts w:ascii="Tahoma" w:hAnsi="Tahoma" w:cs="Tahoma"/>
      <w:sz w:val="16"/>
      <w:szCs w:val="16"/>
    </w:rPr>
  </w:style>
  <w:style w:type="paragraph" w:styleId="WW-Corpodetexto3" w:customStyle="1">
    <w:name w:val="WW-Corpo de texto 3"/>
    <w:basedOn w:val="Normal"/>
    <w:qFormat/>
    <w:pPr>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qFormat/>
    <w:pPr>
      <w:spacing w:before="0" w:after="160"/>
      <w:ind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c70527"/>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TableParagraph" w:customStyle="1">
    <w:name w:val="Table Paragraph"/>
    <w:basedOn w:val="Normal"/>
    <w:qFormat/>
    <w:pPr>
      <w:widowControl w:val="false"/>
      <w:spacing w:lineRule="exact" w:line="223" w:before="11" w:after="0"/>
      <w:ind w:left="102" w:right="95"/>
      <w:jc w:val="center"/>
    </w:pPr>
    <w:rPr>
      <w:rFonts w:ascii="Arial" w:hAnsi="Arial" w:eastAsia="Times New Roman" w:cs="Arial"/>
      <w:lang w:val="pt-PT" w:eastAsia="pt-PT"/>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821FF-A685-4DCA-A315-FFC2C96B4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Application>LibreOffice/7.6.4.1$Windows_X86_64 LibreOffice_project/e19e193f88cd6c0525a17fb7a176ed8e6a3e2aa1</Application>
  <AppVersion>15.0000</AppVersion>
  <Pages>5</Pages>
  <Words>1709</Words>
  <Characters>9506</Characters>
  <CharactersWithSpaces>11091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2025-12-24T17:12:00Z</dcterms:created>
  <dc:creator>COMPUTADOR</dc:creator>
  <dc:description/>
  <dc:language>pt-BR</dc:language>
  <cp:lastModifiedBy/>
  <cp:lastPrinted>2024-01-15T12:16:00Z</cp:lastPrinted>
  <dcterms:modified xsi:type="dcterms:W3CDTF">2025-12-31T10:36:14Z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