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DFD/SMOSU Nº. 016/2025</w:t>
      </w:r>
    </w:p>
    <w:p>
      <w:pPr>
        <w:pStyle w:val="Normal"/>
        <w:spacing w:lineRule="auto" w:line="240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Ref.: </w:t>
      </w:r>
      <w:r>
        <w:rPr>
          <w:rFonts w:cs="Arial" w:ascii="Times New Roman" w:hAnsi="Times New Roman"/>
          <w:sz w:val="24"/>
          <w:szCs w:val="24"/>
        </w:rPr>
        <w:t xml:space="preserve">Empenho por Estimativa – Telefone – OI S.A. 2026 </w:t>
      </w:r>
      <w:r>
        <w:rPr>
          <w:rFonts w:cs="Arial" w:ascii="Arial" w:hAnsi="Arial"/>
          <w:sz w:val="22"/>
          <w:szCs w:val="22"/>
        </w:rPr>
        <w:t xml:space="preserve"> CATSER </w:t>
      </w:r>
      <w:r>
        <w:rPr>
          <w:rFonts w:cs="Arial" w:ascii="Arial" w:hAnsi="Arial"/>
          <w:color w:val="000000"/>
          <w:sz w:val="22"/>
          <w:szCs w:val="22"/>
        </w:rPr>
        <w:t xml:space="preserve">21873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UNIDADE REQUISITANTE</w:t>
      </w:r>
      <w:r>
        <w:rPr>
          <w:rFonts w:cs="Arial" w:ascii="Arial" w:hAnsi="Arial"/>
          <w:b/>
          <w:sz w:val="22"/>
          <w:szCs w:val="22"/>
          <w:shd w:fill="D9D9D9" w:val="clear"/>
        </w:rPr>
        <w:t>:</w:t>
      </w:r>
      <w:r>
        <w:rPr>
          <w:rFonts w:cs="Arial" w:ascii="Arial" w:hAnsi="Arial"/>
          <w:sz w:val="22"/>
          <w:szCs w:val="22"/>
        </w:rPr>
        <w:t xml:space="preserve"> Secretaria Municipal de Obras e Serviços Urbanos.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RESPONSÁVEL PELA DEMANDA:</w:t>
      </w:r>
      <w:r>
        <w:rPr>
          <w:rFonts w:cs="Arial" w:ascii="Arial" w:hAnsi="Arial"/>
          <w:bCs/>
          <w:sz w:val="22"/>
          <w:szCs w:val="22"/>
        </w:rPr>
        <w:t xml:space="preserve"> Responsabilizar-se-á, pela presente demanda, o servidor </w:t>
      </w:r>
      <w:r>
        <w:rPr>
          <w:rFonts w:cs="Arial" w:ascii="Arial" w:hAnsi="Arial"/>
          <w:b/>
          <w:bCs/>
          <w:sz w:val="22"/>
          <w:szCs w:val="22"/>
        </w:rPr>
        <w:t>Junior Priori Perinni</w:t>
      </w:r>
      <w:r>
        <w:rPr>
          <w:rFonts w:cs="Arial" w:ascii="Arial" w:hAnsi="Arial"/>
          <w:bCs/>
          <w:sz w:val="22"/>
          <w:szCs w:val="22"/>
        </w:rPr>
        <w:t>, ocupante do cargo de Secretário Municipal de Obras e Serviços Urbanos,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CONTATO DA UNIDADE REQUISITANTE:</w:t>
      </w:r>
      <w:r>
        <w:rPr>
          <w:rFonts w:cs="Arial" w:ascii="Arial" w:hAnsi="Arial"/>
          <w:bCs/>
          <w:sz w:val="22"/>
          <w:szCs w:val="22"/>
        </w:rPr>
        <w:t xml:space="preserve"> </w:t>
      </w:r>
      <w:r>
        <w:rPr>
          <w:rFonts w:cs="Arial" w:ascii="Arial" w:hAnsi="Arial"/>
          <w:bCs/>
          <w:color w:val="000000"/>
          <w:sz w:val="22"/>
          <w:szCs w:val="22"/>
        </w:rPr>
        <w:t>Os contatos com a unidade requisitante podem ser realizados pelo e-mail: obras@saoroquedocanaa.es.gov.br. ou por meio do atendimento presencial, na sede localizada na Rua João Vago, 333, Centro,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2"/>
          <w:szCs w:val="22"/>
        </w:rPr>
        <w:t xml:space="preserve">custear as despesas decorrentes do uso de linhas telefônicas pelas unidades relacionadas à Secretaria Municipal de Obras e Serviços Urbanos, no exercício de 2026 ( CATSER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21873)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,</w:t>
      </w:r>
      <w:r>
        <w:rPr>
          <w:rFonts w:cs="Arial" w:ascii="Arial" w:hAnsi="Arial"/>
          <w:bCs/>
          <w:sz w:val="22"/>
          <w:szCs w:val="22"/>
        </w:rPr>
        <w:t xml:space="preserve"> em virtude do desempenho de suas atividades, com fulcro no art. 60, da Lei Federal nº </w:t>
      </w:r>
      <w:r>
        <w:rPr>
          <w:rFonts w:cs="Arial" w:ascii="Arial" w:hAnsi="Arial"/>
          <w:sz w:val="22"/>
          <w:szCs w:val="22"/>
        </w:rPr>
        <w:t xml:space="preserve">4.320/1964 e art. 74, </w:t>
      </w:r>
      <w:r>
        <w:rPr>
          <w:rFonts w:cs="Arial" w:ascii="Arial" w:hAnsi="Arial"/>
          <w:i/>
          <w:sz w:val="22"/>
          <w:szCs w:val="22"/>
        </w:rPr>
        <w:t>caput</w:t>
      </w:r>
      <w:r>
        <w:rPr>
          <w:rFonts w:cs="Arial" w:ascii="Arial" w:hAnsi="Arial"/>
          <w:sz w:val="22"/>
          <w:szCs w:val="22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>A requerente em questão desempenha, em regra, o objetivo de promover a cidadania e a garantia dos direitos humanos constitucionalmente tutelados. Nesse sentido, é integrante às atividades da requerente o condão de buscar garantir a todo cidadão, com fundamento no princípio da isonomia, os direitos básicos, sociais e fundamentais do ser humano, no que lhe compete ao art. 5º e demais da CF/88.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FFFF00" w:val="clear"/>
        </w:rPr>
      </w:pPr>
      <w:r>
        <w:rPr>
          <w:rFonts w:cs="Arial" w:ascii="Arial" w:hAnsi="Arial"/>
          <w:sz w:val="22"/>
          <w:szCs w:val="22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eastAsia="Calibri" w:cs="Arial" w:ascii="Arial" w:hAnsi="Arial" w:eastAsiaTheme="minorHAnsi"/>
          <w:sz w:val="22"/>
          <w:szCs w:val="22"/>
          <w:shd w:fill="auto" w:val="clear"/>
          <w:lang w:eastAsia="en-US"/>
        </w:rPr>
        <w:t>Manter linhas telefônicas fixas na Secretaria Municipal de Obras e Serviços Urbanos é crucial para garantir comunicação confiável e eficiente. Essa abordagem oferece estabilidade em situações de emergência, atende às preferências dos cidadãos e assegura acessibilidade a todos os estratos da comunidade. A segurança proporcionada por telefones fixos, a capacidade de registrar chamadas e a redução de custos locais são aspectos que contribuem para a eficácia operacional, prontidão em emergências e interação eficiente com a comunidade.</w:t>
      </w:r>
    </w:p>
    <w:p>
      <w:pPr>
        <w:pStyle w:val="NormalWeb"/>
        <w:spacing w:beforeAutospacing="0" w:before="0" w:afterAutospacing="0" w:after="0"/>
        <w:ind w:hanging="0" w:left="0"/>
        <w:jc w:val="both"/>
        <w:rPr>
          <w:rFonts w:ascii="Arial" w:hAnsi="Arial" w:eastAsia="Calibri" w:cs="Arial" w:eastAsiaTheme="minorHAnsi"/>
          <w:sz w:val="22"/>
          <w:szCs w:val="22"/>
          <w:highlight w:val="none"/>
          <w:shd w:fill="FFFF00" w:val="clear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shd w:fill="FFFF00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Nesse contexto, </w:t>
      </w:r>
      <w:r>
        <w:rPr>
          <w:rFonts w:cs="Arial" w:ascii="Arial" w:hAnsi="Arial"/>
          <w:b/>
          <w:sz w:val="22"/>
          <w:szCs w:val="22"/>
          <w:shd w:fill="auto" w:val="clear"/>
        </w:rPr>
        <w:t xml:space="preserve">entende-se necessário custear as despesas decorrentes do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 xml:space="preserve">uso de linhas telefônicas </w:t>
      </w:r>
      <w:r>
        <w:rPr>
          <w:rFonts w:cs="Arial" w:ascii="Arial" w:hAnsi="Arial"/>
          <w:b/>
          <w:sz w:val="22"/>
          <w:szCs w:val="22"/>
          <w:shd w:fill="auto" w:val="clear"/>
        </w:rPr>
        <w:t>pelas unidades relacionadas à Secretaria Municipal de Obras e Serviços Urbanos, no exercício de 2026</w:t>
      </w:r>
      <w:r>
        <w:rPr>
          <w:rFonts w:cs="Arial" w:ascii="Arial" w:hAnsi="Arial"/>
          <w:sz w:val="22"/>
          <w:szCs w:val="22"/>
          <w:shd w:fill="auto" w:val="clear"/>
        </w:rPr>
        <w:t xml:space="preserve">, </w:t>
      </w:r>
      <w:r>
        <w:rPr>
          <w:rFonts w:cs="Arial" w:ascii="Arial" w:hAnsi="Arial"/>
          <w:bCs/>
          <w:sz w:val="22"/>
          <w:szCs w:val="22"/>
          <w:shd w:fill="auto" w:val="clear"/>
        </w:rPr>
        <w:t>em virtude do desempenho de suas atividades</w:t>
      </w:r>
      <w:r>
        <w:rPr>
          <w:rFonts w:cs="Arial" w:ascii="Arial" w:hAnsi="Arial"/>
          <w:sz w:val="22"/>
          <w:szCs w:val="22"/>
          <w:shd w:fill="auto" w:val="clear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Todavia, em regra, segundo o art. 60 da Lei Federal nº 4.320/1964, não se podem realizar despesas sem prévio empenho. Outrossim, considerando a aproximação da abertura de um novo exercício financeiro, qual seja de 2026, </w:t>
      </w:r>
      <w:r>
        <w:rPr>
          <w:rFonts w:cs="Arial" w:ascii="Arial" w:hAnsi="Arial"/>
          <w:b/>
          <w:sz w:val="22"/>
          <w:szCs w:val="22"/>
          <w:shd w:fill="auto" w:val="clear"/>
        </w:rPr>
        <w:t>é essencial que a Administração estime</w:t>
      </w:r>
      <w:r>
        <w:rPr>
          <w:rFonts w:cs="Arial" w:ascii="Arial" w:hAnsi="Arial"/>
          <w:sz w:val="22"/>
          <w:szCs w:val="22"/>
          <w:shd w:fill="auto" w:val="clear"/>
        </w:rPr>
        <w:t xml:space="preserve">, com bases nas despesas dos últimos 12 (doze) meses, </w:t>
      </w:r>
      <w:r>
        <w:rPr>
          <w:rFonts w:cs="Arial" w:ascii="Arial" w:hAnsi="Arial"/>
          <w:b/>
          <w:sz w:val="22"/>
          <w:szCs w:val="22"/>
          <w:shd w:fill="auto" w:val="clear"/>
        </w:rPr>
        <w:t>as despesas para o próximo exercício</w:t>
      </w:r>
      <w:r>
        <w:rPr>
          <w:rFonts w:cs="Arial" w:ascii="Arial" w:hAnsi="Arial"/>
          <w:sz w:val="22"/>
          <w:szCs w:val="22"/>
          <w:shd w:fill="auto" w:val="clear"/>
        </w:rPr>
        <w:t>, para que assim, se possam empenhar os recursos estimados necessários, objetivando melhor gestão do pagamento parcelado de tais despesas.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Conceitualmente, o </w:t>
      </w:r>
      <w:r>
        <w:rPr>
          <w:rFonts w:cs="Arial" w:ascii="Arial" w:hAnsi="Arial"/>
          <w:b/>
          <w:sz w:val="22"/>
          <w:szCs w:val="22"/>
          <w:shd w:fill="auto" w:val="clear"/>
        </w:rPr>
        <w:t>empenho por estimativa</w:t>
      </w:r>
      <w:r>
        <w:rPr>
          <w:rFonts w:cs="Arial" w:ascii="Arial" w:hAnsi="Arial"/>
          <w:sz w:val="22"/>
          <w:szCs w:val="22"/>
          <w:shd w:fill="auto" w:val="clear"/>
        </w:rPr>
        <w:t xml:space="preserve">, é aquele em que </w:t>
      </w:r>
      <w:r>
        <w:rPr>
          <w:rFonts w:cs="Arial" w:ascii="Arial" w:hAnsi="Arial"/>
          <w:b/>
          <w:sz w:val="22"/>
          <w:szCs w:val="22"/>
          <w:shd w:fill="auto" w:val="clear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2"/>
          <w:szCs w:val="22"/>
          <w:shd w:fill="auto" w:val="clear"/>
        </w:rPr>
        <w:t xml:space="preserve">, como ocorre, em particular, com as contas de água, luz, gás e telefone. Desse modo, objetivando o pleno e efetivo funcionamento dos estabelecimentos integrantes da Secretaria Municipal de Obras e Serviços Urbanos,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2"/>
          <w:szCs w:val="22"/>
          <w:shd w:fill="auto" w:val="clear"/>
        </w:rPr>
        <w:t>, dada a natureza da despesa.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FFFF00" w:val="clear"/>
        </w:rPr>
      </w:pPr>
      <w:r>
        <w:rPr>
          <w:rFonts w:cs="Arial" w:ascii="Arial" w:hAnsi="Arial"/>
          <w:sz w:val="22"/>
          <w:szCs w:val="22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O objeto aqui </w:t>
      </w:r>
      <w:r>
        <w:rPr>
          <w:rFonts w:eastAsia="Calibri" w:cs="Arial" w:ascii="Arial" w:hAnsi="Arial" w:eastAsiaTheme="minorHAnsi"/>
          <w:sz w:val="22"/>
          <w:szCs w:val="22"/>
          <w:shd w:fill="auto" w:val="clear"/>
          <w:lang w:eastAsia="en-US"/>
        </w:rPr>
        <w:t>consignado</w:t>
      </w:r>
      <w:r>
        <w:rPr>
          <w:rFonts w:cs="Arial" w:ascii="Arial" w:hAnsi="Arial"/>
          <w:sz w:val="22"/>
          <w:szCs w:val="22"/>
          <w:shd w:fill="auto" w:val="clear"/>
        </w:rPr>
        <w:t xml:space="preserve">, objetiva, portanto, o empenho por estimativa das despesas decorrentes do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>uso de linhas telefônicas</w:t>
      </w:r>
      <w:r>
        <w:rPr>
          <w:rFonts w:cs="Arial" w:ascii="Arial" w:hAnsi="Arial"/>
          <w:sz w:val="22"/>
          <w:szCs w:val="22"/>
          <w:shd w:fill="auto" w:val="clear"/>
        </w:rPr>
        <w:t xml:space="preserve"> pelas unidades relativas à Secretaria Municipal de Obras e Serviços Urbanos, </w:t>
      </w:r>
      <w:r>
        <w:rPr>
          <w:rFonts w:cs="Arial" w:ascii="Arial" w:hAnsi="Arial"/>
          <w:bCs/>
          <w:sz w:val="22"/>
          <w:szCs w:val="22"/>
          <w:shd w:fill="auto" w:val="clear"/>
        </w:rPr>
        <w:t xml:space="preserve">com fulcro no art. 60, da Lei Federal nº </w:t>
      </w:r>
      <w:r>
        <w:rPr>
          <w:rFonts w:cs="Arial" w:ascii="Arial" w:hAnsi="Arial"/>
          <w:sz w:val="22"/>
          <w:szCs w:val="22"/>
          <w:shd w:fill="auto" w:val="clear"/>
        </w:rPr>
        <w:t xml:space="preserve">4.320/1964 e art. 74, </w:t>
      </w:r>
      <w:r>
        <w:rPr>
          <w:rFonts w:cs="Arial" w:ascii="Arial" w:hAnsi="Arial"/>
          <w:i/>
          <w:sz w:val="22"/>
          <w:szCs w:val="22"/>
          <w:shd w:fill="auto" w:val="clear"/>
        </w:rPr>
        <w:t>caput</w:t>
      </w:r>
      <w:r>
        <w:rPr>
          <w:rFonts w:cs="Arial" w:ascii="Arial" w:hAnsi="Arial"/>
          <w:sz w:val="22"/>
          <w:szCs w:val="22"/>
          <w:shd w:fill="auto" w:val="clear"/>
        </w:rPr>
        <w:t>, da Lei Federal nº 14.133/202. Nesse sentido, a análise exaustiva da situação atual revela que a Secretaria de Obras e Serviços Urbanos já realizou outros empenhos estimativos dessa natureza e, inclusive, quanto ao objeto aqui destacado, pode-se citar por meio dos seguintes instrumentos: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a)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>SMOSU/SRC MEMO Nº 002/2021</w:t>
      </w:r>
      <w:r>
        <w:rPr>
          <w:rFonts w:cs="Arial" w:ascii="Arial" w:hAnsi="Arial"/>
          <w:sz w:val="22"/>
          <w:szCs w:val="22"/>
          <w:shd w:fill="auto" w:val="clear"/>
        </w:rPr>
        <w:t xml:space="preserve"> – </w:t>
      </w:r>
      <w:r>
        <w:rPr>
          <w:rFonts w:cs="Arial" w:ascii="Arial" w:hAnsi="Arial"/>
          <w:b/>
          <w:sz w:val="22"/>
          <w:szCs w:val="22"/>
          <w:shd w:fill="auto" w:val="clear"/>
        </w:rPr>
        <w:t>Empenho por estimativa, TELEMAR NORTE LESTE</w:t>
      </w:r>
      <w:r>
        <w:rPr>
          <w:rFonts w:cs="Arial" w:ascii="Arial" w:hAnsi="Arial"/>
          <w:b/>
          <w:color w:val="FF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b/>
          <w:sz w:val="22"/>
          <w:szCs w:val="22"/>
          <w:shd w:fill="auto" w:val="clear"/>
        </w:rPr>
        <w:t>2021;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b)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>SMOSU/SRC MEMO Nº 193/2021</w:t>
      </w:r>
      <w:r>
        <w:rPr>
          <w:rFonts w:cs="Arial" w:ascii="Arial" w:hAnsi="Arial"/>
          <w:sz w:val="22"/>
          <w:szCs w:val="22"/>
          <w:shd w:fill="auto" w:val="clear"/>
        </w:rPr>
        <w:t xml:space="preserve"> – </w:t>
      </w:r>
      <w:r>
        <w:rPr>
          <w:rFonts w:cs="Arial" w:ascii="Arial" w:hAnsi="Arial"/>
          <w:b/>
          <w:sz w:val="22"/>
          <w:szCs w:val="22"/>
          <w:shd w:fill="auto" w:val="clear"/>
        </w:rPr>
        <w:t>Empenho por estimativa, TELEMAR NORTE LESTE</w:t>
      </w:r>
      <w:r>
        <w:rPr>
          <w:rFonts w:cs="Arial" w:ascii="Arial" w:hAnsi="Arial"/>
          <w:b/>
          <w:color w:val="FF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b/>
          <w:sz w:val="22"/>
          <w:szCs w:val="22"/>
          <w:shd w:fill="auto" w:val="clear"/>
        </w:rPr>
        <w:t>2021;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  <w:shd w:fill="auto" w:val="clear"/>
        </w:rPr>
        <w:t>c) SMOSU/SRC DFD Nº 005/2024 - Empenho por estimativa, TELEMAR NORTE LESTE</w:t>
      </w:r>
      <w:r>
        <w:rPr>
          <w:rFonts w:cs="Arial" w:ascii="Arial" w:hAnsi="Arial"/>
          <w:b/>
          <w:color w:val="FF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b/>
          <w:sz w:val="22"/>
          <w:szCs w:val="22"/>
          <w:shd w:fill="auto" w:val="clear"/>
        </w:rPr>
        <w:t>2024.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sz w:val="22"/>
          <w:szCs w:val="22"/>
          <w:highlight w:val="none"/>
          <w:shd w:fill="FFFF00" w:val="clear"/>
        </w:rPr>
      </w:pPr>
      <w:r>
        <w:rPr>
          <w:rFonts w:cs="Arial" w:ascii="Arial" w:hAnsi="Arial"/>
          <w:b/>
          <w:sz w:val="22"/>
          <w:szCs w:val="22"/>
          <w:shd w:fill="FFFF00" w:val="clear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none"/>
          <w:shd w:fill="FFFF00" w:val="clear"/>
        </w:rPr>
      </w:pPr>
      <w:r>
        <w:rPr>
          <w:rFonts w:cs="Arial" w:ascii="Arial" w:hAnsi="Arial"/>
          <w:sz w:val="22"/>
          <w:szCs w:val="22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eastAsia="Calibri" w:cs="Arial" w:ascii="Arial" w:hAnsi="Arial" w:eastAsiaTheme="minorHAnsi"/>
          <w:sz w:val="22"/>
          <w:szCs w:val="22"/>
          <w:shd w:fill="auto" w:val="clear"/>
          <w:lang w:eastAsia="en-US"/>
        </w:rPr>
        <w:t xml:space="preserve">Com base nesses dados históricos, torna-se patente que empenho estimativo para custear as despesas decorrentes do </w:t>
      </w:r>
      <w:r>
        <w:rPr>
          <w:rFonts w:cs="Arial" w:ascii="Arial" w:hAnsi="Arial"/>
          <w:b/>
          <w:bCs/>
          <w:sz w:val="22"/>
          <w:szCs w:val="22"/>
          <w:shd w:fill="auto" w:val="clear"/>
        </w:rPr>
        <w:t>uso de linhas telefônicas</w:t>
      </w:r>
      <w:r>
        <w:rPr>
          <w:rFonts w:eastAsia="Calibri" w:cs="Arial" w:ascii="Arial" w:hAnsi="Arial" w:eastAsiaTheme="minorHAnsi"/>
          <w:sz w:val="22"/>
          <w:szCs w:val="22"/>
          <w:shd w:fill="auto" w:val="clear"/>
          <w:lang w:eastAsia="en-US"/>
        </w:rPr>
        <w:t xml:space="preserve"> em questão, constitui um reflexo da inafastável responsabilidade da Secretaria de Obras e Serviços Urbanos com a promoção desse direito, em consonância ao princípio constitucional da eficiência (art. 37, CF/88) e com o dever de zelar pela economicidade na gestão dos recursos públicos (art. 70, CF/88).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concretização do empenho em questão </w:t>
      </w:r>
      <w:r>
        <w:rPr>
          <w:rFonts w:cs="Arial" w:ascii="Arial" w:hAnsi="Arial"/>
          <w:b/>
          <w:sz w:val="22"/>
          <w:szCs w:val="22"/>
        </w:rPr>
        <w:t>deverá ocorrer, preferencialmente, no mês de janeiro de 2026</w:t>
      </w:r>
      <w:r>
        <w:rPr>
          <w:rFonts w:cs="Arial" w:ascii="Arial" w:hAnsi="Arial"/>
          <w:sz w:val="22"/>
          <w:szCs w:val="22"/>
        </w:rPr>
        <w:t xml:space="preserve">, com vigência programada para o custeio das despesas relativas ao </w:t>
      </w:r>
      <w:r>
        <w:rPr>
          <w:rFonts w:cs="Arial" w:ascii="Arial" w:hAnsi="Arial"/>
          <w:b/>
          <w:bCs/>
          <w:sz w:val="22"/>
          <w:szCs w:val="22"/>
        </w:rPr>
        <w:t xml:space="preserve">uso de linhas telefônicas </w:t>
      </w:r>
      <w:r>
        <w:rPr>
          <w:rFonts w:cs="Arial" w:ascii="Arial" w:hAnsi="Arial"/>
          <w:sz w:val="22"/>
          <w:szCs w:val="22"/>
        </w:rPr>
        <w:t>no período de 05/01/2026 a 31/12/2026.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</w:rPr>
      </w:pPr>
      <w:r>
        <w:rPr>
          <w:rFonts w:cs="Arial"/>
          <w:sz w:val="24"/>
          <w:szCs w:val="24"/>
        </w:rPr>
        <w:t>A presente contratação não está incluída no Plano Anual de Contratações 2026, o qual deverá ser alterado, para que se conste a presente previsão.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2"/>
          <w:szCs w:val="22"/>
        </w:rPr>
        <w:t>vedada a realização de despesas sem prévio empenho.</w:t>
      </w:r>
      <w:r>
        <w:rPr>
          <w:rFonts w:cs="Arial" w:ascii="Arial" w:hAnsi="Arial"/>
          <w:sz w:val="22"/>
          <w:szCs w:val="22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2"/>
          <w:szCs w:val="22"/>
        </w:rPr>
        <w:t>empenho por estimativa.</w:t>
      </w:r>
      <w:r>
        <w:rPr>
          <w:rFonts w:cs="Arial" w:ascii="Arial" w:hAnsi="Arial"/>
          <w:sz w:val="22"/>
          <w:szCs w:val="22"/>
        </w:rPr>
        <w:t xml:space="preserve"> Tem-se, portanto, como aquele em que </w:t>
      </w:r>
      <w:r>
        <w:rPr>
          <w:rFonts w:cs="Arial" w:ascii="Arial" w:hAnsi="Arial"/>
          <w:b/>
          <w:sz w:val="22"/>
          <w:szCs w:val="22"/>
        </w:rPr>
        <w:t>não se pode determinar previamente o montante exato a ser pago</w:t>
      </w:r>
      <w:r>
        <w:rPr>
          <w:rFonts w:cs="Arial" w:ascii="Arial" w:hAnsi="Arial"/>
          <w:sz w:val="22"/>
          <w:szCs w:val="22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Assim, por consequência, dada à natureza do objeto em questão, </w:t>
      </w:r>
      <w:r>
        <w:rPr>
          <w:rFonts w:cs="Arial" w:ascii="Arial" w:hAnsi="Arial"/>
          <w:b/>
          <w:sz w:val="22"/>
          <w:szCs w:val="22"/>
        </w:rPr>
        <w:t>dispensa-se a elaboração do Estudo Técnico Preliminar (ETP)</w:t>
      </w:r>
      <w:r>
        <w:rPr>
          <w:rFonts w:cs="Arial" w:ascii="Arial" w:hAnsi="Arial"/>
          <w:sz w:val="22"/>
          <w:szCs w:val="22"/>
        </w:rPr>
        <w:t xml:space="preserve">, vez que a </w:t>
      </w:r>
      <w:r>
        <w:rPr>
          <w:rFonts w:cs="Arial" w:ascii="Arial" w:hAnsi="Arial"/>
          <w:b/>
          <w:sz w:val="22"/>
          <w:szCs w:val="22"/>
        </w:rPr>
        <w:t>solução adequada</w:t>
      </w:r>
      <w:r>
        <w:rPr>
          <w:rFonts w:cs="Arial" w:ascii="Arial" w:hAnsi="Arial"/>
          <w:sz w:val="22"/>
          <w:szCs w:val="22"/>
        </w:rPr>
        <w:t xml:space="preserve"> para o custeio das despesas decorrentes do </w:t>
      </w:r>
      <w:r>
        <w:rPr>
          <w:rFonts w:cs="Arial" w:ascii="Arial" w:hAnsi="Arial"/>
          <w:b/>
          <w:bCs/>
          <w:sz w:val="22"/>
          <w:szCs w:val="22"/>
        </w:rPr>
        <w:t>uso de linhas telefônicas</w:t>
      </w:r>
      <w:r>
        <w:rPr>
          <w:rFonts w:eastAsia="Calibri" w:cs="Arial" w:ascii="Arial" w:hAnsi="Arial" w:eastAsiaTheme="minorHAnsi"/>
          <w:sz w:val="22"/>
          <w:szCs w:val="22"/>
          <w:lang w:eastAsia="en-US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pelas unidades relativas à Secretaria Municipal de Obras e Serviços Urbanos, </w:t>
      </w:r>
      <w:r>
        <w:rPr>
          <w:rFonts w:cs="Arial" w:ascii="Arial" w:hAnsi="Arial"/>
          <w:b/>
          <w:sz w:val="22"/>
          <w:szCs w:val="22"/>
        </w:rPr>
        <w:t>é a realização de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b/>
          <w:sz w:val="22"/>
          <w:szCs w:val="22"/>
        </w:rPr>
        <w:t>empenho</w:t>
      </w:r>
      <w:r>
        <w:rPr>
          <w:rFonts w:cs="Arial" w:ascii="Arial" w:hAnsi="Arial"/>
          <w:bCs/>
          <w:sz w:val="22"/>
          <w:szCs w:val="22"/>
        </w:rPr>
        <w:t xml:space="preserve">, com fulcro no art. 60, da Lei Federal nº </w:t>
      </w:r>
      <w:r>
        <w:rPr>
          <w:rFonts w:cs="Arial" w:ascii="Arial" w:hAnsi="Arial"/>
          <w:sz w:val="22"/>
          <w:szCs w:val="22"/>
        </w:rPr>
        <w:t xml:space="preserve">4.320/1964 e art. 74, </w:t>
      </w:r>
      <w:r>
        <w:rPr>
          <w:rFonts w:cs="Arial" w:ascii="Arial" w:hAnsi="Arial"/>
          <w:i/>
          <w:sz w:val="22"/>
          <w:szCs w:val="22"/>
        </w:rPr>
        <w:t>caput</w:t>
      </w:r>
      <w:r>
        <w:rPr>
          <w:rFonts w:cs="Arial" w:ascii="Arial" w:hAnsi="Arial"/>
          <w:sz w:val="22"/>
          <w:szCs w:val="22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/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Gestor da Unidade Requisitante:</w:t>
      </w:r>
      <w:r>
        <w:rPr>
          <w:rFonts w:cs="Arial" w:ascii="Arial" w:hAnsi="Arial"/>
          <w:sz w:val="22"/>
          <w:szCs w:val="22"/>
        </w:rPr>
        <w:t xml:space="preserve"> JUNIOR PRIORI PERINNI.</w:t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São Roque do Canaã/ES</w:t>
      </w:r>
      <w:r>
        <w:rPr>
          <w:rFonts w:cs="Arial" w:ascii="Arial" w:hAnsi="Arial"/>
          <w:sz w:val="22"/>
          <w:szCs w:val="22"/>
        </w:rPr>
        <w:t>, 23 de dezembro de 2025.</w:t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2"/>
          <w:szCs w:val="22"/>
        </w:rPr>
      </w:pPr>
      <w:r>
        <w:rPr/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2"/>
          <w:szCs w:val="22"/>
        </w:rPr>
      </w:pPr>
      <w:r>
        <w:rPr/>
      </w:r>
    </w:p>
    <w:p>
      <w:pPr>
        <w:pStyle w:val="NormalWeb"/>
        <w:spacing w:beforeAutospacing="0" w:before="0" w:afterAutospacing="0" w:after="0"/>
        <w:jc w:val="center"/>
        <w:rPr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>JÚNIOR PRIORI PERINNI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  <w:pStyle w:val="NormalWeb"/>
        <w:spacing w:beforeAutospacing="0" w:before="0" w:afterAutospacing="0" w:after="0"/>
        <w:jc w:val="center"/>
        <w:rPr/>
      </w:pPr>
      <w:r>
        <w:rPr>
          <w:rFonts w:cs="Arial" w:ascii="Arial" w:hAnsi="Arial"/>
          <w:sz w:val="22"/>
          <w:szCs w:val="22"/>
        </w:rPr>
        <w:t>Secretário Municipal de Obras e Serviços Urbanos</w:t>
      </w:r>
    </w:p>
    <w:p>
      <w:pPr>
        <w:pStyle w:val="Normal"/>
        <w:spacing w:lineRule="auto" w:line="240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xtodenotadefimChar">
    <w:name w:val="Texto de nota de fim Char"/>
    <w:qFormat/>
    <w:rPr/>
  </w:style>
  <w:style w:type="character" w:styleId="Fontepargpadro">
    <w:name w:val="Fonte parág. padrão"/>
    <w:qFormat/>
    <w:rPr/>
  </w:style>
  <w:style w:type="character" w:styleId="WW8Num5z0">
    <w:name w:val="WW8Num5z0"/>
    <w:qFormat/>
    <w:rPr/>
  </w:style>
  <w:style w:type="character" w:styleId="WW8Num3z0">
    <w:name w:val="WW8Num3z0"/>
    <w:qFormat/>
    <w:rPr/>
  </w:style>
  <w:style w:type="character" w:styleId="WW8Num2z0">
    <w:name w:val="WW8Num2z0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c70527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PargrafodaLista">
    <w:name w:val="Parágrafo da Lista"/>
    <w:basedOn w:val="Normal"/>
    <w:qFormat/>
    <w:pPr>
      <w:spacing w:before="0" w:after="160"/>
      <w:ind w:hanging="0" w:left="720"/>
      <w:contextualSpacing/>
    </w:pPr>
    <w:rPr/>
  </w:style>
  <w:style w:type="paragraph" w:styleId="Textodebalo">
    <w:name w:val="Texto de balão"/>
    <w:basedOn w:val="Normal"/>
    <w:qFormat/>
    <w:pPr>
      <w:spacing w:lineRule="exact" w:line="240" w:before="0" w:after="0"/>
    </w:pPr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821FF-A685-4DCA-A315-FFC2C96B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Application>LibreOffice/7.6.4.1$Windows_X86_64 LibreOffice_project/e19e193f88cd6c0525a17fb7a176ed8e6a3e2aa1</Application>
  <AppVersion>15.0000</AppVersion>
  <Pages>4</Pages>
  <Words>1215</Words>
  <Characters>6817</Characters>
  <CharactersWithSpaces>7973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2025-12-31T10:28:00Z</cp:lastPrinted>
  <dcterms:modified xsi:type="dcterms:W3CDTF">2025-12-31T10:27:36Z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