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B6BB1" w14:textId="77777777" w:rsidR="00577446" w:rsidRPr="0009100A" w:rsidRDefault="00577446" w:rsidP="0009100A">
      <w:pPr>
        <w:pStyle w:val="Ttulo1"/>
        <w:spacing w:before="0" w:after="0" w:line="360" w:lineRule="auto"/>
        <w:jc w:val="center"/>
        <w:rPr>
          <w:rFonts w:ascii="Times New Roman" w:hAnsi="Times New Roman" w:cs="Times New Roman"/>
          <w:b/>
          <w:color w:val="000000" w:themeColor="text1"/>
          <w:sz w:val="24"/>
          <w:szCs w:val="24"/>
        </w:rPr>
      </w:pPr>
      <w:r w:rsidRPr="0009100A">
        <w:rPr>
          <w:rFonts w:ascii="Times New Roman" w:hAnsi="Times New Roman" w:cs="Times New Roman"/>
          <w:b/>
          <w:color w:val="000000" w:themeColor="text1"/>
          <w:sz w:val="24"/>
          <w:szCs w:val="24"/>
        </w:rPr>
        <w:t>ESTUDO TÉCNICO PRELIMINAR</w:t>
      </w:r>
    </w:p>
    <w:p w14:paraId="228F4A28" w14:textId="19A715CF" w:rsidR="00577446" w:rsidRPr="0009100A" w:rsidRDefault="0009100A" w:rsidP="0009100A">
      <w:pPr>
        <w:spacing w:after="0" w:line="360" w:lineRule="auto"/>
        <w:rPr>
          <w:rFonts w:ascii="Times New Roman" w:hAnsi="Times New Roman" w:cs="Times New Roman"/>
          <w:b/>
          <w:bCs/>
          <w:sz w:val="24"/>
          <w:szCs w:val="24"/>
          <w:lang w:val="pt-PT"/>
        </w:rPr>
      </w:pPr>
      <w:r w:rsidRPr="0009100A">
        <w:rPr>
          <w:rFonts w:ascii="Times New Roman" w:hAnsi="Times New Roman" w:cs="Times New Roman"/>
          <w:b/>
          <w:bCs/>
          <w:sz w:val="24"/>
          <w:szCs w:val="24"/>
        </w:rPr>
        <w:t>PROCESSO ADMINISTRATIVO Nº 1</w:t>
      </w:r>
      <w:r w:rsidR="00083376">
        <w:rPr>
          <w:rFonts w:ascii="Times New Roman" w:hAnsi="Times New Roman" w:cs="Times New Roman"/>
          <w:b/>
          <w:bCs/>
          <w:sz w:val="24"/>
          <w:szCs w:val="24"/>
        </w:rPr>
        <w:t>1134</w:t>
      </w:r>
      <w:r w:rsidRPr="0009100A">
        <w:rPr>
          <w:rFonts w:ascii="Times New Roman" w:hAnsi="Times New Roman" w:cs="Times New Roman"/>
          <w:b/>
          <w:bCs/>
          <w:sz w:val="24"/>
          <w:szCs w:val="24"/>
        </w:rPr>
        <w:t>/2026</w:t>
      </w:r>
    </w:p>
    <w:p w14:paraId="6E1CA6BD" w14:textId="77777777" w:rsidR="00577446" w:rsidRPr="0009100A" w:rsidRDefault="00577446" w:rsidP="0009100A">
      <w:pPr>
        <w:spacing w:after="0" w:line="360" w:lineRule="auto"/>
        <w:rPr>
          <w:rFonts w:ascii="Times New Roman" w:hAnsi="Times New Roman" w:cs="Times New Roman"/>
          <w:sz w:val="24"/>
          <w:szCs w:val="24"/>
          <w:lang w:val="pt-PT"/>
        </w:rPr>
      </w:pPr>
    </w:p>
    <w:p w14:paraId="5C358211" w14:textId="77777777" w:rsidR="00577446" w:rsidRPr="0009100A" w:rsidRDefault="00577446" w:rsidP="0009100A">
      <w:pPr>
        <w:tabs>
          <w:tab w:val="left" w:pos="1371"/>
        </w:tabs>
        <w:spacing w:after="0" w:line="360" w:lineRule="auto"/>
        <w:rPr>
          <w:rFonts w:ascii="Times New Roman" w:hAnsi="Times New Roman" w:cs="Times New Roman"/>
          <w:b/>
          <w:color w:val="000000" w:themeColor="text1"/>
          <w:sz w:val="24"/>
          <w:szCs w:val="24"/>
        </w:rPr>
      </w:pPr>
      <w:r w:rsidRPr="0009100A">
        <w:rPr>
          <w:rFonts w:ascii="Times New Roman" w:hAnsi="Times New Roman" w:cs="Times New Roman"/>
          <w:b/>
          <w:color w:val="000000" w:themeColor="text1"/>
          <w:sz w:val="24"/>
          <w:szCs w:val="24"/>
        </w:rPr>
        <w:t>1. DESCRIÇÃO DA NECESSIDADE DA CONTRATAÇÃO</w:t>
      </w:r>
    </w:p>
    <w:p w14:paraId="0BCBA51D"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A Administração Pública do Município de Planaltina</w:t>
      </w:r>
      <w:r w:rsidR="0009100A">
        <w:rPr>
          <w:color w:val="000000" w:themeColor="text1"/>
        </w:rPr>
        <w:t>-</w:t>
      </w:r>
      <w:r w:rsidRPr="0009100A">
        <w:rPr>
          <w:color w:val="000000" w:themeColor="text1"/>
        </w:rPr>
        <w:t>GO, por intermédio da Secretaria Municipal de Saúde, identificou a necessidade de estruturar, modernizar e integrar os processos assistenciais, clínicos, administrativos, operacionais e gerenciais desenvolvidos no âmbito da rede municipal de saúde, em consonância com os princípios constitucionais da eficiência, continuidade do serviço público, planejamento, economicidade e supremacia do interesse público.</w:t>
      </w:r>
    </w:p>
    <w:p w14:paraId="1E8A0255"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O modelo atualmente adotado caracteriza-se pela fragmentação de informações, utilização de procedimentos manuais ou sistemas isolados, ausência de base única e integrada de dados e limitações relevantes quanto à interoperabilidade com os sistemas estruturantes do Sistema Único de Saúde – SUS. Tal cenário dificulta o controle da produção assistencial, a gestão da força de trabalho, o acompanhamento em tempo real das atividades das unidades de saúde, bem como a adequada consolidação, validação e transmissão das informações obrigatórias aos órgãos de controle e ao Ministério da Saúde.</w:t>
      </w:r>
    </w:p>
    <w:p w14:paraId="2F884495"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Essas limitações impactam diretamente a capacidade de planejamento, monitoramento e tomada de decisão pela gestão municipal, elevam o risco de inconsistências cadastrais e assistenciais, geram retrabalho operacional e podem ocasionar prejuízos financeiros decorrentes de falhas no faturamento e no envio tempestivo das informações aos sistemas oficiais.</w:t>
      </w:r>
    </w:p>
    <w:p w14:paraId="19BBC978"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Diante desse contexto, verificou-se a necessidade de adoção de solução tecnológica integrada de gestão em saúde, concebida como instrumento estruturante da política pública municipal, apta a padronizar, automatizar, integrar e sustentar, de forma contínua, os fluxos de informação e os processos da rede municipal de saúde, assegurando maior eficiência administrativa, qualidade assistencial, segurança da informação e conformidade normativa.</w:t>
      </w:r>
    </w:p>
    <w:p w14:paraId="542CC30E" w14:textId="77777777" w:rsidR="0009100A" w:rsidRDefault="0009100A" w:rsidP="0009100A">
      <w:pPr>
        <w:pStyle w:val="Ttulo2"/>
        <w:spacing w:before="0" w:line="360" w:lineRule="auto"/>
        <w:jc w:val="both"/>
        <w:rPr>
          <w:rFonts w:ascii="Times New Roman" w:hAnsi="Times New Roman" w:cs="Times New Roman"/>
          <w:color w:val="000000" w:themeColor="text1"/>
          <w:sz w:val="24"/>
          <w:szCs w:val="24"/>
        </w:rPr>
      </w:pPr>
    </w:p>
    <w:p w14:paraId="5443CE58" w14:textId="77777777" w:rsidR="00577446" w:rsidRPr="0009100A" w:rsidRDefault="00577446" w:rsidP="0009100A">
      <w:pPr>
        <w:pStyle w:val="Ttulo2"/>
        <w:spacing w:before="0" w:line="360" w:lineRule="auto"/>
        <w:jc w:val="both"/>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2. DEMONSTRAÇÃO DO ALINHAMENTO COM O PLANEJAMENTO DA ADMINISTRAÇÃO</w:t>
      </w:r>
    </w:p>
    <w:p w14:paraId="484FF324"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A demanda ora analisada encontra-se alinhada aos instrumentos de planejamento da Administração Municipal e às diretrizes estratégicas da política pública de saúde, especialmente </w:t>
      </w:r>
      <w:r w:rsidRPr="0009100A">
        <w:rPr>
          <w:color w:val="000000" w:themeColor="text1"/>
        </w:rPr>
        <w:lastRenderedPageBreak/>
        <w:t>no que se refere à modernização da gestão, à qualificação da atenção à saúde e ao fortalecimento da governança da informação em saúde.</w:t>
      </w:r>
    </w:p>
    <w:p w14:paraId="3E2F7881"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A contratação está prevista no Plano de Contratações Anual – PCA, em atendimento ao disposto no art. 12, inciso VII, da Lei nº 14.133/2021, evidenciando o nexo entre a necessidade identificada, o planejamento institucional e a execução orçamentária.</w:t>
      </w:r>
    </w:p>
    <w:p w14:paraId="3E2ED131" w14:textId="77777777" w:rsidR="00F82FA8"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A solução pretendida também guarda aderência com os planos, programas e metas da Secretaria Municipal de Saúde, notadamente aqueles voltados à informatização dos serviços, à integração com os sistemas do SUS, ao aprimoramento dos mecanismos de controle, transparência e avaliação das ações e serviços de saúde.</w:t>
      </w:r>
    </w:p>
    <w:p w14:paraId="251C26F5"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440F5CE5" w14:textId="77777777" w:rsidR="00577446" w:rsidRPr="0009100A" w:rsidRDefault="00577446" w:rsidP="0009100A">
      <w:pPr>
        <w:pStyle w:val="NormalWeb"/>
        <w:spacing w:before="0" w:beforeAutospacing="0" w:after="0" w:afterAutospacing="0" w:line="360" w:lineRule="auto"/>
        <w:jc w:val="both"/>
        <w:rPr>
          <w:b/>
          <w:color w:val="000000" w:themeColor="text1"/>
        </w:rPr>
      </w:pPr>
      <w:r w:rsidRPr="0009100A">
        <w:rPr>
          <w:b/>
          <w:color w:val="000000" w:themeColor="text1"/>
        </w:rPr>
        <w:t>3. REQUISITOS DA CONTRATAÇÃO</w:t>
      </w:r>
    </w:p>
    <w:p w14:paraId="1C6B9981"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A definição dos requisitos da contratação foi realizada a partir da análise técnica das necessidades operacionais, assistenciais e gerenciais da Secretaria Municipal de Saúde, bem como das exigências normativas aplicáveis à gestão pública de saúde, considerando-se, ainda, as boas práticas consolidadas no mercado de soluções tecnológicas para o setor.</w:t>
      </w:r>
    </w:p>
    <w:p w14:paraId="66ECBB4F" w14:textId="77777777" w:rsidR="00577446" w:rsidRPr="0009100A" w:rsidRDefault="00577446" w:rsidP="0009100A">
      <w:pPr>
        <w:pStyle w:val="NormalWeb"/>
        <w:spacing w:before="0" w:beforeAutospacing="0" w:after="0" w:afterAutospacing="0" w:line="360" w:lineRule="auto"/>
        <w:ind w:firstLine="708"/>
        <w:jc w:val="both"/>
        <w:rPr>
          <w:color w:val="000000" w:themeColor="text1"/>
        </w:rPr>
      </w:pPr>
      <w:r w:rsidRPr="0009100A">
        <w:rPr>
          <w:color w:val="000000" w:themeColor="text1"/>
        </w:rPr>
        <w:t>A contratação deverá ter por objeto solução tecnológica integrada, concebida como sistema único, coeso e interoperável, capaz de atender, de forma simultânea e coordenada, às múltiplas dimensões da gestão em saúde pública, não se restringindo à simples informatização de rotinas isoladas.</w:t>
      </w:r>
    </w:p>
    <w:p w14:paraId="22DAB08D" w14:textId="77777777" w:rsidR="00577446" w:rsidRPr="0009100A" w:rsidRDefault="00577446" w:rsidP="0009100A">
      <w:pPr>
        <w:pStyle w:val="NormalWeb"/>
        <w:spacing w:before="0" w:beforeAutospacing="0" w:after="0" w:afterAutospacing="0" w:line="360" w:lineRule="auto"/>
        <w:ind w:firstLine="708"/>
        <w:rPr>
          <w:color w:val="000000" w:themeColor="text1"/>
        </w:rPr>
      </w:pPr>
      <w:r w:rsidRPr="0009100A">
        <w:rPr>
          <w:color w:val="000000" w:themeColor="text1"/>
        </w:rPr>
        <w:t>Constituem requisitos essenciais e indissociáveis da contratação:</w:t>
      </w:r>
    </w:p>
    <w:p w14:paraId="3AB3C573" w14:textId="77777777" w:rsidR="00F82FA8"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I – </w:t>
      </w:r>
      <w:proofErr w:type="gramStart"/>
      <w:r w:rsidRPr="0009100A">
        <w:rPr>
          <w:color w:val="000000" w:themeColor="text1"/>
        </w:rPr>
        <w:t>cessão</w:t>
      </w:r>
      <w:proofErr w:type="gramEnd"/>
      <w:r w:rsidRPr="0009100A">
        <w:rPr>
          <w:color w:val="000000" w:themeColor="text1"/>
        </w:rPr>
        <w:t xml:space="preserve"> de direito de uso (licenciamento) de plataforma tecnológica integrada de gestão em saúde, em ambiente web, com arquitetura modular, escalável e orientada a serviços, apta a suportar evolução funcional, ampliação de capacidade e adaptação às alterações normativas e operacionais;</w:t>
      </w:r>
    </w:p>
    <w:p w14:paraId="1DAA9769"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II – </w:t>
      </w:r>
      <w:proofErr w:type="gramStart"/>
      <w:r w:rsidRPr="0009100A">
        <w:rPr>
          <w:color w:val="000000" w:themeColor="text1"/>
        </w:rPr>
        <w:t>implantação</w:t>
      </w:r>
      <w:proofErr w:type="gramEnd"/>
      <w:r w:rsidRPr="0009100A">
        <w:rPr>
          <w:color w:val="000000" w:themeColor="text1"/>
        </w:rPr>
        <w:t xml:space="preserve"> assistida e parametrizada da solução, abrangendo todas as unidades da rede municipal de saúde, com adequação aos fluxos assistenciais, administrativos e regulatórios adotados pelo Município;</w:t>
      </w:r>
    </w:p>
    <w:p w14:paraId="347F4753"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III – integração nativa e permanente com os sistemas estruturantes do Sistema Único de Saúde – SUS, incluindo, no mínimo, e-SUS APS/PEC, SISAB, CNES, SIGTAP, RNDS, BNAFAR e demais bases e serviços oficiais aplicáveis, assegurando interoperabilidade, unicidade da informação e eliminação de retrabalho;</w:t>
      </w:r>
    </w:p>
    <w:p w14:paraId="11E00D21"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5B645386"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lastRenderedPageBreak/>
        <w:t xml:space="preserve">IV – </w:t>
      </w:r>
      <w:proofErr w:type="gramStart"/>
      <w:r w:rsidRPr="0009100A">
        <w:rPr>
          <w:color w:val="000000" w:themeColor="text1"/>
        </w:rPr>
        <w:t>disponibilização</w:t>
      </w:r>
      <w:proofErr w:type="gramEnd"/>
      <w:r w:rsidRPr="0009100A">
        <w:rPr>
          <w:color w:val="000000" w:themeColor="text1"/>
        </w:rPr>
        <w:t xml:space="preserve"> de módulos funcionais integrados para gestão clínica e assistencial, prontuário eletrônico do paciente, regulação do acesso, gestão da produção e do faturamento, gestão logística e farmacêutica, comunicação com usuários, telemedicina, inteligência de dados e geração de relatórios gerenciais;</w:t>
      </w:r>
    </w:p>
    <w:p w14:paraId="32E51FC9"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V – </w:t>
      </w:r>
      <w:proofErr w:type="gramStart"/>
      <w:r w:rsidRPr="0009100A">
        <w:rPr>
          <w:color w:val="000000" w:themeColor="text1"/>
        </w:rPr>
        <w:t>incorporação</w:t>
      </w:r>
      <w:proofErr w:type="gramEnd"/>
      <w:r w:rsidRPr="0009100A">
        <w:rPr>
          <w:color w:val="000000" w:themeColor="text1"/>
        </w:rPr>
        <w:t xml:space="preserve"> de mecanismos tecnológicos para gestão da força de trabalho em saúde, incluindo controle de presença, assiduidade, escalas e produtividade, mediante utilização de biometria, reconhecimento facial ou tecnologia equivalente, com rastreabilidade e auditoria;</w:t>
      </w:r>
    </w:p>
    <w:p w14:paraId="1B012F46"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VI – </w:t>
      </w:r>
      <w:proofErr w:type="gramStart"/>
      <w:r w:rsidRPr="0009100A">
        <w:rPr>
          <w:color w:val="000000" w:themeColor="text1"/>
        </w:rPr>
        <w:t>observância</w:t>
      </w:r>
      <w:proofErr w:type="gramEnd"/>
      <w:r w:rsidRPr="0009100A">
        <w:rPr>
          <w:color w:val="000000" w:themeColor="text1"/>
        </w:rPr>
        <w:t xml:space="preserve"> integral aos requisitos de segurança da informação, confidencialidade, integridade e disponibilidade dos dados, com controle de acesso por perfis, registro de logs, políticas de backup e contingência, em conformidade com a Lei Geral de Proteção de Dados – LGPD e demais normas aplicáveis à informação em saúde;</w:t>
      </w:r>
    </w:p>
    <w:p w14:paraId="177F4E53"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VII – execução de programa estruturado de capacitação inicial, treinamento contínuo e transferência de conhecimento aos usuários e gestores da rede municipal de saúde, assegurando a efetiva adoção da solução e sua sustentabilidade operacional;</w:t>
      </w:r>
    </w:p>
    <w:p w14:paraId="09EC7AFB"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VIII – prestação de suporte técnico especializado e serviços de manutenção corretiva, preventiva, adaptativa e evolutiva, compatíveis com a criticidade dos serviços de saúde, com níveis de serviço adequados e monitoráveis;</w:t>
      </w:r>
    </w:p>
    <w:p w14:paraId="5036A4D5"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IX – </w:t>
      </w:r>
      <w:proofErr w:type="gramStart"/>
      <w:r w:rsidRPr="0009100A">
        <w:rPr>
          <w:color w:val="000000" w:themeColor="text1"/>
        </w:rPr>
        <w:t>realização</w:t>
      </w:r>
      <w:proofErr w:type="gramEnd"/>
      <w:r w:rsidRPr="0009100A">
        <w:rPr>
          <w:color w:val="000000" w:themeColor="text1"/>
        </w:rPr>
        <w:t xml:space="preserve"> de Prova de Conceito (POC), como etapa objetiva e verificável de aferição da aderência técnica, funcional, operacional e de desempenho da solução ofertada, destinada à mitigação de riscos de contratação e à comprovação prática do atendimento aos requisitos mínimos estabelecidos.</w:t>
      </w:r>
    </w:p>
    <w:p w14:paraId="5B5E5B51"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Os requisitos ora estabelecidos refletem a necessidade de contratação de solução integrada e indivisível, devendo ser interpretados de forma sistêmica e vinculada ao Termo de Referência e ao Memorial Descritivo subsequente, nos quais se encontrarão detalhadas as especificações técnicas, funcionais e operacionais da solução pretendida.</w:t>
      </w:r>
    </w:p>
    <w:p w14:paraId="4DE20765" w14:textId="77777777" w:rsidR="00F82FA8" w:rsidRPr="0009100A" w:rsidRDefault="00F82FA8" w:rsidP="0009100A">
      <w:pPr>
        <w:pStyle w:val="Ttulo2"/>
        <w:spacing w:before="0" w:line="360" w:lineRule="auto"/>
        <w:rPr>
          <w:rFonts w:ascii="Times New Roman" w:hAnsi="Times New Roman" w:cs="Times New Roman"/>
          <w:color w:val="000000" w:themeColor="text1"/>
          <w:sz w:val="24"/>
          <w:szCs w:val="24"/>
        </w:rPr>
      </w:pPr>
    </w:p>
    <w:p w14:paraId="734286C7"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4. ESTIMATIVA DAS QUANTIDADES PARA A CONTRATAÇÃO</w:t>
      </w:r>
    </w:p>
    <w:p w14:paraId="5A397F5F"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As quantidades estimadas de licenças, módulos, serviços, equipamentos e demais componentes da solução tecnológica serão definidas e detalhadas no Termo de Referência, considerando o quantitativo de unidades de saúde, profissionais, usuários do sistema e a capacidade operacional necessária para atendimento integral da rede municipal.</w:t>
      </w:r>
    </w:p>
    <w:p w14:paraId="6AD83BBF"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0478FF3C"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lastRenderedPageBreak/>
        <w:t>As estimativas observarão critérios técnicos, populacionais e operacionais, pautados pela proporcionalidade, razoabilidade e economicidade.</w:t>
      </w:r>
    </w:p>
    <w:p w14:paraId="30E44331" w14:textId="77777777" w:rsidR="00F82FA8" w:rsidRPr="0009100A" w:rsidRDefault="00F82FA8" w:rsidP="0009100A">
      <w:pPr>
        <w:spacing w:line="360" w:lineRule="auto"/>
        <w:rPr>
          <w:rFonts w:ascii="Times New Roman" w:hAnsi="Times New Roman" w:cs="Times New Roman"/>
          <w:sz w:val="24"/>
          <w:szCs w:val="24"/>
        </w:rPr>
      </w:pPr>
    </w:p>
    <w:p w14:paraId="3FF27097" w14:textId="77777777" w:rsidR="00577446" w:rsidRPr="0009100A" w:rsidRDefault="00577446" w:rsidP="0043733E">
      <w:pPr>
        <w:pStyle w:val="Ttulo2"/>
        <w:spacing w:before="0" w:line="360" w:lineRule="auto"/>
        <w:jc w:val="both"/>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5. LEVANTAMENTO DE MERCADO E JUSTIFICATIVA DA SOLUÇÃO ESCOLHIDA</w:t>
      </w:r>
    </w:p>
    <w:p w14:paraId="4A9539BF" w14:textId="41339982" w:rsidR="00E11526" w:rsidRPr="00E11526" w:rsidRDefault="00E11526" w:rsidP="00E11526">
      <w:pPr>
        <w:ind w:firstLine="708"/>
        <w:jc w:val="both"/>
        <w:rPr>
          <w:rFonts w:ascii="Times New Roman" w:hAnsi="Times New Roman" w:cs="Times New Roman"/>
          <w:sz w:val="24"/>
          <w:szCs w:val="24"/>
        </w:rPr>
      </w:pPr>
      <w:r w:rsidRPr="00E11526">
        <w:rPr>
          <w:rFonts w:ascii="Times New Roman" w:hAnsi="Times New Roman" w:cs="Times New Roman"/>
          <w:sz w:val="24"/>
          <w:szCs w:val="24"/>
        </w:rPr>
        <w:t xml:space="preserve">A estimativa de custo será consolidada com base no </w:t>
      </w:r>
      <w:proofErr w:type="gramStart"/>
      <w:r w:rsidRPr="00E11526">
        <w:rPr>
          <w:rFonts w:ascii="Times New Roman" w:hAnsi="Times New Roman" w:cs="Times New Roman"/>
          <w:sz w:val="24"/>
          <w:szCs w:val="24"/>
        </w:rPr>
        <w:t>resultado  dos</w:t>
      </w:r>
      <w:proofErr w:type="gramEnd"/>
      <w:r w:rsidRPr="00E11526">
        <w:rPr>
          <w:rFonts w:ascii="Times New Roman" w:hAnsi="Times New Roman" w:cs="Times New Roman"/>
          <w:sz w:val="24"/>
          <w:szCs w:val="24"/>
        </w:rPr>
        <w:t xml:space="preserve"> </w:t>
      </w:r>
      <w:proofErr w:type="gramStart"/>
      <w:r w:rsidRPr="00E11526">
        <w:rPr>
          <w:rFonts w:ascii="Times New Roman" w:hAnsi="Times New Roman" w:cs="Times New Roman"/>
          <w:sz w:val="24"/>
          <w:szCs w:val="24"/>
        </w:rPr>
        <w:t>valores  obtidos</w:t>
      </w:r>
      <w:proofErr w:type="gramEnd"/>
      <w:r w:rsidRPr="00E11526">
        <w:rPr>
          <w:rFonts w:ascii="Times New Roman" w:hAnsi="Times New Roman" w:cs="Times New Roman"/>
          <w:sz w:val="24"/>
          <w:szCs w:val="24"/>
        </w:rPr>
        <w:t xml:space="preserve"> no processo de pré-qualificação, com base nas propostas técnicas apresentadas pelas empresas habilitadas e nos valores praticados em contratações similares e ainda nos valores estimativos apresentados neste procedimento. O modelo de contratação adotado será o Registro de Preços, conforme diretrizes da legislação vigente.</w:t>
      </w:r>
    </w:p>
    <w:p w14:paraId="52D616C3"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Em atendimento ao disposto no art. 18, inciso V, da Lei nº 14.133/2021, foi realizado levantamento preliminar de mercado com o objetivo de identificar, analisar e comparar as alternativas tecnológicas disponíveis para atendimento da necessidade pública descrita neste Estudo Técnico Preliminar, considerando-se aspectos técnicos, operacionais, econômicos, jurídicos e de risco.</w:t>
      </w:r>
    </w:p>
    <w:p w14:paraId="7A3422BC"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A análise concentrou-se em soluções efetivamente praticadas no mercado nacional de tecnologia aplicada à gestão pública em saúde, especialmente aquelas adotadas por municípios de porte e complexidade semelhantes ao Município de </w:t>
      </w:r>
      <w:r w:rsidR="004C7F97">
        <w:rPr>
          <w:color w:val="000000" w:themeColor="text1"/>
        </w:rPr>
        <w:t>Planaltina-GO</w:t>
      </w:r>
      <w:r w:rsidRPr="0009100A">
        <w:rPr>
          <w:color w:val="000000" w:themeColor="text1"/>
        </w:rPr>
        <w:t>. A partir desse levantamento, foram identificados três modelos predominantes de solução, descritos a seguir.</w:t>
      </w:r>
    </w:p>
    <w:p w14:paraId="3D2575B7"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6121CB37" w14:textId="77777777" w:rsidR="00577446" w:rsidRPr="0009100A" w:rsidRDefault="00577446" w:rsidP="0009100A">
      <w:pPr>
        <w:pStyle w:val="Ttulo3"/>
        <w:spacing w:before="0" w:beforeAutospacing="0" w:after="0" w:afterAutospacing="0" w:line="360" w:lineRule="auto"/>
        <w:rPr>
          <w:color w:val="000000" w:themeColor="text1"/>
          <w:sz w:val="24"/>
          <w:szCs w:val="24"/>
        </w:rPr>
      </w:pPr>
      <w:r w:rsidRPr="0009100A">
        <w:rPr>
          <w:color w:val="000000" w:themeColor="text1"/>
          <w:sz w:val="24"/>
          <w:szCs w:val="24"/>
        </w:rPr>
        <w:t>5.1. Solução 1 – Sistemas Fragmentados por Módulos Independentes</w:t>
      </w:r>
    </w:p>
    <w:p w14:paraId="687DDFBC"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A primeira alternativa identificada no mercado consiste na contratação de múltiplos sistemas especializados, cada qual destinado a um aspecto específico da gestão em saúde (por exemplo: prontuário eletrônico, regulação, faturamento, controle de presença, estoque e logística, comunicação com usuários), fornecidos por empresas distintas ou por meio de contratos autônomos.</w:t>
      </w:r>
    </w:p>
    <w:p w14:paraId="3FFD1892"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Embora essa abordagem permita a escolha individualizada de ferramentas, a análise técnica demonstrou desvantagens relevantes, tais como</w:t>
      </w:r>
      <w:r w:rsidR="004C7F97">
        <w:rPr>
          <w:color w:val="000000" w:themeColor="text1"/>
        </w:rPr>
        <w:t>,</w:t>
      </w:r>
      <w:r w:rsidRPr="0009100A">
        <w:rPr>
          <w:color w:val="000000" w:themeColor="text1"/>
        </w:rPr>
        <w:t xml:space="preserve"> elevada complexidade de integração, dependência de interfaces externas, riscos de incompatibilidade tecnológica, multiplicidade de fornecedores e fragmentação da responsabilidade técnica. Ademais, esse modelo tende a ampliar os custos indiretos de gestão contratual, suporte e manutenção, além de aumentar o risco de inconsistências de dados, retrabalho operacional e descontinuidade dos serviços.</w:t>
      </w:r>
    </w:p>
    <w:p w14:paraId="6BA47ABE"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lastRenderedPageBreak/>
        <w:t>Do ponto de vista jurídico-administrativo, a multiplicidade de contratos e fornecedores dificulta a fiscalização, a gestão de riscos e a responsabilização em caso de falhas sistêmicas, não se revelando adequada para a realidade operacional do Município.</w:t>
      </w:r>
    </w:p>
    <w:p w14:paraId="2005C5D5"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18834B22" w14:textId="77777777" w:rsidR="00577446" w:rsidRPr="0009100A" w:rsidRDefault="00577446" w:rsidP="0009100A">
      <w:pPr>
        <w:pStyle w:val="Ttulo3"/>
        <w:spacing w:before="0" w:beforeAutospacing="0" w:after="0" w:afterAutospacing="0" w:line="360" w:lineRule="auto"/>
        <w:rPr>
          <w:color w:val="000000" w:themeColor="text1"/>
          <w:sz w:val="24"/>
          <w:szCs w:val="24"/>
        </w:rPr>
      </w:pPr>
      <w:r w:rsidRPr="0009100A">
        <w:rPr>
          <w:color w:val="000000" w:themeColor="text1"/>
          <w:sz w:val="24"/>
          <w:szCs w:val="24"/>
        </w:rPr>
        <w:t>5.2. Solução 2 – Sistemas Parciais Integrados com Customizações Pontuais</w:t>
      </w:r>
    </w:p>
    <w:p w14:paraId="7FE60727"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A segunda alternativa observada corresponde à adoção de plataformas que oferecem algum nível de integração entre módulos, porém dependentes de customizações específicas, desenvolvimento adicional ou integrações sob demanda para atendimento pleno das necessidades da Administração.</w:t>
      </w:r>
    </w:p>
    <w:p w14:paraId="36AD5F06"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Embora esse modelo represente avanço em relação aos sistemas totalmente fragmentados, a análise evidenciou limitações relevantes, especialmente quanto à dependência contínua de customizações, maior custo de implantação e manutenção, riscos de obsolescência tecnológica e dificuldade de atualização frente a alterações normativas frequentes no âmbito do SUS.</w:t>
      </w:r>
    </w:p>
    <w:p w14:paraId="34234CC3"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Adicionalmente, soluções dessa natureza tendem a gerar dependência excessiva do fornecedor para ajustes estruturais, com impacto negativo na previsibilidade de custos, na estabilidade operacional e na sustentabilidade da solução ao longo do tempo.</w:t>
      </w:r>
    </w:p>
    <w:p w14:paraId="494497AD"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677BA295" w14:textId="77777777" w:rsidR="00577446" w:rsidRPr="0009100A" w:rsidRDefault="00577446" w:rsidP="0009100A">
      <w:pPr>
        <w:pStyle w:val="Ttulo3"/>
        <w:spacing w:before="0" w:beforeAutospacing="0" w:after="0" w:afterAutospacing="0" w:line="360" w:lineRule="auto"/>
        <w:rPr>
          <w:color w:val="000000" w:themeColor="text1"/>
          <w:sz w:val="24"/>
          <w:szCs w:val="24"/>
        </w:rPr>
      </w:pPr>
      <w:r w:rsidRPr="0009100A">
        <w:rPr>
          <w:color w:val="000000" w:themeColor="text1"/>
          <w:sz w:val="24"/>
          <w:szCs w:val="24"/>
        </w:rPr>
        <w:t>5.3. Solução 3 – Plataforma Integrada de Gestão em Saúde (Solução Integrada)</w:t>
      </w:r>
    </w:p>
    <w:p w14:paraId="0D192D10"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A terceira alternativa identificada consiste na contratação de plataforma tecnológica integrada de gestão em saúde, concebida desde sua origem como sistema único, modular, interoperável e orientado a serviços, abrangendo de forma nativa e coordenada os principais eixos da gestão assistencial, administrativa e gerencial da saúde pública.</w:t>
      </w:r>
    </w:p>
    <w:p w14:paraId="19E266C0"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Essa solução apresenta como características centrais a existência de base única de dados, interoperabilidade nativa entre módulos, integração permanente com os sistemas oficiais do SUS, padronização de processos, centralização da responsabilidade técnica em um único fornecedor e maior capacidade de evolução tecnológica sem ruptura operacional.</w:t>
      </w:r>
    </w:p>
    <w:p w14:paraId="1D8CA679"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Sob o aspecto econômico, a solução integrada demonstra melhor relação custo-benefício ao longo do ciclo de vida da contratação, ao reduzir custos indiretos, minimizar retrabalho, otimizar a gestão contratual e mitigar riscos associados à fragmentação tecnológica.</w:t>
      </w:r>
    </w:p>
    <w:p w14:paraId="37DB37D0"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6FF907D1" w14:textId="77777777" w:rsidR="00577446" w:rsidRPr="0009100A" w:rsidRDefault="00577446" w:rsidP="0009100A">
      <w:pPr>
        <w:pStyle w:val="Ttulo3"/>
        <w:spacing w:before="0" w:beforeAutospacing="0" w:after="0" w:afterAutospacing="0" w:line="360" w:lineRule="auto"/>
        <w:rPr>
          <w:color w:val="000000" w:themeColor="text1"/>
          <w:sz w:val="24"/>
          <w:szCs w:val="24"/>
        </w:rPr>
      </w:pPr>
      <w:r w:rsidRPr="0009100A">
        <w:rPr>
          <w:color w:val="000000" w:themeColor="text1"/>
          <w:sz w:val="24"/>
          <w:szCs w:val="24"/>
        </w:rPr>
        <w:t>5.4. Análise Comparativa e Justificativa da Escolha</w:t>
      </w:r>
    </w:p>
    <w:p w14:paraId="3FADD449"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lastRenderedPageBreak/>
        <w:t>A análise comparativa das alternativas avaliadas evidenciou que as Soluções 1 e 2 apresentam limitações técnicas, operacionais e jurídicas que comprometem a eficiência, a segurança da informação, a governança dos dados e a sustentabilidade da gestão em saúde pública no médio e longo prazo.</w:t>
      </w:r>
    </w:p>
    <w:p w14:paraId="0AB5DC00"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Em contrapartida, a Solução 3 – Plataforma Integrada de Gestão em Saúde – mostrou-se a única capaz de atender, de forma plena, simultânea e contínua, às necessidades identificadas pela Administração, assegurando interoperabilidade, integridade da informação, padronização tecnológica, eficiência administrativa e segurança jurídica.</w:t>
      </w:r>
    </w:p>
    <w:p w14:paraId="7DC5998E"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Diante disso, concluiu-se, de forma técnica e fundamentada, que a contratação de solução integrada, fornecida por único fornecedor, em lote único, com verificação objetiva de aderência por meio de Prova de Conceito, é a alternativa mais vantajosa para a Administração Pública Municipal, por atender de maneira mais adequada ao interesse público, aos princípios da eficiência, economicidade, planejamento e gestão de riscos.</w:t>
      </w:r>
    </w:p>
    <w:p w14:paraId="20A0C736" w14:textId="77777777" w:rsidR="00F82FA8" w:rsidRPr="0009100A" w:rsidRDefault="00F82FA8" w:rsidP="0009100A">
      <w:pPr>
        <w:pStyle w:val="NormalWeb"/>
        <w:spacing w:before="0" w:beforeAutospacing="0" w:after="0" w:afterAutospacing="0" w:line="360" w:lineRule="auto"/>
        <w:jc w:val="both"/>
        <w:rPr>
          <w:color w:val="000000" w:themeColor="text1"/>
        </w:rPr>
      </w:pPr>
    </w:p>
    <w:p w14:paraId="53072860"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6. ESTIMATIVA PRELIMINAR DO VALOR DA CONTRATAÇÃO</w:t>
      </w:r>
    </w:p>
    <w:p w14:paraId="54A4C8D6"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A estimativa preliminar do valor da contratação será elaborada com base em pesquisa de mercado junto a empresas especializadas no fornecimento de soluções integradas de gestão em saúde, considerando contratações similares realizadas por entes públicos de porte e complexidade equivalentes.</w:t>
      </w:r>
    </w:p>
    <w:p w14:paraId="50B98B0A"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Para fins de consolidação futura, será incluído quadro específico de pesquisa de preços, a ser preenchido oportunamente, nos termos do art. 23 da Lei nº 14.133/2021.</w:t>
      </w:r>
    </w:p>
    <w:p w14:paraId="7917DB8A"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p>
    <w:p w14:paraId="234E4654"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7. DESCRIÇÃO DA SOLUÇÃO COMO UM TODO</w:t>
      </w:r>
    </w:p>
    <w:p w14:paraId="0CECCE79"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A solução a ser contratada consiste em plataforma tecnológica integrada de gestão em saúde, concebida como sistema único, estruturante e transversal, destinada a organizar, padronizar, automatizar, integrar e sustentar, de forma contínua, os processos clínicos, assistenciais, administrativos, operacionais e gerenciais desenvolvidos no âmbito da rede municipal de saúde do Município de </w:t>
      </w:r>
      <w:r w:rsidR="004C7F97">
        <w:rPr>
          <w:color w:val="000000" w:themeColor="text1"/>
        </w:rPr>
        <w:t>Planaltina-GO</w:t>
      </w:r>
      <w:r w:rsidRPr="0009100A">
        <w:rPr>
          <w:color w:val="000000" w:themeColor="text1"/>
        </w:rPr>
        <w:t>.</w:t>
      </w:r>
    </w:p>
    <w:p w14:paraId="73B9B625" w14:textId="77777777" w:rsidR="00577446" w:rsidRPr="0009100A" w:rsidRDefault="00577446" w:rsidP="008F05D1">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Trata-se de solução que ultrapassa a mera informatização de rotinas isoladas, devendo atuar como ambiente central de governança da informação em saúde, com base única de dados, interoperabilidade nativa entre módulos e capacidade de consolidar, em tempo real, informações produzidas em todos os pontos da rede assistencial, garantindo continuidade do </w:t>
      </w:r>
      <w:r w:rsidRPr="0009100A">
        <w:rPr>
          <w:color w:val="000000" w:themeColor="text1"/>
        </w:rPr>
        <w:lastRenderedPageBreak/>
        <w:t>cuidado, rastreabilidade das ações, segurança da informação e apoio qualificado à tomada de decisão.</w:t>
      </w:r>
    </w:p>
    <w:p w14:paraId="368DA081"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A plataforma deverá contemplar, de forma integrada e coerente, módulos e funcionalidades voltados, no mínimo, aos seguintes eixos estruturantes:</w:t>
      </w:r>
    </w:p>
    <w:p w14:paraId="72534077"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I – </w:t>
      </w:r>
      <w:proofErr w:type="gramStart"/>
      <w:r w:rsidRPr="0009100A">
        <w:rPr>
          <w:color w:val="000000" w:themeColor="text1"/>
        </w:rPr>
        <w:t>gestão</w:t>
      </w:r>
      <w:proofErr w:type="gramEnd"/>
      <w:r w:rsidRPr="0009100A">
        <w:rPr>
          <w:color w:val="000000" w:themeColor="text1"/>
        </w:rPr>
        <w:t xml:space="preserve"> clínica e assistencial, com registro eletrônico integral dos atendimentos, procedimentos e evoluções, por meio de Prontuário Eletrônico do Paciente, estruturado, longitudinal, auditável e aderente às diretrizes do SUS;</w:t>
      </w:r>
    </w:p>
    <w:p w14:paraId="7EDCF9A2"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II – </w:t>
      </w:r>
      <w:proofErr w:type="gramStart"/>
      <w:r w:rsidRPr="0009100A">
        <w:rPr>
          <w:color w:val="000000" w:themeColor="text1"/>
        </w:rPr>
        <w:t>regulação</w:t>
      </w:r>
      <w:proofErr w:type="gramEnd"/>
      <w:r w:rsidRPr="0009100A">
        <w:rPr>
          <w:color w:val="000000" w:themeColor="text1"/>
        </w:rPr>
        <w:t xml:space="preserve"> do acesso aos serviços de saúde, compreendendo agendamento, encaminhamentos, controle de filas, classificação de risco, acompanhamento da demanda reprimida e gestão dos fluxos assistenciais;</w:t>
      </w:r>
    </w:p>
    <w:p w14:paraId="7E61A4F9"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III – gestão da força de trabalho em saúde, incluindo controle de presença, assiduidade, escalas, produtividade e alocação de profissionais, mediante utilização de tecnologias biométricas, reconhecimento facial ou equivalentes;</w:t>
      </w:r>
    </w:p>
    <w:p w14:paraId="0302DEAB"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IV – </w:t>
      </w:r>
      <w:proofErr w:type="gramStart"/>
      <w:r w:rsidRPr="0009100A">
        <w:rPr>
          <w:color w:val="000000" w:themeColor="text1"/>
        </w:rPr>
        <w:t>gestão</w:t>
      </w:r>
      <w:proofErr w:type="gramEnd"/>
      <w:r w:rsidRPr="0009100A">
        <w:rPr>
          <w:color w:val="000000" w:themeColor="text1"/>
        </w:rPr>
        <w:t xml:space="preserve"> da produção assistencial e do faturamento, assegurando a correta apuração, validação e consolidação das informações destinadas aos sistemas oficiais do Ministério da Saúde;</w:t>
      </w:r>
    </w:p>
    <w:p w14:paraId="2025037D"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V – </w:t>
      </w:r>
      <w:proofErr w:type="gramStart"/>
      <w:r w:rsidRPr="0009100A">
        <w:rPr>
          <w:color w:val="000000" w:themeColor="text1"/>
        </w:rPr>
        <w:t>gestão</w:t>
      </w:r>
      <w:proofErr w:type="gramEnd"/>
      <w:r w:rsidRPr="0009100A">
        <w:rPr>
          <w:color w:val="000000" w:themeColor="text1"/>
        </w:rPr>
        <w:t xml:space="preserve"> logística, farmacêutica e de insumos, com controle de estoque, rastreabilidade, dispensação e integração direta com os registros clínicos e assistenciais;</w:t>
      </w:r>
    </w:p>
    <w:p w14:paraId="4703A32F"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 xml:space="preserve">VI – </w:t>
      </w:r>
      <w:proofErr w:type="gramStart"/>
      <w:r w:rsidRPr="0009100A">
        <w:rPr>
          <w:color w:val="000000" w:themeColor="text1"/>
        </w:rPr>
        <w:t>comunicação</w:t>
      </w:r>
      <w:proofErr w:type="gramEnd"/>
      <w:r w:rsidRPr="0009100A">
        <w:rPr>
          <w:color w:val="000000" w:themeColor="text1"/>
        </w:rPr>
        <w:t xml:space="preserve"> ativa e bidirecional com os usuários do SUS, por meio de ferramentas digitais de notificação, alerta, agendamento, confirmação e acompanhamento de atendimentos;</w:t>
      </w:r>
    </w:p>
    <w:p w14:paraId="71982B92" w14:textId="77777777" w:rsidR="00577446" w:rsidRPr="0009100A" w:rsidRDefault="00577446" w:rsidP="0009100A">
      <w:pPr>
        <w:pStyle w:val="NormalWeb"/>
        <w:spacing w:before="0" w:beforeAutospacing="0" w:after="0" w:afterAutospacing="0" w:line="360" w:lineRule="auto"/>
        <w:jc w:val="both"/>
        <w:rPr>
          <w:color w:val="000000" w:themeColor="text1"/>
        </w:rPr>
      </w:pPr>
      <w:r w:rsidRPr="0009100A">
        <w:rPr>
          <w:color w:val="000000" w:themeColor="text1"/>
        </w:rPr>
        <w:t>VII – inteligência de dados em saúde, com geração de relatórios analíticos, painéis gerenciais, indicadores de desempenho e instrumentos de monitoramento voltados ao planejamento, avaliação e gestão estratégica da política pública de saúde.</w:t>
      </w:r>
    </w:p>
    <w:p w14:paraId="75CC76A6"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A solução deverá operar em ambiente web, com arquitetura tecnológica moderna, modular e escalável, preferencialmente em infraestrutura de computação em nuvem, assegurando alta disponibilidade, desempenho adequado, redundância, políticas de backup, recuperação de desastres e continuidade dos serviços, compatíveis com a natureza essencial das atividades de saúde.</w:t>
      </w:r>
    </w:p>
    <w:p w14:paraId="3FF0ACD3"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Deverá ser garantida interoperabilidade plena e permanente com os sistemas estruturantes do Sistema Único de Saúde – SUS, mediante utilização de padrões abertos, APIs e web </w:t>
      </w:r>
      <w:proofErr w:type="spellStart"/>
      <w:r w:rsidRPr="0009100A">
        <w:rPr>
          <w:color w:val="000000" w:themeColor="text1"/>
        </w:rPr>
        <w:t>services</w:t>
      </w:r>
      <w:proofErr w:type="spellEnd"/>
      <w:r w:rsidRPr="0009100A">
        <w:rPr>
          <w:color w:val="000000" w:themeColor="text1"/>
        </w:rPr>
        <w:t>, evitando duplicidade de registros, inconsistências de dados e retrabalho operacional, inclusive em cenários de conectividade limitada, por meio de mecanismos de operação híbrida (online e offline) e sincronização segura das informações.</w:t>
      </w:r>
    </w:p>
    <w:p w14:paraId="0F22F17F"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lastRenderedPageBreak/>
        <w:t>A solução deverá contemplar, ainda, serviços continuados de implantação assistida, parametrização, migração e saneamento de dados, capacitação inicial e treinamento contínuo dos usuários, bem como suporte técnico especializado e manutenção corretiva, preventiva, adaptativa e evolutiva, assegurando a sustentabilidade técnica e operacional da plataforma ao longo de sua vigência.</w:t>
      </w:r>
    </w:p>
    <w:p w14:paraId="4A975C9E"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Todos os componentes, módulos, serviços, funcionalidades, requisitos de desempenho, níveis de serviço e características técnicas da solução encontram-se detalhados no Termo de Referência e no Memorial Descritivo, aos quais </w:t>
      </w:r>
      <w:proofErr w:type="spellStart"/>
      <w:r w:rsidRPr="0009100A">
        <w:rPr>
          <w:color w:val="000000" w:themeColor="text1"/>
        </w:rPr>
        <w:t>esta</w:t>
      </w:r>
      <w:proofErr w:type="spellEnd"/>
      <w:r w:rsidRPr="0009100A">
        <w:rPr>
          <w:color w:val="000000" w:themeColor="text1"/>
        </w:rPr>
        <w:t xml:space="preserve"> descrição se vincula, devendo a solução, como um todo, ser entendida como integrada, indivisível e orientada ao atendimento pleno do interesse público.</w:t>
      </w:r>
    </w:p>
    <w:p w14:paraId="2BC8FE2E" w14:textId="77777777" w:rsidR="00F82FA8" w:rsidRPr="0009100A" w:rsidRDefault="00F82FA8" w:rsidP="0009100A">
      <w:pPr>
        <w:spacing w:line="360" w:lineRule="auto"/>
        <w:rPr>
          <w:rFonts w:ascii="Times New Roman" w:hAnsi="Times New Roman" w:cs="Times New Roman"/>
          <w:sz w:val="24"/>
          <w:szCs w:val="24"/>
        </w:rPr>
      </w:pPr>
    </w:p>
    <w:p w14:paraId="58CBE9F3"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8. JUSTIFICATIVA PARA O NÃO PARCELAMENTO DA CONTRATAÇÃO</w:t>
      </w:r>
    </w:p>
    <w:p w14:paraId="21DAF4CF"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O parcelamento do objeto não se revela técnica nem economicamente viável, considerando que a solução possui natureza integrada, sistêmica e indivisível, com módulos interdependentes e funcionalidades que demandam operação conjunta, contínua e coordenada.</w:t>
      </w:r>
    </w:p>
    <w:p w14:paraId="67EE6165"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A contratação em lote único assegura padronização tecnológica, integridade dos dados, continuidade operacional, redução de riscos e clareza quanto à responsabilidade técnica, atendendo ao disposto no art. 23, §1º, da Lei nº 14.133/2021.</w:t>
      </w:r>
    </w:p>
    <w:p w14:paraId="3F1B425F" w14:textId="77777777" w:rsidR="00F82FA8" w:rsidRPr="0009100A" w:rsidRDefault="00F82FA8" w:rsidP="0009100A">
      <w:pPr>
        <w:spacing w:line="360" w:lineRule="auto"/>
        <w:rPr>
          <w:rFonts w:ascii="Times New Roman" w:hAnsi="Times New Roman" w:cs="Times New Roman"/>
          <w:sz w:val="24"/>
          <w:szCs w:val="24"/>
        </w:rPr>
      </w:pPr>
    </w:p>
    <w:p w14:paraId="13CE18D2"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9. RESULTADOS PRETENDIDOS</w:t>
      </w:r>
    </w:p>
    <w:p w14:paraId="649AEFC0"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A contratação da solução tecnológica integrada de gestão em saúde tem por finalidade alcançar resultados estruturantes, mensuráveis e sustentáveis, voltados à melhoria da eficiência administrativa, da qualidade assistencial e da governança da informação em saúde no âmbito do Município de </w:t>
      </w:r>
      <w:r w:rsidR="004C7F97">
        <w:rPr>
          <w:color w:val="000000" w:themeColor="text1"/>
        </w:rPr>
        <w:t>Planaltina-GO</w:t>
      </w:r>
      <w:r w:rsidRPr="0009100A">
        <w:rPr>
          <w:color w:val="000000" w:themeColor="text1"/>
        </w:rPr>
        <w:t>.</w:t>
      </w:r>
    </w:p>
    <w:p w14:paraId="26EC932F"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Espera-se, como resultados pretendidos, a racionalização e a padronização dos processos assistenciais, administrativos e gerenciais, com redução significativa de retrabalho, eliminação de redundâncias operacionais e maior confiabilidade dos registros clínicos e administrativos produzidos pela rede municipal de saúde.</w:t>
      </w:r>
    </w:p>
    <w:p w14:paraId="5CD74445"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No campo da economicidade, a adoção de plataforma integrada deverá proporcionar melhor aproveitamento dos recursos humanos, materiais e financeiros disponíveis, mediante automação de rotinas, otimização do uso da força de trabalho, melhoria do controle da produção </w:t>
      </w:r>
      <w:r w:rsidRPr="0009100A">
        <w:rPr>
          <w:color w:val="000000" w:themeColor="text1"/>
        </w:rPr>
        <w:lastRenderedPageBreak/>
        <w:t>assistencial e qualificação do faturamento, contribuindo para a maximização da eficiência do gasto público em saúde.</w:t>
      </w:r>
    </w:p>
    <w:p w14:paraId="4962EEDF"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Do ponto de vista gerencial e estratégico, a solução permitirá maior capacidade de planejamento, monitoramento e avaliação das políticas públicas de saúde, por meio da disponibilização de informações consolidadas, tempestivas e confiáveis, relatórios analíticos, indicadores de desempenho e painéis gerenciais, aptos a subsidiar a tomada de decisão pelos gestores municipais.</w:t>
      </w:r>
    </w:p>
    <w:p w14:paraId="7372B8C0"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Como resultado adicional relevante, espera-se o fortalecimento da transparência, da rastreabilidade e do controle interno, com melhoria das condições de fiscalização, auditoria e prestação de contas aos órgãos de controle e à sociedade, bem como maior aderência às exigências normativas do Sistema Único de Saúde – SUS.</w:t>
      </w:r>
    </w:p>
    <w:p w14:paraId="1326927E"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Por fim, a contratação deverá contribuir para a melhoria da qualidade do atendimento prestado aos usuários do sistema público de saúde, assegurando maior continuidade do cuidado, redução de falhas decorrentes de informações fragmentadas e ampliação da capacidade institucional do Município para a gestão sustentável e integrada da política pública de saúde.</w:t>
      </w:r>
    </w:p>
    <w:p w14:paraId="49CE9F40" w14:textId="77777777" w:rsidR="00F82FA8" w:rsidRPr="0009100A" w:rsidRDefault="00F82FA8" w:rsidP="0009100A">
      <w:pPr>
        <w:spacing w:line="360" w:lineRule="auto"/>
        <w:rPr>
          <w:rFonts w:ascii="Times New Roman" w:hAnsi="Times New Roman" w:cs="Times New Roman"/>
          <w:sz w:val="24"/>
          <w:szCs w:val="24"/>
        </w:rPr>
      </w:pPr>
    </w:p>
    <w:p w14:paraId="16C02BED" w14:textId="77777777" w:rsidR="00577446" w:rsidRPr="0009100A" w:rsidRDefault="00577446" w:rsidP="0043733E">
      <w:pPr>
        <w:pStyle w:val="Ttulo2"/>
        <w:spacing w:before="0" w:line="360" w:lineRule="auto"/>
        <w:jc w:val="both"/>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10. PROVIDÊNCIAS A SEREM ADOTADAS PREVIAMENTE À CONTRATAÇÃO</w:t>
      </w:r>
    </w:p>
    <w:p w14:paraId="6561D61F"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Previamente à celebração do contrato, a Administração deverá adotar providências relacionadas à designação formal de gestores e fiscais do contrato, capacitação mínima dos servidores envolvidos, organização dos fluxos internos e preparação institucional para a implantação da solução.</w:t>
      </w:r>
    </w:p>
    <w:p w14:paraId="756057D9" w14:textId="77777777" w:rsidR="00F82FA8" w:rsidRPr="0009100A" w:rsidRDefault="00F82FA8" w:rsidP="0009100A">
      <w:pPr>
        <w:spacing w:line="360" w:lineRule="auto"/>
        <w:rPr>
          <w:rFonts w:ascii="Times New Roman" w:hAnsi="Times New Roman" w:cs="Times New Roman"/>
          <w:sz w:val="24"/>
          <w:szCs w:val="24"/>
        </w:rPr>
      </w:pPr>
    </w:p>
    <w:p w14:paraId="0C1711F4"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11. CONTRATAÇÕES CORRELATAS OU INTERDEPENDENTES</w:t>
      </w:r>
    </w:p>
    <w:p w14:paraId="6C186354"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Não foram identificadas, no presente momento, contratações correlatas ou interdependentes que condicionem ou inviabilizem a execução da presente contratação, sem prejuízo de integrações técnicas com sistemas já existentes.</w:t>
      </w:r>
    </w:p>
    <w:p w14:paraId="7EA7755D" w14:textId="77777777" w:rsidR="0043733E" w:rsidRDefault="0043733E" w:rsidP="0043733E">
      <w:pPr>
        <w:pStyle w:val="Ttulo2"/>
        <w:spacing w:before="0" w:line="360" w:lineRule="auto"/>
        <w:jc w:val="both"/>
        <w:rPr>
          <w:rFonts w:ascii="Times New Roman" w:hAnsi="Times New Roman" w:cs="Times New Roman"/>
          <w:color w:val="000000" w:themeColor="text1"/>
          <w:sz w:val="24"/>
          <w:szCs w:val="24"/>
        </w:rPr>
      </w:pPr>
    </w:p>
    <w:p w14:paraId="794E67B1" w14:textId="77777777" w:rsidR="00577446" w:rsidRPr="0009100A" w:rsidRDefault="00577446" w:rsidP="0043733E">
      <w:pPr>
        <w:pStyle w:val="Ttulo2"/>
        <w:spacing w:before="0" w:line="360" w:lineRule="auto"/>
        <w:jc w:val="both"/>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t>12. IMPACTOS AMBIENTAIS, MEDIDAS MITIGADORAS E SUSTENTABILIDADE</w:t>
      </w:r>
    </w:p>
    <w:p w14:paraId="4FECFBB1"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A contratação da solução tecnológica integrada de gestão em saúde foi analisada também sob a perspectiva dos impactos ambientais, das medidas mitigadoras e da promoção da sustentabilidade, em consonância com os princípios do desenvolvimento sustentável, da </w:t>
      </w:r>
      <w:r w:rsidRPr="0009100A">
        <w:rPr>
          <w:color w:val="000000" w:themeColor="text1"/>
        </w:rPr>
        <w:lastRenderedPageBreak/>
        <w:t>eficiência administrativa e da responsabilidade socioambiental aplicáveis à Administração Pública.</w:t>
      </w:r>
    </w:p>
    <w:p w14:paraId="5180A205"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A natureza predominantemente digital da solução implica impactos ambientais diretos reduzidos, uma vez que a adoção de plataforma informatizada integrada contribui para a significativa diminuição do uso de papel, impressões físicas, formulários manuais e arquivos documentais, reduzindo o consumo de recursos naturais e a geração de resíduos sólidos no âmbito da Secretaria Municipal de Saúde e de suas unidades vinculadas.</w:t>
      </w:r>
    </w:p>
    <w:p w14:paraId="4ED48929"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Como efeito ambiental positivo relevante, destaca-se a racionalização do uso de equipamentos, insumos e deslocamentos físicos, decorrente da digitalização de processos, da integração de informações em base única e da possibilidade de acesso remoto e seguro aos sistemas, contribuindo para a redução indireta do consumo de energia, combustíveis e emissões associadas às atividades administrativas e assistenciais.</w:t>
      </w:r>
    </w:p>
    <w:p w14:paraId="4A9EC096"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No que se refere às medidas mitigadoras, a contratação deverá observar, na fase de execução contratual, práticas voltadas à eficiência energética e ao uso racional de recursos tecnológicos, incluindo a priorização de infraestrutura em ambiente de computação em nuvem, com utilização de data centers que adotem políticas de eficiência energética, redundância controlada e gestão adequada de ativos tecnológicos.</w:t>
      </w:r>
    </w:p>
    <w:p w14:paraId="474F1A66"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Deverão ser observadas, ainda, práticas de gestão responsável de equipamentos eventualmente fornecidos ou utilizados no âmbito da solução, com adequada destinação de resíduos eletrônicos ao final de sua vida útil, em conformidade com a legislação ambiental vigente e com as diretrizes de logística reversa aplicáveis.</w:t>
      </w:r>
    </w:p>
    <w:p w14:paraId="40B4A813"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Sob a ótica da sustentabilidade institucional, a solução contribui para a perenidade e a eficiência da política pública de saúde, ao promover a padronização de processos, a preservação da memória institucional, a redução de dependência de procedimentos manuais e a melhoria da capacidade de gestão e planejamento da Administração, assegurando maior resiliência operacional e continuidade dos serviços públicos essenciais.</w:t>
      </w:r>
    </w:p>
    <w:p w14:paraId="6DA0C5C1"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Dessa forma, conclui-se que a contratação apresenta impactos ambientais predominantemente positivos, com medidas mitigadoras plenamente compatíveis com a execução do objeto, contribuindo para práticas administrativas mais sustentáveis e alinhadas às diretrizes de governança ambiental, social e institucional da Administração Pública.</w:t>
      </w:r>
    </w:p>
    <w:p w14:paraId="4BCF69AF" w14:textId="77777777" w:rsidR="00F82FA8" w:rsidRPr="0009100A" w:rsidRDefault="00F82FA8" w:rsidP="0009100A">
      <w:pPr>
        <w:spacing w:line="360" w:lineRule="auto"/>
        <w:rPr>
          <w:rFonts w:ascii="Times New Roman" w:hAnsi="Times New Roman" w:cs="Times New Roman"/>
          <w:sz w:val="24"/>
          <w:szCs w:val="24"/>
        </w:rPr>
      </w:pPr>
    </w:p>
    <w:p w14:paraId="6F16400E" w14:textId="77777777" w:rsidR="00577446" w:rsidRPr="0009100A" w:rsidRDefault="00577446" w:rsidP="0009100A">
      <w:pPr>
        <w:pStyle w:val="Ttulo2"/>
        <w:spacing w:before="0" w:line="360" w:lineRule="auto"/>
        <w:rPr>
          <w:rFonts w:ascii="Times New Roman" w:hAnsi="Times New Roman" w:cs="Times New Roman"/>
          <w:color w:val="000000" w:themeColor="text1"/>
          <w:sz w:val="24"/>
          <w:szCs w:val="24"/>
        </w:rPr>
      </w:pPr>
      <w:r w:rsidRPr="0009100A">
        <w:rPr>
          <w:rFonts w:ascii="Times New Roman" w:hAnsi="Times New Roman" w:cs="Times New Roman"/>
          <w:color w:val="000000" w:themeColor="text1"/>
          <w:sz w:val="24"/>
          <w:szCs w:val="24"/>
        </w:rPr>
        <w:lastRenderedPageBreak/>
        <w:t>13. POSICIONAMENTO CONCLUSIVO</w:t>
      </w:r>
    </w:p>
    <w:p w14:paraId="43A43EFD"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 xml:space="preserve">Com base nas análises técnicas, operacionais, econômicas e jurídicas realizadas neste Estudo Técnico Preliminar, conclui-se que a necessidade identificada pela Secretaria Municipal de Saúde de </w:t>
      </w:r>
      <w:r w:rsidR="004C7F97">
        <w:rPr>
          <w:color w:val="000000" w:themeColor="text1"/>
        </w:rPr>
        <w:t>Planaltina-GO</w:t>
      </w:r>
      <w:r w:rsidRPr="0009100A">
        <w:rPr>
          <w:color w:val="000000" w:themeColor="text1"/>
        </w:rPr>
        <w:t xml:space="preserve"> demanda a adoção de solução tecnológica estruturante, capaz de integrar, padronizar e sustentar, de forma contínua, os processos assistenciais, administrativos e gerenciais da rede municipal de saúde.</w:t>
      </w:r>
    </w:p>
    <w:p w14:paraId="0F114AF4"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O levantamento de mercado evidenciou que, dentre as alternativas disponíveis, a plataforma integrada de gestão em saúde apresenta-se como a única solução capaz de atender de maneira plena e consistente às necessidades identificadas, assegurando interoperabilidade, integridade das informações, redução de riscos operacionais, eficiência administrativa e adequada governança da informação em saúde.</w:t>
      </w:r>
    </w:p>
    <w:p w14:paraId="25751A5B" w14:textId="77777777" w:rsidR="00577446" w:rsidRPr="0009100A"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Restou demonstrado, ainda, que a contratação em lote único, com centralização da responsabilidade técnica em um único fornecedor e verificação objetiva de aderência por meio de Prova de Conceito, revela-se tecnicamente adequada, economicamente vantajosa e juridicamente segura, atendendo aos princípios do planejamento, da eficiência, da economicidade e da gestão de riscos previstos na Lei nº 14.133/2021.</w:t>
      </w:r>
    </w:p>
    <w:p w14:paraId="1880D2E1" w14:textId="77777777" w:rsidR="00577446" w:rsidRDefault="00577446" w:rsidP="0043733E">
      <w:pPr>
        <w:pStyle w:val="NormalWeb"/>
        <w:spacing w:before="0" w:beforeAutospacing="0" w:after="0" w:afterAutospacing="0" w:line="360" w:lineRule="auto"/>
        <w:ind w:firstLine="708"/>
        <w:jc w:val="both"/>
        <w:rPr>
          <w:color w:val="000000" w:themeColor="text1"/>
        </w:rPr>
      </w:pPr>
      <w:r w:rsidRPr="0009100A">
        <w:rPr>
          <w:color w:val="000000" w:themeColor="text1"/>
        </w:rPr>
        <w:t>Dessa forma, conclui-se pela viabilidade e conveniência da contratação da solução integrada de gestão em saúde, nos termos delineados neste Estudo Técnico Preliminar, recomendando-se o prosseguimento do processo de contratação, com a elaboração e aprovação do respectivo Termo de Referência e demais atos subsequentes.</w:t>
      </w:r>
    </w:p>
    <w:p w14:paraId="2126AF99" w14:textId="77777777" w:rsidR="0013345F" w:rsidRDefault="0013345F" w:rsidP="0043733E">
      <w:pPr>
        <w:pStyle w:val="NormalWeb"/>
        <w:spacing w:before="0" w:beforeAutospacing="0" w:after="0" w:afterAutospacing="0" w:line="360" w:lineRule="auto"/>
        <w:ind w:firstLine="708"/>
        <w:jc w:val="both"/>
        <w:rPr>
          <w:color w:val="000000" w:themeColor="text1"/>
        </w:rPr>
      </w:pPr>
    </w:p>
    <w:p w14:paraId="642B3A5A" w14:textId="566EFC16" w:rsidR="0013345F" w:rsidRDefault="0013345F" w:rsidP="0013345F">
      <w:pPr>
        <w:pStyle w:val="NormalWeb"/>
        <w:spacing w:before="0" w:beforeAutospacing="0" w:after="0" w:afterAutospacing="0" w:line="360" w:lineRule="auto"/>
        <w:ind w:firstLine="708"/>
        <w:jc w:val="right"/>
        <w:rPr>
          <w:color w:val="000000" w:themeColor="text1"/>
        </w:rPr>
      </w:pPr>
      <w:r>
        <w:rPr>
          <w:color w:val="000000" w:themeColor="text1"/>
        </w:rPr>
        <w:t>Planaltina – GO, 0</w:t>
      </w:r>
      <w:r w:rsidR="00083376">
        <w:rPr>
          <w:color w:val="000000" w:themeColor="text1"/>
        </w:rPr>
        <w:t>6</w:t>
      </w:r>
      <w:r>
        <w:rPr>
          <w:color w:val="000000" w:themeColor="text1"/>
        </w:rPr>
        <w:t xml:space="preserve"> de </w:t>
      </w:r>
      <w:r w:rsidR="00083376">
        <w:rPr>
          <w:color w:val="000000" w:themeColor="text1"/>
        </w:rPr>
        <w:t>abril d</w:t>
      </w:r>
      <w:r>
        <w:rPr>
          <w:color w:val="000000" w:themeColor="text1"/>
        </w:rPr>
        <w:t>e 2026.</w:t>
      </w:r>
    </w:p>
    <w:p w14:paraId="696A6A41" w14:textId="77777777" w:rsidR="0013345F" w:rsidRDefault="0013345F" w:rsidP="0013345F">
      <w:pPr>
        <w:pStyle w:val="NormalWeb"/>
        <w:spacing w:before="0" w:beforeAutospacing="0" w:after="0" w:afterAutospacing="0" w:line="360" w:lineRule="auto"/>
        <w:ind w:firstLine="708"/>
        <w:jc w:val="right"/>
        <w:rPr>
          <w:color w:val="000000" w:themeColor="text1"/>
        </w:rPr>
      </w:pPr>
    </w:p>
    <w:p w14:paraId="327B3E78" w14:textId="77777777" w:rsidR="0013345F" w:rsidRDefault="0013345F" w:rsidP="0013345F">
      <w:pPr>
        <w:pStyle w:val="NormalWeb"/>
        <w:spacing w:before="0" w:beforeAutospacing="0" w:after="0" w:afterAutospacing="0" w:line="360" w:lineRule="auto"/>
        <w:ind w:firstLine="708"/>
        <w:jc w:val="right"/>
        <w:rPr>
          <w:color w:val="000000" w:themeColor="text1"/>
        </w:rPr>
      </w:pPr>
    </w:p>
    <w:p w14:paraId="3D1848ED" w14:textId="77777777" w:rsidR="0013345F" w:rsidRPr="00A04EB1" w:rsidRDefault="0013345F" w:rsidP="0013345F">
      <w:pPr>
        <w:spacing w:after="0" w:line="360" w:lineRule="auto"/>
        <w:jc w:val="center"/>
        <w:rPr>
          <w:rFonts w:ascii="Times New Roman" w:hAnsi="Times New Roman" w:cs="Times New Roman"/>
          <w:sz w:val="24"/>
          <w:szCs w:val="24"/>
        </w:rPr>
      </w:pPr>
      <w:r w:rsidRPr="00A04EB1">
        <w:rPr>
          <w:rFonts w:ascii="Times New Roman" w:hAnsi="Times New Roman" w:cs="Times New Roman"/>
          <w:sz w:val="24"/>
          <w:szCs w:val="24"/>
        </w:rPr>
        <w:t>__________________________________________</w:t>
      </w:r>
    </w:p>
    <w:p w14:paraId="3AD996D8" w14:textId="77777777" w:rsidR="00083376" w:rsidRPr="00AD15B1" w:rsidRDefault="00083376" w:rsidP="00083376">
      <w:pPr>
        <w:jc w:val="center"/>
        <w:rPr>
          <w:rFonts w:ascii="Times New Roman" w:hAnsi="Times New Roman" w:cs="Times New Roman"/>
        </w:rPr>
      </w:pPr>
      <w:r w:rsidRPr="00AD15B1">
        <w:rPr>
          <w:rFonts w:ascii="Times New Roman" w:hAnsi="Times New Roman" w:cs="Times New Roman"/>
        </w:rPr>
        <w:t>DÉBORA MARTINS SOUSA</w:t>
      </w:r>
    </w:p>
    <w:p w14:paraId="487CC106" w14:textId="77777777" w:rsidR="00083376" w:rsidRPr="00AD15B1" w:rsidRDefault="00083376" w:rsidP="00083376">
      <w:pPr>
        <w:jc w:val="center"/>
        <w:rPr>
          <w:rFonts w:ascii="Times New Roman" w:hAnsi="Times New Roman" w:cs="Times New Roman"/>
        </w:rPr>
      </w:pPr>
      <w:r w:rsidRPr="00AD15B1">
        <w:rPr>
          <w:rFonts w:ascii="Times New Roman" w:hAnsi="Times New Roman" w:cs="Times New Roman"/>
        </w:rPr>
        <w:t>DIRETORA DO DEPARTAMENTO DE ATENÇÃO BÁSICA À SAÚDE (UBS/PSF)</w:t>
      </w:r>
    </w:p>
    <w:p w14:paraId="70F15AAF" w14:textId="77777777" w:rsidR="0013345F" w:rsidRDefault="0013345F" w:rsidP="0013345F">
      <w:pPr>
        <w:pStyle w:val="Default"/>
        <w:spacing w:line="360" w:lineRule="auto"/>
        <w:jc w:val="center"/>
      </w:pPr>
    </w:p>
    <w:p w14:paraId="7630D12D" w14:textId="77777777" w:rsidR="0013345F" w:rsidRPr="0009100A" w:rsidRDefault="0013345F" w:rsidP="0013345F">
      <w:pPr>
        <w:pStyle w:val="NormalWeb"/>
        <w:spacing w:before="0" w:beforeAutospacing="0" w:after="0" w:afterAutospacing="0" w:line="360" w:lineRule="auto"/>
        <w:ind w:firstLine="708"/>
        <w:jc w:val="center"/>
        <w:rPr>
          <w:color w:val="000000" w:themeColor="text1"/>
        </w:rPr>
      </w:pPr>
    </w:p>
    <w:sectPr w:rsidR="0013345F" w:rsidRPr="0009100A" w:rsidSect="004C7F97">
      <w:headerReference w:type="default" r:id="rId7"/>
      <w:footerReference w:type="default" r:id="rId8"/>
      <w:pgSz w:w="11906" w:h="16838"/>
      <w:pgMar w:top="1701" w:right="1134" w:bottom="1134" w:left="170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24D9D" w14:textId="77777777" w:rsidR="002A1DB4" w:rsidRDefault="002A1DB4" w:rsidP="008034C4">
      <w:pPr>
        <w:spacing w:after="0" w:line="240" w:lineRule="auto"/>
      </w:pPr>
      <w:r>
        <w:separator/>
      </w:r>
    </w:p>
  </w:endnote>
  <w:endnote w:type="continuationSeparator" w:id="0">
    <w:p w14:paraId="52D86D71" w14:textId="77777777" w:rsidR="002A1DB4" w:rsidRDefault="002A1DB4" w:rsidP="00803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D2C9A" w14:textId="77777777" w:rsidR="0009100A" w:rsidRPr="00E626F6" w:rsidRDefault="0009100A" w:rsidP="0009100A">
    <w:pPr>
      <w:pStyle w:val="Rodap"/>
      <w:jc w:val="center"/>
      <w:rPr>
        <w:color w:val="222222"/>
        <w:sz w:val="16"/>
        <w:szCs w:val="16"/>
        <w:shd w:val="clear" w:color="auto" w:fill="FFFFFF"/>
      </w:rPr>
    </w:pPr>
    <w:r w:rsidRPr="00E626F6">
      <w:rPr>
        <w:color w:val="222222"/>
        <w:sz w:val="16"/>
        <w:szCs w:val="16"/>
        <w:shd w:val="clear" w:color="auto" w:fill="FFFFFF"/>
      </w:rPr>
      <w:t>Praça Jurandir Camilo Boa Ventura s/n - Centro, Planaltina - GO, 73750-970</w:t>
    </w:r>
  </w:p>
  <w:p w14:paraId="6D94F9E4" w14:textId="77777777" w:rsidR="0009100A" w:rsidRPr="00E626F6" w:rsidRDefault="0009100A" w:rsidP="0009100A">
    <w:pPr>
      <w:pStyle w:val="Rodap"/>
      <w:jc w:val="center"/>
      <w:rPr>
        <w:sz w:val="18"/>
        <w:szCs w:val="18"/>
      </w:rPr>
    </w:pPr>
    <w:r w:rsidRPr="00E626F6">
      <w:rPr>
        <w:color w:val="222222"/>
        <w:sz w:val="16"/>
        <w:szCs w:val="16"/>
        <w:shd w:val="clear" w:color="auto" w:fill="FFFFFF"/>
      </w:rPr>
      <w:t xml:space="preserve">Email: </w:t>
    </w:r>
    <w:hyperlink r:id="rId1" w:history="1">
      <w:r w:rsidR="00CB483B" w:rsidRPr="000F2EB8">
        <w:rPr>
          <w:rStyle w:val="Hyperlink"/>
          <w:sz w:val="18"/>
          <w:szCs w:val="18"/>
          <w:shd w:val="clear" w:color="auto" w:fill="FFFFFF"/>
        </w:rPr>
        <w:t>saude@planaltina.go.gov.br</w:t>
      </w:r>
    </w:hyperlink>
    <w:r w:rsidRPr="00E626F6">
      <w:rPr>
        <w:color w:val="222222"/>
        <w:sz w:val="16"/>
        <w:szCs w:val="16"/>
        <w:shd w:val="clear" w:color="auto" w:fill="FFFFFF"/>
      </w:rPr>
      <w:t>/ Telefone: 0800 000 3895 / 61</w:t>
    </w:r>
    <w:r w:rsidRPr="00E626F6">
      <w:rPr>
        <w:color w:val="303234"/>
        <w:sz w:val="16"/>
        <w:szCs w:val="16"/>
        <w:shd w:val="clear" w:color="auto" w:fill="FFFFFF"/>
      </w:rPr>
      <w:t xml:space="preserve"> 3774 0234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A8DF8" w14:textId="77777777" w:rsidR="002A1DB4" w:rsidRDefault="002A1DB4" w:rsidP="008034C4">
      <w:pPr>
        <w:spacing w:after="0" w:line="240" w:lineRule="auto"/>
      </w:pPr>
      <w:r>
        <w:separator/>
      </w:r>
    </w:p>
  </w:footnote>
  <w:footnote w:type="continuationSeparator" w:id="0">
    <w:p w14:paraId="61E6BE54" w14:textId="77777777" w:rsidR="002A1DB4" w:rsidRDefault="002A1DB4" w:rsidP="008034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89FFC" w14:textId="77777777" w:rsidR="0009100A" w:rsidRPr="00DC6581" w:rsidRDefault="0009100A" w:rsidP="0009100A">
    <w:pPr>
      <w:pStyle w:val="Cabealho"/>
      <w:jc w:val="center"/>
    </w:pPr>
    <w:bookmarkStart w:id="0" w:name="_Hlk206419568"/>
    <w:r>
      <w:rPr>
        <w:noProof/>
        <w:lang w:val="pt-BR" w:eastAsia="pt-BR"/>
      </w:rPr>
      <w:drawing>
        <wp:anchor distT="0" distB="0" distL="114300" distR="114300" simplePos="0" relativeHeight="251657216" behindDoc="1" locked="0" layoutInCell="1" allowOverlap="1" wp14:anchorId="0F0CE3C7" wp14:editId="7C8AF56C">
          <wp:simplePos x="0" y="0"/>
          <wp:positionH relativeFrom="column">
            <wp:posOffset>4467860</wp:posOffset>
          </wp:positionH>
          <wp:positionV relativeFrom="paragraph">
            <wp:posOffset>-135890</wp:posOffset>
          </wp:positionV>
          <wp:extent cx="698500" cy="752475"/>
          <wp:effectExtent l="0" t="0" r="6350" b="9525"/>
          <wp:wrapNone/>
          <wp:docPr id="300566297"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a:extLst>
                      <a:ext uri="{28A0092B-C50C-407E-A947-70E740481C1C}">
                        <a14:useLocalDpi xmlns:a14="http://schemas.microsoft.com/office/drawing/2010/main" val="0"/>
                      </a:ext>
                    </a:extLst>
                  </a:blip>
                  <a:srcRect/>
                  <a:stretch>
                    <a:fillRect/>
                  </a:stretch>
                </pic:blipFill>
                <pic:spPr>
                  <a:xfrm>
                    <a:off x="0" y="0"/>
                    <a:ext cx="698500" cy="752475"/>
                  </a:xfrm>
                  <a:prstGeom prst="rect">
                    <a:avLst/>
                  </a:prstGeom>
                  <a:ln/>
                </pic:spPr>
              </pic:pic>
            </a:graphicData>
          </a:graphic>
          <wp14:sizeRelH relativeFrom="page">
            <wp14:pctWidth>0</wp14:pctWidth>
          </wp14:sizeRelH>
          <wp14:sizeRelV relativeFrom="page">
            <wp14:pctHeight>0</wp14:pctHeight>
          </wp14:sizeRelV>
        </wp:anchor>
      </w:drawing>
    </w:r>
    <w:r>
      <w:rPr>
        <w:noProof/>
        <w:lang w:val="pt-BR" w:eastAsia="pt-BR"/>
      </w:rPr>
      <w:drawing>
        <wp:anchor distT="114300" distB="114300" distL="114300" distR="114300" simplePos="0" relativeHeight="251659264" behindDoc="0" locked="0" layoutInCell="1" hidden="0" allowOverlap="1" wp14:anchorId="79F62FE9" wp14:editId="7498EB43">
          <wp:simplePos x="0" y="0"/>
          <wp:positionH relativeFrom="margin">
            <wp:posOffset>743585</wp:posOffset>
          </wp:positionH>
          <wp:positionV relativeFrom="paragraph">
            <wp:posOffset>-50165</wp:posOffset>
          </wp:positionV>
          <wp:extent cx="714375" cy="685800"/>
          <wp:effectExtent l="0" t="0" r="9525" b="0"/>
          <wp:wrapNone/>
          <wp:docPr id="4931448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14375" cy="685800"/>
                  </a:xfrm>
                  <a:prstGeom prst="rect">
                    <a:avLst/>
                  </a:prstGeom>
                  <a:ln/>
                </pic:spPr>
              </pic:pic>
            </a:graphicData>
          </a:graphic>
          <wp14:sizeRelH relativeFrom="margin">
            <wp14:pctWidth>0</wp14:pctWidth>
          </wp14:sizeRelH>
          <wp14:sizeRelV relativeFrom="margin">
            <wp14:pctHeight>0</wp14:pctHeight>
          </wp14:sizeRelV>
        </wp:anchor>
      </w:drawing>
    </w:r>
    <w:r w:rsidRPr="00DC6581">
      <w:t>Estado de Goiás</w:t>
    </w:r>
  </w:p>
  <w:p w14:paraId="395E451D" w14:textId="77777777" w:rsidR="0009100A" w:rsidRDefault="0009100A" w:rsidP="0009100A">
    <w:pPr>
      <w:pStyle w:val="Cabealho"/>
      <w:jc w:val="center"/>
      <w:rPr>
        <w:noProof/>
      </w:rPr>
    </w:pPr>
    <w:r w:rsidRPr="00DC6581">
      <w:t>Município de Planaltina</w:t>
    </w:r>
    <w:r w:rsidRPr="00406BF5">
      <w:rPr>
        <w:noProof/>
      </w:rPr>
      <w:t xml:space="preserve"> </w:t>
    </w:r>
  </w:p>
  <w:p w14:paraId="708E36B5" w14:textId="77777777" w:rsidR="0009100A" w:rsidRDefault="0009100A" w:rsidP="0009100A">
    <w:pPr>
      <w:pStyle w:val="Cabealho"/>
      <w:jc w:val="center"/>
      <w:rPr>
        <w:noProof/>
      </w:rPr>
    </w:pPr>
    <w:r w:rsidRPr="002B1CE9">
      <w:t xml:space="preserve">Secretaria Municipal de </w:t>
    </w:r>
    <w:r>
      <w:t>Saúde</w:t>
    </w:r>
  </w:p>
  <w:p w14:paraId="1AD5C168" w14:textId="77777777" w:rsidR="0009100A" w:rsidRDefault="0009100A" w:rsidP="0009100A">
    <w:pPr>
      <w:pStyle w:val="Cabealho"/>
      <w:pBdr>
        <w:bottom w:val="single" w:sz="12" w:space="1" w:color="auto"/>
      </w:pBdr>
      <w:jc w:val="center"/>
    </w:pPr>
  </w:p>
  <w:bookmarkEnd w:id="0"/>
  <w:p w14:paraId="15696BCE" w14:textId="77777777" w:rsidR="0009100A" w:rsidRDefault="0009100A" w:rsidP="000910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9E8"/>
    <w:multiLevelType w:val="hybridMultilevel"/>
    <w:tmpl w:val="EEF00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35681A"/>
    <w:multiLevelType w:val="multilevel"/>
    <w:tmpl w:val="DA88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86AFA"/>
    <w:multiLevelType w:val="hybridMultilevel"/>
    <w:tmpl w:val="72C685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425FDF"/>
    <w:multiLevelType w:val="hybridMultilevel"/>
    <w:tmpl w:val="6A4A13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076A02"/>
    <w:multiLevelType w:val="hybridMultilevel"/>
    <w:tmpl w:val="3C609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A40389"/>
    <w:multiLevelType w:val="hybridMultilevel"/>
    <w:tmpl w:val="7F9890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E075974"/>
    <w:multiLevelType w:val="hybridMultilevel"/>
    <w:tmpl w:val="EFB470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9F726A"/>
    <w:multiLevelType w:val="hybridMultilevel"/>
    <w:tmpl w:val="B4BAF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379301A"/>
    <w:multiLevelType w:val="hybridMultilevel"/>
    <w:tmpl w:val="712E95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69747EC"/>
    <w:multiLevelType w:val="multilevel"/>
    <w:tmpl w:val="B8E4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FB4F2B"/>
    <w:multiLevelType w:val="hybridMultilevel"/>
    <w:tmpl w:val="F6769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97304DE"/>
    <w:multiLevelType w:val="hybridMultilevel"/>
    <w:tmpl w:val="CC126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F510AE7"/>
    <w:multiLevelType w:val="hybridMultilevel"/>
    <w:tmpl w:val="E430AE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FA70ADB"/>
    <w:multiLevelType w:val="hybridMultilevel"/>
    <w:tmpl w:val="B3F681B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22512AB1"/>
    <w:multiLevelType w:val="multilevel"/>
    <w:tmpl w:val="FCF4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F545A0"/>
    <w:multiLevelType w:val="multilevel"/>
    <w:tmpl w:val="BD44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A7B64"/>
    <w:multiLevelType w:val="hybridMultilevel"/>
    <w:tmpl w:val="D7B84B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315B3D"/>
    <w:multiLevelType w:val="hybridMultilevel"/>
    <w:tmpl w:val="E5D26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0C528E3"/>
    <w:multiLevelType w:val="hybridMultilevel"/>
    <w:tmpl w:val="8488DC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1F536CF"/>
    <w:multiLevelType w:val="hybridMultilevel"/>
    <w:tmpl w:val="C604050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0" w15:restartNumberingAfterBreak="0">
    <w:nsid w:val="35524339"/>
    <w:multiLevelType w:val="hybridMultilevel"/>
    <w:tmpl w:val="54FE2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6EC296D"/>
    <w:multiLevelType w:val="hybridMultilevel"/>
    <w:tmpl w:val="CE96D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A202510"/>
    <w:multiLevelType w:val="hybridMultilevel"/>
    <w:tmpl w:val="00E49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826071"/>
    <w:multiLevelType w:val="hybridMultilevel"/>
    <w:tmpl w:val="2E107D0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43241086"/>
    <w:multiLevelType w:val="multilevel"/>
    <w:tmpl w:val="2A6E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A9193D"/>
    <w:multiLevelType w:val="multilevel"/>
    <w:tmpl w:val="DAD2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CE2831"/>
    <w:multiLevelType w:val="hybridMultilevel"/>
    <w:tmpl w:val="84FEA600"/>
    <w:lvl w:ilvl="0" w:tplc="B4721428">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805F8F"/>
    <w:multiLevelType w:val="hybridMultilevel"/>
    <w:tmpl w:val="0472F5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71F29E0"/>
    <w:multiLevelType w:val="multilevel"/>
    <w:tmpl w:val="43F0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F922AE"/>
    <w:multiLevelType w:val="hybridMultilevel"/>
    <w:tmpl w:val="04C42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D6159EF"/>
    <w:multiLevelType w:val="hybridMultilevel"/>
    <w:tmpl w:val="29F8735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4E320E15"/>
    <w:multiLevelType w:val="hybridMultilevel"/>
    <w:tmpl w:val="DDD4A0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1F441D5"/>
    <w:multiLevelType w:val="hybridMultilevel"/>
    <w:tmpl w:val="9A24D4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A623440"/>
    <w:multiLevelType w:val="multilevel"/>
    <w:tmpl w:val="844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2A3110"/>
    <w:multiLevelType w:val="hybridMultilevel"/>
    <w:tmpl w:val="E3E67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B5E65FB"/>
    <w:multiLevelType w:val="hybridMultilevel"/>
    <w:tmpl w:val="1FE61A6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6" w15:restartNumberingAfterBreak="0">
    <w:nsid w:val="5BC97690"/>
    <w:multiLevelType w:val="hybridMultilevel"/>
    <w:tmpl w:val="7C346B3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7" w15:restartNumberingAfterBreak="0">
    <w:nsid w:val="5C5F6BEE"/>
    <w:multiLevelType w:val="hybridMultilevel"/>
    <w:tmpl w:val="962C8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1F00DBE"/>
    <w:multiLevelType w:val="multilevel"/>
    <w:tmpl w:val="D56A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6E6B87"/>
    <w:multiLevelType w:val="hybridMultilevel"/>
    <w:tmpl w:val="CE3A425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0" w15:restartNumberingAfterBreak="0">
    <w:nsid w:val="63114727"/>
    <w:multiLevelType w:val="multilevel"/>
    <w:tmpl w:val="DA1E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E33E54"/>
    <w:multiLevelType w:val="multilevel"/>
    <w:tmpl w:val="D74C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4141B7"/>
    <w:multiLevelType w:val="hybridMultilevel"/>
    <w:tmpl w:val="A3962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61E490F"/>
    <w:multiLevelType w:val="hybridMultilevel"/>
    <w:tmpl w:val="0EC4D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76E3DD9"/>
    <w:multiLevelType w:val="hybridMultilevel"/>
    <w:tmpl w:val="1A28D0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8000522"/>
    <w:multiLevelType w:val="hybridMultilevel"/>
    <w:tmpl w:val="243C72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B57373A"/>
    <w:multiLevelType w:val="hybridMultilevel"/>
    <w:tmpl w:val="BE8EFB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08E48F6"/>
    <w:multiLevelType w:val="hybridMultilevel"/>
    <w:tmpl w:val="741819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0F54251"/>
    <w:multiLevelType w:val="hybridMultilevel"/>
    <w:tmpl w:val="B10C8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1B73F76"/>
    <w:multiLevelType w:val="hybridMultilevel"/>
    <w:tmpl w:val="AAF629D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0" w15:restartNumberingAfterBreak="0">
    <w:nsid w:val="71C43A3F"/>
    <w:multiLevelType w:val="multilevel"/>
    <w:tmpl w:val="7040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F444BB"/>
    <w:multiLevelType w:val="hybridMultilevel"/>
    <w:tmpl w:val="FAD07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7626730D"/>
    <w:multiLevelType w:val="hybridMultilevel"/>
    <w:tmpl w:val="373ED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7820371F"/>
    <w:multiLevelType w:val="hybridMultilevel"/>
    <w:tmpl w:val="E42C20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4" w15:restartNumberingAfterBreak="0">
    <w:nsid w:val="7A073EF9"/>
    <w:multiLevelType w:val="hybridMultilevel"/>
    <w:tmpl w:val="4802E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A6841F6"/>
    <w:multiLevelType w:val="hybridMultilevel"/>
    <w:tmpl w:val="89E6A3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22099549">
    <w:abstractNumId w:val="21"/>
  </w:num>
  <w:num w:numId="2" w16cid:durableId="777288572">
    <w:abstractNumId w:val="2"/>
  </w:num>
  <w:num w:numId="3" w16cid:durableId="2138444718">
    <w:abstractNumId w:val="34"/>
  </w:num>
  <w:num w:numId="4" w16cid:durableId="2018190787">
    <w:abstractNumId w:val="51"/>
  </w:num>
  <w:num w:numId="5" w16cid:durableId="1333291439">
    <w:abstractNumId w:val="42"/>
  </w:num>
  <w:num w:numId="6" w16cid:durableId="1106850545">
    <w:abstractNumId w:val="43"/>
  </w:num>
  <w:num w:numId="7" w16cid:durableId="1607034426">
    <w:abstractNumId w:val="16"/>
  </w:num>
  <w:num w:numId="8" w16cid:durableId="133960027">
    <w:abstractNumId w:val="6"/>
  </w:num>
  <w:num w:numId="9" w16cid:durableId="156266272">
    <w:abstractNumId w:val="20"/>
  </w:num>
  <w:num w:numId="10" w16cid:durableId="1074201042">
    <w:abstractNumId w:val="3"/>
  </w:num>
  <w:num w:numId="11" w16cid:durableId="737091783">
    <w:abstractNumId w:val="54"/>
  </w:num>
  <w:num w:numId="12" w16cid:durableId="636497576">
    <w:abstractNumId w:val="32"/>
  </w:num>
  <w:num w:numId="13" w16cid:durableId="890535360">
    <w:abstractNumId w:val="12"/>
  </w:num>
  <w:num w:numId="14" w16cid:durableId="285697874">
    <w:abstractNumId w:val="11"/>
  </w:num>
  <w:num w:numId="15" w16cid:durableId="1508061922">
    <w:abstractNumId w:val="18"/>
  </w:num>
  <w:num w:numId="16" w16cid:durableId="864708421">
    <w:abstractNumId w:val="22"/>
  </w:num>
  <w:num w:numId="17" w16cid:durableId="197013377">
    <w:abstractNumId w:val="4"/>
  </w:num>
  <w:num w:numId="18" w16cid:durableId="994184969">
    <w:abstractNumId w:val="48"/>
  </w:num>
  <w:num w:numId="19" w16cid:durableId="1627808278">
    <w:abstractNumId w:val="52"/>
  </w:num>
  <w:num w:numId="20" w16cid:durableId="1880825157">
    <w:abstractNumId w:val="0"/>
  </w:num>
  <w:num w:numId="21" w16cid:durableId="1803575556">
    <w:abstractNumId w:val="29"/>
  </w:num>
  <w:num w:numId="22" w16cid:durableId="1352535911">
    <w:abstractNumId w:val="26"/>
  </w:num>
  <w:num w:numId="23" w16cid:durableId="1189173068">
    <w:abstractNumId w:val="5"/>
  </w:num>
  <w:num w:numId="24" w16cid:durableId="149296522">
    <w:abstractNumId w:val="53"/>
  </w:num>
  <w:num w:numId="25" w16cid:durableId="1571883556">
    <w:abstractNumId w:val="10"/>
  </w:num>
  <w:num w:numId="26" w16cid:durableId="727723852">
    <w:abstractNumId w:val="39"/>
  </w:num>
  <w:num w:numId="27" w16cid:durableId="2078550404">
    <w:abstractNumId w:val="47"/>
  </w:num>
  <w:num w:numId="28" w16cid:durableId="402143787">
    <w:abstractNumId w:val="55"/>
  </w:num>
  <w:num w:numId="29" w16cid:durableId="1111050876">
    <w:abstractNumId w:val="7"/>
  </w:num>
  <w:num w:numId="30" w16cid:durableId="1752197863">
    <w:abstractNumId w:val="27"/>
  </w:num>
  <w:num w:numId="31" w16cid:durableId="94791848">
    <w:abstractNumId w:val="37"/>
  </w:num>
  <w:num w:numId="32" w16cid:durableId="84690895">
    <w:abstractNumId w:val="19"/>
  </w:num>
  <w:num w:numId="33" w16cid:durableId="428160946">
    <w:abstractNumId w:val="35"/>
  </w:num>
  <w:num w:numId="34" w16cid:durableId="298612329">
    <w:abstractNumId w:val="36"/>
  </w:num>
  <w:num w:numId="35" w16cid:durableId="1746414392">
    <w:abstractNumId w:val="46"/>
  </w:num>
  <w:num w:numId="36" w16cid:durableId="1785807684">
    <w:abstractNumId w:val="31"/>
  </w:num>
  <w:num w:numId="37" w16cid:durableId="590622941">
    <w:abstractNumId w:val="44"/>
  </w:num>
  <w:num w:numId="38" w16cid:durableId="1009598713">
    <w:abstractNumId w:val="49"/>
  </w:num>
  <w:num w:numId="39" w16cid:durableId="1783769880">
    <w:abstractNumId w:val="30"/>
  </w:num>
  <w:num w:numId="40" w16cid:durableId="1493984872">
    <w:abstractNumId w:val="8"/>
  </w:num>
  <w:num w:numId="41" w16cid:durableId="1667396574">
    <w:abstractNumId w:val="13"/>
  </w:num>
  <w:num w:numId="42" w16cid:durableId="1183665807">
    <w:abstractNumId w:val="23"/>
  </w:num>
  <w:num w:numId="43" w16cid:durableId="2090690109">
    <w:abstractNumId w:val="28"/>
  </w:num>
  <w:num w:numId="44" w16cid:durableId="215433682">
    <w:abstractNumId w:val="9"/>
  </w:num>
  <w:num w:numId="45" w16cid:durableId="1986005956">
    <w:abstractNumId w:val="15"/>
  </w:num>
  <w:num w:numId="46" w16cid:durableId="1616475861">
    <w:abstractNumId w:val="24"/>
  </w:num>
  <w:num w:numId="47" w16cid:durableId="1613052147">
    <w:abstractNumId w:val="41"/>
  </w:num>
  <w:num w:numId="48" w16cid:durableId="218175280">
    <w:abstractNumId w:val="33"/>
  </w:num>
  <w:num w:numId="49" w16cid:durableId="586034103">
    <w:abstractNumId w:val="38"/>
  </w:num>
  <w:num w:numId="50" w16cid:durableId="760102619">
    <w:abstractNumId w:val="1"/>
  </w:num>
  <w:num w:numId="51" w16cid:durableId="456266174">
    <w:abstractNumId w:val="14"/>
  </w:num>
  <w:num w:numId="52" w16cid:durableId="2071732488">
    <w:abstractNumId w:val="40"/>
  </w:num>
  <w:num w:numId="53" w16cid:durableId="369719651">
    <w:abstractNumId w:val="50"/>
  </w:num>
  <w:num w:numId="54" w16cid:durableId="1708604125">
    <w:abstractNumId w:val="25"/>
  </w:num>
  <w:num w:numId="55" w16cid:durableId="1015232323">
    <w:abstractNumId w:val="45"/>
  </w:num>
  <w:num w:numId="56" w16cid:durableId="1471901933">
    <w:abstractNumId w:val="1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17"/>
    <w:rsid w:val="00055DFB"/>
    <w:rsid w:val="00083376"/>
    <w:rsid w:val="0009100A"/>
    <w:rsid w:val="000B07CC"/>
    <w:rsid w:val="000C2CBC"/>
    <w:rsid w:val="00120D3C"/>
    <w:rsid w:val="001232B8"/>
    <w:rsid w:val="0013345F"/>
    <w:rsid w:val="0028783D"/>
    <w:rsid w:val="002A1DB4"/>
    <w:rsid w:val="002A586C"/>
    <w:rsid w:val="002B3537"/>
    <w:rsid w:val="002B5761"/>
    <w:rsid w:val="002D1453"/>
    <w:rsid w:val="0043733E"/>
    <w:rsid w:val="004A196D"/>
    <w:rsid w:val="004C7F97"/>
    <w:rsid w:val="0051003B"/>
    <w:rsid w:val="00531A06"/>
    <w:rsid w:val="00540908"/>
    <w:rsid w:val="00560876"/>
    <w:rsid w:val="00572B48"/>
    <w:rsid w:val="00577446"/>
    <w:rsid w:val="00603244"/>
    <w:rsid w:val="00631814"/>
    <w:rsid w:val="00651C10"/>
    <w:rsid w:val="006825F8"/>
    <w:rsid w:val="0072467A"/>
    <w:rsid w:val="007734A8"/>
    <w:rsid w:val="00797C40"/>
    <w:rsid w:val="007C0C5B"/>
    <w:rsid w:val="008034C4"/>
    <w:rsid w:val="008A39F7"/>
    <w:rsid w:val="008C4168"/>
    <w:rsid w:val="008C7A0D"/>
    <w:rsid w:val="008F05D1"/>
    <w:rsid w:val="00912E6E"/>
    <w:rsid w:val="00950EDC"/>
    <w:rsid w:val="00966451"/>
    <w:rsid w:val="009A1FEC"/>
    <w:rsid w:val="009C6E78"/>
    <w:rsid w:val="009D0A17"/>
    <w:rsid w:val="00A726CA"/>
    <w:rsid w:val="00A77BB5"/>
    <w:rsid w:val="00AF07B9"/>
    <w:rsid w:val="00B75795"/>
    <w:rsid w:val="00B921EF"/>
    <w:rsid w:val="00BF6A15"/>
    <w:rsid w:val="00C0258B"/>
    <w:rsid w:val="00C0733B"/>
    <w:rsid w:val="00CB483B"/>
    <w:rsid w:val="00CB7F95"/>
    <w:rsid w:val="00D865FC"/>
    <w:rsid w:val="00E11526"/>
    <w:rsid w:val="00E44E55"/>
    <w:rsid w:val="00E96365"/>
    <w:rsid w:val="00EC7395"/>
    <w:rsid w:val="00ED25B6"/>
    <w:rsid w:val="00ED49F9"/>
    <w:rsid w:val="00F52042"/>
    <w:rsid w:val="00F82FA8"/>
    <w:rsid w:val="00FF7F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05C51"/>
  <w15:docId w15:val="{04620AAC-DB48-400B-9555-B51647D6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865FC"/>
    <w:pPr>
      <w:keepNext/>
      <w:keepLines/>
      <w:widowControl w:val="0"/>
      <w:autoSpaceDE w:val="0"/>
      <w:autoSpaceDN w:val="0"/>
      <w:spacing w:before="360" w:after="80" w:line="240" w:lineRule="auto"/>
      <w:outlineLvl w:val="0"/>
    </w:pPr>
    <w:rPr>
      <w:rFonts w:asciiTheme="majorHAnsi" w:eastAsiaTheme="majorEastAsia" w:hAnsiTheme="majorHAnsi" w:cstheme="majorBidi"/>
      <w:color w:val="365F91" w:themeColor="accent1" w:themeShade="BF"/>
      <w:sz w:val="40"/>
      <w:szCs w:val="40"/>
      <w:lang w:val="pt-PT"/>
    </w:rPr>
  </w:style>
  <w:style w:type="paragraph" w:styleId="Ttulo2">
    <w:name w:val="heading 2"/>
    <w:basedOn w:val="Normal"/>
    <w:next w:val="Normal"/>
    <w:link w:val="Ttulo2Char"/>
    <w:uiPriority w:val="9"/>
    <w:unhideWhenUsed/>
    <w:qFormat/>
    <w:rsid w:val="009D0A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9"/>
    <w:qFormat/>
    <w:rsid w:val="009D0A17"/>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9D0A17"/>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uiPriority w:val="9"/>
    <w:semiHidden/>
    <w:unhideWhenUsed/>
    <w:qFormat/>
    <w:rsid w:val="00D865FC"/>
    <w:pPr>
      <w:keepNext/>
      <w:keepLines/>
      <w:widowControl w:val="0"/>
      <w:autoSpaceDE w:val="0"/>
      <w:autoSpaceDN w:val="0"/>
      <w:spacing w:before="80" w:after="40" w:line="240" w:lineRule="auto"/>
      <w:outlineLvl w:val="4"/>
    </w:pPr>
    <w:rPr>
      <w:rFonts w:ascii="Arial MT" w:eastAsiaTheme="majorEastAsia" w:hAnsi="Arial MT" w:cstheme="majorBidi"/>
      <w:color w:val="365F91" w:themeColor="accent1" w:themeShade="BF"/>
      <w:lang w:val="pt-PT"/>
    </w:rPr>
  </w:style>
  <w:style w:type="paragraph" w:styleId="Ttulo6">
    <w:name w:val="heading 6"/>
    <w:basedOn w:val="Normal"/>
    <w:next w:val="Normal"/>
    <w:link w:val="Ttulo6Char"/>
    <w:uiPriority w:val="9"/>
    <w:semiHidden/>
    <w:unhideWhenUsed/>
    <w:qFormat/>
    <w:rsid w:val="00D865FC"/>
    <w:pPr>
      <w:keepNext/>
      <w:keepLines/>
      <w:widowControl w:val="0"/>
      <w:autoSpaceDE w:val="0"/>
      <w:autoSpaceDN w:val="0"/>
      <w:spacing w:before="40" w:after="0" w:line="240" w:lineRule="auto"/>
      <w:outlineLvl w:val="5"/>
    </w:pPr>
    <w:rPr>
      <w:rFonts w:ascii="Arial MT" w:eastAsiaTheme="majorEastAsia" w:hAnsi="Arial MT" w:cstheme="majorBidi"/>
      <w:i/>
      <w:iCs/>
      <w:color w:val="595959" w:themeColor="text1" w:themeTint="A6"/>
      <w:lang w:val="pt-PT"/>
    </w:rPr>
  </w:style>
  <w:style w:type="paragraph" w:styleId="Ttulo7">
    <w:name w:val="heading 7"/>
    <w:basedOn w:val="Normal"/>
    <w:next w:val="Normal"/>
    <w:link w:val="Ttulo7Char"/>
    <w:uiPriority w:val="9"/>
    <w:semiHidden/>
    <w:unhideWhenUsed/>
    <w:qFormat/>
    <w:rsid w:val="00D865FC"/>
    <w:pPr>
      <w:keepNext/>
      <w:keepLines/>
      <w:widowControl w:val="0"/>
      <w:autoSpaceDE w:val="0"/>
      <w:autoSpaceDN w:val="0"/>
      <w:spacing w:before="40" w:after="0" w:line="240" w:lineRule="auto"/>
      <w:outlineLvl w:val="6"/>
    </w:pPr>
    <w:rPr>
      <w:rFonts w:ascii="Arial MT" w:eastAsiaTheme="majorEastAsia" w:hAnsi="Arial MT" w:cstheme="majorBidi"/>
      <w:color w:val="595959" w:themeColor="text1" w:themeTint="A6"/>
      <w:lang w:val="pt-PT"/>
    </w:rPr>
  </w:style>
  <w:style w:type="paragraph" w:styleId="Ttulo8">
    <w:name w:val="heading 8"/>
    <w:basedOn w:val="Normal"/>
    <w:next w:val="Normal"/>
    <w:link w:val="Ttulo8Char"/>
    <w:uiPriority w:val="9"/>
    <w:semiHidden/>
    <w:unhideWhenUsed/>
    <w:qFormat/>
    <w:rsid w:val="00D865FC"/>
    <w:pPr>
      <w:keepNext/>
      <w:keepLines/>
      <w:widowControl w:val="0"/>
      <w:autoSpaceDE w:val="0"/>
      <w:autoSpaceDN w:val="0"/>
      <w:spacing w:after="0" w:line="240" w:lineRule="auto"/>
      <w:outlineLvl w:val="7"/>
    </w:pPr>
    <w:rPr>
      <w:rFonts w:ascii="Arial MT" w:eastAsiaTheme="majorEastAsia" w:hAnsi="Arial MT"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D865FC"/>
    <w:pPr>
      <w:keepNext/>
      <w:keepLines/>
      <w:widowControl w:val="0"/>
      <w:autoSpaceDE w:val="0"/>
      <w:autoSpaceDN w:val="0"/>
      <w:spacing w:after="0" w:line="240" w:lineRule="auto"/>
      <w:outlineLvl w:val="8"/>
    </w:pPr>
    <w:rPr>
      <w:rFonts w:ascii="Arial MT" w:eastAsiaTheme="majorEastAsia" w:hAnsi="Arial MT"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9D0A17"/>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9D0A17"/>
    <w:rPr>
      <w:rFonts w:ascii="Times New Roman" w:eastAsia="Times New Roman" w:hAnsi="Times New Roman" w:cs="Times New Roman"/>
      <w:b/>
      <w:bCs/>
      <w:sz w:val="24"/>
      <w:szCs w:val="24"/>
      <w:lang w:eastAsia="pt-BR"/>
    </w:rPr>
  </w:style>
  <w:style w:type="paragraph" w:styleId="NormalWeb">
    <w:name w:val="Normal (Web)"/>
    <w:basedOn w:val="Normal"/>
    <w:uiPriority w:val="99"/>
    <w:unhideWhenUsed/>
    <w:rsid w:val="009D0A1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D0A17"/>
    <w:rPr>
      <w:b/>
      <w:bCs/>
    </w:rPr>
  </w:style>
  <w:style w:type="character" w:customStyle="1" w:styleId="Ttulo2Char">
    <w:name w:val="Título 2 Char"/>
    <w:basedOn w:val="Fontepargpadro"/>
    <w:link w:val="Ttulo2"/>
    <w:uiPriority w:val="9"/>
    <w:rsid w:val="009D0A17"/>
    <w:rPr>
      <w:rFonts w:asciiTheme="majorHAnsi" w:eastAsiaTheme="majorEastAsia" w:hAnsiTheme="majorHAnsi" w:cstheme="majorBidi"/>
      <w:b/>
      <w:bCs/>
      <w:color w:val="4F81BD" w:themeColor="accent1"/>
      <w:sz w:val="26"/>
      <w:szCs w:val="26"/>
    </w:rPr>
  </w:style>
  <w:style w:type="character" w:styleId="nfase">
    <w:name w:val="Emphasis"/>
    <w:basedOn w:val="Fontepargpadro"/>
    <w:uiPriority w:val="20"/>
    <w:qFormat/>
    <w:rsid w:val="009D0A17"/>
    <w:rPr>
      <w:i/>
      <w:iCs/>
    </w:rPr>
  </w:style>
  <w:style w:type="character" w:customStyle="1" w:styleId="Ttulo1Char">
    <w:name w:val="Título 1 Char"/>
    <w:basedOn w:val="Fontepargpadro"/>
    <w:link w:val="Ttulo1"/>
    <w:uiPriority w:val="9"/>
    <w:rsid w:val="00D865FC"/>
    <w:rPr>
      <w:rFonts w:asciiTheme="majorHAnsi" w:eastAsiaTheme="majorEastAsia" w:hAnsiTheme="majorHAnsi" w:cstheme="majorBidi"/>
      <w:color w:val="365F91" w:themeColor="accent1" w:themeShade="BF"/>
      <w:sz w:val="40"/>
      <w:szCs w:val="40"/>
      <w:lang w:val="pt-PT"/>
    </w:rPr>
  </w:style>
  <w:style w:type="character" w:customStyle="1" w:styleId="Ttulo5Char">
    <w:name w:val="Título 5 Char"/>
    <w:basedOn w:val="Fontepargpadro"/>
    <w:link w:val="Ttulo5"/>
    <w:uiPriority w:val="9"/>
    <w:semiHidden/>
    <w:rsid w:val="00D865FC"/>
    <w:rPr>
      <w:rFonts w:ascii="Arial MT" w:eastAsiaTheme="majorEastAsia" w:hAnsi="Arial MT" w:cstheme="majorBidi"/>
      <w:color w:val="365F91" w:themeColor="accent1" w:themeShade="BF"/>
      <w:lang w:val="pt-PT"/>
    </w:rPr>
  </w:style>
  <w:style w:type="character" w:customStyle="1" w:styleId="Ttulo6Char">
    <w:name w:val="Título 6 Char"/>
    <w:basedOn w:val="Fontepargpadro"/>
    <w:link w:val="Ttulo6"/>
    <w:uiPriority w:val="9"/>
    <w:semiHidden/>
    <w:rsid w:val="00D865FC"/>
    <w:rPr>
      <w:rFonts w:ascii="Arial MT" w:eastAsiaTheme="majorEastAsia" w:hAnsi="Arial MT" w:cstheme="majorBidi"/>
      <w:i/>
      <w:iCs/>
      <w:color w:val="595959" w:themeColor="text1" w:themeTint="A6"/>
      <w:lang w:val="pt-PT"/>
    </w:rPr>
  </w:style>
  <w:style w:type="character" w:customStyle="1" w:styleId="Ttulo7Char">
    <w:name w:val="Título 7 Char"/>
    <w:basedOn w:val="Fontepargpadro"/>
    <w:link w:val="Ttulo7"/>
    <w:uiPriority w:val="9"/>
    <w:semiHidden/>
    <w:rsid w:val="00D865FC"/>
    <w:rPr>
      <w:rFonts w:ascii="Arial MT" w:eastAsiaTheme="majorEastAsia" w:hAnsi="Arial MT" w:cstheme="majorBidi"/>
      <w:color w:val="595959" w:themeColor="text1" w:themeTint="A6"/>
      <w:lang w:val="pt-PT"/>
    </w:rPr>
  </w:style>
  <w:style w:type="character" w:customStyle="1" w:styleId="Ttulo8Char">
    <w:name w:val="Título 8 Char"/>
    <w:basedOn w:val="Fontepargpadro"/>
    <w:link w:val="Ttulo8"/>
    <w:uiPriority w:val="9"/>
    <w:semiHidden/>
    <w:rsid w:val="00D865FC"/>
    <w:rPr>
      <w:rFonts w:ascii="Arial MT" w:eastAsiaTheme="majorEastAsia" w:hAnsi="Arial MT" w:cstheme="majorBidi"/>
      <w:i/>
      <w:iCs/>
      <w:color w:val="272727" w:themeColor="text1" w:themeTint="D8"/>
      <w:lang w:val="pt-PT"/>
    </w:rPr>
  </w:style>
  <w:style w:type="character" w:customStyle="1" w:styleId="Ttulo9Char">
    <w:name w:val="Título 9 Char"/>
    <w:basedOn w:val="Fontepargpadro"/>
    <w:link w:val="Ttulo9"/>
    <w:uiPriority w:val="9"/>
    <w:semiHidden/>
    <w:rsid w:val="00D865FC"/>
    <w:rPr>
      <w:rFonts w:ascii="Arial MT" w:eastAsiaTheme="majorEastAsia" w:hAnsi="Arial MT" w:cstheme="majorBidi"/>
      <w:color w:val="272727" w:themeColor="text1" w:themeTint="D8"/>
      <w:lang w:val="pt-PT"/>
    </w:rPr>
  </w:style>
  <w:style w:type="paragraph" w:styleId="Ttulo">
    <w:name w:val="Title"/>
    <w:basedOn w:val="Normal"/>
    <w:next w:val="Normal"/>
    <w:link w:val="TtuloChar"/>
    <w:uiPriority w:val="10"/>
    <w:qFormat/>
    <w:rsid w:val="00D865FC"/>
    <w:pPr>
      <w:widowControl w:val="0"/>
      <w:autoSpaceDE w:val="0"/>
      <w:autoSpaceDN w:val="0"/>
      <w:spacing w:after="80" w:line="240" w:lineRule="auto"/>
      <w:contextualSpacing/>
    </w:pPr>
    <w:rPr>
      <w:rFonts w:asciiTheme="majorHAnsi" w:eastAsiaTheme="majorEastAsia" w:hAnsiTheme="majorHAnsi" w:cstheme="majorBidi"/>
      <w:spacing w:val="-10"/>
      <w:kern w:val="28"/>
      <w:sz w:val="56"/>
      <w:szCs w:val="56"/>
      <w:lang w:val="pt-PT"/>
    </w:rPr>
  </w:style>
  <w:style w:type="character" w:customStyle="1" w:styleId="TtuloChar">
    <w:name w:val="Título Char"/>
    <w:basedOn w:val="Fontepargpadro"/>
    <w:link w:val="Ttulo"/>
    <w:uiPriority w:val="10"/>
    <w:rsid w:val="00D865FC"/>
    <w:rPr>
      <w:rFonts w:asciiTheme="majorHAnsi" w:eastAsiaTheme="majorEastAsia" w:hAnsiTheme="majorHAnsi" w:cstheme="majorBidi"/>
      <w:spacing w:val="-10"/>
      <w:kern w:val="28"/>
      <w:sz w:val="56"/>
      <w:szCs w:val="56"/>
      <w:lang w:val="pt-PT"/>
    </w:rPr>
  </w:style>
  <w:style w:type="paragraph" w:styleId="Subttulo">
    <w:name w:val="Subtitle"/>
    <w:basedOn w:val="Normal"/>
    <w:next w:val="Normal"/>
    <w:link w:val="SubttuloChar"/>
    <w:uiPriority w:val="11"/>
    <w:qFormat/>
    <w:rsid w:val="00D865FC"/>
    <w:pPr>
      <w:widowControl w:val="0"/>
      <w:numPr>
        <w:ilvl w:val="1"/>
      </w:numPr>
      <w:autoSpaceDE w:val="0"/>
      <w:autoSpaceDN w:val="0"/>
      <w:spacing w:after="0" w:line="240" w:lineRule="auto"/>
    </w:pPr>
    <w:rPr>
      <w:rFonts w:ascii="Arial MT" w:eastAsiaTheme="majorEastAsia" w:hAnsi="Arial MT" w:cstheme="majorBidi"/>
      <w:color w:val="595959" w:themeColor="text1" w:themeTint="A6"/>
      <w:spacing w:val="15"/>
      <w:sz w:val="28"/>
      <w:szCs w:val="28"/>
      <w:lang w:val="pt-PT"/>
    </w:rPr>
  </w:style>
  <w:style w:type="character" w:customStyle="1" w:styleId="SubttuloChar">
    <w:name w:val="Subtítulo Char"/>
    <w:basedOn w:val="Fontepargpadro"/>
    <w:link w:val="Subttulo"/>
    <w:uiPriority w:val="11"/>
    <w:rsid w:val="00D865FC"/>
    <w:rPr>
      <w:rFonts w:ascii="Arial MT" w:eastAsiaTheme="majorEastAsia" w:hAnsi="Arial MT"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D865FC"/>
    <w:pPr>
      <w:widowControl w:val="0"/>
      <w:autoSpaceDE w:val="0"/>
      <w:autoSpaceDN w:val="0"/>
      <w:spacing w:before="160" w:after="0" w:line="240" w:lineRule="auto"/>
      <w:jc w:val="center"/>
    </w:pPr>
    <w:rPr>
      <w:rFonts w:ascii="Arial MT" w:eastAsia="Arial MT" w:hAnsi="Arial MT" w:cs="Arial MT"/>
      <w:i/>
      <w:iCs/>
      <w:color w:val="404040" w:themeColor="text1" w:themeTint="BF"/>
      <w:lang w:val="pt-PT"/>
    </w:rPr>
  </w:style>
  <w:style w:type="character" w:customStyle="1" w:styleId="CitaoChar">
    <w:name w:val="Citação Char"/>
    <w:basedOn w:val="Fontepargpadro"/>
    <w:link w:val="Citao"/>
    <w:uiPriority w:val="29"/>
    <w:rsid w:val="00D865FC"/>
    <w:rPr>
      <w:rFonts w:ascii="Arial MT" w:eastAsia="Arial MT" w:hAnsi="Arial MT" w:cs="Arial MT"/>
      <w:i/>
      <w:iCs/>
      <w:color w:val="404040" w:themeColor="text1" w:themeTint="BF"/>
      <w:lang w:val="pt-PT"/>
    </w:rPr>
  </w:style>
  <w:style w:type="paragraph" w:styleId="PargrafodaLista">
    <w:name w:val="List Paragraph"/>
    <w:basedOn w:val="Normal"/>
    <w:uiPriority w:val="1"/>
    <w:qFormat/>
    <w:rsid w:val="00D865FC"/>
    <w:pPr>
      <w:widowControl w:val="0"/>
      <w:autoSpaceDE w:val="0"/>
      <w:autoSpaceDN w:val="0"/>
      <w:spacing w:after="0" w:line="240" w:lineRule="auto"/>
      <w:ind w:left="720"/>
      <w:contextualSpacing/>
    </w:pPr>
    <w:rPr>
      <w:rFonts w:ascii="Arial MT" w:eastAsia="Arial MT" w:hAnsi="Arial MT" w:cs="Arial MT"/>
      <w:lang w:val="pt-PT"/>
    </w:rPr>
  </w:style>
  <w:style w:type="character" w:styleId="nfaseIntensa">
    <w:name w:val="Intense Emphasis"/>
    <w:basedOn w:val="Fontepargpadro"/>
    <w:uiPriority w:val="21"/>
    <w:qFormat/>
    <w:rsid w:val="00D865FC"/>
    <w:rPr>
      <w:i/>
      <w:iCs/>
      <w:color w:val="365F91" w:themeColor="accent1" w:themeShade="BF"/>
    </w:rPr>
  </w:style>
  <w:style w:type="paragraph" w:styleId="CitaoIntensa">
    <w:name w:val="Intense Quote"/>
    <w:basedOn w:val="Normal"/>
    <w:next w:val="Normal"/>
    <w:link w:val="CitaoIntensaChar"/>
    <w:uiPriority w:val="30"/>
    <w:qFormat/>
    <w:rsid w:val="00D865FC"/>
    <w:pPr>
      <w:widowControl w:val="0"/>
      <w:pBdr>
        <w:top w:val="single" w:sz="4" w:space="10" w:color="365F91" w:themeColor="accent1" w:themeShade="BF"/>
        <w:bottom w:val="single" w:sz="4" w:space="10" w:color="365F91" w:themeColor="accent1" w:themeShade="BF"/>
      </w:pBdr>
      <w:autoSpaceDE w:val="0"/>
      <w:autoSpaceDN w:val="0"/>
      <w:spacing w:before="360" w:after="360" w:line="240" w:lineRule="auto"/>
      <w:ind w:left="864" w:right="864"/>
      <w:jc w:val="center"/>
    </w:pPr>
    <w:rPr>
      <w:rFonts w:ascii="Arial MT" w:eastAsia="Arial MT" w:hAnsi="Arial MT" w:cs="Arial MT"/>
      <w:i/>
      <w:iCs/>
      <w:color w:val="365F91" w:themeColor="accent1" w:themeShade="BF"/>
      <w:lang w:val="pt-PT"/>
    </w:rPr>
  </w:style>
  <w:style w:type="character" w:customStyle="1" w:styleId="CitaoIntensaChar">
    <w:name w:val="Citação Intensa Char"/>
    <w:basedOn w:val="Fontepargpadro"/>
    <w:link w:val="CitaoIntensa"/>
    <w:uiPriority w:val="30"/>
    <w:rsid w:val="00D865FC"/>
    <w:rPr>
      <w:rFonts w:ascii="Arial MT" w:eastAsia="Arial MT" w:hAnsi="Arial MT" w:cs="Arial MT"/>
      <w:i/>
      <w:iCs/>
      <w:color w:val="365F91" w:themeColor="accent1" w:themeShade="BF"/>
      <w:lang w:val="pt-PT"/>
    </w:rPr>
  </w:style>
  <w:style w:type="character" w:styleId="RefernciaIntensa">
    <w:name w:val="Intense Reference"/>
    <w:basedOn w:val="Fontepargpadro"/>
    <w:uiPriority w:val="32"/>
    <w:qFormat/>
    <w:rsid w:val="00D865FC"/>
    <w:rPr>
      <w:b/>
      <w:bCs/>
      <w:smallCaps/>
      <w:color w:val="365F91" w:themeColor="accent1" w:themeShade="BF"/>
      <w:spacing w:val="5"/>
    </w:rPr>
  </w:style>
  <w:style w:type="table" w:customStyle="1" w:styleId="TableNormal">
    <w:name w:val="Table Normal"/>
    <w:uiPriority w:val="2"/>
    <w:semiHidden/>
    <w:unhideWhenUsed/>
    <w:qFormat/>
    <w:rsid w:val="00D865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865FC"/>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D865FC"/>
    <w:rPr>
      <w:rFonts w:ascii="Arial MT" w:eastAsia="Arial MT" w:hAnsi="Arial MT" w:cs="Arial MT"/>
      <w:sz w:val="20"/>
      <w:szCs w:val="20"/>
      <w:lang w:val="pt-PT"/>
    </w:rPr>
  </w:style>
  <w:style w:type="paragraph" w:customStyle="1" w:styleId="TableParagraph">
    <w:name w:val="Table Paragraph"/>
    <w:basedOn w:val="Normal"/>
    <w:uiPriority w:val="1"/>
    <w:qFormat/>
    <w:rsid w:val="00D865FC"/>
    <w:pPr>
      <w:widowControl w:val="0"/>
      <w:autoSpaceDE w:val="0"/>
      <w:autoSpaceDN w:val="0"/>
      <w:spacing w:after="0" w:line="240" w:lineRule="auto"/>
    </w:pPr>
    <w:rPr>
      <w:rFonts w:ascii="Arial" w:eastAsia="Arial" w:hAnsi="Arial" w:cs="Arial"/>
      <w:lang w:val="pt-PT"/>
    </w:rPr>
  </w:style>
  <w:style w:type="paragraph" w:styleId="Cabealho">
    <w:name w:val="header"/>
    <w:aliases w:val="foote,hd,he,Cabeçalho superior,Heading 1a,h,HeaderNN"/>
    <w:basedOn w:val="Normal"/>
    <w:link w:val="CabealhoChar"/>
    <w:uiPriority w:val="99"/>
    <w:unhideWhenUsed/>
    <w:qFormat/>
    <w:rsid w:val="00D865FC"/>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aliases w:val="foote Char,hd Char,he Char,Cabeçalho superior Char,Heading 1a Char,h Char,HeaderNN Char"/>
    <w:basedOn w:val="Fontepargpadro"/>
    <w:link w:val="Cabealho"/>
    <w:uiPriority w:val="99"/>
    <w:rsid w:val="00D865FC"/>
    <w:rPr>
      <w:rFonts w:ascii="Arial MT" w:eastAsia="Arial MT" w:hAnsi="Arial MT" w:cs="Arial MT"/>
      <w:lang w:val="pt-PT"/>
    </w:rPr>
  </w:style>
  <w:style w:type="paragraph" w:styleId="Rodap">
    <w:name w:val="footer"/>
    <w:basedOn w:val="Normal"/>
    <w:link w:val="RodapChar"/>
    <w:uiPriority w:val="99"/>
    <w:unhideWhenUsed/>
    <w:rsid w:val="00D865FC"/>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qFormat/>
    <w:rsid w:val="00D865FC"/>
    <w:rPr>
      <w:rFonts w:ascii="Arial MT" w:eastAsia="Arial MT" w:hAnsi="Arial MT" w:cs="Arial MT"/>
      <w:lang w:val="pt-PT"/>
    </w:rPr>
  </w:style>
  <w:style w:type="table" w:styleId="Tabelacomgrade">
    <w:name w:val="Table Grid"/>
    <w:basedOn w:val="Tabelanormal"/>
    <w:uiPriority w:val="39"/>
    <w:rsid w:val="00ED25B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9100A"/>
    <w:rPr>
      <w:color w:val="0000FF" w:themeColor="hyperlink"/>
      <w:u w:val="single"/>
    </w:rPr>
  </w:style>
  <w:style w:type="character" w:customStyle="1" w:styleId="MenoPendente1">
    <w:name w:val="Menção Pendente1"/>
    <w:basedOn w:val="Fontepargpadro"/>
    <w:uiPriority w:val="99"/>
    <w:semiHidden/>
    <w:unhideWhenUsed/>
    <w:rsid w:val="00CB483B"/>
    <w:rPr>
      <w:color w:val="605E5C"/>
      <w:shd w:val="clear" w:color="auto" w:fill="E1DFDD"/>
    </w:rPr>
  </w:style>
  <w:style w:type="paragraph" w:customStyle="1" w:styleId="Default">
    <w:name w:val="Default"/>
    <w:rsid w:val="0013345F"/>
    <w:pPr>
      <w:autoSpaceDE w:val="0"/>
      <w:autoSpaceDN w:val="0"/>
      <w:adjustRightInd w:val="0"/>
      <w:spacing w:after="0" w:line="240" w:lineRule="auto"/>
    </w:pPr>
    <w:rPr>
      <w:rFonts w:ascii="Cambria" w:hAnsi="Cambria" w:cs="Cambria"/>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01024">
      <w:bodyDiv w:val="1"/>
      <w:marLeft w:val="0"/>
      <w:marRight w:val="0"/>
      <w:marTop w:val="0"/>
      <w:marBottom w:val="0"/>
      <w:divBdr>
        <w:top w:val="none" w:sz="0" w:space="0" w:color="auto"/>
        <w:left w:val="none" w:sz="0" w:space="0" w:color="auto"/>
        <w:bottom w:val="none" w:sz="0" w:space="0" w:color="auto"/>
        <w:right w:val="none" w:sz="0" w:space="0" w:color="auto"/>
      </w:divBdr>
    </w:div>
    <w:div w:id="112796232">
      <w:bodyDiv w:val="1"/>
      <w:marLeft w:val="0"/>
      <w:marRight w:val="0"/>
      <w:marTop w:val="0"/>
      <w:marBottom w:val="0"/>
      <w:divBdr>
        <w:top w:val="none" w:sz="0" w:space="0" w:color="auto"/>
        <w:left w:val="none" w:sz="0" w:space="0" w:color="auto"/>
        <w:bottom w:val="none" w:sz="0" w:space="0" w:color="auto"/>
        <w:right w:val="none" w:sz="0" w:space="0" w:color="auto"/>
      </w:divBdr>
    </w:div>
    <w:div w:id="370423708">
      <w:bodyDiv w:val="1"/>
      <w:marLeft w:val="0"/>
      <w:marRight w:val="0"/>
      <w:marTop w:val="0"/>
      <w:marBottom w:val="0"/>
      <w:divBdr>
        <w:top w:val="none" w:sz="0" w:space="0" w:color="auto"/>
        <w:left w:val="none" w:sz="0" w:space="0" w:color="auto"/>
        <w:bottom w:val="none" w:sz="0" w:space="0" w:color="auto"/>
        <w:right w:val="none" w:sz="0" w:space="0" w:color="auto"/>
      </w:divBdr>
    </w:div>
    <w:div w:id="371655462">
      <w:bodyDiv w:val="1"/>
      <w:marLeft w:val="0"/>
      <w:marRight w:val="0"/>
      <w:marTop w:val="0"/>
      <w:marBottom w:val="0"/>
      <w:divBdr>
        <w:top w:val="none" w:sz="0" w:space="0" w:color="auto"/>
        <w:left w:val="none" w:sz="0" w:space="0" w:color="auto"/>
        <w:bottom w:val="none" w:sz="0" w:space="0" w:color="auto"/>
        <w:right w:val="none" w:sz="0" w:space="0" w:color="auto"/>
      </w:divBdr>
    </w:div>
    <w:div w:id="412166237">
      <w:bodyDiv w:val="1"/>
      <w:marLeft w:val="0"/>
      <w:marRight w:val="0"/>
      <w:marTop w:val="0"/>
      <w:marBottom w:val="0"/>
      <w:divBdr>
        <w:top w:val="none" w:sz="0" w:space="0" w:color="auto"/>
        <w:left w:val="none" w:sz="0" w:space="0" w:color="auto"/>
        <w:bottom w:val="none" w:sz="0" w:space="0" w:color="auto"/>
        <w:right w:val="none" w:sz="0" w:space="0" w:color="auto"/>
      </w:divBdr>
    </w:div>
    <w:div w:id="459686911">
      <w:bodyDiv w:val="1"/>
      <w:marLeft w:val="0"/>
      <w:marRight w:val="0"/>
      <w:marTop w:val="0"/>
      <w:marBottom w:val="0"/>
      <w:divBdr>
        <w:top w:val="none" w:sz="0" w:space="0" w:color="auto"/>
        <w:left w:val="none" w:sz="0" w:space="0" w:color="auto"/>
        <w:bottom w:val="none" w:sz="0" w:space="0" w:color="auto"/>
        <w:right w:val="none" w:sz="0" w:space="0" w:color="auto"/>
      </w:divBdr>
    </w:div>
    <w:div w:id="510878170">
      <w:bodyDiv w:val="1"/>
      <w:marLeft w:val="0"/>
      <w:marRight w:val="0"/>
      <w:marTop w:val="0"/>
      <w:marBottom w:val="0"/>
      <w:divBdr>
        <w:top w:val="none" w:sz="0" w:space="0" w:color="auto"/>
        <w:left w:val="none" w:sz="0" w:space="0" w:color="auto"/>
        <w:bottom w:val="none" w:sz="0" w:space="0" w:color="auto"/>
        <w:right w:val="none" w:sz="0" w:space="0" w:color="auto"/>
      </w:divBdr>
    </w:div>
    <w:div w:id="602420799">
      <w:bodyDiv w:val="1"/>
      <w:marLeft w:val="0"/>
      <w:marRight w:val="0"/>
      <w:marTop w:val="0"/>
      <w:marBottom w:val="0"/>
      <w:divBdr>
        <w:top w:val="none" w:sz="0" w:space="0" w:color="auto"/>
        <w:left w:val="none" w:sz="0" w:space="0" w:color="auto"/>
        <w:bottom w:val="none" w:sz="0" w:space="0" w:color="auto"/>
        <w:right w:val="none" w:sz="0" w:space="0" w:color="auto"/>
      </w:divBdr>
    </w:div>
    <w:div w:id="774011571">
      <w:bodyDiv w:val="1"/>
      <w:marLeft w:val="0"/>
      <w:marRight w:val="0"/>
      <w:marTop w:val="0"/>
      <w:marBottom w:val="0"/>
      <w:divBdr>
        <w:top w:val="none" w:sz="0" w:space="0" w:color="auto"/>
        <w:left w:val="none" w:sz="0" w:space="0" w:color="auto"/>
        <w:bottom w:val="none" w:sz="0" w:space="0" w:color="auto"/>
        <w:right w:val="none" w:sz="0" w:space="0" w:color="auto"/>
      </w:divBdr>
    </w:div>
    <w:div w:id="1167089350">
      <w:bodyDiv w:val="1"/>
      <w:marLeft w:val="0"/>
      <w:marRight w:val="0"/>
      <w:marTop w:val="0"/>
      <w:marBottom w:val="0"/>
      <w:divBdr>
        <w:top w:val="none" w:sz="0" w:space="0" w:color="auto"/>
        <w:left w:val="none" w:sz="0" w:space="0" w:color="auto"/>
        <w:bottom w:val="none" w:sz="0" w:space="0" w:color="auto"/>
        <w:right w:val="none" w:sz="0" w:space="0" w:color="auto"/>
      </w:divBdr>
    </w:div>
    <w:div w:id="1296449972">
      <w:bodyDiv w:val="1"/>
      <w:marLeft w:val="0"/>
      <w:marRight w:val="0"/>
      <w:marTop w:val="0"/>
      <w:marBottom w:val="0"/>
      <w:divBdr>
        <w:top w:val="none" w:sz="0" w:space="0" w:color="auto"/>
        <w:left w:val="none" w:sz="0" w:space="0" w:color="auto"/>
        <w:bottom w:val="none" w:sz="0" w:space="0" w:color="auto"/>
        <w:right w:val="none" w:sz="0" w:space="0" w:color="auto"/>
      </w:divBdr>
    </w:div>
    <w:div w:id="1601526486">
      <w:bodyDiv w:val="1"/>
      <w:marLeft w:val="0"/>
      <w:marRight w:val="0"/>
      <w:marTop w:val="0"/>
      <w:marBottom w:val="0"/>
      <w:divBdr>
        <w:top w:val="none" w:sz="0" w:space="0" w:color="auto"/>
        <w:left w:val="none" w:sz="0" w:space="0" w:color="auto"/>
        <w:bottom w:val="none" w:sz="0" w:space="0" w:color="auto"/>
        <w:right w:val="none" w:sz="0" w:space="0" w:color="auto"/>
      </w:divBdr>
    </w:div>
    <w:div w:id="1623730533">
      <w:bodyDiv w:val="1"/>
      <w:marLeft w:val="0"/>
      <w:marRight w:val="0"/>
      <w:marTop w:val="0"/>
      <w:marBottom w:val="0"/>
      <w:divBdr>
        <w:top w:val="none" w:sz="0" w:space="0" w:color="auto"/>
        <w:left w:val="none" w:sz="0" w:space="0" w:color="auto"/>
        <w:bottom w:val="none" w:sz="0" w:space="0" w:color="auto"/>
        <w:right w:val="none" w:sz="0" w:space="0" w:color="auto"/>
      </w:divBdr>
    </w:div>
    <w:div w:id="1754622966">
      <w:bodyDiv w:val="1"/>
      <w:marLeft w:val="0"/>
      <w:marRight w:val="0"/>
      <w:marTop w:val="0"/>
      <w:marBottom w:val="0"/>
      <w:divBdr>
        <w:top w:val="none" w:sz="0" w:space="0" w:color="auto"/>
        <w:left w:val="none" w:sz="0" w:space="0" w:color="auto"/>
        <w:bottom w:val="none" w:sz="0" w:space="0" w:color="auto"/>
        <w:right w:val="none" w:sz="0" w:space="0" w:color="auto"/>
      </w:divBdr>
    </w:div>
    <w:div w:id="1771271103">
      <w:bodyDiv w:val="1"/>
      <w:marLeft w:val="0"/>
      <w:marRight w:val="0"/>
      <w:marTop w:val="0"/>
      <w:marBottom w:val="0"/>
      <w:divBdr>
        <w:top w:val="none" w:sz="0" w:space="0" w:color="auto"/>
        <w:left w:val="none" w:sz="0" w:space="0" w:color="auto"/>
        <w:bottom w:val="none" w:sz="0" w:space="0" w:color="auto"/>
        <w:right w:val="none" w:sz="0" w:space="0" w:color="auto"/>
      </w:divBdr>
    </w:div>
    <w:div w:id="1886983675">
      <w:bodyDiv w:val="1"/>
      <w:marLeft w:val="0"/>
      <w:marRight w:val="0"/>
      <w:marTop w:val="0"/>
      <w:marBottom w:val="0"/>
      <w:divBdr>
        <w:top w:val="none" w:sz="0" w:space="0" w:color="auto"/>
        <w:left w:val="none" w:sz="0" w:space="0" w:color="auto"/>
        <w:bottom w:val="none" w:sz="0" w:space="0" w:color="auto"/>
        <w:right w:val="none" w:sz="0" w:space="0" w:color="auto"/>
      </w:divBdr>
    </w:div>
    <w:div w:id="1918130427">
      <w:bodyDiv w:val="1"/>
      <w:marLeft w:val="0"/>
      <w:marRight w:val="0"/>
      <w:marTop w:val="0"/>
      <w:marBottom w:val="0"/>
      <w:divBdr>
        <w:top w:val="none" w:sz="0" w:space="0" w:color="auto"/>
        <w:left w:val="none" w:sz="0" w:space="0" w:color="auto"/>
        <w:bottom w:val="none" w:sz="0" w:space="0" w:color="auto"/>
        <w:right w:val="none" w:sz="0" w:space="0" w:color="auto"/>
      </w:divBdr>
    </w:div>
    <w:div w:id="1925920387">
      <w:bodyDiv w:val="1"/>
      <w:marLeft w:val="0"/>
      <w:marRight w:val="0"/>
      <w:marTop w:val="0"/>
      <w:marBottom w:val="0"/>
      <w:divBdr>
        <w:top w:val="none" w:sz="0" w:space="0" w:color="auto"/>
        <w:left w:val="none" w:sz="0" w:space="0" w:color="auto"/>
        <w:bottom w:val="none" w:sz="0" w:space="0" w:color="auto"/>
        <w:right w:val="none" w:sz="0" w:space="0" w:color="auto"/>
      </w:divBdr>
    </w:div>
    <w:div w:id="1934825692">
      <w:bodyDiv w:val="1"/>
      <w:marLeft w:val="0"/>
      <w:marRight w:val="0"/>
      <w:marTop w:val="0"/>
      <w:marBottom w:val="0"/>
      <w:divBdr>
        <w:top w:val="none" w:sz="0" w:space="0" w:color="auto"/>
        <w:left w:val="none" w:sz="0" w:space="0" w:color="auto"/>
        <w:bottom w:val="none" w:sz="0" w:space="0" w:color="auto"/>
        <w:right w:val="none" w:sz="0" w:space="0" w:color="auto"/>
      </w:divBdr>
    </w:div>
    <w:div w:id="204960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aude@planaltina.go.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3866</Words>
  <Characters>20877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COMP-SAÚDE-02</cp:lastModifiedBy>
  <cp:revision>4</cp:revision>
  <cp:lastPrinted>2026-04-08T17:57:00Z</cp:lastPrinted>
  <dcterms:created xsi:type="dcterms:W3CDTF">2026-01-22T17:20:00Z</dcterms:created>
  <dcterms:modified xsi:type="dcterms:W3CDTF">2026-04-08T17:59:00Z</dcterms:modified>
</cp:coreProperties>
</file>