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custom.xml" ContentType="application/vnd.openxmlformats-officedocument.custom-properties+xml"/>
  <Override PartName="/docProps/app.xml" ContentType="application/vnd.openxmlformats-officedocument.extended-properties+xml"/>
  <Override PartName="/word/_rels/header1.xml.rels" ContentType="application/vnd.openxmlformats-package.relationships+xml"/>
  <Override PartName="/word/_rels/footer1.xml.rels" ContentType="application/vnd.openxmlformats-package.relationships+xml"/>
  <Override PartName="/word/_rels/document.xml.rels" ContentType="application/vnd.openxmlformats-package.relationship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media/image1.png" ContentType="image/png"/>
  <Override PartName="/word/media/image2.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rPr>
          <w:rFonts w:ascii="Times New Roman" w:hAnsi="Times New Roman"/>
        </w:rPr>
      </w:pPr>
      <w:r>
        <w:rPr/>
        <w:t>Processo nº 1457</w:t>
      </w:r>
      <w:r>
        <w:rPr>
          <w:color w:val="000000"/>
        </w:rPr>
        <w:t>/</w:t>
      </w:r>
      <w:r>
        <w:rPr/>
        <w:t>2024</w:t>
      </w:r>
    </w:p>
    <w:p>
      <w:pPr>
        <w:pStyle w:val="Normal"/>
        <w:jc w:val="both"/>
        <w:rPr>
          <w:rFonts w:ascii="Times New Roman" w:hAnsi="Times New Roman"/>
        </w:rPr>
      </w:pPr>
      <w:r>
        <w:rPr/>
        <w:t>Assunto: AUTORIZAÇÃO À COMISSÃO DE CONTRATAÇÃO</w:t>
      </w:r>
    </w:p>
    <w:p>
      <w:pPr>
        <w:pStyle w:val="Normal"/>
        <w:jc w:val="both"/>
        <w:rPr>
          <w:rFonts w:ascii="Times New Roman" w:hAnsi="Times New Roman"/>
        </w:rPr>
      </w:pPr>
      <w:r>
        <w:rPr/>
      </w:r>
    </w:p>
    <w:p>
      <w:pPr>
        <w:pStyle w:val="Normal"/>
        <w:rPr>
          <w:rFonts w:ascii="Times New Roman" w:hAnsi="Times New Roman"/>
          <w:b/>
          <w:bCs/>
          <w:u w:val="single"/>
        </w:rPr>
      </w:pPr>
      <w:r>
        <w:rPr>
          <w:b/>
          <w:bCs/>
          <w:u w:val="single"/>
        </w:rPr>
      </w:r>
    </w:p>
    <w:p>
      <w:pPr>
        <w:pStyle w:val="Normal"/>
        <w:jc w:val="center"/>
        <w:rPr>
          <w:rFonts w:ascii="Times New Roman" w:hAnsi="Times New Roman"/>
        </w:rPr>
      </w:pPr>
      <w:r>
        <w:rPr>
          <w:b/>
          <w:bCs/>
          <w:u w:val="single"/>
        </w:rPr>
        <w:t>DESPACHO</w:t>
      </w:r>
    </w:p>
    <w:p>
      <w:pPr>
        <w:pStyle w:val="Normal"/>
        <w:jc w:val="both"/>
        <w:rPr>
          <w:rFonts w:ascii="Times New Roman" w:hAnsi="Times New Roman"/>
        </w:rPr>
      </w:pPr>
      <w:r>
        <w:rPr/>
        <w:t xml:space="preserve"> </w:t>
      </w:r>
    </w:p>
    <w:p>
      <w:pPr>
        <w:pStyle w:val="Normal"/>
        <w:jc w:val="both"/>
        <w:rPr>
          <w:rFonts w:ascii="Times New Roman" w:hAnsi="Times New Roman"/>
        </w:rPr>
      </w:pPr>
      <w:r>
        <w:rPr/>
      </w:r>
    </w:p>
    <w:p>
      <w:pPr>
        <w:pStyle w:val="Normal"/>
        <w:jc w:val="both"/>
        <w:rPr>
          <w:rFonts w:ascii="Times New Roman" w:hAnsi="Times New Roman"/>
        </w:rPr>
      </w:pPr>
      <w:r>
        <w:rPr/>
      </w:r>
    </w:p>
    <w:p>
      <w:pPr>
        <w:pStyle w:val="Normal"/>
        <w:jc w:val="both"/>
        <w:rPr>
          <w:rFonts w:ascii="Times New Roman" w:hAnsi="Times New Roman"/>
        </w:rPr>
      </w:pPr>
      <w:r>
        <w:rPr>
          <w:lang w:val="pt-PT"/>
        </w:rPr>
        <w:t xml:space="preserve">Tendo em vista a necessidade da Secretaria Municipal de </w:t>
      </w:r>
      <w:r>
        <w:rPr>
          <w:color w:val="000000"/>
          <w:lang w:val="pt-PT"/>
        </w:rPr>
        <w:t>Assistência Social e Trabalho</w:t>
      </w:r>
      <w:r>
        <w:rPr>
          <w:lang w:val="pt-PT"/>
        </w:rPr>
        <w:t xml:space="preserve"> para instauração de processo de licitação objetivando a aquisição emergencial de kit dormitório.</w:t>
      </w:r>
    </w:p>
    <w:p>
      <w:pPr>
        <w:pStyle w:val="Normal"/>
        <w:jc w:val="both"/>
        <w:rPr>
          <w:rFonts w:ascii="Times New Roman" w:hAnsi="Times New Roman"/>
          <w:b/>
          <w:bCs/>
          <w:u w:val="single"/>
        </w:rPr>
      </w:pPr>
      <w:r>
        <w:rPr>
          <w:b/>
          <w:bCs/>
          <w:u w:val="single"/>
        </w:rPr>
      </w:r>
    </w:p>
    <w:p>
      <w:pPr>
        <w:pStyle w:val="Normal"/>
        <w:jc w:val="both"/>
        <w:rPr>
          <w:rFonts w:ascii="Times New Roman" w:hAnsi="Times New Roman"/>
        </w:rPr>
      </w:pPr>
      <w:r>
        <w:rPr/>
        <w:t>Considerando ainda a existência de recursos orçamentários que assegurem o pagamento das obrigações decorrentes da contratação pretendida; considerando que a ação de governo se encontra inserida no PPA, na LDO e na Lei Orçamentária anual em vigor.</w:t>
      </w:r>
    </w:p>
    <w:p>
      <w:pPr>
        <w:pStyle w:val="Normal"/>
        <w:jc w:val="both"/>
        <w:rPr>
          <w:rFonts w:ascii="Times New Roman" w:hAnsi="Times New Roman"/>
        </w:rPr>
      </w:pPr>
      <w:r>
        <w:rPr>
          <w:b/>
          <w:bCs/>
          <w:u w:val="single"/>
        </w:rPr>
        <w:t xml:space="preserve">                                                                                                                                                                                                                                                                                                                                                                                                                                                                                                                                                                                                                                                                                                                                                                                                                                                                                                                                            </w:t>
      </w:r>
    </w:p>
    <w:p>
      <w:pPr>
        <w:pStyle w:val="Normal"/>
        <w:jc w:val="both"/>
        <w:rPr>
          <w:rFonts w:ascii="Times New Roman" w:hAnsi="Times New Roman"/>
        </w:rPr>
      </w:pPr>
      <w:r>
        <w:rPr>
          <w:b/>
          <w:lang w:val="pt-PT"/>
        </w:rPr>
        <w:t>AUTORIZO</w:t>
      </w:r>
      <w:r>
        <w:rPr>
          <w:lang w:val="pt-PT"/>
        </w:rPr>
        <w:t xml:space="preserve"> à COMISSÃO DE CONTRATAÇÃO proceder à abertura do procedimento licitatório na modalidade cabível, para a contratação de empresa fornecedora pelo menor preço, cumprindo todas as normas estabelecidas pela Lei 14.133/2021 e Decreto Municipal nº 1.231/2024, que regulamentou referida norma.</w:t>
      </w:r>
    </w:p>
    <w:p>
      <w:pPr>
        <w:pStyle w:val="Normal"/>
        <w:rPr>
          <w:rFonts w:ascii="Times New Roman" w:hAnsi="Times New Roman"/>
          <w:b/>
          <w:bCs/>
          <w:u w:val="single"/>
        </w:rPr>
      </w:pPr>
      <w:r>
        <w:rPr>
          <w:b/>
          <w:bCs/>
          <w:u w:val="single"/>
        </w:rPr>
      </w:r>
    </w:p>
    <w:p>
      <w:pPr>
        <w:pStyle w:val="Normal"/>
        <w:jc w:val="right"/>
        <w:rPr>
          <w:rFonts w:ascii="Times New Roman" w:hAnsi="Times New Roman"/>
          <w:b/>
          <w:bCs/>
          <w:u w:val="single"/>
        </w:rPr>
      </w:pPr>
      <w:r>
        <w:rPr>
          <w:b/>
          <w:bCs/>
          <w:u w:val="single"/>
        </w:rPr>
      </w:r>
    </w:p>
    <w:p>
      <w:pPr>
        <w:pStyle w:val="Normal"/>
        <w:jc w:val="right"/>
        <w:rPr>
          <w:rFonts w:ascii="Times New Roman" w:hAnsi="Times New Roman"/>
          <w:b/>
          <w:bCs/>
          <w:color w:val="000000"/>
          <w:u w:val="single"/>
        </w:rPr>
      </w:pPr>
      <w:r>
        <w:rPr>
          <w:b/>
          <w:bCs/>
          <w:color w:val="000000"/>
          <w:u w:val="single"/>
        </w:rPr>
      </w:r>
    </w:p>
    <w:p>
      <w:pPr>
        <w:pStyle w:val="Normal"/>
        <w:jc w:val="center"/>
        <w:rPr>
          <w:rFonts w:ascii="Times New Roman" w:hAnsi="Times New Roman"/>
        </w:rPr>
      </w:pPr>
      <w:r>
        <w:rPr>
          <w:b/>
          <w:lang w:val="pt-PT"/>
        </w:rPr>
        <w:t>FLORES DE GOIÁS, 24</w:t>
      </w:r>
      <w:r>
        <w:rPr>
          <w:b/>
          <w:color w:val="FF0000"/>
          <w:lang w:val="pt-PT"/>
        </w:rPr>
        <w:t xml:space="preserve"> </w:t>
      </w:r>
      <w:r>
        <w:rPr>
          <w:b/>
          <w:lang w:val="pt-PT"/>
        </w:rPr>
        <w:t xml:space="preserve">DE </w:t>
      </w:r>
      <w:r>
        <w:rPr>
          <w:b/>
          <w:color w:val="000000"/>
          <w:lang w:val="pt-PT"/>
        </w:rPr>
        <w:t>MAIO</w:t>
      </w:r>
      <w:r>
        <w:rPr>
          <w:b/>
          <w:lang w:val="pt-PT"/>
        </w:rPr>
        <w:t xml:space="preserve"> DE 2024.</w:t>
      </w:r>
    </w:p>
    <w:p>
      <w:pPr>
        <w:pStyle w:val="Normal"/>
        <w:rPr>
          <w:rFonts w:ascii="Times New Roman" w:hAnsi="Times New Roman"/>
          <w:b/>
          <w:bCs/>
          <w:u w:val="single"/>
        </w:rPr>
      </w:pPr>
      <w:r>
        <w:rPr>
          <w:b/>
          <w:bCs/>
          <w:u w:val="single"/>
        </w:rPr>
      </w:r>
    </w:p>
    <w:p>
      <w:pPr>
        <w:pStyle w:val="Normal"/>
        <w:rPr>
          <w:rFonts w:ascii="Times New Roman" w:hAnsi="Times New Roman"/>
          <w:b/>
          <w:bCs/>
          <w:u w:val="single"/>
        </w:rPr>
      </w:pPr>
      <w:r>
        <w:rPr>
          <w:b/>
          <w:bCs/>
          <w:u w:val="single"/>
        </w:rPr>
      </w:r>
    </w:p>
    <w:p>
      <w:pPr>
        <w:pStyle w:val="Normal"/>
        <w:rPr>
          <w:rFonts w:ascii="Times New Roman" w:hAnsi="Times New Roman"/>
          <w:b/>
          <w:bCs/>
          <w:u w:val="single"/>
        </w:rPr>
      </w:pPr>
      <w:r>
        <w:rPr>
          <w:b/>
          <w:bCs/>
          <w:u w:val="single"/>
        </w:rPr>
      </w:r>
    </w:p>
    <w:p>
      <w:pPr>
        <w:pStyle w:val="Normal"/>
        <w:rPr>
          <w:rFonts w:ascii="Times New Roman" w:hAnsi="Times New Roman"/>
          <w:b/>
          <w:bCs/>
          <w:u w:val="single"/>
        </w:rPr>
      </w:pPr>
      <w:r>
        <w:rPr>
          <w:b/>
          <w:bCs/>
          <w:u w:val="single"/>
        </w:rPr>
      </w:r>
    </w:p>
    <w:p>
      <w:pPr>
        <w:pStyle w:val="Normal"/>
        <w:jc w:val="center"/>
        <w:rPr>
          <w:rFonts w:ascii="Times New Roman" w:hAnsi="Times New Roman"/>
        </w:rPr>
      </w:pPr>
      <w:r>
        <w:rPr/>
        <w:t>_________________________________________</w:t>
      </w:r>
    </w:p>
    <w:p>
      <w:pPr>
        <w:pStyle w:val="Normal"/>
        <w:jc w:val="center"/>
        <w:rPr>
          <w:rFonts w:ascii="Times New Roman" w:hAnsi="Times New Roman"/>
        </w:rPr>
      </w:pPr>
      <w:r>
        <w:rPr/>
        <w:t>Nara Yorrane Pereira dos Santos</w:t>
      </w:r>
    </w:p>
    <w:p>
      <w:pPr>
        <w:pStyle w:val="Normal"/>
        <w:jc w:val="center"/>
        <w:rPr>
          <w:rFonts w:ascii="Times New Roman" w:hAnsi="Times New Roman"/>
        </w:rPr>
      </w:pPr>
      <w:r>
        <w:rPr/>
        <w:t>Secretária Municipal de Assistência Social e Trabalho</w:t>
      </w:r>
    </w:p>
    <w:p>
      <w:pPr>
        <w:pStyle w:val="Normal"/>
        <w:jc w:val="center"/>
        <w:rPr>
          <w:rFonts w:ascii="Times New Roman" w:hAnsi="Times New Roman"/>
        </w:rPr>
      </w:pPr>
      <w:r>
        <w:rPr/>
        <w:t xml:space="preserve">Decreto nº </w:t>
      </w:r>
      <w:r>
        <w:rPr>
          <w:color w:val="000000"/>
        </w:rPr>
        <w:t>09</w:t>
      </w:r>
      <w:r>
        <w:rPr/>
        <w:t>/2021</w:t>
      </w:r>
    </w:p>
    <w:p>
      <w:pPr>
        <w:pStyle w:val="Normal"/>
        <w:ind w:left="567" w:right="284" w:firstLine="2835"/>
        <w:jc w:val="both"/>
        <w:rPr>
          <w:rFonts w:ascii="Times New Roman" w:hAnsi="Times New Roman" w:cs="Tahoma"/>
          <w:b/>
        </w:rPr>
      </w:pPr>
      <w:r>
        <w:rPr>
          <w:rFonts w:cs="Tahoma"/>
          <w:b/>
        </w:rPr>
      </w:r>
    </w:p>
    <w:p>
      <w:pPr>
        <w:pStyle w:val="Normal"/>
        <w:ind w:left="567" w:right="284" w:firstLine="2835"/>
        <w:jc w:val="both"/>
        <w:rPr>
          <w:rFonts w:ascii="Times New Roman" w:hAnsi="Times New Roman" w:cs="Tahoma"/>
          <w:b/>
        </w:rPr>
      </w:pPr>
      <w:r>
        <w:rPr>
          <w:rFonts w:cs="Tahoma"/>
          <w:b/>
        </w:rPr>
      </w:r>
    </w:p>
    <w:p>
      <w:pPr>
        <w:pStyle w:val="Normal"/>
        <w:ind w:left="567" w:right="284" w:firstLine="2835"/>
        <w:jc w:val="both"/>
        <w:rPr>
          <w:rFonts w:ascii="Times New Roman" w:hAnsi="Times New Roman" w:cs="Tahoma"/>
          <w:b/>
        </w:rPr>
      </w:pPr>
      <w:r>
        <w:rPr>
          <w:rFonts w:cs="Tahoma"/>
          <w:b/>
        </w:rPr>
      </w:r>
    </w:p>
    <w:p>
      <w:pPr>
        <w:pStyle w:val="Normal"/>
        <w:ind w:left="567" w:right="284" w:firstLine="2835"/>
        <w:jc w:val="both"/>
        <w:rPr>
          <w:rFonts w:ascii="Times New Roman" w:hAnsi="Times New Roman" w:cs="Tahoma"/>
          <w:b/>
        </w:rPr>
      </w:pPr>
      <w:r>
        <w:rPr>
          <w:rFonts w:cs="Tahoma"/>
          <w:b/>
        </w:rPr>
        <w:t xml:space="preserve">  </w:t>
      </w:r>
    </w:p>
    <w:p>
      <w:pPr>
        <w:pStyle w:val="Normal"/>
        <w:ind w:right="284" w:hanging="0"/>
        <w:jc w:val="both"/>
        <w:rPr>
          <w:rFonts w:ascii="Times New Roman" w:hAnsi="Times New Roman" w:cs="Tahoma"/>
          <w:b/>
        </w:rPr>
      </w:pPr>
      <w:r>
        <w:rPr>
          <w:rFonts w:cs="Tahoma"/>
          <w:b/>
        </w:rPr>
      </w:r>
    </w:p>
    <w:p>
      <w:pPr>
        <w:pStyle w:val="Normal"/>
        <w:jc w:val="center"/>
        <w:rPr>
          <w:rFonts w:ascii="Times New Roman" w:hAnsi="Times New Roman"/>
        </w:rPr>
      </w:pPr>
      <w:r>
        <w:rPr>
          <w:b/>
          <w:bCs/>
          <w:u w:val="single"/>
        </w:rPr>
        <w:t>COMISSÃO DE CONTRATAÇÃO</w:t>
      </w:r>
    </w:p>
    <w:p>
      <w:pPr>
        <w:pStyle w:val="Normal"/>
        <w:rPr>
          <w:rFonts w:ascii="Times New Roman" w:hAnsi="Times New Roman"/>
          <w:b/>
          <w:bCs/>
          <w:u w:val="single"/>
        </w:rPr>
      </w:pPr>
      <w:r>
        <w:rPr>
          <w:b/>
          <w:bCs/>
          <w:u w:val="single"/>
        </w:rPr>
      </w:r>
    </w:p>
    <w:p>
      <w:pPr>
        <w:pStyle w:val="Normal"/>
        <w:rPr>
          <w:rFonts w:ascii="Times New Roman" w:hAnsi="Times New Roman"/>
          <w:b/>
          <w:bCs/>
          <w:u w:val="single"/>
        </w:rPr>
      </w:pPr>
      <w:r>
        <w:rPr>
          <w:b/>
          <w:bCs/>
          <w:u w:val="single"/>
        </w:rPr>
      </w:r>
    </w:p>
    <w:p>
      <w:pPr>
        <w:pStyle w:val="Normal"/>
        <w:jc w:val="center"/>
        <w:rPr>
          <w:rFonts w:ascii="Times New Roman" w:hAnsi="Times New Roman"/>
        </w:rPr>
      </w:pPr>
      <w:r>
        <w:rPr>
          <w:b/>
          <w:bCs/>
          <w:u w:val="single"/>
        </w:rPr>
        <w:t>AUTUAÇÃO</w:t>
      </w:r>
    </w:p>
    <w:p>
      <w:pPr>
        <w:pStyle w:val="Normal"/>
        <w:rPr>
          <w:rFonts w:ascii="Times New Roman" w:hAnsi="Times New Roman"/>
          <w:b/>
          <w:bCs/>
          <w:u w:val="single"/>
        </w:rPr>
      </w:pPr>
      <w:r>
        <w:rPr>
          <w:b/>
          <w:bCs/>
          <w:u w:val="single"/>
        </w:rPr>
      </w:r>
    </w:p>
    <w:p>
      <w:pPr>
        <w:pStyle w:val="Normal"/>
        <w:jc w:val="both"/>
        <w:rPr>
          <w:rFonts w:ascii="Times New Roman" w:hAnsi="Times New Roman"/>
          <w:b/>
          <w:bCs/>
          <w:u w:val="single"/>
        </w:rPr>
      </w:pPr>
      <w:r>
        <w:rPr>
          <w:b/>
          <w:bCs/>
          <w:u w:val="single"/>
        </w:rPr>
      </w:r>
    </w:p>
    <w:p>
      <w:pPr>
        <w:pStyle w:val="Normal"/>
        <w:jc w:val="both"/>
        <w:rPr>
          <w:rFonts w:ascii="Times New Roman" w:hAnsi="Times New Roman"/>
        </w:rPr>
      </w:pPr>
      <w:r>
        <w:rPr/>
        <w:tab/>
      </w:r>
      <w:r>
        <w:rPr>
          <w:color w:val="000000"/>
        </w:rPr>
        <w:t>Aos 24 dias do mês de maio do ano de 2024, na Secretaria Administrativa da Prefeitura Municipal de Flores de Goiá</w:t>
      </w:r>
      <w:r>
        <w:rPr/>
        <w:t xml:space="preserve">s, no departamento de licitação, autuo o presente processo de </w:t>
      </w:r>
      <w:r>
        <w:rPr>
          <w:b/>
        </w:rPr>
        <w:t>nº 1457</w:t>
      </w:r>
      <w:r>
        <w:rPr>
          <w:b/>
          <w:bCs/>
          <w:color w:val="000000"/>
        </w:rPr>
        <w:t>/</w:t>
      </w:r>
      <w:r>
        <w:rPr>
          <w:b/>
          <w:bCs/>
        </w:rPr>
        <w:t>2024</w:t>
      </w:r>
      <w:r>
        <w:rPr/>
        <w:t xml:space="preserve">, objetivando a aquisição emergencial de kit dormitório </w:t>
      </w:r>
      <w:r>
        <w:rPr>
          <w:b/>
          <w:bCs/>
        </w:rPr>
        <w:t>para Secretaria Municipal de Assistência Social e Trabalho</w:t>
      </w:r>
      <w:r>
        <w:rPr>
          <w:b/>
          <w:bCs/>
          <w:color w:val="000000"/>
        </w:rPr>
        <w:t>.</w:t>
      </w:r>
    </w:p>
    <w:p>
      <w:pPr>
        <w:pStyle w:val="Normal"/>
        <w:jc w:val="both"/>
        <w:rPr>
          <w:rFonts w:ascii="Times New Roman" w:hAnsi="Times New Roman"/>
          <w:b/>
          <w:bCs/>
          <w:color w:val="FF0000"/>
        </w:rPr>
      </w:pPr>
      <w:r>
        <w:rPr>
          <w:b/>
          <w:bCs/>
          <w:color w:val="FF0000"/>
        </w:rPr>
      </w:r>
    </w:p>
    <w:p>
      <w:pPr>
        <w:pStyle w:val="Normal"/>
        <w:jc w:val="both"/>
        <w:rPr>
          <w:rFonts w:ascii="Times New Roman" w:hAnsi="Times New Roman"/>
        </w:rPr>
      </w:pPr>
      <w:r>
        <w:rPr>
          <w:b/>
          <w:bCs/>
          <w:color w:val="FF0000"/>
        </w:rPr>
        <w:tab/>
      </w:r>
      <w:r>
        <w:rPr/>
        <w:t>Informo que os documentos do processo foram organizados na seguinte ordem:</w:t>
      </w:r>
    </w:p>
    <w:p>
      <w:pPr>
        <w:pStyle w:val="Normal"/>
        <w:jc w:val="both"/>
        <w:rPr>
          <w:rFonts w:ascii="Times New Roman" w:hAnsi="Times New Roman"/>
        </w:rPr>
      </w:pPr>
      <w:r>
        <w:rPr/>
      </w:r>
    </w:p>
    <w:p>
      <w:pPr>
        <w:pStyle w:val="Normal"/>
        <w:jc w:val="both"/>
        <w:rPr>
          <w:rFonts w:ascii="Times New Roman" w:hAnsi="Times New Roman"/>
        </w:rPr>
      </w:pPr>
      <w:r>
        <w:rPr/>
        <w:t>I – Capa de processo/protocolo;</w:t>
      </w:r>
    </w:p>
    <w:p>
      <w:pPr>
        <w:pStyle w:val="Normal"/>
        <w:jc w:val="both"/>
        <w:rPr>
          <w:rFonts w:ascii="Times New Roman" w:hAnsi="Times New Roman"/>
        </w:rPr>
      </w:pPr>
      <w:r>
        <w:rPr/>
        <w:t>II – Documento de formalização da demanda, constando:</w:t>
      </w:r>
    </w:p>
    <w:p>
      <w:pPr>
        <w:pStyle w:val="Normal"/>
        <w:ind w:left="851" w:hanging="0"/>
        <w:jc w:val="both"/>
        <w:rPr>
          <w:rFonts w:ascii="Times New Roman" w:hAnsi="Times New Roman"/>
        </w:rPr>
      </w:pPr>
      <w:r>
        <w:rPr/>
        <w:t>II.1 – Ofício da Secretaria;</w:t>
      </w:r>
    </w:p>
    <w:p>
      <w:pPr>
        <w:pStyle w:val="Normal"/>
        <w:ind w:left="851" w:hanging="0"/>
        <w:jc w:val="both"/>
        <w:rPr>
          <w:rFonts w:ascii="Times New Roman" w:hAnsi="Times New Roman"/>
        </w:rPr>
      </w:pPr>
      <w:r>
        <w:rPr/>
        <w:t>II.2 – Estimativa de despesa com o mapa de cotação e documentos relativos à pesquisa de preço (artigo 72, inciso II da LLCA);</w:t>
      </w:r>
    </w:p>
    <w:p>
      <w:pPr>
        <w:pStyle w:val="Normal"/>
        <w:ind w:left="851" w:hanging="0"/>
        <w:jc w:val="both"/>
        <w:rPr>
          <w:rFonts w:ascii="Times New Roman" w:hAnsi="Times New Roman"/>
        </w:rPr>
      </w:pPr>
      <w:r>
        <w:rPr/>
        <w:t>II.3 – Justificativa de Preço (artigo 72, inciso VII da LLCA);</w:t>
      </w:r>
    </w:p>
    <w:p>
      <w:pPr>
        <w:pStyle w:val="Normal"/>
        <w:ind w:left="851" w:hanging="0"/>
        <w:jc w:val="both"/>
        <w:rPr>
          <w:rFonts w:ascii="Times New Roman" w:hAnsi="Times New Roman"/>
        </w:rPr>
      </w:pPr>
      <w:r>
        <w:rPr/>
        <w:t>II.4 – Termo de referência (artigo 72, inciso I da LLCA);</w:t>
      </w:r>
    </w:p>
    <w:p>
      <w:pPr>
        <w:pStyle w:val="Normal"/>
        <w:ind w:left="851" w:hanging="0"/>
        <w:jc w:val="both"/>
        <w:rPr>
          <w:rFonts w:ascii="Times New Roman" w:hAnsi="Times New Roman"/>
        </w:rPr>
      </w:pPr>
      <w:r>
        <w:rPr/>
        <w:t>II.5 – Dotação Orçamentária (artigo 72, inciso IV da LLCA);</w:t>
      </w:r>
    </w:p>
    <w:p>
      <w:pPr>
        <w:pStyle w:val="Normal"/>
        <w:ind w:left="851" w:hanging="0"/>
        <w:jc w:val="both"/>
        <w:rPr>
          <w:rFonts w:ascii="Times New Roman" w:hAnsi="Times New Roman"/>
        </w:rPr>
      </w:pPr>
      <w:r>
        <w:rPr/>
        <w:t>II.6 – Documentos de habilitação (artigo 72, inciso V da LLCA);</w:t>
      </w:r>
    </w:p>
    <w:p>
      <w:pPr>
        <w:pStyle w:val="Normal"/>
        <w:jc w:val="both"/>
        <w:rPr>
          <w:rFonts w:ascii="Times New Roman" w:hAnsi="Times New Roman"/>
        </w:rPr>
      </w:pPr>
      <w:r>
        <w:rPr/>
        <w:t>III – Autorização da autoridade competente (artigo 72, inciso VIII da LLCA);</w:t>
      </w:r>
    </w:p>
    <w:p>
      <w:pPr>
        <w:pStyle w:val="Normal"/>
        <w:jc w:val="both"/>
        <w:rPr>
          <w:rFonts w:ascii="Times New Roman" w:hAnsi="Times New Roman"/>
        </w:rPr>
      </w:pPr>
      <w:r>
        <w:rPr/>
      </w:r>
    </w:p>
    <w:p>
      <w:pPr>
        <w:pStyle w:val="Normal"/>
        <w:jc w:val="both"/>
        <w:rPr>
          <w:rFonts w:ascii="Times New Roman" w:hAnsi="Times New Roman"/>
          <w:b/>
          <w:bCs/>
          <w:u w:val="single"/>
        </w:rPr>
      </w:pPr>
      <w:r>
        <w:rPr>
          <w:b/>
          <w:bCs/>
          <w:u w:val="single"/>
        </w:rPr>
      </w:r>
    </w:p>
    <w:p>
      <w:pPr>
        <w:pStyle w:val="Normal"/>
        <w:jc w:val="both"/>
        <w:rPr>
          <w:rFonts w:ascii="Times New Roman" w:hAnsi="Times New Roman"/>
        </w:rPr>
      </w:pPr>
      <w:r>
        <w:rPr/>
        <w:tab/>
        <w:t xml:space="preserve">Para constar, eu </w:t>
      </w:r>
      <w:r>
        <w:rPr>
          <w:b/>
        </w:rPr>
        <w:t>ELAINE DOS REIS SILVA</w:t>
      </w:r>
      <w:r>
        <w:rPr/>
        <w:t>, presidente da Comissão de Contratação da Prefeitura Municipal de Flores de Goiás lavrei a presente sob a fé do meu cargo.</w:t>
      </w:r>
    </w:p>
    <w:p>
      <w:pPr>
        <w:pStyle w:val="Normal"/>
        <w:rPr>
          <w:rFonts w:ascii="Times New Roman" w:hAnsi="Times New Roman"/>
          <w:b/>
          <w:bCs/>
          <w:u w:val="single"/>
        </w:rPr>
      </w:pPr>
      <w:r>
        <w:rPr>
          <w:b/>
          <w:bCs/>
          <w:u w:val="single"/>
        </w:rPr>
      </w:r>
    </w:p>
    <w:p>
      <w:pPr>
        <w:pStyle w:val="Normal"/>
        <w:rPr>
          <w:rFonts w:ascii="Times New Roman" w:hAnsi="Times New Roman"/>
          <w:b/>
          <w:bCs/>
          <w:u w:val="single"/>
        </w:rPr>
      </w:pPr>
      <w:r>
        <w:rPr>
          <w:b/>
          <w:bCs/>
          <w:u w:val="single"/>
        </w:rPr>
      </w:r>
    </w:p>
    <w:p>
      <w:pPr>
        <w:pStyle w:val="Normal"/>
        <w:rPr>
          <w:rFonts w:ascii="Times New Roman" w:hAnsi="Times New Roman"/>
          <w:b/>
          <w:bCs/>
          <w:u w:val="single"/>
        </w:rPr>
      </w:pPr>
      <w:r>
        <w:rPr>
          <w:b/>
          <w:bCs/>
          <w:u w:val="single"/>
        </w:rPr>
      </w:r>
    </w:p>
    <w:p>
      <w:pPr>
        <w:pStyle w:val="Normal"/>
        <w:jc w:val="center"/>
        <w:rPr>
          <w:rFonts w:ascii="Times New Roman" w:hAnsi="Times New Roman"/>
          <w:b/>
          <w:bCs/>
          <w:u w:val="single"/>
        </w:rPr>
      </w:pPr>
      <w:r>
        <w:rPr>
          <w:b/>
          <w:bCs/>
          <w:u w:val="single"/>
        </w:rPr>
      </w:r>
    </w:p>
    <w:p>
      <w:pPr>
        <w:pStyle w:val="Normal"/>
        <w:jc w:val="center"/>
        <w:rPr>
          <w:rFonts w:ascii="Times New Roman" w:hAnsi="Times New Roman"/>
        </w:rPr>
      </w:pPr>
      <w:r>
        <w:rPr/>
        <w:t>_________________________________________</w:t>
      </w:r>
    </w:p>
    <w:p>
      <w:pPr>
        <w:pStyle w:val="Normal"/>
        <w:jc w:val="center"/>
        <w:rPr>
          <w:rFonts w:ascii="Times New Roman" w:hAnsi="Times New Roman"/>
        </w:rPr>
      </w:pPr>
      <w:r>
        <w:rPr/>
        <w:t>ELAINE DOS REIS SILVA</w:t>
      </w:r>
    </w:p>
    <w:p>
      <w:pPr>
        <w:pStyle w:val="Normal"/>
        <w:jc w:val="center"/>
        <w:rPr>
          <w:rFonts w:ascii="Times New Roman" w:hAnsi="Times New Roman"/>
        </w:rPr>
      </w:pPr>
      <w:r>
        <w:rPr/>
        <w:t>Presidente da Comissão de Contratação</w:t>
      </w:r>
    </w:p>
    <w:p>
      <w:pPr>
        <w:pStyle w:val="Normal"/>
        <w:jc w:val="center"/>
        <w:rPr>
          <w:rFonts w:ascii="Times New Roman" w:hAnsi="Times New Roman"/>
        </w:rPr>
      </w:pPr>
      <w:r>
        <w:rPr/>
        <w:t>Decreto nº 1.230/2024</w:t>
      </w:r>
    </w:p>
    <w:p>
      <w:pPr>
        <w:pStyle w:val="Normal"/>
        <w:shd w:val="clear" w:color="auto" w:fill="BFBFBF" w:themeFill="background1" w:themeFillShade="bf"/>
        <w:tabs>
          <w:tab w:val="clear" w:pos="709"/>
          <w:tab w:val="left" w:pos="9354" w:leader="none"/>
        </w:tabs>
        <w:spacing w:lineRule="auto" w:line="360" w:before="57" w:after="57"/>
        <w:ind w:right="284" w:hanging="0"/>
        <w:jc w:val="center"/>
        <w:rPr>
          <w:rFonts w:ascii="Times New Roman" w:hAnsi="Times New Roman"/>
        </w:rPr>
      </w:pPr>
      <w:r>
        <w:rPr>
          <w:b/>
        </w:rPr>
        <w:t xml:space="preserve">RELATÓRIO DE ANÁLISE DO PROCESSO PELA COMISSÃO DE CONTRATAÇÃO </w:t>
      </w:r>
    </w:p>
    <w:p>
      <w:pPr>
        <w:pStyle w:val="Normal"/>
        <w:shd w:val="clear" w:color="auto" w:fill="BFBFBF" w:themeFill="background1" w:themeFillShade="bf"/>
        <w:tabs>
          <w:tab w:val="clear" w:pos="709"/>
          <w:tab w:val="left" w:pos="9354" w:leader="none"/>
        </w:tabs>
        <w:spacing w:lineRule="auto" w:line="360" w:before="57" w:after="57"/>
        <w:ind w:right="284" w:hanging="0"/>
        <w:jc w:val="center"/>
        <w:rPr>
          <w:rFonts w:ascii="Times New Roman" w:hAnsi="Times New Roman"/>
        </w:rPr>
      </w:pPr>
      <w:r>
        <w:rPr>
          <w:b/>
        </w:rPr>
        <w:t>E ESCOLHA DA MODALIDADE</w:t>
      </w:r>
    </w:p>
    <w:p>
      <w:pPr>
        <w:pStyle w:val="Normal"/>
        <w:spacing w:lineRule="auto" w:line="360" w:before="57" w:after="57"/>
        <w:ind w:right="284" w:hanging="0"/>
        <w:rPr>
          <w:rFonts w:ascii="Times New Roman" w:hAnsi="Times New Roman" w:cs="Tahoma"/>
          <w:b/>
        </w:rPr>
      </w:pPr>
      <w:r>
        <w:rPr>
          <w:rFonts w:cs="Tahoma"/>
          <w:b/>
        </w:rPr>
      </w:r>
    </w:p>
    <w:p>
      <w:pPr>
        <w:pStyle w:val="Normal"/>
        <w:tabs>
          <w:tab w:val="clear" w:pos="709"/>
          <w:tab w:val="left" w:pos="851" w:leader="none"/>
        </w:tabs>
        <w:spacing w:lineRule="auto" w:line="360"/>
        <w:ind w:right="284" w:hanging="0"/>
        <w:jc w:val="both"/>
        <w:rPr>
          <w:rFonts w:ascii="Times New Roman" w:hAnsi="Times New Roman"/>
        </w:rPr>
      </w:pPr>
      <w:r>
        <w:rPr/>
        <w:tab/>
        <w:t xml:space="preserve">No dia </w:t>
      </w:r>
      <w:r>
        <w:rPr>
          <w:color w:val="000000"/>
        </w:rPr>
        <w:t>27</w:t>
      </w:r>
      <w:r>
        <w:rPr/>
        <w:t xml:space="preserve"> de </w:t>
      </w:r>
      <w:r>
        <w:rPr>
          <w:color w:val="000000"/>
        </w:rPr>
        <w:t>maio</w:t>
      </w:r>
      <w:r>
        <w:rPr/>
        <w:t xml:space="preserve"> de 2024, a Comissão Permanente de Contratação - CPC do Município de Flores de Goiás, reuniu sob a presidência de ELAINE DOS REIS SILVA e dos membros ANITHELLY MOREIRA DA SILVA e MARLÚCIA LOPES MARTINS, nomeados pelo Decreto Municipal nº 1.230/2024, para a análise do processo de contratação nº </w:t>
      </w:r>
      <w:r>
        <w:rPr>
          <w:color w:val="000000"/>
        </w:rPr>
        <w:t>1457</w:t>
      </w:r>
      <w:r>
        <w:rPr/>
        <w:t>/2024.</w:t>
      </w:r>
    </w:p>
    <w:p>
      <w:pPr>
        <w:pStyle w:val="Normal"/>
        <w:spacing w:lineRule="auto" w:line="360"/>
        <w:ind w:right="284" w:hanging="0"/>
        <w:jc w:val="both"/>
        <w:rPr>
          <w:rFonts w:ascii="Times New Roman" w:hAnsi="Times New Roman"/>
        </w:rPr>
      </w:pPr>
      <w:r>
        <w:rPr/>
      </w:r>
    </w:p>
    <w:p>
      <w:pPr>
        <w:pStyle w:val="Normal"/>
        <w:spacing w:lineRule="auto" w:line="360"/>
        <w:rPr>
          <w:rFonts w:ascii="Times New Roman" w:hAnsi="Times New Roman"/>
        </w:rPr>
      </w:pPr>
      <w:r>
        <w:rPr/>
        <w:t xml:space="preserve">1. Trata-se de demanda da Secretaria Municipal de Desenvolvimento Social e Trabalho, referente a aquisição emergencial de kit dormitório para atender as famílias que se encontram em estado de vulnerabilidade devido as fortes chuvas.                                                                                                                                                                                                             </w:t>
      </w:r>
    </w:p>
    <w:p>
      <w:pPr>
        <w:pStyle w:val="Normal"/>
        <w:spacing w:lineRule="auto" w:line="360"/>
        <w:ind w:right="284" w:hanging="0"/>
        <w:jc w:val="both"/>
        <w:rPr>
          <w:rFonts w:ascii="Times New Roman" w:hAnsi="Times New Roman"/>
        </w:rPr>
      </w:pPr>
      <w:r>
        <w:rPr/>
      </w:r>
    </w:p>
    <w:p>
      <w:pPr>
        <w:pStyle w:val="Normal"/>
        <w:spacing w:lineRule="auto" w:line="360"/>
        <w:ind w:right="284" w:hanging="0"/>
        <w:rPr>
          <w:rFonts w:ascii="Times New Roman" w:hAnsi="Times New Roman"/>
        </w:rPr>
      </w:pPr>
      <w:r>
        <w:rPr/>
        <w:t>2. A presente dispensa está fundamentada nos diversos dispositivos normativos e regulamentares abaixo relacionados:</w:t>
      </w:r>
    </w:p>
    <w:p>
      <w:pPr>
        <w:pStyle w:val="Normal"/>
        <w:spacing w:lineRule="auto" w:line="360"/>
        <w:ind w:left="3545" w:right="284" w:hanging="0"/>
        <w:jc w:val="both"/>
        <w:rPr>
          <w:i/>
          <w:i/>
          <w:iCs/>
          <w:sz w:val="24"/>
          <w:szCs w:val="24"/>
        </w:rPr>
      </w:pPr>
      <w:r>
        <w:rPr>
          <w:i/>
          <w:iCs/>
          <w:sz w:val="24"/>
          <w:szCs w:val="24"/>
        </w:rPr>
      </w:r>
    </w:p>
    <w:p>
      <w:pPr>
        <w:pStyle w:val="Normal"/>
        <w:spacing w:lineRule="auto" w:line="360"/>
        <w:ind w:left="0" w:right="284" w:hanging="0"/>
        <w:jc w:val="both"/>
        <w:rPr>
          <w:sz w:val="24"/>
          <w:szCs w:val="24"/>
        </w:rPr>
      </w:pPr>
      <w:r>
        <w:rPr>
          <w:sz w:val="24"/>
          <w:szCs w:val="24"/>
        </w:rPr>
        <w:t>2.1. A Constituição Federal, art. 37, XXI, que define o processo licitatório público como regra para a contratação de obras, serviços, compras e alienações por parte da Administração Pública mediante processo licitatório, ressalvados os casos especificados na legislação.</w:t>
      </w:r>
    </w:p>
    <w:p>
      <w:pPr>
        <w:pStyle w:val="Normal"/>
        <w:spacing w:lineRule="auto" w:line="360"/>
        <w:ind w:left="0" w:right="284" w:hanging="0"/>
        <w:jc w:val="both"/>
        <w:rPr>
          <w:sz w:val="24"/>
          <w:szCs w:val="24"/>
        </w:rPr>
      </w:pPr>
      <w:r>
        <w:rPr>
          <w:sz w:val="24"/>
          <w:szCs w:val="24"/>
        </w:rPr>
      </w:r>
    </w:p>
    <w:p>
      <w:pPr>
        <w:pStyle w:val="Normal"/>
        <w:spacing w:lineRule="auto" w:line="360"/>
        <w:ind w:left="0" w:right="284" w:hanging="0"/>
        <w:jc w:val="both"/>
        <w:rPr>
          <w:sz w:val="24"/>
          <w:szCs w:val="24"/>
        </w:rPr>
      </w:pPr>
      <w:r>
        <w:rPr>
          <w:sz w:val="24"/>
          <w:szCs w:val="24"/>
        </w:rPr>
        <w:t>2.2. O Inciso VIII, do Artigo 75 da Lei nº 14.133/21 - Lei de Licitações e Contratos Administrativos, que estabelece normas gerais de licitação e contratação para as Administrações Públicas diretas, autárquicas e fundacionais da União, dos Estados, do Distrito Federal e dos Municípios. Vejamos o teor:</w:t>
      </w:r>
    </w:p>
    <w:p>
      <w:pPr>
        <w:pStyle w:val="Normal"/>
        <w:spacing w:lineRule="auto" w:line="360"/>
        <w:ind w:left="3545" w:right="284" w:hanging="0"/>
        <w:jc w:val="both"/>
        <w:rPr>
          <w:sz w:val="22"/>
          <w:szCs w:val="22"/>
        </w:rPr>
      </w:pPr>
      <w:r>
        <w:rPr>
          <w:i/>
          <w:iCs/>
          <w:sz w:val="22"/>
          <w:szCs w:val="22"/>
        </w:rPr>
        <w:t>Art. 75. É dispensável a licitação:</w:t>
      </w:r>
    </w:p>
    <w:p>
      <w:pPr>
        <w:pStyle w:val="Normal"/>
        <w:spacing w:lineRule="auto" w:line="360"/>
        <w:ind w:left="3545" w:right="284" w:hanging="0"/>
        <w:jc w:val="both"/>
        <w:rPr>
          <w:sz w:val="22"/>
          <w:szCs w:val="22"/>
        </w:rPr>
      </w:pPr>
      <w:r>
        <w:rPr>
          <w:i/>
          <w:iCs/>
          <w:sz w:val="22"/>
          <w:szCs w:val="22"/>
        </w:rPr>
        <w:t xml:space="preserve"> </w:t>
      </w:r>
      <w:r>
        <w:rPr>
          <w:i/>
          <w:iCs/>
          <w:sz w:val="22"/>
          <w:szCs w:val="22"/>
        </w:rPr>
        <w:t xml:space="preserve">(...) </w:t>
      </w:r>
    </w:p>
    <w:p>
      <w:pPr>
        <w:pStyle w:val="Normal"/>
        <w:spacing w:lineRule="auto" w:line="360"/>
        <w:ind w:left="3545" w:right="284" w:hanging="0"/>
        <w:jc w:val="both"/>
        <w:rPr>
          <w:sz w:val="22"/>
          <w:szCs w:val="22"/>
        </w:rPr>
      </w:pPr>
      <w:r>
        <w:rPr>
          <w:i/>
          <w:iCs/>
          <w:sz w:val="22"/>
          <w:szCs w:val="22"/>
        </w:rPr>
        <w:t xml:space="preserve">VIII - nos casos de emergência ou de calamidade pública, quando caracterizada urgência de atendimento de situação que possa ocasionar prejuízo ou comprometer a continuidade dos serviços públicos ou a segurança de pessoas, obras, serviços, equipamentos e outros bens, públicos ou particulares, e somente para aquisição dos bens necessários ao atendimento da situação emergencial ou calamitosa e para as parcelas de obras e serviços que possam ser concluídas no prazo máximo de 1 (um) ano, contado da data de ocorrência da emergência ou da calamidade, vedadas a prorrogação dos respectivos contratos e a recontratação de empresa já contratada com base no disposto neste inciso; </w:t>
      </w:r>
    </w:p>
    <w:p>
      <w:pPr>
        <w:pStyle w:val="Normal"/>
        <w:spacing w:lineRule="auto" w:line="276"/>
        <w:ind w:left="3545" w:right="284" w:hanging="0"/>
        <w:jc w:val="both"/>
        <w:rPr>
          <w:sz w:val="22"/>
          <w:szCs w:val="22"/>
        </w:rPr>
      </w:pPr>
      <w:r>
        <w:rPr>
          <w:i/>
          <w:iCs/>
          <w:sz w:val="22"/>
          <w:szCs w:val="22"/>
        </w:rPr>
        <w:t>[…]</w:t>
      </w:r>
    </w:p>
    <w:p>
      <w:pPr>
        <w:pStyle w:val="Normal"/>
        <w:spacing w:lineRule="auto" w:line="360"/>
        <w:ind w:left="3545" w:right="284" w:hanging="0"/>
        <w:jc w:val="both"/>
        <w:rPr>
          <w:sz w:val="22"/>
          <w:szCs w:val="22"/>
        </w:rPr>
      </w:pPr>
      <w:r>
        <w:rPr>
          <w:i/>
          <w:iCs/>
          <w:sz w:val="22"/>
          <w:szCs w:val="22"/>
        </w:rPr>
        <w:t xml:space="preserve"> </w:t>
      </w:r>
      <w:r>
        <w:rPr>
          <w:i/>
          <w:iCs/>
          <w:sz w:val="22"/>
          <w:szCs w:val="22"/>
        </w:rPr>
        <w:t>§ 6º Para os fins do inciso VIII do caput deste artigo, considera-se emergencial a contratação por dispensa com objetivo de manter a continuidade do serviço público, e deverão ser observados os valores praticados pelo mercado na forma do art. 23 desta Lei e adotadas as providências necessárias para a conclusão do processo licitatório, sem prejuízo de apuração de responsabilidade dos agentes públicos que deram causa à situação emergencial.</w:t>
      </w:r>
    </w:p>
    <w:p>
      <w:pPr>
        <w:pStyle w:val="Normal"/>
        <w:spacing w:lineRule="auto" w:line="360"/>
        <w:ind w:left="3545" w:right="284" w:hanging="0"/>
        <w:jc w:val="both"/>
        <w:rPr>
          <w:rFonts w:ascii="Times New Roman" w:hAnsi="Times New Roman"/>
          <w:i/>
          <w:i/>
          <w:iCs/>
          <w:sz w:val="24"/>
          <w:szCs w:val="24"/>
        </w:rPr>
      </w:pPr>
      <w:r>
        <w:rPr>
          <w:i/>
          <w:iCs/>
          <w:sz w:val="24"/>
          <w:szCs w:val="24"/>
        </w:rPr>
      </w:r>
    </w:p>
    <w:p>
      <w:pPr>
        <w:pStyle w:val="Corpodotexto"/>
        <w:spacing w:lineRule="auto" w:line="360" w:before="0" w:after="0"/>
        <w:ind w:right="136" w:hanging="0"/>
        <w:jc w:val="both"/>
        <w:rPr>
          <w:rFonts w:ascii="Times New Roman" w:hAnsi="Times New Roman"/>
        </w:rPr>
      </w:pPr>
      <w:r>
        <w:rPr/>
        <w:t>3. Feita essa análise de adequação da solicitação de compra a hipótese da contratação direta de dispensa de licitação prevista no inciso VIII do artigo 75 da LLCA, mostra-se necessário verificar e definir o processo de contratação direta a ser adotado.</w:t>
      </w:r>
    </w:p>
    <w:p>
      <w:pPr>
        <w:pStyle w:val="Corpodotexto"/>
        <w:spacing w:lineRule="auto" w:line="360" w:before="0" w:after="0"/>
        <w:ind w:right="136" w:hanging="0"/>
        <w:jc w:val="both"/>
        <w:rPr>
          <w:rFonts w:ascii="Times New Roman" w:hAnsi="Times New Roman"/>
        </w:rPr>
      </w:pPr>
      <w:r>
        <w:rPr/>
      </w:r>
    </w:p>
    <w:p>
      <w:pPr>
        <w:pStyle w:val="Corpodotexto"/>
        <w:spacing w:lineRule="auto" w:line="360" w:before="0" w:after="0"/>
        <w:ind w:right="136" w:hanging="0"/>
        <w:jc w:val="both"/>
        <w:rPr>
          <w:rFonts w:ascii="Times New Roman" w:hAnsi="Times New Roman"/>
        </w:rPr>
      </w:pPr>
      <w:r>
        <w:rPr/>
        <w:t>4. Desta forma, mesmo sem a observância de alguns dos procedimentos relativos às modalidades licitatórias, a contratação direta deve obediência aos princípios do Direito Administrativo, exigindo, por exemplo, a realização de um procedimento formal, destinado a justificar a escolha de tal contratação e delineamento de seus parâmetros e objetivos.</w:t>
      </w:r>
    </w:p>
    <w:p>
      <w:pPr>
        <w:pStyle w:val="Normal"/>
        <w:spacing w:lineRule="auto" w:line="276"/>
        <w:ind w:left="3545" w:right="284" w:hanging="0"/>
        <w:jc w:val="both"/>
        <w:rPr>
          <w:rFonts w:ascii="Times New Roman" w:hAnsi="Times New Roman"/>
          <w:i/>
          <w:i/>
          <w:iCs/>
          <w:sz w:val="22"/>
          <w:szCs w:val="22"/>
        </w:rPr>
      </w:pPr>
      <w:r>
        <w:rPr>
          <w:i/>
          <w:iCs/>
          <w:sz w:val="22"/>
          <w:szCs w:val="22"/>
        </w:rPr>
      </w:r>
    </w:p>
    <w:p>
      <w:pPr>
        <w:pStyle w:val="Normal"/>
        <w:spacing w:lineRule="auto" w:line="360"/>
        <w:ind w:left="0" w:right="284" w:hanging="0"/>
        <w:jc w:val="both"/>
        <w:rPr>
          <w:rFonts w:ascii="Times New Roman" w:hAnsi="Times New Roman"/>
          <w:i w:val="false"/>
          <w:i w:val="false"/>
          <w:iCs w:val="false"/>
          <w:sz w:val="24"/>
          <w:szCs w:val="24"/>
        </w:rPr>
      </w:pPr>
      <w:r>
        <w:rPr>
          <w:i w:val="false"/>
          <w:iCs w:val="false"/>
          <w:sz w:val="24"/>
          <w:szCs w:val="24"/>
        </w:rPr>
        <w:t>5. No presente caso, verificou-se através da pesquisa de preço que foram observados os valores praticados pelo mercado.</w:t>
      </w:r>
    </w:p>
    <w:p>
      <w:pPr>
        <w:pStyle w:val="Normal"/>
        <w:spacing w:lineRule="auto" w:line="360"/>
        <w:ind w:left="0" w:right="284" w:hanging="0"/>
        <w:jc w:val="both"/>
        <w:rPr>
          <w:rFonts w:ascii="Times New Roman" w:hAnsi="Times New Roman"/>
          <w:i w:val="false"/>
          <w:i w:val="false"/>
          <w:iCs w:val="false"/>
          <w:sz w:val="24"/>
          <w:szCs w:val="24"/>
        </w:rPr>
      </w:pPr>
      <w:r>
        <w:rPr>
          <w:i w:val="false"/>
          <w:iCs w:val="false"/>
          <w:sz w:val="24"/>
          <w:szCs w:val="24"/>
        </w:rPr>
      </w:r>
    </w:p>
    <w:p>
      <w:pPr>
        <w:pStyle w:val="Normal"/>
        <w:spacing w:lineRule="auto" w:line="360" w:before="57" w:after="57"/>
        <w:ind w:right="284" w:hanging="0"/>
        <w:jc w:val="both"/>
        <w:rPr>
          <w:rFonts w:ascii="Times New Roman" w:hAnsi="Times New Roman"/>
        </w:rPr>
      </w:pPr>
      <w:r>
        <w:rPr/>
        <w:t xml:space="preserve">6. De tal modo, verifica-se a seguinte documentação constante no atual processo: </w:t>
      </w:r>
    </w:p>
    <w:p>
      <w:pPr>
        <w:pStyle w:val="ListParagraph"/>
        <w:numPr>
          <w:ilvl w:val="0"/>
          <w:numId w:val="1"/>
        </w:numPr>
        <w:jc w:val="both"/>
        <w:rPr>
          <w:rFonts w:ascii="Times New Roman" w:hAnsi="Times New Roman"/>
        </w:rPr>
      </w:pPr>
      <w:r>
        <w:rPr/>
        <w:t>Documento de formalização da demanda, constando:</w:t>
      </w:r>
    </w:p>
    <w:p>
      <w:pPr>
        <w:pStyle w:val="Normal"/>
        <w:ind w:left="851" w:hanging="0"/>
        <w:jc w:val="both"/>
        <w:rPr>
          <w:rFonts w:ascii="Times New Roman" w:hAnsi="Times New Roman"/>
        </w:rPr>
      </w:pPr>
      <w:r>
        <w:rPr/>
        <w:t>II.1 – Ofício da Secretaria;</w:t>
      </w:r>
    </w:p>
    <w:p>
      <w:pPr>
        <w:pStyle w:val="Normal"/>
        <w:ind w:left="851" w:hanging="0"/>
        <w:jc w:val="both"/>
        <w:rPr>
          <w:rFonts w:ascii="Times New Roman" w:hAnsi="Times New Roman"/>
        </w:rPr>
      </w:pPr>
      <w:r>
        <w:rPr/>
        <w:t>II.2 – ETP;</w:t>
      </w:r>
    </w:p>
    <w:p>
      <w:pPr>
        <w:pStyle w:val="Normal"/>
        <w:ind w:left="851" w:hanging="0"/>
        <w:jc w:val="both"/>
        <w:rPr>
          <w:rFonts w:ascii="Times New Roman" w:hAnsi="Times New Roman"/>
        </w:rPr>
      </w:pPr>
      <w:r>
        <w:rPr/>
        <w:t>II.3 – Minuta do Termo de Referência;</w:t>
      </w:r>
    </w:p>
    <w:p>
      <w:pPr>
        <w:pStyle w:val="Normal"/>
        <w:ind w:left="851" w:hanging="0"/>
        <w:jc w:val="both"/>
        <w:rPr>
          <w:rFonts w:ascii="Times New Roman" w:hAnsi="Times New Roman"/>
        </w:rPr>
      </w:pPr>
      <w:r>
        <w:rPr/>
        <w:t>II.4 – Estimativa de despesa com o mapa de cotação e documentos relativos à pesquisa de preço (artigo 72, inciso II da LLCA);</w:t>
      </w:r>
    </w:p>
    <w:p>
      <w:pPr>
        <w:pStyle w:val="Normal"/>
        <w:ind w:left="851" w:hanging="0"/>
        <w:jc w:val="both"/>
        <w:rPr>
          <w:rFonts w:ascii="Times New Roman" w:hAnsi="Times New Roman"/>
        </w:rPr>
      </w:pPr>
      <w:r>
        <w:rPr/>
        <w:t>II.5 – Justificativa de Preço (artigo 72, inciso VII da LLCA);</w:t>
      </w:r>
    </w:p>
    <w:p>
      <w:pPr>
        <w:pStyle w:val="Normal"/>
        <w:ind w:left="851" w:hanging="0"/>
        <w:jc w:val="both"/>
        <w:rPr>
          <w:rFonts w:ascii="Times New Roman" w:hAnsi="Times New Roman"/>
        </w:rPr>
      </w:pPr>
      <w:r>
        <w:rPr/>
        <w:t>II.6 – Termo de referência (artigo 72, inciso I da LLCA);</w:t>
      </w:r>
    </w:p>
    <w:p>
      <w:pPr>
        <w:pStyle w:val="Normal"/>
        <w:ind w:left="851" w:hanging="0"/>
        <w:jc w:val="both"/>
        <w:rPr>
          <w:rFonts w:ascii="Times New Roman" w:hAnsi="Times New Roman"/>
        </w:rPr>
      </w:pPr>
      <w:r>
        <w:rPr/>
        <w:t>II.7 – Dotação Orçamentária (artigo 72, inciso IV da LLCA);</w:t>
      </w:r>
    </w:p>
    <w:p>
      <w:pPr>
        <w:pStyle w:val="Normal"/>
        <w:ind w:left="851" w:hanging="0"/>
        <w:jc w:val="both"/>
        <w:rPr>
          <w:rFonts w:ascii="Times New Roman" w:hAnsi="Times New Roman"/>
        </w:rPr>
      </w:pPr>
      <w:r>
        <w:rPr/>
        <w:t>II.8 – Documentos de habilitação (artigo 72, inciso V da LLCA);</w:t>
      </w:r>
    </w:p>
    <w:p>
      <w:pPr>
        <w:pStyle w:val="ListParagraph"/>
        <w:numPr>
          <w:ilvl w:val="0"/>
          <w:numId w:val="1"/>
        </w:numPr>
        <w:jc w:val="both"/>
        <w:rPr>
          <w:rFonts w:ascii="Times New Roman" w:hAnsi="Times New Roman"/>
        </w:rPr>
      </w:pPr>
      <w:r>
        <w:rPr/>
        <w:t>Autorização da autoridade competente (artigo 72, inciso VIII da LLCA).</w:t>
      </w:r>
    </w:p>
    <w:p>
      <w:pPr>
        <w:pStyle w:val="ListParagraph"/>
        <w:numPr>
          <w:ilvl w:val="0"/>
          <w:numId w:val="0"/>
        </w:numPr>
        <w:ind w:left="0" w:hanging="0"/>
        <w:jc w:val="both"/>
        <w:rPr/>
      </w:pPr>
      <w:r>
        <w:rPr/>
      </w:r>
    </w:p>
    <w:p>
      <w:pPr>
        <w:pStyle w:val="ListParagraph"/>
        <w:jc w:val="both"/>
        <w:rPr>
          <w:rFonts w:ascii="Times New Roman" w:hAnsi="Times New Roman"/>
        </w:rPr>
      </w:pPr>
      <w:r>
        <w:rPr/>
      </w:r>
    </w:p>
    <w:p>
      <w:pPr>
        <w:pStyle w:val="Normal"/>
        <w:spacing w:lineRule="auto" w:line="360" w:before="57" w:after="57"/>
        <w:ind w:right="284" w:hanging="0"/>
        <w:jc w:val="both"/>
        <w:rPr>
          <w:rFonts w:ascii="Times New Roman" w:hAnsi="Times New Roman"/>
        </w:rPr>
      </w:pPr>
      <w:r>
        <w:rPr/>
        <w:t>7. A razão da dispensa emergencial se dá em razão de vulnerabilidade em que as famílias assistidas pela Secretaria Municipal de Assistência Social se encontram, tendo em vista as fortes chuvas no Município.</w:t>
      </w:r>
    </w:p>
    <w:p>
      <w:pPr>
        <w:pStyle w:val="Normal"/>
        <w:spacing w:lineRule="auto" w:line="360" w:before="57" w:after="57"/>
        <w:ind w:right="284" w:hanging="0"/>
        <w:jc w:val="both"/>
        <w:rPr>
          <w:rFonts w:ascii="Times New Roman" w:hAnsi="Times New Roman"/>
        </w:rPr>
      </w:pPr>
      <w:r>
        <w:rPr/>
      </w:r>
    </w:p>
    <w:p>
      <w:pPr>
        <w:pStyle w:val="Normal"/>
        <w:spacing w:lineRule="auto" w:line="360" w:before="57" w:after="57"/>
        <w:ind w:right="284" w:hanging="0"/>
        <w:jc w:val="both"/>
        <w:rPr>
          <w:rFonts w:ascii="Times New Roman" w:hAnsi="Times New Roman"/>
        </w:rPr>
      </w:pPr>
      <w:r>
        <w:rPr/>
        <w:t xml:space="preserve">8. E, sobre a </w:t>
      </w:r>
      <w:r>
        <w:rPr>
          <w:b/>
          <w:bCs/>
        </w:rPr>
        <w:t>razão de escolha do contratado</w:t>
      </w:r>
      <w:r>
        <w:rPr/>
        <w:t>, justifica-se por ser ser o menor preço cotado e também por ser situação emergencial, tendo em vista a necessidade da Secretaria Municipal de Assistência Social e Trabalho.</w:t>
      </w:r>
    </w:p>
    <w:p>
      <w:pPr>
        <w:pStyle w:val="Normal"/>
        <w:spacing w:lineRule="auto" w:line="360" w:before="57" w:after="57"/>
        <w:ind w:right="284" w:hanging="0"/>
        <w:jc w:val="both"/>
        <w:rPr>
          <w:rFonts w:ascii="Times New Roman" w:hAnsi="Times New Roman"/>
        </w:rPr>
      </w:pPr>
      <w:r>
        <w:rPr/>
        <w:t xml:space="preserve"> </w:t>
      </w:r>
    </w:p>
    <w:p>
      <w:pPr>
        <w:pStyle w:val="Normal"/>
        <w:spacing w:lineRule="auto" w:line="360" w:before="57" w:after="57"/>
        <w:ind w:right="284" w:hanging="0"/>
        <w:jc w:val="both"/>
        <w:rPr>
          <w:rFonts w:ascii="Times New Roman" w:hAnsi="Times New Roman"/>
        </w:rPr>
      </w:pPr>
      <w:r>
        <w:rPr/>
        <w:t xml:space="preserve">8. </w:t>
      </w:r>
      <w:r>
        <w:rPr>
          <w:b/>
          <w:bCs/>
        </w:rPr>
        <w:t>CONCLUSÃO</w:t>
      </w:r>
      <w:r>
        <w:rPr/>
        <w:t>. Após a análise do presente processo de contratação de compra direta, é possível confirmar que ele foi instruído com os documentos exigidos pelo artigo 72 da Lei nº 14.133/21. Dito isto, a conclusão é de que estamos diante de uma contratação direta caracterizada pela situação emergencial (previsto no inciso VIII do artigo 75 da Lei nº 14.133/21) e que foi observado o processo simplificado previsto no artigo 72 da mesma lei com regulamentação pelo referido Decreto Municipal.</w:t>
      </w:r>
    </w:p>
    <w:p>
      <w:pPr>
        <w:pStyle w:val="Normal"/>
        <w:spacing w:lineRule="auto" w:line="360" w:before="57" w:after="57"/>
        <w:ind w:right="284" w:hanging="0"/>
        <w:jc w:val="both"/>
        <w:rPr>
          <w:rFonts w:ascii="Times New Roman" w:hAnsi="Times New Roman"/>
        </w:rPr>
      </w:pPr>
      <w:r>
        <w:rPr/>
      </w:r>
    </w:p>
    <w:p>
      <w:pPr>
        <w:pStyle w:val="Normal"/>
        <w:ind w:left="0" w:right="284" w:hanging="0"/>
        <w:jc w:val="center"/>
        <w:rPr>
          <w:rFonts w:ascii="Times New Roman" w:hAnsi="Times New Roman"/>
        </w:rPr>
      </w:pPr>
      <w:r>
        <w:rPr/>
        <w:t>Flores de Goiás, Goiás, aos 27 de maio de 2024.</w:t>
      </w:r>
    </w:p>
    <w:p>
      <w:pPr>
        <w:pStyle w:val="Normal"/>
        <w:ind w:left="0" w:right="284" w:hanging="0"/>
        <w:jc w:val="center"/>
        <w:rPr>
          <w:rFonts w:ascii="Times New Roman" w:hAnsi="Times New Roman"/>
        </w:rPr>
      </w:pPr>
      <w:r>
        <w:rPr/>
      </w:r>
    </w:p>
    <w:p>
      <w:pPr>
        <w:pStyle w:val="Normal"/>
        <w:ind w:right="284" w:hanging="0"/>
        <w:jc w:val="center"/>
        <w:rPr>
          <w:rFonts w:ascii="Times New Roman" w:hAnsi="Times New Roman"/>
        </w:rPr>
      </w:pPr>
      <w:r>
        <w:rPr/>
        <w:t>_______________________________</w:t>
      </w:r>
    </w:p>
    <w:p>
      <w:pPr>
        <w:pStyle w:val="Normal"/>
        <w:ind w:right="284" w:hanging="0"/>
        <w:jc w:val="center"/>
        <w:rPr>
          <w:rFonts w:ascii="Times New Roman" w:hAnsi="Times New Roman"/>
        </w:rPr>
      </w:pPr>
      <w:r>
        <w:rPr/>
        <w:t>ELAINE DOS REIS SILVA</w:t>
      </w:r>
    </w:p>
    <w:p>
      <w:pPr>
        <w:pStyle w:val="Normal"/>
        <w:ind w:right="284" w:hanging="0"/>
        <w:jc w:val="center"/>
        <w:rPr>
          <w:rFonts w:ascii="Times New Roman" w:hAnsi="Times New Roman"/>
        </w:rPr>
      </w:pPr>
      <w:r>
        <w:rPr/>
        <w:t>Presidente da CPC – Decreto 1230/24</w:t>
      </w:r>
    </w:p>
    <w:p>
      <w:pPr>
        <w:pStyle w:val="Normal"/>
        <w:ind w:right="284" w:hanging="0"/>
        <w:jc w:val="center"/>
        <w:rPr>
          <w:rFonts w:ascii="Times New Roman" w:hAnsi="Times New Roman"/>
        </w:rPr>
      </w:pPr>
      <w:r>
        <w:rPr/>
      </w:r>
    </w:p>
    <w:p>
      <w:pPr>
        <w:pStyle w:val="Normal"/>
        <w:ind w:right="284" w:hanging="0"/>
        <w:jc w:val="center"/>
        <w:rPr>
          <w:rFonts w:ascii="Times New Roman" w:hAnsi="Times New Roman"/>
        </w:rPr>
      </w:pPr>
      <w:r>
        <w:rPr/>
        <w:t>_______________________________</w:t>
      </w:r>
    </w:p>
    <w:p>
      <w:pPr>
        <w:pStyle w:val="Normal"/>
        <w:ind w:right="284" w:hanging="0"/>
        <w:jc w:val="center"/>
        <w:rPr>
          <w:rFonts w:ascii="Times New Roman" w:hAnsi="Times New Roman"/>
        </w:rPr>
      </w:pPr>
      <w:r>
        <w:rPr/>
        <w:t>ANITHELLY MOREIRA DA SILVA</w:t>
      </w:r>
    </w:p>
    <w:p>
      <w:pPr>
        <w:pStyle w:val="Normal"/>
        <w:ind w:right="284" w:hanging="0"/>
        <w:jc w:val="center"/>
        <w:rPr>
          <w:rFonts w:ascii="Times New Roman" w:hAnsi="Times New Roman"/>
        </w:rPr>
      </w:pPr>
      <w:r>
        <w:rPr/>
        <w:t>Membro da CPC – Decreto 1230/24</w:t>
      </w:r>
    </w:p>
    <w:p>
      <w:pPr>
        <w:pStyle w:val="Normal"/>
        <w:ind w:right="284" w:hanging="0"/>
        <w:jc w:val="center"/>
        <w:rPr>
          <w:rFonts w:ascii="Times New Roman" w:hAnsi="Times New Roman"/>
        </w:rPr>
      </w:pPr>
      <w:r>
        <w:rPr/>
      </w:r>
    </w:p>
    <w:p>
      <w:pPr>
        <w:pStyle w:val="Normal"/>
        <w:ind w:right="284" w:hanging="0"/>
        <w:jc w:val="center"/>
        <w:rPr>
          <w:rFonts w:ascii="Times New Roman" w:hAnsi="Times New Roman"/>
        </w:rPr>
      </w:pPr>
      <w:r>
        <w:rPr/>
        <w:t>_______________________________</w:t>
      </w:r>
    </w:p>
    <w:p>
      <w:pPr>
        <w:pStyle w:val="Normal"/>
        <w:ind w:right="284" w:hanging="0"/>
        <w:jc w:val="center"/>
        <w:rPr>
          <w:rFonts w:ascii="Times New Roman" w:hAnsi="Times New Roman"/>
        </w:rPr>
      </w:pPr>
      <w:r>
        <w:rPr/>
        <w:t>MARLÚCIA LOPES MARTINS</w:t>
      </w:r>
    </w:p>
    <w:p>
      <w:pPr>
        <w:pStyle w:val="Normal"/>
        <w:ind w:right="284" w:hanging="0"/>
        <w:jc w:val="center"/>
        <w:rPr>
          <w:rFonts w:ascii="Times New Roman" w:hAnsi="Times New Roman"/>
        </w:rPr>
      </w:pPr>
      <w:r>
        <w:rPr/>
        <w:t>Membro da CPC – Decreto 1230/24</w:t>
      </w:r>
    </w:p>
    <w:p>
      <w:pPr>
        <w:pStyle w:val="Normal"/>
        <w:ind w:right="284" w:hanging="0"/>
        <w:jc w:val="center"/>
        <w:rPr>
          <w:rFonts w:ascii="Times New Roman" w:hAnsi="Times New Roman"/>
        </w:rPr>
      </w:pPr>
      <w:r>
        <w:rPr/>
      </w:r>
    </w:p>
    <w:p>
      <w:pPr>
        <w:pStyle w:val="Normal"/>
        <w:ind w:right="284" w:hanging="0"/>
        <w:jc w:val="center"/>
        <w:rPr>
          <w:rFonts w:ascii="Times New Roman" w:hAnsi="Times New Roman"/>
        </w:rPr>
      </w:pPr>
      <w:r>
        <w:rPr/>
      </w:r>
    </w:p>
    <w:p>
      <w:pPr>
        <w:pStyle w:val="Normal"/>
        <w:ind w:right="284" w:hanging="0"/>
        <w:jc w:val="center"/>
        <w:rPr>
          <w:rFonts w:ascii="Times New Roman" w:hAnsi="Times New Roman"/>
        </w:rPr>
      </w:pPr>
      <w:r>
        <w:rPr/>
      </w:r>
    </w:p>
    <w:p>
      <w:pPr>
        <w:pStyle w:val="Normal"/>
        <w:ind w:right="284" w:hanging="0"/>
        <w:jc w:val="center"/>
        <w:rPr>
          <w:rFonts w:ascii="Times New Roman" w:hAnsi="Times New Roman"/>
        </w:rPr>
      </w:pPr>
      <w:r>
        <w:rPr/>
      </w:r>
    </w:p>
    <w:p>
      <w:pPr>
        <w:pStyle w:val="Normal"/>
        <w:ind w:right="284" w:hanging="0"/>
        <w:jc w:val="center"/>
        <w:rPr>
          <w:rFonts w:ascii="Times New Roman" w:hAnsi="Times New Roman"/>
        </w:rPr>
      </w:pPr>
      <w:r>
        <w:rPr/>
      </w:r>
    </w:p>
    <w:p>
      <w:pPr>
        <w:pStyle w:val="Normal"/>
        <w:ind w:right="284" w:hanging="0"/>
        <w:jc w:val="center"/>
        <w:rPr>
          <w:rFonts w:ascii="Times New Roman" w:hAnsi="Times New Roman"/>
        </w:rPr>
      </w:pPr>
      <w:r>
        <w:rPr/>
      </w:r>
    </w:p>
    <w:p>
      <w:pPr>
        <w:pStyle w:val="Normal"/>
        <w:ind w:right="284" w:hanging="0"/>
        <w:jc w:val="center"/>
        <w:rPr>
          <w:rFonts w:ascii="Times New Roman" w:hAnsi="Times New Roman"/>
        </w:rPr>
      </w:pPr>
      <w:r>
        <w:rPr/>
      </w:r>
    </w:p>
    <w:p>
      <w:pPr>
        <w:pStyle w:val="Normal"/>
        <w:ind w:right="284" w:hanging="0"/>
        <w:jc w:val="center"/>
        <w:rPr>
          <w:rFonts w:ascii="Times New Roman" w:hAnsi="Times New Roman"/>
        </w:rPr>
      </w:pPr>
      <w:r>
        <w:rPr/>
      </w:r>
    </w:p>
    <w:p>
      <w:pPr>
        <w:pStyle w:val="Normal"/>
        <w:ind w:right="284" w:hanging="0"/>
        <w:jc w:val="center"/>
        <w:rPr>
          <w:rFonts w:ascii="Times New Roman" w:hAnsi="Times New Roman"/>
        </w:rPr>
      </w:pPr>
      <w:r>
        <w:rPr/>
      </w:r>
    </w:p>
    <w:p>
      <w:pPr>
        <w:pStyle w:val="Normal"/>
        <w:ind w:right="284" w:hanging="0"/>
        <w:jc w:val="center"/>
        <w:rPr>
          <w:rFonts w:ascii="Times New Roman" w:hAnsi="Times New Roman"/>
        </w:rPr>
      </w:pPr>
      <w:r>
        <w:rPr/>
      </w:r>
    </w:p>
    <w:p>
      <w:pPr>
        <w:pStyle w:val="Normal"/>
        <w:ind w:right="284" w:hanging="0"/>
        <w:jc w:val="center"/>
        <w:rPr>
          <w:rFonts w:ascii="Times New Roman" w:hAnsi="Times New Roman"/>
        </w:rPr>
      </w:pPr>
      <w:r>
        <w:rPr/>
      </w:r>
    </w:p>
    <w:p>
      <w:pPr>
        <w:pStyle w:val="Normal"/>
        <w:ind w:right="284" w:hanging="0"/>
        <w:jc w:val="center"/>
        <w:rPr>
          <w:rFonts w:ascii="Times New Roman" w:hAnsi="Times New Roman"/>
        </w:rPr>
      </w:pPr>
      <w:r>
        <w:rPr/>
      </w:r>
    </w:p>
    <w:p>
      <w:pPr>
        <w:pStyle w:val="Normal"/>
        <w:ind w:right="284" w:hanging="0"/>
        <w:jc w:val="center"/>
        <w:rPr>
          <w:rFonts w:ascii="Times New Roman" w:hAnsi="Times New Roman"/>
        </w:rPr>
      </w:pPr>
      <w:r>
        <w:rPr/>
      </w:r>
    </w:p>
    <w:p>
      <w:pPr>
        <w:pStyle w:val="Normal"/>
        <w:ind w:right="284" w:hanging="0"/>
        <w:jc w:val="center"/>
        <w:rPr>
          <w:rFonts w:ascii="Times New Roman" w:hAnsi="Times New Roman"/>
        </w:rPr>
      </w:pPr>
      <w:r>
        <w:rPr/>
      </w:r>
    </w:p>
    <w:p>
      <w:pPr>
        <w:pStyle w:val="Normal"/>
        <w:ind w:right="284" w:hanging="0"/>
        <w:jc w:val="center"/>
        <w:rPr>
          <w:rFonts w:ascii="Times New Roman" w:hAnsi="Times New Roman"/>
        </w:rPr>
      </w:pPr>
      <w:r>
        <w:rPr/>
      </w:r>
    </w:p>
    <w:p>
      <w:pPr>
        <w:pStyle w:val="Normal"/>
        <w:ind w:right="284" w:hanging="0"/>
        <w:jc w:val="center"/>
        <w:rPr>
          <w:rFonts w:ascii="Times New Roman" w:hAnsi="Times New Roman"/>
        </w:rPr>
      </w:pPr>
      <w:r>
        <w:rPr/>
      </w:r>
    </w:p>
    <w:p>
      <w:pPr>
        <w:pStyle w:val="Normal"/>
        <w:ind w:right="284" w:hanging="0"/>
        <w:jc w:val="center"/>
        <w:rPr>
          <w:rFonts w:ascii="Times New Roman" w:hAnsi="Times New Roman"/>
        </w:rPr>
      </w:pPr>
      <w:r>
        <w:rPr/>
      </w:r>
    </w:p>
    <w:p>
      <w:pPr>
        <w:pStyle w:val="Normal"/>
        <w:ind w:right="284" w:hanging="0"/>
        <w:jc w:val="center"/>
        <w:rPr>
          <w:rFonts w:ascii="Times New Roman" w:hAnsi="Times New Roman"/>
        </w:rPr>
      </w:pPr>
      <w:r>
        <w:rPr/>
      </w:r>
    </w:p>
    <w:tbl>
      <w:tblPr>
        <w:tblW w:w="9638" w:type="dxa"/>
        <w:jc w:val="center"/>
        <w:tblInd w:w="0" w:type="dxa"/>
        <w:tblLayout w:type="fixed"/>
        <w:tblCellMar>
          <w:top w:w="0" w:type="dxa"/>
          <w:left w:w="108" w:type="dxa"/>
          <w:bottom w:w="0" w:type="dxa"/>
          <w:right w:w="108" w:type="dxa"/>
        </w:tblCellMar>
      </w:tblPr>
      <w:tblGrid>
        <w:gridCol w:w="9638"/>
      </w:tblGrid>
      <w:tr>
        <w:trPr/>
        <w:tc>
          <w:tcPr>
            <w:tcW w:w="9638" w:type="dxa"/>
            <w:tcBorders>
              <w:top w:val="single" w:sz="4" w:space="0" w:color="000000"/>
              <w:left w:val="single" w:sz="4" w:space="0" w:color="000000"/>
              <w:bottom w:val="single" w:sz="4" w:space="0" w:color="000000"/>
              <w:right w:val="single" w:sz="4" w:space="0" w:color="000000"/>
            </w:tcBorders>
          </w:tcPr>
          <w:p>
            <w:pPr>
              <w:pStyle w:val="Normal"/>
              <w:widowControl w:val="false"/>
              <w:shd w:val="clear" w:fill="FFFFFF"/>
              <w:spacing w:lineRule="auto" w:line="360" w:before="0" w:after="0"/>
              <w:jc w:val="center"/>
              <w:rPr>
                <w:rFonts w:ascii="Times New Roman" w:hAnsi="Times New Roman" w:cs="Times New Roman"/>
                <w:b/>
                <w:bCs/>
                <w:sz w:val="24"/>
                <w:szCs w:val="24"/>
              </w:rPr>
            </w:pPr>
            <w:r>
              <w:rPr>
                <w:rFonts w:cs="Times New Roman"/>
                <w:b/>
                <w:bCs/>
                <w:sz w:val="24"/>
                <w:szCs w:val="24"/>
              </w:rPr>
              <w:t>JUSTIFICATIVA PARA SUBSTITUIÇÃO DO CONTRATO</w:t>
            </w:r>
          </w:p>
        </w:tc>
      </w:tr>
    </w:tbl>
    <w:p>
      <w:pPr>
        <w:pStyle w:val="Normal"/>
        <w:tabs>
          <w:tab w:val="left" w:pos="709" w:leader="none"/>
        </w:tabs>
        <w:spacing w:lineRule="auto" w:line="360" w:before="0" w:after="0"/>
        <w:jc w:val="both"/>
        <w:rPr>
          <w:sz w:val="22"/>
          <w:szCs w:val="22"/>
        </w:rPr>
      </w:pPr>
      <w:r>
        <w:rPr>
          <w:rFonts w:cs="Times New Roman"/>
          <w:sz w:val="22"/>
          <w:szCs w:val="22"/>
        </w:rPr>
        <w:tab/>
        <w:t xml:space="preserve">Trata-se de processo licitatório ou de contratação direta em que o instrumento de contrato poderá ser substituído nos termos do artigo 95, I e II da Lei 14.133/21: </w:t>
      </w:r>
    </w:p>
    <w:p>
      <w:pPr>
        <w:pStyle w:val="Normal"/>
        <w:spacing w:lineRule="auto" w:line="360" w:before="0" w:after="0"/>
        <w:ind w:left="2268" w:right="0" w:hanging="0"/>
        <w:jc w:val="both"/>
        <w:rPr/>
      </w:pPr>
      <w:r>
        <w:rPr>
          <w:rFonts w:cs="Times New Roman"/>
          <w:i/>
          <w:iCs/>
          <w:sz w:val="20"/>
          <w:szCs w:val="20"/>
        </w:rPr>
        <w:t>“</w:t>
      </w:r>
      <w:r>
        <w:rPr>
          <w:rFonts w:cs="Times New Roman"/>
          <w:i/>
          <w:iCs/>
          <w:sz w:val="20"/>
          <w:szCs w:val="20"/>
        </w:rPr>
        <w:t xml:space="preserve">Art. 95. </w:t>
      </w:r>
      <w:r>
        <w:rPr>
          <w:rFonts w:cs="Times New Roman"/>
          <w:b/>
          <w:bCs/>
          <w:i/>
          <w:iCs/>
          <w:sz w:val="20"/>
          <w:szCs w:val="20"/>
        </w:rPr>
        <w:t>O</w:t>
      </w:r>
      <w:r>
        <w:rPr>
          <w:rFonts w:cs="Times New Roman"/>
          <w:i/>
          <w:iCs/>
          <w:sz w:val="20"/>
          <w:szCs w:val="20"/>
        </w:rPr>
        <w:t xml:space="preserve"> instrumento de </w:t>
      </w:r>
      <w:r>
        <w:rPr>
          <w:rFonts w:cs="Times New Roman"/>
          <w:b/>
          <w:bCs/>
          <w:i/>
          <w:iCs/>
          <w:sz w:val="20"/>
          <w:szCs w:val="20"/>
        </w:rPr>
        <w:t>contrato</w:t>
      </w:r>
      <w:r>
        <w:rPr>
          <w:rFonts w:cs="Times New Roman"/>
          <w:i/>
          <w:iCs/>
          <w:sz w:val="20"/>
          <w:szCs w:val="20"/>
        </w:rPr>
        <w:t xml:space="preserve"> é obrigatório, salvo nas seguintes hipóteses, em que a Administração </w:t>
      </w:r>
      <w:r>
        <w:rPr>
          <w:rFonts w:cs="Times New Roman"/>
          <w:b/>
          <w:bCs/>
          <w:i/>
          <w:iCs/>
          <w:sz w:val="20"/>
          <w:szCs w:val="20"/>
        </w:rPr>
        <w:t>poderá substituí-lo por outro instrumento</w:t>
      </w:r>
      <w:r>
        <w:rPr>
          <w:rFonts w:cs="Times New Roman"/>
          <w:i/>
          <w:iCs/>
          <w:sz w:val="20"/>
          <w:szCs w:val="20"/>
        </w:rPr>
        <w:t xml:space="preserve"> hábil, como carta-contrato, nota de empenho de despesa, autorização de compra ou ordem de execução de serviço:</w:t>
      </w:r>
    </w:p>
    <w:p>
      <w:pPr>
        <w:pStyle w:val="Normal"/>
        <w:spacing w:lineRule="auto" w:line="360" w:before="0" w:after="0"/>
        <w:ind w:left="2268" w:right="0" w:hanging="0"/>
        <w:jc w:val="both"/>
        <w:rPr/>
      </w:pPr>
      <w:r>
        <w:rPr>
          <w:rFonts w:cs="Times New Roman"/>
          <w:i/>
          <w:iCs/>
          <w:sz w:val="20"/>
          <w:szCs w:val="20"/>
        </w:rPr>
        <w:t xml:space="preserve">I – </w:t>
      </w:r>
      <w:r>
        <w:rPr>
          <w:rFonts w:cs="Times New Roman"/>
          <w:b/>
          <w:bCs/>
          <w:i/>
          <w:iCs/>
          <w:sz w:val="20"/>
          <w:szCs w:val="20"/>
        </w:rPr>
        <w:t xml:space="preserve">dispensa </w:t>
      </w:r>
      <w:r>
        <w:rPr>
          <w:rFonts w:cs="Times New Roman"/>
          <w:i/>
          <w:iCs/>
          <w:sz w:val="20"/>
          <w:szCs w:val="20"/>
        </w:rPr>
        <w:t xml:space="preserve">de licitação </w:t>
      </w:r>
      <w:r>
        <w:rPr>
          <w:rFonts w:cs="Times New Roman"/>
          <w:b/>
          <w:bCs/>
          <w:i/>
          <w:iCs/>
          <w:sz w:val="20"/>
          <w:szCs w:val="20"/>
        </w:rPr>
        <w:t>em razão do valor</w:t>
      </w:r>
      <w:r>
        <w:rPr>
          <w:rFonts w:cs="Times New Roman"/>
          <w:i/>
          <w:iCs/>
          <w:sz w:val="20"/>
          <w:szCs w:val="20"/>
        </w:rPr>
        <w:t>;</w:t>
      </w:r>
    </w:p>
    <w:p>
      <w:pPr>
        <w:pStyle w:val="Normal"/>
        <w:spacing w:lineRule="auto" w:line="360" w:before="0" w:after="0"/>
        <w:ind w:left="2268" w:right="0" w:hanging="0"/>
        <w:jc w:val="both"/>
        <w:rPr/>
      </w:pPr>
      <w:r>
        <w:rPr>
          <w:rFonts w:cs="Times New Roman"/>
          <w:i/>
          <w:iCs/>
          <w:sz w:val="20"/>
          <w:szCs w:val="20"/>
        </w:rPr>
        <w:t xml:space="preserve">II – compras com </w:t>
      </w:r>
      <w:r>
        <w:rPr>
          <w:rFonts w:cs="Times New Roman"/>
          <w:b/>
          <w:bCs/>
          <w:i/>
          <w:iCs/>
          <w:sz w:val="20"/>
          <w:szCs w:val="20"/>
        </w:rPr>
        <w:t>entrega imediata</w:t>
      </w:r>
      <w:r>
        <w:rPr>
          <w:rFonts w:cs="Times New Roman"/>
          <w:i/>
          <w:iCs/>
          <w:sz w:val="20"/>
          <w:szCs w:val="20"/>
        </w:rPr>
        <w:t xml:space="preserve"> e integral dos bens adquiridos e dos quais não resultem obrigações futuras, inclusive quanto a assistência técnica, </w:t>
      </w:r>
      <w:r>
        <w:rPr>
          <w:rFonts w:cs="Times New Roman"/>
          <w:b/>
          <w:bCs/>
          <w:i/>
          <w:iCs/>
          <w:sz w:val="20"/>
          <w:szCs w:val="20"/>
        </w:rPr>
        <w:t>independentemente de seu valor</w:t>
      </w:r>
      <w:r>
        <w:rPr>
          <w:rFonts w:cs="Times New Roman"/>
          <w:i/>
          <w:iCs/>
          <w:sz w:val="20"/>
          <w:szCs w:val="20"/>
        </w:rPr>
        <w:t>.”</w:t>
      </w:r>
    </w:p>
    <w:p>
      <w:pPr>
        <w:pStyle w:val="Normal"/>
        <w:tabs>
          <w:tab w:val="left" w:pos="709" w:leader="none"/>
          <w:tab w:val="left" w:pos="1418" w:leader="none"/>
        </w:tabs>
        <w:spacing w:lineRule="auto" w:line="360" w:before="0" w:after="0"/>
        <w:jc w:val="both"/>
        <w:rPr>
          <w:sz w:val="22"/>
          <w:szCs w:val="22"/>
        </w:rPr>
      </w:pPr>
      <w:r>
        <w:rPr>
          <w:rFonts w:cs="Times New Roman"/>
          <w:sz w:val="22"/>
          <w:szCs w:val="22"/>
        </w:rPr>
        <w:tab/>
        <w:t>No presente caso o contrato foi substituído pelo seguinte documento:</w:t>
      </w:r>
    </w:p>
    <w:p>
      <w:pPr>
        <w:pStyle w:val="Normal"/>
        <w:tabs>
          <w:tab w:val="clear" w:pos="709"/>
          <w:tab w:val="left" w:pos="1418" w:leader="none"/>
        </w:tabs>
        <w:spacing w:lineRule="auto" w:line="360" w:before="0" w:after="0"/>
        <w:ind w:left="2268" w:right="0" w:hanging="0"/>
        <w:jc w:val="both"/>
        <w:rPr>
          <w:rFonts w:ascii="Times New Roman" w:hAnsi="Times New Roman" w:cs="Times New Roman"/>
          <w:sz w:val="20"/>
          <w:szCs w:val="20"/>
        </w:rPr>
      </w:pPr>
      <w:r>
        <w:rPr>
          <w:rFonts w:cs="Times New Roman"/>
          <w:sz w:val="20"/>
          <w:szCs w:val="20"/>
        </w:rPr>
        <w:t>( ) carta-contrato;</w:t>
      </w:r>
    </w:p>
    <w:p>
      <w:pPr>
        <w:pStyle w:val="Normal"/>
        <w:tabs>
          <w:tab w:val="clear" w:pos="709"/>
          <w:tab w:val="left" w:pos="1418" w:leader="none"/>
        </w:tabs>
        <w:spacing w:lineRule="auto" w:line="360" w:before="0" w:after="0"/>
        <w:ind w:left="2268" w:right="0" w:hanging="0"/>
        <w:jc w:val="both"/>
        <w:rPr>
          <w:rFonts w:ascii="Times New Roman" w:hAnsi="Times New Roman" w:cs="Times New Roman"/>
          <w:sz w:val="20"/>
          <w:szCs w:val="20"/>
        </w:rPr>
      </w:pPr>
      <w:r>
        <w:rPr>
          <w:rFonts w:cs="Times New Roman"/>
          <w:sz w:val="20"/>
          <w:szCs w:val="20"/>
        </w:rPr>
        <w:t>( ) nota de empenho de despesa;</w:t>
      </w:r>
    </w:p>
    <w:p>
      <w:pPr>
        <w:pStyle w:val="Normal"/>
        <w:tabs>
          <w:tab w:val="clear" w:pos="709"/>
          <w:tab w:val="left" w:pos="1418" w:leader="none"/>
        </w:tabs>
        <w:spacing w:lineRule="auto" w:line="360" w:before="0" w:after="0"/>
        <w:ind w:left="2268" w:right="0" w:hanging="0"/>
        <w:jc w:val="both"/>
        <w:rPr/>
      </w:pPr>
      <w:r>
        <w:rPr>
          <w:rFonts w:cs="Times New Roman"/>
          <w:sz w:val="20"/>
          <w:szCs w:val="20"/>
        </w:rPr>
        <w:t>(x) autorização de compra ou ordem de execução de serviço;</w:t>
      </w:r>
    </w:p>
    <w:p>
      <w:pPr>
        <w:pStyle w:val="Normal"/>
        <w:tabs>
          <w:tab w:val="left" w:pos="709" w:leader="none"/>
          <w:tab w:val="left" w:pos="1418" w:leader="none"/>
        </w:tabs>
        <w:spacing w:lineRule="auto" w:line="360" w:before="0" w:after="0"/>
        <w:jc w:val="both"/>
        <w:rPr>
          <w:rFonts w:ascii="Times New Roman" w:hAnsi="Times New Roman" w:cs="Times New Roman"/>
          <w:sz w:val="24"/>
          <w:szCs w:val="24"/>
        </w:rPr>
      </w:pPr>
      <w:r>
        <w:rPr>
          <w:rFonts w:cs="Times New Roman"/>
          <w:sz w:val="24"/>
          <w:szCs w:val="24"/>
        </w:rPr>
        <w:tab/>
      </w:r>
      <w:r>
        <w:rPr>
          <w:rFonts w:cs="Times New Roman"/>
          <w:sz w:val="22"/>
          <w:szCs w:val="22"/>
        </w:rPr>
        <w:t>Por se tratar de contratação:</w:t>
      </w:r>
    </w:p>
    <w:p>
      <w:pPr>
        <w:pStyle w:val="Normal"/>
        <w:tabs>
          <w:tab w:val="clear" w:pos="709"/>
          <w:tab w:val="left" w:pos="1418" w:leader="none"/>
        </w:tabs>
        <w:spacing w:lineRule="auto" w:line="360" w:before="0" w:after="0"/>
        <w:ind w:left="2268" w:right="0" w:hanging="0"/>
        <w:jc w:val="both"/>
        <w:rPr>
          <w:rFonts w:ascii="Times New Roman" w:hAnsi="Times New Roman" w:cs="Times New Roman"/>
          <w:sz w:val="20"/>
          <w:szCs w:val="20"/>
        </w:rPr>
      </w:pPr>
      <w:r>
        <w:rPr>
          <w:rFonts w:cs="Times New Roman"/>
          <w:sz w:val="20"/>
          <w:szCs w:val="20"/>
        </w:rPr>
        <w:t>( ) dispensa de licitação em razão do valor (art. 75, I e II da Lei 14.133/21).</w:t>
      </w:r>
    </w:p>
    <w:p>
      <w:pPr>
        <w:pStyle w:val="Normal"/>
        <w:tabs>
          <w:tab w:val="clear" w:pos="709"/>
          <w:tab w:val="left" w:pos="1418" w:leader="none"/>
        </w:tabs>
        <w:spacing w:lineRule="auto" w:line="360" w:before="0" w:after="0"/>
        <w:ind w:left="2268" w:right="0" w:hanging="0"/>
        <w:jc w:val="both"/>
        <w:rPr/>
      </w:pPr>
      <w:r>
        <w:rPr>
          <w:rFonts w:cs="Times New Roman"/>
          <w:sz w:val="20"/>
          <w:szCs w:val="20"/>
        </w:rPr>
        <w:t>(x) compras com entrega imediata (art. 6º, X da Lei 14.133/21).</w:t>
      </w:r>
    </w:p>
    <w:p>
      <w:pPr>
        <w:pStyle w:val="Normal"/>
        <w:tabs>
          <w:tab w:val="left" w:pos="709" w:leader="none"/>
          <w:tab w:val="left" w:pos="1418" w:leader="none"/>
        </w:tabs>
        <w:spacing w:lineRule="auto" w:line="360" w:before="0" w:after="0"/>
        <w:jc w:val="both"/>
        <w:rPr>
          <w:sz w:val="22"/>
          <w:szCs w:val="22"/>
        </w:rPr>
      </w:pPr>
      <w:r>
        <w:rPr>
          <w:rFonts w:cs="Times New Roman"/>
          <w:sz w:val="22"/>
          <w:szCs w:val="22"/>
        </w:rPr>
        <w:tab/>
        <w:t>Assim, tem-se que diante dos baixos riscos envolvidos, os custos transacionais de instrumentalização da contratação através de um instrumento tradicional (contrato assinado pelas partes) simplesmente foram expurgados da praxe dessas contratações. Como também ocorre em diversas contratações pela internet. Já que, um formalismo exagerado pode ampliar os custos e superar os benefícios da contratação.</w:t>
      </w:r>
    </w:p>
    <w:p>
      <w:pPr>
        <w:pStyle w:val="Normal"/>
        <w:tabs>
          <w:tab w:val="left" w:pos="709" w:leader="none"/>
          <w:tab w:val="left" w:pos="1418" w:leader="none"/>
        </w:tabs>
        <w:spacing w:lineRule="auto" w:line="360" w:before="0" w:after="0"/>
        <w:jc w:val="both"/>
        <w:rPr>
          <w:rFonts w:ascii="Times New Roman" w:hAnsi="Times New Roman" w:cs="Times New Roman"/>
          <w:sz w:val="24"/>
          <w:szCs w:val="24"/>
        </w:rPr>
      </w:pPr>
      <w:r>
        <w:rPr>
          <w:rFonts w:cs="Times New Roman"/>
          <w:sz w:val="24"/>
          <w:szCs w:val="24"/>
        </w:rPr>
        <w:tab/>
      </w:r>
      <w:r>
        <w:rPr>
          <w:rFonts w:cs="Times New Roman"/>
          <w:sz w:val="22"/>
          <w:szCs w:val="22"/>
        </w:rPr>
        <w:t>Por fim, esclarece-se também que, as disposições do art. 92 da Lei 14.133/21, no que couberam, estão no próprio termo de referência da contratação, conforme §1º do art. 95 da Lei 14.133/21, porque o documento que substituirá o contrato, como por exemplo a nota de empenho, tem formato e texto padronizado pelo sistema, não podendo, assim, ser alterado.</w:t>
      </w:r>
    </w:p>
    <w:p>
      <w:pPr>
        <w:pStyle w:val="Normal"/>
        <w:tabs>
          <w:tab w:val="clear" w:pos="709"/>
          <w:tab w:val="left" w:pos="1418" w:leader="none"/>
        </w:tabs>
        <w:spacing w:lineRule="auto" w:line="360" w:before="0" w:after="0"/>
        <w:jc w:val="both"/>
        <w:rPr>
          <w:rFonts w:ascii="Times New Roman" w:hAnsi="Times New Roman" w:cs="Times New Roman"/>
          <w:sz w:val="24"/>
          <w:szCs w:val="24"/>
        </w:rPr>
      </w:pPr>
      <w:r>
        <w:rPr>
          <w:rFonts w:cs="Times New Roman"/>
          <w:sz w:val="24"/>
          <w:szCs w:val="24"/>
        </w:rPr>
        <w:tab/>
      </w:r>
      <w:r>
        <w:rPr>
          <w:rFonts w:cs="Times New Roman"/>
          <w:sz w:val="22"/>
          <w:szCs w:val="22"/>
        </w:rPr>
        <w:t xml:space="preserve">É o que se tem para justificar e esclarecer. </w:t>
      </w:r>
    </w:p>
    <w:p>
      <w:pPr>
        <w:pStyle w:val="Normal"/>
        <w:tabs>
          <w:tab w:val="clear" w:pos="709"/>
          <w:tab w:val="left" w:pos="1418" w:leader="none"/>
        </w:tabs>
        <w:spacing w:lineRule="auto" w:line="360" w:before="0" w:after="0"/>
        <w:jc w:val="right"/>
        <w:rPr>
          <w:rFonts w:ascii="Times New Roman" w:hAnsi="Times New Roman" w:cs="Times New Roman"/>
          <w:sz w:val="24"/>
          <w:szCs w:val="24"/>
        </w:rPr>
      </w:pPr>
      <w:r>
        <w:rPr>
          <w:rFonts w:cs="Times New Roman"/>
          <w:b w:val="false"/>
          <w:bCs w:val="false"/>
          <w:color w:val="000000"/>
          <w:sz w:val="22"/>
          <w:szCs w:val="22"/>
        </w:rPr>
        <w:t>Flores de Goiás – GO</w:t>
      </w:r>
      <w:r>
        <w:rPr>
          <w:rFonts w:cs="Times New Roman"/>
          <w:b w:val="false"/>
          <w:bCs w:val="false"/>
          <w:sz w:val="22"/>
          <w:szCs w:val="22"/>
        </w:rPr>
        <w:t xml:space="preserve">, </w:t>
      </w:r>
      <w:r>
        <w:rPr>
          <w:rFonts w:cs="Times New Roman"/>
          <w:b w:val="false"/>
          <w:bCs w:val="false"/>
          <w:color w:val="000000"/>
          <w:sz w:val="22"/>
          <w:szCs w:val="22"/>
        </w:rPr>
        <w:t>28</w:t>
      </w:r>
      <w:r>
        <w:rPr>
          <w:rFonts w:cs="Times New Roman"/>
          <w:b w:val="false"/>
          <w:bCs w:val="false"/>
          <w:sz w:val="22"/>
          <w:szCs w:val="22"/>
        </w:rPr>
        <w:t xml:space="preserve"> de </w:t>
      </w:r>
      <w:r>
        <w:rPr>
          <w:rFonts w:cs="Times New Roman"/>
          <w:b w:val="false"/>
          <w:bCs w:val="false"/>
          <w:color w:val="000000"/>
          <w:sz w:val="22"/>
          <w:szCs w:val="22"/>
        </w:rPr>
        <w:t>maio</w:t>
      </w:r>
      <w:r>
        <w:rPr>
          <w:rFonts w:cs="Times New Roman"/>
          <w:b w:val="false"/>
          <w:bCs w:val="false"/>
          <w:sz w:val="22"/>
          <w:szCs w:val="22"/>
        </w:rPr>
        <w:t xml:space="preserve"> de 2024.</w:t>
      </w:r>
    </w:p>
    <w:p>
      <w:pPr>
        <w:pStyle w:val="Normal"/>
        <w:tabs>
          <w:tab w:val="clear" w:pos="709"/>
          <w:tab w:val="left" w:pos="1418" w:leader="none"/>
        </w:tabs>
        <w:spacing w:lineRule="auto" w:line="360" w:before="0" w:after="0"/>
        <w:jc w:val="center"/>
        <w:rPr>
          <w:rFonts w:ascii="Times New Roman" w:hAnsi="Times New Roman" w:cs="Times New Roman"/>
          <w:sz w:val="24"/>
          <w:szCs w:val="24"/>
        </w:rPr>
      </w:pPr>
      <w:r>
        <w:rPr/>
        <w:t>_______________________________</w:t>
      </w:r>
    </w:p>
    <w:p>
      <w:pPr>
        <w:pStyle w:val="Normal"/>
        <w:tabs>
          <w:tab w:val="clear" w:pos="709"/>
          <w:tab w:val="left" w:pos="1418" w:leader="none"/>
        </w:tabs>
        <w:spacing w:lineRule="auto" w:line="360" w:before="0" w:after="0"/>
        <w:jc w:val="center"/>
        <w:rPr>
          <w:rFonts w:ascii="Times New Roman" w:hAnsi="Times New Roman" w:cs="Times New Roman"/>
          <w:sz w:val="24"/>
          <w:szCs w:val="24"/>
        </w:rPr>
      </w:pPr>
      <w:r>
        <w:rPr/>
        <w:t>ELAINE DOS REIS SILVA</w:t>
      </w:r>
    </w:p>
    <w:p>
      <w:pPr>
        <w:pStyle w:val="Normal"/>
        <w:tabs>
          <w:tab w:val="clear" w:pos="709"/>
          <w:tab w:val="left" w:pos="1418" w:leader="none"/>
        </w:tabs>
        <w:spacing w:lineRule="auto" w:line="360" w:before="0" w:after="0"/>
        <w:jc w:val="center"/>
        <w:rPr>
          <w:rFonts w:ascii="Times New Roman" w:hAnsi="Times New Roman" w:cs="Times New Roman"/>
          <w:sz w:val="24"/>
          <w:szCs w:val="24"/>
        </w:rPr>
      </w:pPr>
      <w:r>
        <w:rPr>
          <w:rFonts w:cs="Times New Roman"/>
          <w:b w:val="false"/>
          <w:bCs w:val="false"/>
          <w:sz w:val="24"/>
          <w:szCs w:val="24"/>
          <w:u w:val="none"/>
        </w:rPr>
        <w:t>Presidente da CPC – Decreto 1230/2024</w:t>
      </w:r>
    </w:p>
    <w:p>
      <w:pPr>
        <w:pStyle w:val="Normal"/>
        <w:spacing w:lineRule="auto" w:line="360"/>
        <w:rPr>
          <w:b w:val="false"/>
          <w:bCs w:val="false"/>
        </w:rPr>
      </w:pPr>
      <w:r>
        <w:rPr>
          <w:rFonts w:eastAsia="Times New Roman" w:cs="Tahoma"/>
          <w:b w:val="false"/>
          <w:bCs w:val="false"/>
          <w:kern w:val="0"/>
          <w:lang w:bidi="ar-SA"/>
        </w:rPr>
        <w:t xml:space="preserve">Processo – nº </w:t>
      </w:r>
      <w:r>
        <w:rPr>
          <w:rFonts w:eastAsia="Times New Roman" w:cs="Tahoma"/>
          <w:b w:val="false"/>
          <w:bCs w:val="false"/>
          <w:color w:val="000000"/>
          <w:kern w:val="0"/>
          <w:lang w:bidi="ar-SA"/>
        </w:rPr>
        <w:t>1457</w:t>
      </w:r>
      <w:r>
        <w:rPr>
          <w:rFonts w:eastAsia="Times New Roman" w:cs="Tahoma"/>
          <w:b w:val="false"/>
          <w:bCs w:val="false"/>
          <w:kern w:val="0"/>
          <w:lang w:bidi="ar-SA"/>
        </w:rPr>
        <w:t>/2024</w:t>
      </w:r>
    </w:p>
    <w:p>
      <w:pPr>
        <w:pStyle w:val="Normal"/>
        <w:spacing w:lineRule="auto" w:line="240"/>
        <w:jc w:val="center"/>
        <w:rPr>
          <w:rFonts w:eastAsia="Times New Roman" w:cs="Tahoma"/>
          <w:b/>
          <w:bCs/>
          <w:kern w:val="0"/>
          <w:lang w:bidi="ar-SA"/>
        </w:rPr>
      </w:pPr>
      <w:r>
        <w:rPr>
          <w:rFonts w:eastAsia="Times New Roman" w:cs="Tahoma"/>
          <w:b/>
          <w:bCs/>
          <w:kern w:val="0"/>
          <w:lang w:bidi="ar-SA"/>
        </w:rPr>
      </w:r>
    </w:p>
    <w:p>
      <w:pPr>
        <w:pStyle w:val="Normal"/>
        <w:jc w:val="center"/>
        <w:rPr/>
      </w:pPr>
      <w:r>
        <w:rPr>
          <w:rFonts w:eastAsia="Arial Unicode MS" w:cs="Tahoma"/>
          <w:b/>
          <w:bCs/>
          <w:kern w:val="0"/>
          <w:shd w:fill="auto" w:val="clear"/>
          <w:lang w:bidi="ar-SA"/>
        </w:rPr>
        <w:t>SOLICITAÇÃO DE PARECER JURÍDICO</w:t>
      </w:r>
    </w:p>
    <w:p>
      <w:pPr>
        <w:pStyle w:val="Normal"/>
        <w:jc w:val="center"/>
        <w:rPr/>
      </w:pPr>
      <w:r>
        <w:rPr/>
      </w:r>
    </w:p>
    <w:p>
      <w:pPr>
        <w:pStyle w:val="Normal"/>
        <w:spacing w:lineRule="auto" w:line="240"/>
        <w:jc w:val="center"/>
        <w:rPr>
          <w:rFonts w:eastAsia="Times New Roman" w:cs="Tahoma"/>
          <w:b/>
          <w:bCs/>
          <w:kern w:val="0"/>
          <w:lang w:bidi="ar-SA"/>
        </w:rPr>
      </w:pPr>
      <w:r>
        <w:rPr>
          <w:rFonts w:eastAsia="Times New Roman" w:cs="Tahoma"/>
          <w:b/>
          <w:bCs/>
          <w:kern w:val="0"/>
          <w:lang w:bidi="ar-SA"/>
        </w:rPr>
      </w:r>
    </w:p>
    <w:p>
      <w:pPr>
        <w:pStyle w:val="Normal"/>
        <w:spacing w:lineRule="auto" w:line="240"/>
        <w:jc w:val="center"/>
        <w:rPr>
          <w:rFonts w:eastAsia="Times New Roman" w:cs="Tahoma"/>
          <w:b/>
          <w:bCs/>
          <w:kern w:val="0"/>
          <w:lang w:bidi="ar-SA"/>
        </w:rPr>
      </w:pPr>
      <w:r>
        <w:rPr>
          <w:rFonts w:eastAsia="Times New Roman" w:cs="Tahoma"/>
          <w:b/>
          <w:bCs/>
          <w:kern w:val="0"/>
          <w:lang w:bidi="ar-SA"/>
        </w:rPr>
      </w:r>
    </w:p>
    <w:p>
      <w:pPr>
        <w:pStyle w:val="Normal"/>
        <w:spacing w:lineRule="auto" w:line="360"/>
        <w:jc w:val="both"/>
        <w:rPr/>
      </w:pPr>
      <w:r>
        <w:rPr>
          <w:rFonts w:eastAsia="Times New Roman" w:cs="Tahoma"/>
          <w:b/>
          <w:bCs/>
          <w:kern w:val="0"/>
          <w:lang w:bidi="ar-SA"/>
        </w:rPr>
        <w:tab/>
      </w:r>
      <w:r>
        <w:rPr>
          <w:rFonts w:eastAsia="Times New Roman" w:cs="Tahoma"/>
          <w:b w:val="false"/>
          <w:bCs w:val="false"/>
          <w:kern w:val="0"/>
          <w:lang w:bidi="ar-SA"/>
        </w:rPr>
        <w:t xml:space="preserve">Trata-se de processo administrativo cujo objeto é o procedimento de dispensa de licitação </w:t>
      </w:r>
      <w:r>
        <w:rPr>
          <w:rFonts w:eastAsia="Times New Roman" w:cs="Tahoma"/>
          <w:b w:val="false"/>
          <w:bCs/>
          <w:color w:val="000000"/>
          <w:kern w:val="0"/>
          <w:lang w:eastAsia="pt-BR" w:bidi="ar-SA"/>
        </w:rPr>
        <w:t>para aquisição emergencial de kit dormitório para atender as necessidades da Secretaria Municipal de Assistência Social e Trabalho.</w:t>
      </w:r>
    </w:p>
    <w:p>
      <w:pPr>
        <w:pStyle w:val="Normal"/>
        <w:spacing w:lineRule="auto" w:line="360"/>
        <w:jc w:val="both"/>
        <w:rPr>
          <w:rFonts w:eastAsia="Times New Roman" w:cs="Tahoma"/>
          <w:b w:val="false"/>
          <w:bCs/>
          <w:color w:val="000000"/>
          <w:kern w:val="0"/>
          <w:lang w:eastAsia="pt-BR" w:bidi="ar-SA"/>
        </w:rPr>
      </w:pPr>
      <w:r>
        <w:rPr>
          <w:rFonts w:eastAsia="Times New Roman" w:cs="Tahoma"/>
          <w:b w:val="false"/>
          <w:bCs/>
          <w:color w:val="000000"/>
          <w:kern w:val="0"/>
          <w:lang w:eastAsia="pt-BR" w:bidi="ar-SA"/>
        </w:rPr>
      </w:r>
    </w:p>
    <w:p>
      <w:pPr>
        <w:pStyle w:val="Normal"/>
        <w:spacing w:lineRule="auto" w:line="360"/>
        <w:jc w:val="both"/>
        <w:rPr>
          <w:b w:val="false"/>
          <w:bCs w:val="false"/>
        </w:rPr>
      </w:pPr>
      <w:r>
        <w:rPr>
          <w:rFonts w:eastAsia="Times New Roman" w:cs="Tahoma"/>
          <w:b w:val="false"/>
          <w:bCs w:val="false"/>
          <w:kern w:val="0"/>
          <w:lang w:bidi="ar-SA"/>
        </w:rPr>
        <w:tab/>
        <w:t xml:space="preserve">Assim, Solicito ao nosso Departamento jurídico emissão do Parecer em questão da legalidade do procedimento de dispensa de licitação nº 90/2024. </w:t>
      </w:r>
    </w:p>
    <w:p>
      <w:pPr>
        <w:pStyle w:val="Normal"/>
        <w:spacing w:lineRule="auto" w:line="360"/>
        <w:jc w:val="both"/>
        <w:rPr>
          <w:rFonts w:eastAsia="Times New Roman" w:cs="Tahoma"/>
          <w:kern w:val="0"/>
          <w:lang w:bidi="ar-SA"/>
        </w:rPr>
      </w:pPr>
      <w:r>
        <w:rPr>
          <w:rFonts w:eastAsia="Times New Roman" w:cs="Tahoma"/>
          <w:kern w:val="0"/>
          <w:lang w:bidi="ar-SA"/>
        </w:rPr>
      </w:r>
    </w:p>
    <w:p>
      <w:pPr>
        <w:pStyle w:val="Normal"/>
        <w:spacing w:lineRule="auto" w:line="360"/>
        <w:jc w:val="both"/>
        <w:rPr>
          <w:rFonts w:eastAsia="Times New Roman" w:cs="Tahoma"/>
          <w:kern w:val="0"/>
          <w:lang w:bidi="ar-SA"/>
        </w:rPr>
      </w:pPr>
      <w:r>
        <w:rPr>
          <w:rFonts w:eastAsia="Times New Roman" w:cs="Tahoma"/>
          <w:kern w:val="0"/>
          <w:lang w:bidi="ar-SA"/>
        </w:rPr>
      </w:r>
    </w:p>
    <w:p>
      <w:pPr>
        <w:pStyle w:val="Corpodotexto"/>
        <w:spacing w:lineRule="auto" w:line="360" w:before="0" w:after="0"/>
        <w:ind w:firstLine="1134"/>
        <w:rPr>
          <w:rFonts w:ascii="Times New Roman" w:hAnsi="Times New Roman"/>
        </w:rPr>
      </w:pPr>
      <w:r>
        <w:rPr>
          <w:b/>
          <w:bCs/>
        </w:rPr>
        <w:t>COMISSÃO PERMANENTE DE CONTRATAÇÃO DO MUNICÍPIO DE FLORES DE GOIÁS</w:t>
      </w:r>
      <w:r>
        <w:rPr/>
        <w:t xml:space="preserve">, Estado de Goiás, aos </w:t>
      </w:r>
      <w:r>
        <w:rPr>
          <w:color w:val="000000"/>
        </w:rPr>
        <w:t>28</w:t>
      </w:r>
      <w:r>
        <w:rPr>
          <w:rFonts w:eastAsia="Calibri"/>
          <w:color w:val="000000"/>
          <w:kern w:val="0"/>
          <w:lang w:eastAsia="pt-BR" w:bidi="ar-SA"/>
        </w:rPr>
        <w:t xml:space="preserve"> </w:t>
      </w:r>
      <w:r>
        <w:rPr/>
        <w:t xml:space="preserve">dias do mês de </w:t>
      </w:r>
      <w:r>
        <w:rPr>
          <w:rFonts w:eastAsia="Calibri"/>
          <w:color w:val="000000"/>
          <w:kern w:val="0"/>
          <w:lang w:eastAsia="pt-BR" w:bidi="ar-SA"/>
        </w:rPr>
        <w:t>maio</w:t>
      </w:r>
      <w:r>
        <w:rPr/>
        <w:t xml:space="preserve"> de dois mil e vinte e quatro.</w:t>
      </w:r>
    </w:p>
    <w:p>
      <w:pPr>
        <w:pStyle w:val="Normal"/>
        <w:jc w:val="both"/>
        <w:rPr>
          <w:rFonts w:ascii="Times New Roman" w:hAnsi="Times New Roman"/>
        </w:rPr>
      </w:pPr>
      <w:r>
        <w:rPr/>
      </w:r>
    </w:p>
    <w:p>
      <w:pPr>
        <w:pStyle w:val="Normal"/>
        <w:jc w:val="center"/>
        <w:rPr>
          <w:rFonts w:ascii="Times New Roman" w:hAnsi="Times New Roman"/>
          <w:b/>
          <w:bCs/>
        </w:rPr>
      </w:pPr>
      <w:r>
        <w:rPr>
          <w:b/>
          <w:bCs/>
        </w:rPr>
      </w:r>
    </w:p>
    <w:p>
      <w:pPr>
        <w:pStyle w:val="Normal"/>
        <w:jc w:val="center"/>
        <w:rPr>
          <w:rFonts w:ascii="Times New Roman" w:hAnsi="Times New Roman"/>
          <w:b/>
          <w:bCs/>
        </w:rPr>
      </w:pPr>
      <w:r>
        <w:rPr>
          <w:b/>
          <w:bCs/>
        </w:rPr>
      </w:r>
    </w:p>
    <w:p>
      <w:pPr>
        <w:pStyle w:val="Normal"/>
        <w:jc w:val="center"/>
        <w:rPr>
          <w:rFonts w:ascii="Times New Roman" w:hAnsi="Times New Roman"/>
          <w:b/>
          <w:bCs/>
        </w:rPr>
      </w:pPr>
      <w:r>
        <w:rPr>
          <w:b/>
          <w:bCs/>
        </w:rPr>
      </w:r>
    </w:p>
    <w:p>
      <w:pPr>
        <w:pStyle w:val="Normal"/>
        <w:ind w:right="284" w:hanging="0"/>
        <w:jc w:val="center"/>
        <w:rPr>
          <w:rFonts w:ascii="Times New Roman" w:hAnsi="Times New Roman"/>
        </w:rPr>
      </w:pPr>
      <w:r>
        <w:rPr/>
        <w:t>_______________________________</w:t>
      </w:r>
    </w:p>
    <w:p>
      <w:pPr>
        <w:pStyle w:val="Normal"/>
        <w:ind w:right="284" w:hanging="0"/>
        <w:jc w:val="center"/>
        <w:rPr>
          <w:rFonts w:ascii="Times New Roman" w:hAnsi="Times New Roman"/>
        </w:rPr>
      </w:pPr>
      <w:r>
        <w:rPr/>
        <w:t>ELAINE DOS REIS SILVA</w:t>
      </w:r>
    </w:p>
    <w:p>
      <w:pPr>
        <w:pStyle w:val="Normal"/>
        <w:ind w:right="284" w:hanging="0"/>
        <w:jc w:val="center"/>
        <w:rPr>
          <w:rFonts w:ascii="Times New Roman" w:hAnsi="Times New Roman"/>
        </w:rPr>
      </w:pPr>
      <w:r>
        <w:rPr/>
        <w:t xml:space="preserve">Presidente da CPC – Decreto 1230/24  </w:t>
      </w:r>
    </w:p>
    <w:p>
      <w:pPr>
        <w:pStyle w:val="Normal"/>
        <w:ind w:right="284" w:hanging="0"/>
        <w:jc w:val="center"/>
        <w:rPr>
          <w:rFonts w:ascii="Times New Roman" w:hAnsi="Times New Roman"/>
        </w:rPr>
      </w:pPr>
      <w:r>
        <w:rPr/>
      </w:r>
    </w:p>
    <w:p>
      <w:pPr>
        <w:pStyle w:val="Normal"/>
        <w:spacing w:lineRule="auto" w:line="360"/>
        <w:rPr>
          <w:rFonts w:ascii="Times New Roman" w:hAnsi="Times New Roman"/>
        </w:rPr>
      </w:pPr>
      <w:r>
        <w:rPr/>
        <w:t xml:space="preserve">Processo – nº </w:t>
      </w:r>
      <w:r>
        <w:rPr>
          <w:color w:val="000000"/>
        </w:rPr>
        <w:t>1457</w:t>
      </w:r>
      <w:r>
        <w:rPr/>
        <w:t>/2024</w:t>
      </w:r>
    </w:p>
    <w:p>
      <w:pPr>
        <w:pStyle w:val="Normal"/>
        <w:spacing w:lineRule="auto" w:line="360"/>
        <w:rPr>
          <w:rFonts w:ascii="Times New Roman" w:hAnsi="Times New Roman"/>
        </w:rPr>
      </w:pPr>
      <w:r>
        <w:rPr/>
      </w:r>
    </w:p>
    <w:p>
      <w:pPr>
        <w:pStyle w:val="Normal"/>
        <w:rPr>
          <w:rFonts w:ascii="Times New Roman" w:hAnsi="Times New Roman"/>
        </w:rPr>
      </w:pPr>
      <w:r>
        <w:rPr/>
      </w:r>
    </w:p>
    <w:p>
      <w:pPr>
        <w:pStyle w:val="Normal"/>
        <w:tabs>
          <w:tab w:val="clear" w:pos="709"/>
          <w:tab w:val="left" w:pos="5550" w:leader="none"/>
        </w:tabs>
        <w:spacing w:lineRule="auto" w:line="360"/>
        <w:jc w:val="center"/>
        <w:rPr>
          <w:rFonts w:ascii="Times New Roman" w:hAnsi="Times New Roman"/>
        </w:rPr>
      </w:pPr>
      <w:r>
        <w:rPr>
          <w:b/>
          <w:u w:val="single"/>
        </w:rPr>
        <w:t>SOLICITAÇÃO DE PARECER CONTROLADORIA INTERNA</w:t>
      </w:r>
    </w:p>
    <w:p>
      <w:pPr>
        <w:pStyle w:val="Normal"/>
        <w:tabs>
          <w:tab w:val="clear" w:pos="709"/>
          <w:tab w:val="left" w:pos="5550" w:leader="none"/>
        </w:tabs>
        <w:spacing w:lineRule="auto" w:line="360"/>
        <w:jc w:val="center"/>
        <w:rPr>
          <w:rFonts w:ascii="Times New Roman" w:hAnsi="Times New Roman"/>
        </w:rPr>
      </w:pPr>
      <w:r>
        <w:rPr/>
      </w:r>
    </w:p>
    <w:p>
      <w:pPr>
        <w:pStyle w:val="Corpodotexto"/>
        <w:spacing w:lineRule="auto" w:line="360" w:before="0" w:after="0"/>
        <w:ind w:firstLine="1134"/>
        <w:jc w:val="both"/>
        <w:rPr>
          <w:rFonts w:ascii="Times New Roman" w:hAnsi="Times New Roman"/>
        </w:rPr>
      </w:pPr>
      <w:r>
        <w:rPr/>
        <w:t xml:space="preserve">Trata-se de processo administrativo cujo objeto é o procedimento de dispensa de licitação </w:t>
      </w:r>
      <w:r>
        <w:rPr>
          <w:rFonts w:eastAsia="Times New Roman"/>
          <w:bCs/>
          <w:color w:val="000000"/>
          <w:kern w:val="0"/>
          <w:lang w:eastAsia="pt-BR" w:bidi="ar-SA"/>
        </w:rPr>
        <w:t>para aquisição emergencial de kit dormitório para atender as necessidades da Secretaria Municipal de Desenvolvimento Social e Trabalho.</w:t>
      </w:r>
    </w:p>
    <w:p>
      <w:pPr>
        <w:pStyle w:val="Corpodotexto"/>
        <w:spacing w:lineRule="auto" w:line="360" w:before="0" w:after="0"/>
        <w:ind w:firstLine="1134"/>
        <w:jc w:val="both"/>
        <w:rPr>
          <w:rFonts w:ascii="Times New Roman" w:hAnsi="Times New Roman"/>
        </w:rPr>
      </w:pPr>
      <w:r>
        <w:rPr/>
        <w:t>Assim, solicito ao nosso Departamento de Controle Interno parecer em questão da legalidade do procedimento administrativo adotado</w:t>
      </w:r>
      <w:r>
        <w:rPr>
          <w:rFonts w:eastAsia="Times New Roman"/>
          <w:bCs/>
          <w:color w:val="000000"/>
          <w:kern w:val="0"/>
          <w:lang w:eastAsia="pt-BR" w:bidi="ar-SA"/>
        </w:rPr>
        <w:t xml:space="preserve"> para compra por meio de </w:t>
      </w:r>
      <w:r>
        <w:rPr/>
        <w:t xml:space="preserve">dispensa de licitação conforme o artigo 75, Inciso </w:t>
      </w:r>
      <w:r>
        <w:rPr>
          <w:rFonts w:eastAsia="Times New Roman"/>
          <w:color w:val="000000"/>
          <w:kern w:val="0"/>
          <w:lang w:eastAsia="pt-BR" w:bidi="ar-SA"/>
        </w:rPr>
        <w:t>VIII</w:t>
      </w:r>
      <w:r>
        <w:rPr/>
        <w:t xml:space="preserve"> da lei 14.133/2021.</w:t>
      </w:r>
    </w:p>
    <w:p>
      <w:pPr>
        <w:pStyle w:val="Corpodotexto"/>
        <w:spacing w:lineRule="auto" w:line="360" w:before="0" w:after="0"/>
        <w:ind w:firstLine="1134"/>
        <w:rPr>
          <w:rFonts w:ascii="Times New Roman" w:hAnsi="Times New Roman"/>
          <w:b/>
          <w:bCs/>
        </w:rPr>
      </w:pPr>
      <w:r>
        <w:rPr>
          <w:b/>
          <w:bCs/>
        </w:rPr>
      </w:r>
    </w:p>
    <w:p>
      <w:pPr>
        <w:pStyle w:val="Corpodotexto"/>
        <w:spacing w:lineRule="auto" w:line="360" w:before="0" w:after="0"/>
        <w:ind w:firstLine="1134"/>
        <w:rPr>
          <w:rFonts w:ascii="Times New Roman" w:hAnsi="Times New Roman"/>
        </w:rPr>
      </w:pPr>
      <w:r>
        <w:rPr>
          <w:b/>
          <w:bCs/>
        </w:rPr>
        <w:t>COMISSÃO PERMANENTE DE CONTRATAÇÃO DO MUNICÍPIO DE FLORES DE GOIÁS</w:t>
      </w:r>
      <w:r>
        <w:rPr/>
        <w:t>, Est</w:t>
      </w:r>
      <w:r>
        <w:rPr>
          <w:color w:val="000000"/>
        </w:rPr>
        <w:t>ado de Goiás, aos</w:t>
      </w:r>
      <w:r>
        <w:rPr>
          <w:color w:val="000000"/>
        </w:rPr>
        <w:t xml:space="preserve"> </w:t>
      </w:r>
      <w:r>
        <w:rPr>
          <w:color w:val="000000"/>
        </w:rPr>
        <w:t>05</w:t>
      </w:r>
      <w:r>
        <w:rPr>
          <w:color w:val="000000"/>
        </w:rPr>
        <w:t xml:space="preserve"> dias do mês de </w:t>
      </w:r>
      <w:r>
        <w:rPr>
          <w:rFonts w:eastAsia="Calibri"/>
          <w:color w:val="000000"/>
          <w:kern w:val="0"/>
          <w:lang w:eastAsia="pt-BR" w:bidi="ar-SA"/>
        </w:rPr>
        <w:t>junho</w:t>
      </w:r>
      <w:r>
        <w:rPr>
          <w:color w:val="000000"/>
        </w:rPr>
        <w:t xml:space="preserve"> de dois mil e vinte e quatro.</w:t>
      </w:r>
    </w:p>
    <w:p>
      <w:pPr>
        <w:pStyle w:val="Normal"/>
        <w:jc w:val="both"/>
        <w:rPr>
          <w:rFonts w:ascii="Times New Roman" w:hAnsi="Times New Roman"/>
        </w:rPr>
      </w:pPr>
      <w:r>
        <w:rPr/>
      </w:r>
    </w:p>
    <w:p>
      <w:pPr>
        <w:pStyle w:val="Normal"/>
        <w:jc w:val="center"/>
        <w:rPr>
          <w:rFonts w:ascii="Times New Roman" w:hAnsi="Times New Roman"/>
          <w:b/>
          <w:bCs/>
        </w:rPr>
      </w:pPr>
      <w:r>
        <w:rPr>
          <w:b/>
          <w:bCs/>
        </w:rPr>
      </w:r>
    </w:p>
    <w:p>
      <w:pPr>
        <w:pStyle w:val="Normal"/>
        <w:jc w:val="center"/>
        <w:rPr>
          <w:rFonts w:ascii="Times New Roman" w:hAnsi="Times New Roman"/>
          <w:b/>
          <w:bCs/>
        </w:rPr>
      </w:pPr>
      <w:r>
        <w:rPr>
          <w:b/>
          <w:bCs/>
        </w:rPr>
      </w:r>
    </w:p>
    <w:p>
      <w:pPr>
        <w:pStyle w:val="Normal"/>
        <w:jc w:val="center"/>
        <w:rPr>
          <w:rFonts w:ascii="Times New Roman" w:hAnsi="Times New Roman"/>
          <w:b/>
          <w:bCs/>
        </w:rPr>
      </w:pPr>
      <w:r>
        <w:rPr>
          <w:b/>
          <w:bCs/>
        </w:rPr>
      </w:r>
    </w:p>
    <w:p>
      <w:pPr>
        <w:pStyle w:val="Normal"/>
        <w:jc w:val="center"/>
        <w:rPr>
          <w:rFonts w:ascii="Times New Roman" w:hAnsi="Times New Roman"/>
        </w:rPr>
      </w:pPr>
      <w:r>
        <w:rPr>
          <w:b/>
          <w:bCs/>
        </w:rPr>
        <w:t>____________________________________</w:t>
      </w:r>
    </w:p>
    <w:p>
      <w:pPr>
        <w:pStyle w:val="Normal"/>
        <w:ind w:right="284" w:hanging="0"/>
        <w:jc w:val="center"/>
        <w:rPr>
          <w:b/>
          <w:bCs/>
        </w:rPr>
      </w:pPr>
      <w:r>
        <w:rPr>
          <w:b/>
          <w:bCs/>
        </w:rPr>
        <w:t>ELAINE DOS REIS SILVA</w:t>
      </w:r>
    </w:p>
    <w:p>
      <w:pPr>
        <w:pStyle w:val="Normal"/>
        <w:ind w:right="284" w:hanging="0"/>
        <w:jc w:val="center"/>
        <w:rPr>
          <w:b/>
          <w:bCs/>
        </w:rPr>
      </w:pPr>
      <w:r>
        <w:rPr>
          <w:rFonts w:eastAsia="Times New Roman" w:cs="Tahoma"/>
          <w:b/>
          <w:bCs/>
          <w:color w:val="000000"/>
          <w:kern w:val="0"/>
          <w:lang w:bidi="ar-SA"/>
        </w:rPr>
        <w:t>Presidente da CPC – Decreto 1230/24</w:t>
      </w:r>
    </w:p>
    <w:sectPr>
      <w:headerReference w:type="default" r:id="rId2"/>
      <w:footerReference w:type="default" r:id="rId3"/>
      <w:type w:val="nextPage"/>
      <w:pgSz w:w="11906" w:h="16838"/>
      <w:pgMar w:left="1134" w:right="1134" w:gutter="0" w:header="567" w:top="1758" w:footer="0" w:bottom="2586"/>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Times New Roman">
    <w:charset w:val="01"/>
    <w:family w:val="roman"/>
    <w:pitch w:val="variable"/>
  </w:font>
  <w:font w:name="Arial">
    <w:charset w:val="01"/>
    <w:family w:val="roman"/>
    <w:pitch w:val="variable"/>
  </w:font>
  <w:font w:name="Calibri Light">
    <w:charset w:val="01"/>
    <w:family w:val="roman"/>
    <w:pitch w:val="variable"/>
  </w:font>
  <w:font w:name="Liberation Sans">
    <w:altName w:val="Arial"/>
    <w:charset w:val="01"/>
    <w:family w:val="roman"/>
    <w:pitch w:val="variable"/>
  </w:font>
  <w:font w:name="Calibri">
    <w:charset w:val="01"/>
    <w:family w:val="roman"/>
    <w:pitch w:val="variable"/>
  </w:font>
  <w:font w:name="Symbol">
    <w:charset w:val="02"/>
    <w:family w:val="auto"/>
    <w:pitch w:val="default"/>
  </w:font>
  <w:font w:name="Courier New">
    <w:charset w:val="01"/>
    <w:family w:val="modern"/>
    <w:pitch w:val="fixed"/>
  </w:font>
  <w:font w:name="Wingdings">
    <w:charset w:val="02"/>
    <w:family w:val="auto"/>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Rodap"/>
      <w:rPr/>
    </w:pPr>
    <w:r>
      <w:rPr/>
    </w:r>
  </w:p>
  <w:p>
    <w:pPr>
      <w:pStyle w:val="Rodap"/>
      <w:rPr/>
    </w:pPr>
    <w:r>
      <w:rPr/>
    </w:r>
  </w:p>
  <w:p>
    <w:pPr>
      <w:pStyle w:val="Rodap"/>
      <w:rPr/>
    </w:pPr>
    <w:r>
      <w:rPr/>
    </w:r>
  </w:p>
  <w:p>
    <w:pPr>
      <w:pStyle w:val="Rodap"/>
      <w:rPr/>
    </w:pPr>
    <w:r>
      <w:rPr/>
    </w:r>
  </w:p>
  <w:p>
    <w:pPr>
      <w:pStyle w:val="Rodap"/>
      <w:rPr/>
    </w:pPr>
    <w:r>
      <w:rPr/>
    </w:r>
  </w:p>
  <w:p>
    <w:pPr>
      <w:pStyle w:val="Rodap"/>
      <w:rPr/>
    </w:pPr>
    <w:r>
      <w:rPr/>
    </w:r>
  </w:p>
  <w:p>
    <w:pPr>
      <w:pStyle w:val="Rodap"/>
      <w:rPr/>
    </w:pPr>
    <w:r>
      <w:rPr/>
      <w:drawing>
        <wp:anchor behindDoc="0" distT="0" distB="0" distL="0" distR="0" simplePos="0" locked="0" layoutInCell="0" allowOverlap="1" relativeHeight="10">
          <wp:simplePos x="0" y="0"/>
          <wp:positionH relativeFrom="column">
            <wp:posOffset>-716280</wp:posOffset>
          </wp:positionH>
          <wp:positionV relativeFrom="paragraph">
            <wp:posOffset>-152400</wp:posOffset>
          </wp:positionV>
          <wp:extent cx="7559675" cy="1027430"/>
          <wp:effectExtent l="0" t="0" r="0" b="0"/>
          <wp:wrapSquare wrapText="largest"/>
          <wp:docPr id="2" name="Figura8" descr="Padrão do plano de fund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ura8" descr="Padrão do plano de fundo&#10;&#10;Descrição gerada automaticamente com confiança média"/>
                  <pic:cNvPicPr>
                    <a:picLocks noChangeAspect="1" noChangeArrowheads="1"/>
                  </pic:cNvPicPr>
                </pic:nvPicPr>
                <pic:blipFill>
                  <a:blip r:embed="rId1"/>
                  <a:srcRect l="-1362" t="90272" r="0" b="-13"/>
                  <a:stretch>
                    <a:fillRect/>
                  </a:stretch>
                </pic:blipFill>
                <pic:spPr bwMode="auto">
                  <a:xfrm>
                    <a:off x="0" y="0"/>
                    <a:ext cx="7559675" cy="1027430"/>
                  </a:xfrm>
                  <a:prstGeom prst="rect">
                    <a:avLst/>
                  </a:prstGeom>
                </pic:spPr>
              </pic:pic>
            </a:graphicData>
          </a:graphic>
        </wp:anchor>
      </w:drawing>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alho"/>
      <w:rPr/>
    </w:pPr>
    <w:r>
      <w:rPr/>
      <w:drawing>
        <wp:anchor behindDoc="1" distT="0" distB="0" distL="0" distR="0" simplePos="0" locked="0" layoutInCell="0" allowOverlap="1" relativeHeight="19">
          <wp:simplePos x="0" y="0"/>
          <wp:positionH relativeFrom="column">
            <wp:posOffset>-720090</wp:posOffset>
          </wp:positionH>
          <wp:positionV relativeFrom="paragraph">
            <wp:posOffset>-367665</wp:posOffset>
          </wp:positionV>
          <wp:extent cx="7559675" cy="1889760"/>
          <wp:effectExtent l="0" t="0" r="0" b="0"/>
          <wp:wrapTopAndBottom/>
          <wp:docPr id="1" name="Figura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1" descr=""/>
                  <pic:cNvPicPr>
                    <a:picLocks noChangeAspect="1" noChangeArrowheads="1"/>
                  </pic:cNvPicPr>
                </pic:nvPicPr>
                <pic:blipFill>
                  <a:blip r:embed="rId1"/>
                  <a:srcRect l="0" t="0" r="0" b="80578"/>
                  <a:stretch>
                    <a:fillRect/>
                  </a:stretch>
                </pic:blipFill>
                <pic:spPr bwMode="auto">
                  <a:xfrm>
                    <a:off x="0" y="0"/>
                    <a:ext cx="7559675" cy="1889760"/>
                  </a:xfrm>
                  <a:prstGeom prst="rect">
                    <a:avLst/>
                  </a:prstGeom>
                </pic:spPr>
              </pic:pic>
            </a:graphicData>
          </a:graphic>
        </wp:anchor>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9"/>
  <w:autoHyphenation w:val="true"/>
  <w:hyphenationZone w:val="425"/>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kern w:val="2"/>
        <w:sz w:val="24"/>
        <w:szCs w:val="24"/>
        <w:lang w:val="pt-BR" w:eastAsia="zh-CN" w:bidi="hi-IN"/>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overflowPunct w:val="false"/>
      <w:bidi w:val="0"/>
      <w:spacing w:before="0" w:after="0"/>
      <w:jc w:val="left"/>
    </w:pPr>
    <w:rPr>
      <w:rFonts w:ascii="Times New Roman" w:hAnsi="Times New Roman" w:eastAsia="NSimSun" w:cs="Arial"/>
      <w:color w:val="auto"/>
      <w:kern w:val="2"/>
      <w:sz w:val="24"/>
      <w:szCs w:val="24"/>
      <w:lang w:val="pt-BR" w:eastAsia="zh-CN" w:bidi="hi-IN"/>
    </w:rPr>
  </w:style>
  <w:style w:type="paragraph" w:styleId="Ttulo5">
    <w:name w:val="Heading 5"/>
    <w:basedOn w:val="Normal"/>
    <w:next w:val="Normal"/>
    <w:uiPriority w:val="9"/>
    <w:semiHidden/>
    <w:unhideWhenUsed/>
    <w:qFormat/>
    <w:pPr>
      <w:keepNext w:val="true"/>
      <w:tabs>
        <w:tab w:val="clear" w:pos="709"/>
        <w:tab w:val="left" w:pos="1418" w:leader="none"/>
      </w:tabs>
      <w:suppressAutoHyphens w:val="false"/>
      <w:snapToGrid w:val="false"/>
      <w:jc w:val="center"/>
      <w:outlineLvl w:val="4"/>
    </w:pPr>
    <w:rPr>
      <w:rFonts w:ascii="Arial" w:hAnsi="Arial" w:eastAsia="Times New Roman" w:cs="Times New Roman"/>
      <w:b/>
      <w:bCs/>
      <w:spacing w:val="10"/>
      <w:kern w:val="0"/>
      <w:sz w:val="32"/>
      <w:szCs w:val="20"/>
      <w:u w:val="single"/>
      <w:lang w:val="pt-PT" w:eastAsia="pt-BR" w:bidi="ar-SA"/>
    </w:rPr>
  </w:style>
  <w:style w:type="character" w:styleId="DefaultParagraphFont" w:default="1">
    <w:name w:val="Default Paragraph Font"/>
    <w:uiPriority w:val="1"/>
    <w:semiHidden/>
    <w:unhideWhenUsed/>
    <w:qFormat/>
    <w:rPr/>
  </w:style>
  <w:style w:type="character" w:styleId="LinkdaInternet">
    <w:name w:val="Hyperlink"/>
    <w:basedOn w:val="DefaultParagraphFont"/>
    <w:rPr>
      <w:color w:val="0563C1"/>
      <w:u w:val="single"/>
    </w:rPr>
  </w:style>
  <w:style w:type="character" w:styleId="Ttulo5Char" w:customStyle="1">
    <w:name w:val="Título 5 Char"/>
    <w:basedOn w:val="DefaultParagraphFont"/>
    <w:qFormat/>
    <w:rPr>
      <w:rFonts w:ascii="Calibri Light" w:hAnsi="Calibri Light" w:eastAsia="NSimSun" w:cs="Mangal"/>
      <w:color w:val="2F5496"/>
      <w:szCs w:val="21"/>
    </w:rPr>
  </w:style>
  <w:style w:type="character" w:styleId="Ttulo5Char1" w:customStyle="1">
    <w:name w:val="Título 5 Char1"/>
    <w:basedOn w:val="DefaultParagraphFont"/>
    <w:qFormat/>
    <w:rPr>
      <w:rFonts w:ascii="Arial" w:hAnsi="Arial" w:eastAsia="Times New Roman" w:cs="Times New Roman"/>
      <w:b/>
      <w:bCs/>
      <w:spacing w:val="10"/>
      <w:kern w:val="0"/>
      <w:sz w:val="32"/>
      <w:szCs w:val="20"/>
      <w:u w:val="single"/>
      <w:lang w:val="pt-PT" w:eastAsia="pt-BR" w:bidi="ar-SA"/>
    </w:rPr>
  </w:style>
  <w:style w:type="character" w:styleId="TtuloChar" w:customStyle="1">
    <w:name w:val="Título Char"/>
    <w:basedOn w:val="DefaultParagraphFont"/>
    <w:qFormat/>
    <w:rPr>
      <w:rFonts w:eastAsia="Microsoft YaHei"/>
      <w:sz w:val="28"/>
      <w:szCs w:val="28"/>
    </w:rPr>
  </w:style>
  <w:style w:type="character" w:styleId="Linkdainternetvisitado">
    <w:name w:val="FollowedHyperlink"/>
    <w:rPr>
      <w:color w:val="800000"/>
      <w:u w:val="single"/>
    </w:rPr>
  </w:style>
  <w:style w:type="character" w:styleId="Strong">
    <w:name w:val="Strong"/>
    <w:qFormat/>
    <w:rPr>
      <w:rFonts w:ascii="Times New Roman" w:hAnsi="Times New Roman" w:eastAsia="Times New Roman" w:cs="Times New Roman"/>
      <w:b/>
      <w:bCs/>
      <w:color w:val="000000"/>
      <w:sz w:val="24"/>
      <w:szCs w:val="24"/>
    </w:rPr>
  </w:style>
  <w:style w:type="character" w:styleId="Caracteresdenotaderodap">
    <w:name w:val="Caracteres de nota de rodapé"/>
    <w:qFormat/>
    <w:rPr>
      <w:vertAlign w:val="superscript"/>
    </w:rPr>
  </w:style>
  <w:style w:type="character" w:styleId="Ncoradanotaderodap">
    <w:name w:val="Footnote Reference"/>
    <w:rPr>
      <w:vertAlign w:val="superscript"/>
    </w:rPr>
  </w:style>
  <w:style w:type="paragraph" w:styleId="Ttulo">
    <w:name w:val="Título"/>
    <w:basedOn w:val="Normal"/>
    <w:next w:val="Corpodotexto"/>
    <w:qFormat/>
    <w:pPr>
      <w:keepNext w:val="true"/>
      <w:spacing w:before="240" w:after="120"/>
    </w:pPr>
    <w:rPr>
      <w:rFonts w:ascii="Liberation Sans" w:hAnsi="Liberation Sans" w:eastAsia="Microsoft YaHei" w:cs="Arial"/>
      <w:sz w:val="28"/>
      <w:szCs w:val="28"/>
    </w:rPr>
  </w:style>
  <w:style w:type="paragraph" w:styleId="Corpodotexto">
    <w:name w:val="Body Text"/>
    <w:basedOn w:val="Normal"/>
    <w:pPr>
      <w:spacing w:lineRule="auto" w:line="276" w:before="0" w:after="140"/>
    </w:pPr>
    <w:rPr/>
  </w:style>
  <w:style w:type="paragraph" w:styleId="Lista">
    <w:name w:val="List"/>
    <w:basedOn w:val="Corpodotexto"/>
    <w:pPr/>
    <w:rPr/>
  </w:style>
  <w:style w:type="paragraph" w:styleId="Legenda">
    <w:name w:val="Caption"/>
    <w:basedOn w:val="Normal"/>
    <w:qFormat/>
    <w:pPr>
      <w:suppressLineNumbers/>
      <w:spacing w:before="120" w:after="120"/>
    </w:pPr>
    <w:rPr>
      <w:rFonts w:cs="Arial"/>
      <w:i/>
      <w:iCs/>
      <w:sz w:val="24"/>
      <w:szCs w:val="24"/>
    </w:rPr>
  </w:style>
  <w:style w:type="paragraph" w:styleId="Ndice" w:customStyle="1">
    <w:name w:val="Índice"/>
    <w:basedOn w:val="Normal"/>
    <w:qFormat/>
    <w:pPr>
      <w:suppressLineNumbers/>
    </w:pPr>
    <w:rPr/>
  </w:style>
  <w:style w:type="paragraph" w:styleId="Ttulododocumento">
    <w:name w:val="Title"/>
    <w:basedOn w:val="Normal"/>
    <w:next w:val="Corpodotexto"/>
    <w:uiPriority w:val="10"/>
    <w:qFormat/>
    <w:pPr>
      <w:keepNext w:val="true"/>
      <w:spacing w:before="240" w:after="120"/>
    </w:pPr>
    <w:rPr>
      <w:rFonts w:eastAsia="Microsoft YaHei"/>
      <w:sz w:val="28"/>
      <w:szCs w:val="28"/>
    </w:rPr>
  </w:style>
  <w:style w:type="paragraph" w:styleId="Caption">
    <w:name w:val="caption"/>
    <w:basedOn w:val="Normal"/>
    <w:qFormat/>
    <w:pPr>
      <w:suppressLineNumbers/>
      <w:spacing w:before="120" w:after="120"/>
    </w:pPr>
    <w:rPr>
      <w:i/>
      <w:iCs/>
    </w:rPr>
  </w:style>
  <w:style w:type="paragraph" w:styleId="CabealhoeRodap" w:customStyle="1">
    <w:name w:val="Cabeçalho e Rodapé"/>
    <w:basedOn w:val="Normal"/>
    <w:qFormat/>
    <w:pPr>
      <w:suppressLineNumbers/>
      <w:tabs>
        <w:tab w:val="clear" w:pos="709"/>
        <w:tab w:val="center" w:pos="4819" w:leader="none"/>
        <w:tab w:val="right" w:pos="9638" w:leader="none"/>
      </w:tabs>
    </w:pPr>
    <w:rPr/>
  </w:style>
  <w:style w:type="paragraph" w:styleId="Cabealho">
    <w:name w:val="Header"/>
    <w:basedOn w:val="CabealhoeRodap"/>
    <w:pPr/>
    <w:rPr/>
  </w:style>
  <w:style w:type="paragraph" w:styleId="Rodap">
    <w:name w:val="Footer"/>
    <w:basedOn w:val="CabealhoeRodap"/>
    <w:pPr/>
    <w:rPr/>
  </w:style>
  <w:style w:type="paragraph" w:styleId="Contedodatabela" w:customStyle="1">
    <w:name w:val="Conteúdo da tabela"/>
    <w:basedOn w:val="Normal"/>
    <w:qFormat/>
    <w:pPr>
      <w:widowControl w:val="false"/>
      <w:suppressLineNumbers/>
    </w:pPr>
    <w:rPr/>
  </w:style>
  <w:style w:type="paragraph" w:styleId="Ttulodetabela" w:customStyle="1">
    <w:name w:val="Título de tabela"/>
    <w:basedOn w:val="Contedodatabela"/>
    <w:qFormat/>
    <w:pPr>
      <w:jc w:val="center"/>
    </w:pPr>
    <w:rPr>
      <w:b/>
      <w:bCs/>
    </w:rPr>
  </w:style>
  <w:style w:type="paragraph" w:styleId="Corpodotextorecuado">
    <w:name w:val="Body Text Indent"/>
    <w:basedOn w:val="Normal"/>
    <w:pPr>
      <w:spacing w:lineRule="auto" w:line="276" w:before="0" w:after="120"/>
      <w:ind w:left="283" w:hanging="0"/>
    </w:pPr>
    <w:rPr>
      <w:rFonts w:ascii="Calibri" w:hAnsi="Calibri" w:eastAsia="Calibri" w:cs="DejaVu Sans"/>
      <w:sz w:val="22"/>
      <w:szCs w:val="22"/>
    </w:rPr>
  </w:style>
  <w:style w:type="paragraph" w:styleId="ListParagraph">
    <w:name w:val="List Paragraph"/>
    <w:basedOn w:val="Normal"/>
    <w:qFormat/>
    <w:pPr>
      <w:spacing w:before="0" w:after="0"/>
      <w:ind w:left="720" w:hanging="0"/>
      <w:contextualSpacing/>
    </w:pPr>
    <w:rPr/>
  </w:style>
  <w:style w:type="paragraph" w:styleId="NormalWeb">
    <w:name w:val="Normal (Web)"/>
    <w:basedOn w:val="Normal"/>
    <w:qFormat/>
    <w:rsid w:val="009b728e"/>
    <w:pPr>
      <w:suppressAutoHyphens w:val="false"/>
      <w:overflowPunct w:val="true"/>
      <w:spacing w:beforeAutospacing="1" w:afterAutospacing="1"/>
    </w:pPr>
    <w:rPr>
      <w:rFonts w:eastAsia="Times New Roman" w:cs="Times New Roman"/>
      <w:kern w:val="0"/>
      <w:lang w:eastAsia="pt-BR" w:bidi="ar-SA"/>
    </w:rPr>
  </w:style>
  <w:style w:type="paragraph" w:styleId="Notaderodap">
    <w:name w:val="Footnote Text"/>
    <w:basedOn w:val="Normal"/>
    <w:pPr>
      <w:suppressLineNumbers/>
      <w:ind w:left="340" w:hanging="340"/>
    </w:pPr>
    <w:rPr>
      <w:sz w:val="20"/>
      <w:szCs w:val="20"/>
    </w:rPr>
  </w:style>
  <w:style w:type="numbering" w:styleId="NoList" w:default="1">
    <w:name w:val="No List"/>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 w:type="table" w:styleId="Tabelacomgrade">
    <w:name w:val="Table Grid"/>
    <w:basedOn w:val="Tabelanormal"/>
    <w:uiPriority w:val="39"/>
    <w:rsid w:val="005d6d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_rels/footer1.xml.rels><?xml version="1.0" encoding="UTF-8"?>
<Relationships xmlns="http://schemas.openxmlformats.org/package/2006/relationships"><Relationship Id="rId1" Type="http://schemas.openxmlformats.org/officeDocument/2006/relationships/image" Target="media/image2.png"/>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1107</TotalTime>
  <Application>LibreOffice/7.5.2.2$Linux_X86_64 LibreOffice_project/50$Build-2</Application>
  <AppVersion>15.0000</AppVersion>
  <Pages>9</Pages>
  <Words>1621</Words>
  <Characters>9103</Characters>
  <CharactersWithSpaces>11787</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2024-01-19T23:53:00Z</dcterms:created>
  <dc:creator>Milena Moura</dc:creator>
  <dc:description/>
  <dc:language>pt-BR</dc:language>
  <cp:lastModifiedBy/>
  <cp:lastPrinted>2024-06-05T15:34:09Z</cp:lastPrinted>
  <dcterms:modified xsi:type="dcterms:W3CDTF">2024-06-05T15:34:27Z</dcterms:modified>
  <cp:revision>39</cp:revision>
  <dc:subject/>
  <dc:title/>
</cp:coreProperties>
</file>

<file path=docProps/custom.xml><?xml version="1.0" encoding="utf-8"?>
<Properties xmlns="http://schemas.openxmlformats.org/officeDocument/2006/custom-properties" xmlns:vt="http://schemas.openxmlformats.org/officeDocument/2006/docPropsVTypes"/>
</file>