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BFBFBF" w:themeFill="background1" w:themeFillShade="bf"/>
        <w:jc w:val="center"/>
        <w:rPr>
          <w:rFonts w:ascii="Calibri" w:hAnsi="Calibri"/>
        </w:rPr>
      </w:pPr>
      <w:r>
        <w:rPr>
          <w:rFonts w:cs="Calibri" w:ascii="Calibri" w:hAnsi="Calibri"/>
          <w:b/>
          <w:bCs/>
        </w:rPr>
        <w:t>PROCESSO 14</w:t>
      </w:r>
      <w:r>
        <w:rPr>
          <w:rFonts w:cs="Calibri" w:ascii="Calibri" w:hAnsi="Calibri"/>
          <w:b/>
          <w:bCs/>
        </w:rPr>
        <w:t>3</w:t>
      </w:r>
      <w:r>
        <w:rPr>
          <w:rFonts w:cs="Calibri" w:ascii="Calibri" w:hAnsi="Calibri"/>
          <w:b/>
          <w:bCs/>
        </w:rPr>
        <w:t>/2024 – DISPENSA DE LICITAÇÃO 2</w:t>
      </w:r>
      <w:r>
        <w:rPr>
          <w:rFonts w:cs="Calibri" w:ascii="Calibri" w:hAnsi="Calibri"/>
          <w:b/>
          <w:bCs/>
        </w:rPr>
        <w:t>5</w:t>
      </w:r>
      <w:r>
        <w:rPr>
          <w:rFonts w:cs="Calibri" w:ascii="Calibri" w:hAnsi="Calibri"/>
          <w:b/>
          <w:bCs/>
        </w:rPr>
        <w:t>/2024 TERMO DE REFERÊNCIA</w:t>
      </w:r>
    </w:p>
    <w:p>
      <w:pPr>
        <w:pStyle w:val="Normal"/>
        <w:jc w:val="center"/>
        <w:rPr>
          <w:rFonts w:ascii="Calibri" w:hAnsi="Calibri" w:cs="Calibri"/>
          <w:b/>
          <w:bCs/>
          <w:color w:val="FFFFFF"/>
        </w:rPr>
      </w:pPr>
      <w:r>
        <w:rPr>
          <w:rFonts w:cs="Calibri" w:ascii="Calibri" w:hAnsi="Calibri"/>
          <w:b/>
          <w:bCs/>
          <w:color w:val="FFFFFF"/>
        </w:rPr>
      </w:r>
    </w:p>
    <w:p>
      <w:pPr>
        <w:pStyle w:val="Normal"/>
        <w:numPr>
          <w:ilvl w:val="0"/>
          <w:numId w:val="2"/>
        </w:numPr>
        <w:shd w:val="clear" w:color="auto" w:fill="BFBFBF" w:themeFill="background1" w:themeFillShade="bf"/>
        <w:jc w:val="both"/>
        <w:rPr>
          <w:rFonts w:ascii="Calibri" w:hAnsi="Calibri"/>
        </w:rPr>
      </w:pPr>
      <w:r>
        <w:rPr>
          <w:rFonts w:cs="Calibri" w:ascii="Calibri" w:hAnsi="Calibri"/>
          <w:b/>
          <w:bCs/>
        </w:rPr>
        <w:t>DO OBJETO</w:t>
      </w:r>
    </w:p>
    <w:p>
      <w:pPr>
        <w:pStyle w:val="Normal"/>
        <w:jc w:val="both"/>
        <w:rPr>
          <w:rFonts w:ascii="Calibri" w:hAnsi="Calibri" w:cs="Calibri"/>
          <w:b/>
          <w:bCs/>
          <w:color w:val="FFFFFF"/>
        </w:rPr>
      </w:pPr>
      <w:r>
        <w:rPr>
          <w:rFonts w:cs="Calibri" w:ascii="Calibri" w:hAnsi="Calibri"/>
          <w:b/>
          <w:bCs/>
          <w:color w:val="FFFFFF"/>
        </w:rPr>
      </w:r>
    </w:p>
    <w:p>
      <w:pPr>
        <w:pStyle w:val="Normal"/>
        <w:numPr>
          <w:ilvl w:val="1"/>
          <w:numId w:val="2"/>
        </w:numPr>
        <w:ind w:hanging="0" w:left="0"/>
        <w:jc w:val="both"/>
        <w:rPr>
          <w:rFonts w:ascii="Calibri" w:hAnsi="Calibri"/>
        </w:rPr>
      </w:pPr>
      <w:r>
        <w:rPr>
          <w:rFonts w:cs="Calibri" w:ascii="Calibri" w:hAnsi="Calibri"/>
          <w:color w:val="00000A"/>
        </w:rPr>
        <w:t>Contratação eventual de empresa especializada em serviços funerários, para atender as famílias em vulnerabilidade social, assistidas pela Secretária de Desenvolvimento Social e Trabalho no município de Flores de Goias-GO.</w:t>
      </w:r>
    </w:p>
    <w:p>
      <w:pPr>
        <w:pStyle w:val="Normal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</w:r>
    </w:p>
    <w:tbl>
      <w:tblPr>
        <w:tblW w:w="9704" w:type="dxa"/>
        <w:jc w:val="center"/>
        <w:tblInd w:w="0" w:type="dxa"/>
        <w:tblLayout w:type="fixed"/>
        <w:tblCellMar>
          <w:top w:w="55" w:type="dxa"/>
          <w:left w:w="12" w:type="dxa"/>
          <w:bottom w:w="55" w:type="dxa"/>
          <w:right w:w="55" w:type="dxa"/>
        </w:tblCellMar>
        <w:tblLook w:val="04a0" w:noHBand="0" w:noVBand="1" w:firstColumn="1" w:lastRow="0" w:lastColumn="0" w:firstRow="1"/>
      </w:tblPr>
      <w:tblGrid>
        <w:gridCol w:w="629"/>
        <w:gridCol w:w="5566"/>
        <w:gridCol w:w="1019"/>
        <w:gridCol w:w="1231"/>
        <w:gridCol w:w="1259"/>
      </w:tblGrid>
      <w:tr>
        <w:trPr/>
        <w:tc>
          <w:tcPr>
            <w:tcW w:w="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BFBFBF" w:themeFill="background1" w:themeFillShade="b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55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BFBFBF" w:themeFill="background1" w:themeFillShade="b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DESCRIÇÃO/ESPECIFICAÇÃO</w:t>
            </w:r>
          </w:p>
        </w:tc>
        <w:tc>
          <w:tcPr>
            <w:tcW w:w="10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BFBFBF" w:themeFill="background1" w:themeFillShade="b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CATMAT</w:t>
            </w:r>
          </w:p>
        </w:tc>
        <w:tc>
          <w:tcPr>
            <w:tcW w:w="1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BFBFBF" w:themeFill="background1" w:themeFillShade="b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2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BFBFBF" w:themeFill="background1" w:themeFillShade="b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UNIDADE</w:t>
            </w:r>
          </w:p>
        </w:tc>
      </w:tr>
      <w:tr>
        <w:trPr/>
        <w:tc>
          <w:tcPr>
            <w:tcW w:w="629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color w:val="C9211E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  <w:t>01</w:t>
            </w:r>
          </w:p>
        </w:tc>
        <w:tc>
          <w:tcPr>
            <w:tcW w:w="5566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dodatabela"/>
              <w:widowControl w:val="false"/>
              <w:jc w:val="both"/>
              <w:rPr>
                <w:color w:val="000000"/>
              </w:rPr>
            </w:pPr>
            <w:r>
              <w:rPr>
                <w:color w:val="000000"/>
              </w:rPr>
              <w:t>Urna  adulta (1,90m seis alça dura sem verniz)</w:t>
            </w:r>
          </w:p>
        </w:tc>
        <w:tc>
          <w:tcPr>
            <w:tcW w:w="1019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57436</w:t>
            </w:r>
          </w:p>
        </w:tc>
        <w:tc>
          <w:tcPr>
            <w:tcW w:w="1231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color w:val="auto"/>
              </w:rPr>
            </w:pPr>
            <w:r>
              <w:rPr>
                <w:rFonts w:cs="Calibri" w:ascii="Calibri" w:hAnsi="Calibri" w:cstheme="minorHAnsi"/>
                <w:color w:val="auto"/>
                <w:sz w:val="20"/>
                <w:szCs w:val="20"/>
              </w:rPr>
              <w:t>01</w:t>
            </w:r>
          </w:p>
        </w:tc>
        <w:tc>
          <w:tcPr>
            <w:tcW w:w="125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color w:val="auto"/>
              </w:rPr>
            </w:pPr>
            <w:r>
              <w:rPr>
                <w:rFonts w:ascii="Calibri" w:hAnsi="Calibri"/>
                <w:color w:val="auto"/>
                <w:sz w:val="20"/>
                <w:szCs w:val="20"/>
              </w:rPr>
              <w:t>Unidade</w:t>
            </w:r>
          </w:p>
        </w:tc>
      </w:tr>
      <w:tr>
        <w:trPr/>
        <w:tc>
          <w:tcPr>
            <w:tcW w:w="629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02</w:t>
            </w:r>
          </w:p>
        </w:tc>
        <w:tc>
          <w:tcPr>
            <w:tcW w:w="5566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Calibri" w:hAnsi="Calibri"/>
                <w:color w:val="auto"/>
                <w:sz w:val="24"/>
                <w:szCs w:val="24"/>
              </w:rPr>
            </w:pPr>
            <w:r>
              <w:rPr>
                <w:rFonts w:ascii="Calibri" w:hAnsi="Calibri"/>
                <w:color w:val="auto"/>
                <w:sz w:val="24"/>
                <w:szCs w:val="24"/>
              </w:rPr>
              <w:t>Translado Formosa/GO á Flores de Goias-GO + zona rural</w:t>
            </w:r>
          </w:p>
          <w:p>
            <w:pPr>
              <w:pStyle w:val="Contedodatabela"/>
              <w:widowControl w:val="false"/>
              <w:jc w:val="both"/>
              <w:rPr>
                <w:rFonts w:ascii="Calibri" w:hAnsi="Calibri"/>
                <w:color w:val="auto"/>
                <w:sz w:val="24"/>
                <w:szCs w:val="24"/>
              </w:rPr>
            </w:pPr>
            <w:r>
              <w:rPr>
                <w:rFonts w:ascii="Calibri" w:hAnsi="Calibri"/>
                <w:color w:val="auto"/>
                <w:sz w:val="24"/>
                <w:szCs w:val="24"/>
              </w:rPr>
            </w:r>
          </w:p>
        </w:tc>
        <w:tc>
          <w:tcPr>
            <w:tcW w:w="1019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4170</w:t>
            </w:r>
          </w:p>
        </w:tc>
        <w:tc>
          <w:tcPr>
            <w:tcW w:w="1231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color w:val="auto"/>
                <w:sz w:val="20"/>
                <w:szCs w:val="20"/>
              </w:rPr>
              <w:t>593,40</w:t>
            </w:r>
          </w:p>
        </w:tc>
        <w:tc>
          <w:tcPr>
            <w:tcW w:w="125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color w:val="00000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km</w:t>
            </w:r>
          </w:p>
        </w:tc>
      </w:tr>
      <w:tr>
        <w:trPr/>
        <w:tc>
          <w:tcPr>
            <w:tcW w:w="629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03 </w:t>
            </w:r>
          </w:p>
        </w:tc>
        <w:tc>
          <w:tcPr>
            <w:tcW w:w="5566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Calibri" w:hAnsi="Calibri"/>
                <w:color w:val="auto"/>
                <w:sz w:val="20"/>
                <w:szCs w:val="20"/>
              </w:rPr>
            </w:pPr>
            <w:r>
              <w:rPr>
                <w:rFonts w:ascii="Calibri" w:hAnsi="Calibri"/>
                <w:color w:val="auto"/>
                <w:sz w:val="20"/>
                <w:szCs w:val="20"/>
              </w:rPr>
              <w:t>Enfeites dentro da urna ( com flores artificias ou edredom e véu de nylon)</w:t>
            </w:r>
          </w:p>
        </w:tc>
        <w:tc>
          <w:tcPr>
            <w:tcW w:w="1019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</w:t>
            </w:r>
          </w:p>
        </w:tc>
        <w:tc>
          <w:tcPr>
            <w:tcW w:w="1231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color w:val="auto"/>
                <w:sz w:val="20"/>
                <w:szCs w:val="20"/>
              </w:rPr>
              <w:t>01</w:t>
            </w:r>
          </w:p>
        </w:tc>
        <w:tc>
          <w:tcPr>
            <w:tcW w:w="125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unidade</w:t>
            </w:r>
          </w:p>
        </w:tc>
      </w:tr>
    </w:tbl>
    <w:p>
      <w:pPr>
        <w:pStyle w:val="Normal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</w:r>
    </w:p>
    <w:p>
      <w:pPr>
        <w:pStyle w:val="Normal"/>
        <w:numPr>
          <w:ilvl w:val="1"/>
          <w:numId w:val="2"/>
        </w:numPr>
        <w:ind w:hanging="0" w:left="0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  <w:t>Havendo eventual divergência entre o CATMAT e a descrição/especificação dos itens, prevalecerão estas últimas.</w:t>
      </w:r>
    </w:p>
    <w:p>
      <w:pPr>
        <w:pStyle w:val="Normal"/>
        <w:ind w:hanging="0" w:left="794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</w:r>
    </w:p>
    <w:p>
      <w:pPr>
        <w:pStyle w:val="Normal"/>
        <w:numPr>
          <w:ilvl w:val="1"/>
          <w:numId w:val="2"/>
        </w:numPr>
        <w:ind w:hanging="0" w:left="0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  <w:t>Para a presente contratação o Termo de Contrato será substituído por instrumento equivalente nos termos do Art. 95, Inc. I da Lei 14.133 de 2021, o qual vinculará as partes a este Termo de Referência e a Proposta da Contratada.</w:t>
      </w:r>
    </w:p>
    <w:p>
      <w:pPr>
        <w:pStyle w:val="Normal"/>
        <w:ind w:hanging="0" w:left="794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</w:r>
    </w:p>
    <w:p>
      <w:pPr>
        <w:pStyle w:val="Normal"/>
        <w:numPr>
          <w:ilvl w:val="1"/>
          <w:numId w:val="2"/>
        </w:numPr>
        <w:ind w:hanging="0" w:left="0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  <w:t>Aquisição dos objetos desta dispensa será adjudicada por item.</w:t>
      </w:r>
    </w:p>
    <w:p>
      <w:pPr>
        <w:pStyle w:val="Normal"/>
        <w:ind w:hanging="0" w:left="794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</w:r>
    </w:p>
    <w:p>
      <w:pPr>
        <w:pStyle w:val="Normal"/>
        <w:numPr>
          <w:ilvl w:val="1"/>
          <w:numId w:val="2"/>
        </w:numPr>
        <w:ind w:hanging="0" w:left="0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  <w:t xml:space="preserve">O critério de julgamento das propostas será o de </w:t>
      </w:r>
      <w:r>
        <w:rPr>
          <w:rFonts w:cs="Calibri" w:ascii="Calibri" w:hAnsi="Calibri"/>
          <w:color w:val="auto"/>
        </w:rPr>
        <w:t>menor preço do item</w:t>
      </w:r>
      <w:r>
        <w:rPr>
          <w:rFonts w:cs="Calibri" w:ascii="Calibri" w:hAnsi="Calibri"/>
          <w:color w:val="00000A"/>
        </w:rPr>
        <w:t>, observadas as exigências contidas neste Termo de Referência quanto as especificações do objeto.</w:t>
      </w:r>
    </w:p>
    <w:p>
      <w:pPr>
        <w:pStyle w:val="Normal"/>
        <w:ind w:hanging="0" w:left="794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</w:r>
    </w:p>
    <w:p>
      <w:pPr>
        <w:pStyle w:val="Normal"/>
        <w:numPr>
          <w:ilvl w:val="0"/>
          <w:numId w:val="2"/>
        </w:numPr>
        <w:shd w:val="clear" w:color="auto" w:fill="BFBFBF" w:themeFill="background1" w:themeFillShade="bf"/>
        <w:jc w:val="both"/>
        <w:rPr>
          <w:rFonts w:ascii="Calibri" w:hAnsi="Calibri" w:cs="Calibri"/>
          <w:b/>
          <w:bCs/>
        </w:rPr>
      </w:pPr>
      <w:r>
        <w:rPr>
          <w:rFonts w:cs="Calibri" w:ascii="Calibri" w:hAnsi="Calibri"/>
          <w:b/>
          <w:bCs/>
        </w:rPr>
        <w:t>DA CLASSIFICAÇÃO DOS BENS COMUNS</w:t>
      </w:r>
    </w:p>
    <w:p>
      <w:pPr>
        <w:pStyle w:val="Normal"/>
        <w:ind w:hanging="0" w:left="794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</w:r>
    </w:p>
    <w:p>
      <w:pPr>
        <w:pStyle w:val="Normal"/>
        <w:numPr>
          <w:ilvl w:val="1"/>
          <w:numId w:val="2"/>
        </w:numPr>
        <w:ind w:hanging="0" w:left="0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  <w:t>Trata-se de aquisição de bens comuns nos termos do Art. 6º, Inc. XIII, da Lei 14.133/2021, que devido ao valor, enquadra-se na hipótese de contratação por dispensa de licitação, com fulcro no Art. 75, Inc. II da Lei 14.133 de 2021.</w:t>
      </w:r>
    </w:p>
    <w:p>
      <w:pPr>
        <w:pStyle w:val="Normal"/>
        <w:ind w:hanging="0" w:left="794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ind w:hanging="0" w:left="1587"/>
        <w:jc w:val="both"/>
        <w:rPr>
          <w:sz w:val="22"/>
          <w:szCs w:val="22"/>
        </w:rPr>
      </w:pPr>
      <w:r>
        <w:rPr>
          <w:rFonts w:cs="Calibri" w:ascii="Calibri" w:hAnsi="Calibri"/>
          <w:b/>
          <w:bCs/>
          <w:i/>
          <w:iCs/>
          <w:color w:val="000000"/>
          <w:sz w:val="22"/>
          <w:szCs w:val="22"/>
          <w:u w:val="single"/>
        </w:rPr>
        <w:t>Art. 6º  Para os fins desta Lei, consideram-se::</w:t>
      </w:r>
    </w:p>
    <w:p>
      <w:pPr>
        <w:pStyle w:val="Normal"/>
        <w:numPr>
          <w:ilvl w:val="0"/>
          <w:numId w:val="2"/>
        </w:numPr>
        <w:ind w:hanging="0" w:left="1587"/>
        <w:jc w:val="both"/>
        <w:rPr>
          <w:sz w:val="22"/>
          <w:szCs w:val="22"/>
        </w:rPr>
      </w:pPr>
      <w:r>
        <w:rPr>
          <w:rFonts w:cs="Calibri" w:ascii="Calibri" w:hAnsi="Calibri"/>
          <w:i/>
          <w:iCs/>
          <w:color w:val="000000"/>
          <w:sz w:val="22"/>
          <w:szCs w:val="22"/>
        </w:rPr>
        <w:t>(...)</w:t>
      </w:r>
    </w:p>
    <w:p>
      <w:pPr>
        <w:pStyle w:val="Normal"/>
        <w:ind w:hanging="0" w:left="1587"/>
        <w:jc w:val="both"/>
        <w:rPr>
          <w:sz w:val="22"/>
          <w:szCs w:val="22"/>
        </w:rPr>
      </w:pPr>
      <w:r>
        <w:rPr>
          <w:rFonts w:cs="Calibri" w:ascii="Calibri" w:hAnsi="Calibri"/>
          <w:b/>
          <w:bCs/>
          <w:i/>
          <w:iCs/>
          <w:color w:val="00000A"/>
          <w:sz w:val="22"/>
          <w:szCs w:val="22"/>
          <w:u w:val="single"/>
        </w:rPr>
        <w:t>XIII - bens e serviços comuns: aqueles cujos padrões de desempenho e qualidade podem ser objetivamente definidos pelo edital, por meio de especificações usuais de mercado;</w:t>
      </w:r>
      <w:r>
        <w:rPr>
          <w:rFonts w:cs="Calibri" w:ascii="Calibri" w:hAnsi="Calibri"/>
          <w:i/>
          <w:iCs/>
          <w:color w:val="00000A"/>
          <w:sz w:val="22"/>
          <w:szCs w:val="22"/>
        </w:rPr>
        <w:t xml:space="preserve"> (original não grifado).</w:t>
      </w:r>
    </w:p>
    <w:p>
      <w:pPr>
        <w:pStyle w:val="Normal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</w:r>
    </w:p>
    <w:p>
      <w:pPr>
        <w:pStyle w:val="Normal"/>
        <w:ind w:hanging="0" w:left="1587"/>
        <w:jc w:val="both"/>
        <w:rPr>
          <w:sz w:val="22"/>
          <w:szCs w:val="22"/>
        </w:rPr>
      </w:pPr>
      <w:r>
        <w:rPr/>
      </w:r>
    </w:p>
    <w:p>
      <w:pPr>
        <w:pStyle w:val="Normal"/>
        <w:ind w:hanging="0" w:left="1587"/>
        <w:jc w:val="both"/>
        <w:rPr>
          <w:sz w:val="22"/>
          <w:szCs w:val="22"/>
        </w:rPr>
      </w:pPr>
      <w:r>
        <w:rPr/>
      </w:r>
    </w:p>
    <w:p>
      <w:pPr>
        <w:pStyle w:val="Normal"/>
        <w:ind w:hanging="0" w:left="1587"/>
        <w:jc w:val="both"/>
        <w:rPr>
          <w:sz w:val="22"/>
          <w:szCs w:val="22"/>
        </w:rPr>
      </w:pPr>
      <w:r>
        <w:rPr/>
      </w:r>
    </w:p>
    <w:p>
      <w:pPr>
        <w:pStyle w:val="Normal"/>
        <w:ind w:hanging="0" w:left="1587"/>
        <w:jc w:val="both"/>
        <w:rPr>
          <w:sz w:val="22"/>
          <w:szCs w:val="22"/>
        </w:rPr>
      </w:pPr>
      <w:r>
        <w:rPr>
          <w:rFonts w:cs="Calibri" w:ascii="Calibri" w:hAnsi="Calibri"/>
          <w:b/>
          <w:bCs/>
          <w:i/>
          <w:iCs/>
          <w:color w:val="000000"/>
          <w:sz w:val="22"/>
          <w:szCs w:val="22"/>
          <w:u w:val="single"/>
        </w:rPr>
        <w:t>“</w:t>
      </w:r>
      <w:r>
        <w:rPr>
          <w:rFonts w:cs="Calibri" w:ascii="Calibri" w:hAnsi="Calibri"/>
          <w:b/>
          <w:bCs/>
          <w:i/>
          <w:iCs/>
          <w:color w:val="000000"/>
          <w:sz w:val="22"/>
          <w:szCs w:val="22"/>
          <w:u w:val="single"/>
        </w:rPr>
        <w:t>Art. 75. É dispensável a licitação:</w:t>
      </w:r>
    </w:p>
    <w:p>
      <w:pPr>
        <w:pStyle w:val="Normal"/>
        <w:ind w:hanging="0" w:left="1587"/>
        <w:jc w:val="both"/>
        <w:rPr>
          <w:sz w:val="22"/>
          <w:szCs w:val="22"/>
        </w:rPr>
      </w:pPr>
      <w:r>
        <w:rPr>
          <w:rFonts w:cs="Calibri" w:ascii="Calibri" w:hAnsi="Calibri"/>
          <w:i/>
          <w:iCs/>
          <w:color w:val="000000"/>
          <w:sz w:val="22"/>
          <w:szCs w:val="22"/>
        </w:rPr>
        <w:t>(...)</w:t>
      </w:r>
    </w:p>
    <w:p>
      <w:pPr>
        <w:pStyle w:val="Normal"/>
        <w:ind w:hanging="0" w:left="1587"/>
        <w:jc w:val="both"/>
        <w:rPr>
          <w:sz w:val="22"/>
          <w:szCs w:val="22"/>
        </w:rPr>
      </w:pPr>
      <w:r>
        <w:rPr>
          <w:rFonts w:cs="Calibri" w:ascii="Calibri" w:hAnsi="Calibri"/>
          <w:b/>
          <w:bCs/>
          <w:i/>
          <w:iCs/>
          <w:color w:val="00000A"/>
          <w:sz w:val="22"/>
          <w:szCs w:val="22"/>
          <w:u w:val="single"/>
        </w:rPr>
        <w:t>II - para contratação que envolva valores inferiores a R$ 50.000,00 (cinquenta mil reais), no caso de outros serviços e compras;</w:t>
      </w:r>
      <w:r>
        <w:rPr>
          <w:rFonts w:cs="Calibri" w:ascii="Calibri" w:hAnsi="Calibri"/>
          <w:i/>
          <w:iCs/>
          <w:color w:val="00000A"/>
          <w:sz w:val="22"/>
          <w:szCs w:val="22"/>
        </w:rPr>
        <w:t xml:space="preserve"> (original não grifado).</w:t>
      </w:r>
    </w:p>
    <w:p>
      <w:pPr>
        <w:pStyle w:val="Normal"/>
        <w:jc w:val="both"/>
        <w:rPr>
          <w:rFonts w:ascii="Calibri" w:hAnsi="Calibri" w:cs="Calibri"/>
          <w:i/>
          <w:i/>
          <w:iCs/>
          <w:color w:val="00000A"/>
        </w:rPr>
      </w:pPr>
      <w:r>
        <w:rPr>
          <w:rFonts w:cs="Calibri" w:ascii="Calibri" w:hAnsi="Calibri"/>
          <w:i/>
          <w:iCs/>
          <w:color w:val="00000A"/>
        </w:rPr>
      </w:r>
    </w:p>
    <w:p>
      <w:pPr>
        <w:pStyle w:val="Normal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</w:r>
    </w:p>
    <w:p>
      <w:pPr>
        <w:pStyle w:val="Normal"/>
        <w:shd w:val="clear" w:color="auto" w:fill="BFBFBF" w:themeFill="background1" w:themeFillShade="bf"/>
        <w:jc w:val="both"/>
        <w:rPr>
          <w:rFonts w:ascii="Calibri" w:hAnsi="Calibri" w:cs="Calibri"/>
          <w:b/>
          <w:bCs/>
        </w:rPr>
      </w:pPr>
      <w:r>
        <w:rPr>
          <w:rFonts w:cs="Calibri" w:ascii="Calibri" w:hAnsi="Calibri"/>
          <w:b/>
          <w:bCs/>
        </w:rPr>
        <w:t>3. ENTREGA E CRITÉRIOS DE ACEITAÇÃO DO OBJETO</w:t>
      </w:r>
    </w:p>
    <w:p>
      <w:pPr>
        <w:pStyle w:val="Normal"/>
        <w:jc w:val="both"/>
        <w:rPr>
          <w:rFonts w:ascii="Calibri" w:hAnsi="Calibri" w:cs="Calibri"/>
          <w:color w:val="FFFFFF"/>
        </w:rPr>
      </w:pPr>
      <w:r>
        <w:rPr>
          <w:rFonts w:cs="Calibri" w:ascii="Calibri" w:hAnsi="Calibri"/>
          <w:color w:val="FFFFFF"/>
        </w:rPr>
      </w:r>
    </w:p>
    <w:p>
      <w:pPr>
        <w:pStyle w:val="Normal"/>
        <w:numPr>
          <w:ilvl w:val="1"/>
          <w:numId w:val="2"/>
        </w:numPr>
        <w:ind w:hanging="0" w:left="0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  <w:t xml:space="preserve">O prazo de entrega dos bens é </w:t>
      </w:r>
      <w:r>
        <w:rPr>
          <w:rFonts w:cs="Calibri" w:ascii="Calibri" w:hAnsi="Calibri"/>
        </w:rPr>
        <w:t xml:space="preserve">de 5 (cinco) dias, </w:t>
      </w:r>
      <w:r>
        <w:rPr>
          <w:rFonts w:cs="Calibri" w:ascii="Calibri" w:hAnsi="Calibri"/>
          <w:color w:val="00000A"/>
        </w:rPr>
        <w:t>contados do recebimento da Nota de Empenho, em remessa única, no seguinte endereço da sede do Município, Praça Matriz, n. 44, Centro, Flores de Goiá</w:t>
      </w:r>
      <w:r>
        <w:rPr>
          <w:rFonts w:cs="Calibri" w:ascii="Calibri" w:hAnsi="Calibri"/>
        </w:rPr>
        <w:t>s, CEP 73.890-000.</w:t>
      </w:r>
    </w:p>
    <w:p>
      <w:pPr>
        <w:pStyle w:val="Normal"/>
        <w:ind w:hanging="0" w:left="794"/>
        <w:jc w:val="both"/>
        <w:rPr>
          <w:rFonts w:cs="Calibri"/>
          <w:color w:val="000000"/>
        </w:rPr>
      </w:pPr>
      <w:r>
        <w:rPr>
          <w:rFonts w:cs="Calibri"/>
          <w:color w:val="000000"/>
        </w:rPr>
      </w:r>
    </w:p>
    <w:p>
      <w:pPr>
        <w:pStyle w:val="Normal"/>
        <w:numPr>
          <w:ilvl w:val="2"/>
          <w:numId w:val="2"/>
        </w:numPr>
        <w:suppressAutoHyphens w:val="false"/>
        <w:ind w:hanging="0" w:left="794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cstheme="minorHAnsi"/>
          <w:color w:val="00000A"/>
        </w:rPr>
        <w:t xml:space="preserve">A entrega deverá ser realizada em dias úteis (segunda a sexta-feira, exceto feriados), nas faixas de horário compreendidas </w:t>
      </w:r>
      <w:r>
        <w:rPr>
          <w:rFonts w:cs="Calibri" w:ascii="Calibri" w:hAnsi="Calibri" w:cstheme="minorHAnsi"/>
        </w:rPr>
        <w:t>entre 8 e 11 horas e entre 14 e 17 horas.</w:t>
      </w:r>
    </w:p>
    <w:p>
      <w:pPr>
        <w:pStyle w:val="Normal"/>
        <w:suppressAutoHyphens w:val="false"/>
        <w:ind w:hanging="0" w:left="2381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cstheme="minorHAnsi" w:ascii="Calibri" w:hAnsi="Calibri"/>
          <w:color w:val="00000A"/>
        </w:rPr>
      </w:r>
    </w:p>
    <w:p>
      <w:pPr>
        <w:pStyle w:val="Normal"/>
        <w:numPr>
          <w:ilvl w:val="2"/>
          <w:numId w:val="2"/>
        </w:numPr>
        <w:suppressAutoHyphens w:val="false"/>
        <w:ind w:hanging="0" w:left="794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ascii="Calibri" w:hAnsi="Calibri" w:cstheme="minorHAnsi"/>
          <w:color w:val="00000A"/>
        </w:rPr>
        <w:t>O fornecedor ou o transportador por ele contratado deve certificar-se antecipadamente quanto a feriados locais ou alterações nos horários de expediente.</w:t>
      </w:r>
    </w:p>
    <w:p>
      <w:pPr>
        <w:pStyle w:val="Normal"/>
        <w:ind w:hanging="0" w:left="794"/>
        <w:jc w:val="both"/>
        <w:rPr>
          <w:rFonts w:cs="Calibri"/>
          <w:color w:val="000000"/>
        </w:rPr>
      </w:pPr>
      <w:r>
        <w:rPr>
          <w:rFonts w:cs="Calibri"/>
          <w:color w:val="000000"/>
        </w:rPr>
      </w:r>
    </w:p>
    <w:p>
      <w:pPr>
        <w:pStyle w:val="Normal"/>
        <w:numPr>
          <w:ilvl w:val="2"/>
          <w:numId w:val="2"/>
        </w:numPr>
        <w:suppressAutoHyphens w:val="false"/>
        <w:ind w:hanging="0" w:left="794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ascii="Calibri" w:hAnsi="Calibri" w:cstheme="minorHAnsi"/>
          <w:color w:val="00000A"/>
        </w:rPr>
        <w:t>Ficará a cargo da contratada ou do transportador a descarga e movimentação do material do veículo até o local designado pelo empregado responsável pelo recebimento.</w:t>
      </w:r>
    </w:p>
    <w:p>
      <w:pPr>
        <w:pStyle w:val="Normal"/>
        <w:ind w:hanging="0" w:left="794"/>
        <w:jc w:val="both"/>
        <w:rPr>
          <w:rFonts w:cs="Calibri"/>
          <w:color w:val="000000"/>
        </w:rPr>
      </w:pPr>
      <w:r>
        <w:rPr>
          <w:rFonts w:cs="Calibri"/>
          <w:color w:val="000000"/>
        </w:rPr>
      </w:r>
    </w:p>
    <w:p>
      <w:pPr>
        <w:pStyle w:val="Normal"/>
        <w:numPr>
          <w:ilvl w:val="1"/>
          <w:numId w:val="2"/>
        </w:numPr>
        <w:ind w:hanging="0" w:left="0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  <w:t>Os bens serão recebidos provisoriamente no prazo de 5 (cinco) dias, pelo(a) responsável pelo acompanhamento e fiscalização do contrato, para efeito de posterior verificação de sua conformidade com as especificações constantes neste Termo de Referência e na proposta.</w:t>
      </w:r>
    </w:p>
    <w:p>
      <w:pPr>
        <w:pStyle w:val="Normal"/>
        <w:ind w:hanging="0" w:left="794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</w:r>
    </w:p>
    <w:p>
      <w:pPr>
        <w:pStyle w:val="Normal"/>
        <w:numPr>
          <w:ilvl w:val="1"/>
          <w:numId w:val="2"/>
        </w:numPr>
        <w:ind w:hanging="0" w:left="0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  <w:t>Os bens poderão ser rejeitados, no todo ou em parte, quando em desacordo com as especificações constantes neste Termo de Referência e na proposta, devendo ser substituídos no prazo de 5 (cinco) dias, a contar da notificação da contratada, às suas custas, sem prejuízo da aplicação das penalidades.</w:t>
      </w:r>
    </w:p>
    <w:p>
      <w:pPr>
        <w:pStyle w:val="Normal"/>
        <w:ind w:hanging="0" w:left="794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</w:r>
    </w:p>
    <w:p>
      <w:pPr>
        <w:pStyle w:val="Normal"/>
        <w:numPr>
          <w:ilvl w:val="1"/>
          <w:numId w:val="2"/>
        </w:numPr>
        <w:ind w:hanging="0" w:left="0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  <w:t>Os bens serão recebidos definitivamente no prazo de 5 (cinco) dias, contados do recebimento provisório, após a verificação da qualidade e quantidade do material e consequente aceitação mediante termo circunstanciado.</w:t>
      </w:r>
    </w:p>
    <w:p>
      <w:pPr>
        <w:pStyle w:val="Normal"/>
        <w:ind w:hanging="0" w:left="794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numPr>
          <w:ilvl w:val="2"/>
          <w:numId w:val="2"/>
        </w:numPr>
        <w:suppressAutoHyphens w:val="false"/>
        <w:ind w:hanging="0" w:left="794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ascii="Calibri" w:hAnsi="Calibri" w:cstheme="minorHAnsi"/>
          <w:color w:val="00000A"/>
        </w:rPr>
        <w:t>Na hipótese de a verificação a que se refere o subitem anterior não ser procedida dentro do prazo fixado, reputar-se-á como realizada, consumando-se o recebimento definitivo no dia do esgotamento do prazo.</w:t>
      </w:r>
    </w:p>
    <w:p>
      <w:pPr>
        <w:pStyle w:val="Normal"/>
        <w:ind w:hanging="0" w:left="794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numPr>
          <w:ilvl w:val="1"/>
          <w:numId w:val="2"/>
        </w:numPr>
        <w:ind w:hanging="0" w:left="0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  <w:t>O recebimento provisório ou definitivo do objeto não exclui a responsabilidade da contratada pelos prejuízos resultantes da incorreta execução do contrato.</w:t>
      </w:r>
    </w:p>
    <w:p>
      <w:pPr>
        <w:pStyle w:val="Normal"/>
        <w:ind w:hanging="0" w:left="794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ind w:hanging="0" w:left="794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ind w:hanging="0" w:left="794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numPr>
          <w:ilvl w:val="0"/>
          <w:numId w:val="2"/>
        </w:numPr>
        <w:shd w:val="clear" w:color="auto" w:fill="BFBFBF" w:themeFill="background1" w:themeFillShade="bf"/>
        <w:jc w:val="both"/>
        <w:rPr>
          <w:rFonts w:ascii="Calibri" w:hAnsi="Calibri"/>
        </w:rPr>
      </w:pPr>
      <w:r>
        <w:rPr>
          <w:rFonts w:cs="Calibri" w:ascii="Calibri" w:hAnsi="Calibri"/>
          <w:b/>
          <w:bCs/>
        </w:rPr>
        <w:t>OBRIGAÇÕES DA CONTRATANTE</w:t>
      </w:r>
    </w:p>
    <w:p>
      <w:pPr>
        <w:pStyle w:val="Normal"/>
        <w:jc w:val="both"/>
        <w:rPr>
          <w:rFonts w:ascii="Calibri" w:hAnsi="Calibri" w:cs="Calibri"/>
          <w:b/>
          <w:bCs/>
          <w:color w:val="FFFFFF"/>
        </w:rPr>
      </w:pPr>
      <w:r>
        <w:rPr>
          <w:rFonts w:cs="Calibri" w:ascii="Calibri" w:hAnsi="Calibri"/>
          <w:b/>
          <w:bCs/>
          <w:color w:val="FFFFFF"/>
        </w:rPr>
      </w:r>
    </w:p>
    <w:p>
      <w:pPr>
        <w:pStyle w:val="Normal"/>
        <w:numPr>
          <w:ilvl w:val="1"/>
          <w:numId w:val="2"/>
        </w:numPr>
        <w:ind w:hanging="0" w:left="0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  <w:t>São obrigações da contratante:</w:t>
      </w:r>
    </w:p>
    <w:p>
      <w:pPr>
        <w:pStyle w:val="Normal"/>
        <w:jc w:val="both"/>
        <w:rPr>
          <w:rFonts w:ascii="Calibri" w:hAnsi="Calibri" w:cs="Calibri"/>
          <w:color w:val="000000"/>
        </w:rPr>
      </w:pPr>
      <w:r>
        <w:rPr>
          <w:rFonts w:cs="Calibri" w:ascii="Calibri" w:hAnsi="Calibri"/>
          <w:color w:val="000000"/>
        </w:rPr>
      </w:r>
    </w:p>
    <w:p>
      <w:pPr>
        <w:pStyle w:val="Normal"/>
        <w:numPr>
          <w:ilvl w:val="2"/>
          <w:numId w:val="2"/>
        </w:numPr>
        <w:suppressAutoHyphens w:val="false"/>
        <w:ind w:hanging="0" w:left="794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ascii="Calibri" w:hAnsi="Calibri" w:cstheme="minorHAnsi"/>
          <w:color w:val="00000A"/>
        </w:rPr>
        <w:t>Receber o objeto no prazo e condições estabelecidas neste Termo de Referência e seus anexos;</w:t>
      </w:r>
    </w:p>
    <w:p>
      <w:pPr>
        <w:pStyle w:val="Normal"/>
        <w:suppressAutoHyphens w:val="false"/>
        <w:ind w:hanging="0" w:left="2381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cstheme="minorHAnsi" w:ascii="Calibri" w:hAnsi="Calibri"/>
          <w:color w:val="00000A"/>
        </w:rPr>
      </w:r>
    </w:p>
    <w:p>
      <w:pPr>
        <w:pStyle w:val="Normal"/>
        <w:numPr>
          <w:ilvl w:val="2"/>
          <w:numId w:val="2"/>
        </w:numPr>
        <w:suppressAutoHyphens w:val="false"/>
        <w:ind w:hanging="0" w:left="794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ascii="Calibri" w:hAnsi="Calibri" w:cstheme="minorHAnsi"/>
          <w:color w:val="00000A"/>
        </w:rPr>
        <w:t>Verificar minuciosamente, no prazo fixado, a conformidade dos bens recebidos provisoriamente com as especificações constantes do Edital e da proposta, para fins de aceitação e recebimento definitivo;</w:t>
      </w:r>
    </w:p>
    <w:p>
      <w:pPr>
        <w:pStyle w:val="Normal"/>
        <w:suppressAutoHyphens w:val="false"/>
        <w:ind w:hanging="0" w:left="2381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cstheme="minorHAnsi" w:ascii="Calibri" w:hAnsi="Calibri"/>
          <w:color w:val="00000A"/>
        </w:rPr>
      </w:r>
    </w:p>
    <w:p>
      <w:pPr>
        <w:pStyle w:val="Normal"/>
        <w:numPr>
          <w:ilvl w:val="2"/>
          <w:numId w:val="2"/>
        </w:numPr>
        <w:suppressAutoHyphens w:val="false"/>
        <w:ind w:hanging="0" w:left="794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ascii="Calibri" w:hAnsi="Calibri" w:cstheme="minorHAnsi"/>
          <w:color w:val="00000A"/>
        </w:rPr>
        <w:t>Comunicar à Contratada, por escrito, sobre imperfeições, falhas ou irregularidades verificadas no objeto fornecido, para que seja substituído, reparado ou corrigido;</w:t>
      </w:r>
    </w:p>
    <w:p>
      <w:pPr>
        <w:pStyle w:val="Normal"/>
        <w:suppressAutoHyphens w:val="false"/>
        <w:ind w:hanging="0" w:left="2381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cstheme="minorHAnsi" w:ascii="Calibri" w:hAnsi="Calibri"/>
          <w:color w:val="00000A"/>
        </w:rPr>
      </w:r>
    </w:p>
    <w:p>
      <w:pPr>
        <w:pStyle w:val="Normal"/>
        <w:numPr>
          <w:ilvl w:val="2"/>
          <w:numId w:val="2"/>
        </w:numPr>
        <w:suppressAutoHyphens w:val="false"/>
        <w:ind w:hanging="0" w:left="794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ascii="Calibri" w:hAnsi="Calibri" w:cstheme="minorHAnsi"/>
          <w:color w:val="00000A"/>
        </w:rPr>
        <w:t>Acompanhar e fiscalizar o cumprimento das obrigações da Contratada, através de fiscal especialmente designado;</w:t>
      </w:r>
    </w:p>
    <w:p>
      <w:pPr>
        <w:pStyle w:val="Normal"/>
        <w:suppressAutoHyphens w:val="false"/>
        <w:ind w:hanging="0" w:left="2381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cstheme="minorHAnsi" w:ascii="Calibri" w:hAnsi="Calibri"/>
          <w:color w:val="00000A"/>
        </w:rPr>
      </w:r>
    </w:p>
    <w:p>
      <w:pPr>
        <w:pStyle w:val="Normal"/>
        <w:numPr>
          <w:ilvl w:val="2"/>
          <w:numId w:val="2"/>
        </w:numPr>
        <w:suppressAutoHyphens w:val="false"/>
        <w:ind w:hanging="0" w:left="794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ascii="Calibri" w:hAnsi="Calibri" w:cstheme="minorHAnsi"/>
          <w:color w:val="00000A"/>
        </w:rPr>
        <w:t>Efetuar o pagamento à Contratada no valor correspondente ao fornecimento do objeto, por meio de transferência bancária/pix ou cartão de pagamento.</w:t>
      </w:r>
    </w:p>
    <w:p>
      <w:pPr>
        <w:pStyle w:val="Normal"/>
        <w:suppressAutoHyphens w:val="false"/>
        <w:ind w:hanging="0" w:left="2381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cstheme="minorHAnsi" w:ascii="Calibri" w:hAnsi="Calibri"/>
          <w:color w:val="00000A"/>
        </w:rPr>
      </w:r>
    </w:p>
    <w:p>
      <w:pPr>
        <w:pStyle w:val="Normal"/>
        <w:numPr>
          <w:ilvl w:val="1"/>
          <w:numId w:val="2"/>
        </w:numPr>
        <w:ind w:hanging="0" w:left="0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  <w:t>A Administração não responderá por quaisquer compromissos assumidos pela Contratada com terceiros, ainda que vinculados à execução do contrato, bem como por qualquer dano causado a terceiros em decorrência de ato da Contratada, de seus empregados, prepostos ou subordinados.</w:t>
      </w:r>
    </w:p>
    <w:p>
      <w:pPr>
        <w:pStyle w:val="Normal"/>
        <w:jc w:val="both"/>
        <w:rPr>
          <w:rFonts w:ascii="Calibri" w:hAnsi="Calibri" w:cs="Calibri"/>
          <w:color w:val="000000"/>
        </w:rPr>
      </w:pPr>
      <w:r>
        <w:rPr>
          <w:rFonts w:cs="Calibri" w:ascii="Calibri" w:hAnsi="Calibri"/>
          <w:color w:val="000000"/>
        </w:rPr>
      </w:r>
    </w:p>
    <w:p>
      <w:pPr>
        <w:pStyle w:val="Normal"/>
        <w:numPr>
          <w:ilvl w:val="0"/>
          <w:numId w:val="2"/>
        </w:numPr>
        <w:shd w:val="clear" w:color="auto" w:fill="BFBFBF" w:themeFill="background1" w:themeFillShade="bf"/>
        <w:jc w:val="both"/>
        <w:rPr>
          <w:rFonts w:ascii="Calibri" w:hAnsi="Calibri"/>
        </w:rPr>
      </w:pPr>
      <w:r>
        <w:rPr>
          <w:rFonts w:cs="Calibri" w:ascii="Calibri" w:hAnsi="Calibri"/>
          <w:b/>
          <w:bCs/>
        </w:rPr>
        <w:t>OBRIGAÇÕES DA CONTRATADA</w:t>
      </w:r>
    </w:p>
    <w:p>
      <w:pPr>
        <w:pStyle w:val="Normal"/>
        <w:ind w:hanging="0" w:left="794"/>
        <w:jc w:val="both"/>
        <w:rPr>
          <w:rFonts w:ascii="Calibri" w:hAnsi="Calibri" w:cs="Calibri"/>
          <w:color w:val="000000"/>
        </w:rPr>
      </w:pPr>
      <w:r>
        <w:rPr>
          <w:rFonts w:cs="Calibri" w:ascii="Calibri" w:hAnsi="Calibri"/>
          <w:color w:val="000000"/>
        </w:rPr>
      </w:r>
    </w:p>
    <w:p>
      <w:pPr>
        <w:pStyle w:val="Normal"/>
        <w:numPr>
          <w:ilvl w:val="1"/>
          <w:numId w:val="2"/>
        </w:numPr>
        <w:ind w:hanging="0" w:left="0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  <w:t>A Contratada deve cumprir todas as obrigações assumindo como exclusivamente seus os riscos e as despesas decorrentes da boa e perfeita execução do objeto e, ainda:</w:t>
      </w:r>
    </w:p>
    <w:p>
      <w:pPr>
        <w:pStyle w:val="Normal"/>
        <w:ind w:hanging="0" w:left="794"/>
        <w:jc w:val="both"/>
        <w:rPr>
          <w:rFonts w:ascii="Calibri" w:hAnsi="Calibri" w:cs="Calibri"/>
          <w:color w:val="000000"/>
        </w:rPr>
      </w:pPr>
      <w:r>
        <w:rPr>
          <w:rFonts w:cs="Calibri" w:ascii="Calibri" w:hAnsi="Calibri"/>
          <w:color w:val="000000"/>
        </w:rPr>
      </w:r>
    </w:p>
    <w:p>
      <w:pPr>
        <w:pStyle w:val="Normal"/>
        <w:numPr>
          <w:ilvl w:val="2"/>
          <w:numId w:val="2"/>
        </w:numPr>
        <w:suppressAutoHyphens w:val="false"/>
        <w:ind w:hanging="0" w:left="794"/>
        <w:jc w:val="both"/>
        <w:rPr>
          <w:rFonts w:ascii="Calibri" w:hAnsi="Calibri" w:cs="Calibri" w:cstheme="minorHAnsi"/>
          <w:color w:val="00000A"/>
        </w:rPr>
      </w:pPr>
      <w:r>
        <w:rPr>
          <w:rFonts w:cs="Calibri" w:ascii="Calibri" w:hAnsi="Calibri" w:cstheme="minorHAnsi"/>
          <w:color w:val="00000A"/>
        </w:rPr>
        <w:t>Efetuar a entrega do objeto em perfeitas condições, conforme especificações, prazo e local constantes no Termo de Referência e seus anexos, acompanhado da respectiva nota fiscal, na qual constarão as indicações referentes a: marca, fabricante, modelo, procedência e prazo de garantia ou validade;</w:t>
      </w:r>
    </w:p>
    <w:p>
      <w:pPr>
        <w:pStyle w:val="Normal"/>
        <w:ind w:hanging="0" w:left="794"/>
        <w:jc w:val="both"/>
        <w:rPr>
          <w:rFonts w:ascii="Calibri" w:hAnsi="Calibri" w:cs="Calibri" w:cstheme="minorHAnsi"/>
          <w:color w:val="00000A"/>
        </w:rPr>
      </w:pPr>
      <w:r>
        <w:rPr>
          <w:rFonts w:cs="Calibri" w:cstheme="minorHAnsi" w:ascii="Calibri" w:hAnsi="Calibri"/>
          <w:color w:val="00000A"/>
        </w:rPr>
      </w:r>
    </w:p>
    <w:p>
      <w:pPr>
        <w:pStyle w:val="Normal"/>
        <w:numPr>
          <w:ilvl w:val="2"/>
          <w:numId w:val="2"/>
        </w:numPr>
        <w:suppressAutoHyphens w:val="false"/>
        <w:ind w:hanging="0" w:left="794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ascii="Calibri" w:hAnsi="Calibri" w:cstheme="minorHAnsi"/>
          <w:color w:val="00000A"/>
        </w:rPr>
        <w:t>Responsabilizar-se pelos vícios e danos decorrentes do objeto, de acordo com os artigos 12, 13 e 17 a 27, do Código de Defesa do Consumidor (Lei nº 8.078, de 1990);</w:t>
      </w:r>
    </w:p>
    <w:p>
      <w:pPr>
        <w:pStyle w:val="Normal"/>
        <w:suppressAutoHyphens w:val="false"/>
        <w:ind w:hanging="0" w:left="2381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cstheme="minorHAnsi" w:ascii="Calibri" w:hAnsi="Calibri"/>
          <w:color w:val="00000A"/>
        </w:rPr>
      </w:r>
    </w:p>
    <w:p>
      <w:pPr>
        <w:pStyle w:val="Normal"/>
        <w:numPr>
          <w:ilvl w:val="2"/>
          <w:numId w:val="2"/>
        </w:numPr>
        <w:suppressAutoHyphens w:val="false"/>
        <w:ind w:hanging="0" w:left="794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ascii="Calibri" w:hAnsi="Calibri" w:cstheme="minorHAnsi"/>
          <w:color w:val="00000A"/>
        </w:rPr>
        <w:t>Substituir, reparar ou corrigir, às suas expensas, no prazo fixado neste Termo de Referência, o objeto com avarias ou defeitos;</w:t>
      </w:r>
    </w:p>
    <w:p>
      <w:pPr>
        <w:pStyle w:val="Normal"/>
        <w:suppressAutoHyphens w:val="false"/>
        <w:ind w:hanging="0" w:left="2381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cstheme="minorHAnsi" w:ascii="Calibri" w:hAnsi="Calibri"/>
          <w:color w:val="00000A"/>
        </w:rPr>
      </w:r>
    </w:p>
    <w:p>
      <w:pPr>
        <w:pStyle w:val="Normal"/>
        <w:numPr>
          <w:ilvl w:val="2"/>
          <w:numId w:val="2"/>
        </w:numPr>
        <w:suppressAutoHyphens w:val="false"/>
        <w:ind w:hanging="0" w:left="794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ascii="Calibri" w:hAnsi="Calibri" w:cstheme="minorHAnsi"/>
          <w:color w:val="00000A"/>
        </w:rPr>
        <w:t>Comunicar à Contratante, no prazo máximo de 24 (vinte e quatro) horas que antecede a data da entrega, os motivos que impossibilitem o cumprimento do prazo previsto, com a devida comprovação;</w:t>
      </w:r>
    </w:p>
    <w:p>
      <w:pPr>
        <w:pStyle w:val="Normal"/>
        <w:suppressAutoHyphens w:val="false"/>
        <w:ind w:hanging="0" w:left="2381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cstheme="minorHAnsi" w:ascii="Calibri" w:hAnsi="Calibri"/>
          <w:color w:val="00000A"/>
        </w:rPr>
      </w:r>
    </w:p>
    <w:p>
      <w:pPr>
        <w:pStyle w:val="Normal"/>
        <w:numPr>
          <w:ilvl w:val="2"/>
          <w:numId w:val="2"/>
        </w:numPr>
        <w:suppressAutoHyphens w:val="false"/>
        <w:ind w:hanging="0" w:left="794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ascii="Calibri" w:hAnsi="Calibri" w:cstheme="minorHAnsi"/>
          <w:color w:val="00000A"/>
        </w:rPr>
        <w:t>Manter, durante toda a execução do contrato, em compatibilidade com as obrigações assumidas, todas as condições de habilitação e qualificação exigidas na licitação;</w:t>
      </w:r>
    </w:p>
    <w:p>
      <w:pPr>
        <w:pStyle w:val="Normal"/>
        <w:suppressAutoHyphens w:val="false"/>
        <w:ind w:hanging="0" w:left="2381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cstheme="minorHAnsi" w:ascii="Calibri" w:hAnsi="Calibri"/>
          <w:color w:val="00000A"/>
        </w:rPr>
      </w:r>
    </w:p>
    <w:p>
      <w:pPr>
        <w:pStyle w:val="Normal"/>
        <w:numPr>
          <w:ilvl w:val="2"/>
          <w:numId w:val="2"/>
        </w:numPr>
        <w:suppressAutoHyphens w:val="false"/>
        <w:ind w:hanging="0" w:left="794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ascii="Calibri" w:hAnsi="Calibri" w:cstheme="minorHAnsi"/>
          <w:color w:val="00000A"/>
        </w:rPr>
        <w:t>Indicar preposto para representá-la durante a execução do contrato.</w:t>
      </w:r>
    </w:p>
    <w:p>
      <w:pPr>
        <w:pStyle w:val="Normal"/>
        <w:suppressAutoHyphens w:val="false"/>
        <w:ind w:hanging="0" w:left="2381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cstheme="minorHAnsi" w:ascii="Calibri" w:hAnsi="Calibri"/>
          <w:color w:val="00000A"/>
        </w:rPr>
      </w:r>
    </w:p>
    <w:p>
      <w:pPr>
        <w:pStyle w:val="Normal"/>
        <w:numPr>
          <w:ilvl w:val="2"/>
          <w:numId w:val="2"/>
        </w:numPr>
        <w:suppressAutoHyphens w:val="false"/>
        <w:ind w:hanging="0" w:left="794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ascii="Calibri" w:hAnsi="Calibri" w:cstheme="minorHAnsi"/>
          <w:color w:val="00000A"/>
        </w:rPr>
        <w:t>Promover a destinação final ambientalmente adequada, sempre que a legislação assim o exigir, como nos casos de pneus, pilhas e baterias, etc.…</w:t>
      </w:r>
    </w:p>
    <w:p>
      <w:pPr>
        <w:pStyle w:val="Normal"/>
        <w:ind w:hanging="0" w:left="1587"/>
        <w:jc w:val="both"/>
        <w:rPr>
          <w:rFonts w:ascii="Calibri" w:hAnsi="Calibri" w:cs="Calibri"/>
          <w:color w:val="000000"/>
        </w:rPr>
      </w:pPr>
      <w:r>
        <w:rPr>
          <w:rFonts w:cs="Calibri" w:ascii="Calibri" w:hAnsi="Calibri"/>
          <w:color w:val="000000"/>
        </w:rPr>
      </w:r>
    </w:p>
    <w:p>
      <w:pPr>
        <w:pStyle w:val="Normal"/>
        <w:numPr>
          <w:ilvl w:val="0"/>
          <w:numId w:val="2"/>
        </w:numPr>
        <w:shd w:val="clear" w:color="auto" w:fill="BFBFBF" w:themeFill="background1" w:themeFillShade="bf"/>
        <w:jc w:val="both"/>
        <w:rPr>
          <w:rFonts w:ascii="Calibri" w:hAnsi="Calibri"/>
        </w:rPr>
      </w:pPr>
      <w:r>
        <w:rPr>
          <w:rFonts w:cs="Calibri" w:ascii="Calibri" w:hAnsi="Calibri"/>
          <w:b/>
          <w:bCs/>
        </w:rPr>
        <w:t>DO PAGAMENTO</w:t>
      </w:r>
    </w:p>
    <w:p>
      <w:pPr>
        <w:pStyle w:val="Corpodetexto22"/>
        <w:snapToGrid w:val="false"/>
        <w:spacing w:lineRule="auto" w:line="240" w:before="0" w:after="0"/>
        <w:ind w:hanging="0" w:left="794"/>
        <w:rPr>
          <w:rFonts w:ascii="Calibri" w:hAnsi="Calibri" w:cs="Calibri"/>
          <w:b w:val="false"/>
          <w:bCs w:val="false"/>
          <w:color w:val="00000A"/>
          <w:lang w:eastAsia="en-US"/>
        </w:rPr>
      </w:pPr>
      <w:r>
        <w:rPr>
          <w:rFonts w:cs="Calibri" w:ascii="Calibri" w:hAnsi="Calibri"/>
          <w:b w:val="false"/>
          <w:bCs w:val="false"/>
          <w:color w:val="00000A"/>
          <w:lang w:eastAsia="en-US"/>
        </w:rPr>
      </w:r>
    </w:p>
    <w:p>
      <w:pPr>
        <w:pStyle w:val="Normal"/>
        <w:numPr>
          <w:ilvl w:val="1"/>
          <w:numId w:val="2"/>
        </w:numPr>
        <w:ind w:hanging="0" w:left="0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  <w:t>O pagamento será realizado no prazo máximo de até 5 (cinco) dias, contados a partir do recebimento da Nota Fiscal ou Fatura, através de ordem bancária, para crédito em banco, agência e conta-corrente indicados pelo contratado, ou cartão de pagamento.</w:t>
      </w:r>
    </w:p>
    <w:p>
      <w:pPr>
        <w:pStyle w:val="Normal"/>
        <w:ind w:hanging="0" w:left="794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</w:r>
    </w:p>
    <w:p>
      <w:pPr>
        <w:pStyle w:val="Normal"/>
        <w:numPr>
          <w:ilvl w:val="1"/>
          <w:numId w:val="2"/>
        </w:numPr>
        <w:ind w:hanging="0" w:left="0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  <w:t>Considera-se ocorrido o recebimento da nota fiscal ou fatura no momento em que o órgão contratante atestar a execução do objeto do contrato.</w:t>
      </w:r>
    </w:p>
    <w:p>
      <w:pPr>
        <w:pStyle w:val="Normal"/>
        <w:ind w:hanging="0" w:left="794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</w:r>
    </w:p>
    <w:p>
      <w:pPr>
        <w:pStyle w:val="Normal"/>
        <w:numPr>
          <w:ilvl w:val="1"/>
          <w:numId w:val="2"/>
        </w:numPr>
        <w:ind w:hanging="0" w:left="0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  <w:t xml:space="preserve">A Nota Fiscal ou Fatura deverá ser obrigatoriamente acompanhada da comprovação da regularidade fiscal. </w:t>
      </w:r>
    </w:p>
    <w:p>
      <w:pPr>
        <w:pStyle w:val="Corpodetexto22"/>
        <w:snapToGrid w:val="false"/>
        <w:spacing w:lineRule="auto" w:line="240" w:before="0" w:after="0"/>
        <w:ind w:hanging="0" w:left="1587"/>
        <w:rPr>
          <w:rFonts w:ascii="Calibri" w:hAnsi="Calibri" w:cs="Calibri"/>
          <w:b w:val="false"/>
          <w:bCs w:val="false"/>
          <w:color w:val="00000A"/>
          <w:lang w:eastAsia="en-US"/>
        </w:rPr>
      </w:pPr>
      <w:r>
        <w:rPr>
          <w:rFonts w:cs="Calibri" w:ascii="Calibri" w:hAnsi="Calibri"/>
          <w:b w:val="false"/>
          <w:bCs w:val="false"/>
          <w:color w:val="00000A"/>
          <w:lang w:eastAsia="en-US"/>
        </w:rPr>
      </w:r>
    </w:p>
    <w:p>
      <w:pPr>
        <w:pStyle w:val="Normal"/>
        <w:numPr>
          <w:ilvl w:val="1"/>
          <w:numId w:val="2"/>
        </w:numPr>
        <w:ind w:hanging="0" w:left="0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  <w:t>Havendo erro na apresentação da Nota Fiscal ou dos documentos pertinentes à contratação, ou, ainda, circunstância que impeça a liquidação da despesa, como, por exemplo, obrigação financeira pendente, decorrente de penalidade imposta ou inadimplência, o pagamento ficará sobrestado até que a Contratada providencie as medidas saneadoras. Nesta hipótese, o prazo para pagamento iniciar-se-á após a comprovação da regularização da situação, não acarretando qualquer ônus para a Contratante.</w:t>
      </w:r>
    </w:p>
    <w:p>
      <w:pPr>
        <w:pStyle w:val="Normal"/>
        <w:ind w:hanging="0" w:left="794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</w:r>
    </w:p>
    <w:p>
      <w:pPr>
        <w:pStyle w:val="Normal"/>
        <w:numPr>
          <w:ilvl w:val="1"/>
          <w:numId w:val="2"/>
        </w:numPr>
        <w:ind w:hanging="0" w:left="0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  <w:t>Será considerada data do pagamento o dia em que constar como emitida a ordem bancária para pagamento.</w:t>
      </w:r>
    </w:p>
    <w:p>
      <w:pPr>
        <w:pStyle w:val="Normal"/>
        <w:ind w:hanging="0" w:left="794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</w:r>
    </w:p>
    <w:p>
      <w:pPr>
        <w:pStyle w:val="Normal"/>
        <w:numPr>
          <w:ilvl w:val="1"/>
          <w:numId w:val="2"/>
        </w:numPr>
        <w:ind w:hanging="0" w:left="0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  <w:t>Constatando-se a situação de irregularidade da contratada, será providenciada sua notificação, por escrito, para que, no prazo de 5 (cinco) dias úteis, regularize sua situação ou, no mesmo prazo, apresente sua defesa. O prazo poderá ser prorrogado uma vez, por igual período, a critério da contratante.</w:t>
      </w:r>
    </w:p>
    <w:p>
      <w:pPr>
        <w:pStyle w:val="Normal"/>
        <w:ind w:hanging="0" w:left="0"/>
        <w:jc w:val="both"/>
        <w:rPr>
          <w:rFonts w:ascii="Calibri" w:hAnsi="Calibri" w:cs="Calibri"/>
          <w:color w:val="00000A"/>
        </w:rPr>
      </w:pPr>
      <w:r>
        <w:rPr/>
      </w:r>
    </w:p>
    <w:p>
      <w:pPr>
        <w:pStyle w:val="Normal"/>
        <w:ind w:hanging="0" w:left="0"/>
        <w:jc w:val="both"/>
        <w:rPr>
          <w:rFonts w:ascii="Calibri" w:hAnsi="Calibri" w:cs="Calibri"/>
          <w:color w:val="00000A"/>
        </w:rPr>
      </w:pPr>
      <w:r>
        <w:rPr/>
      </w:r>
    </w:p>
    <w:p>
      <w:pPr>
        <w:pStyle w:val="Normal"/>
        <w:ind w:hanging="0" w:left="0"/>
        <w:jc w:val="both"/>
        <w:rPr>
          <w:rFonts w:ascii="Calibri" w:hAnsi="Calibri" w:cs="Calibri"/>
          <w:color w:val="00000A"/>
        </w:rPr>
      </w:pPr>
      <w:r>
        <w:rPr/>
      </w:r>
    </w:p>
    <w:p>
      <w:pPr>
        <w:pStyle w:val="Normal"/>
        <w:ind w:hanging="0" w:left="0"/>
        <w:jc w:val="both"/>
        <w:rPr>
          <w:rFonts w:ascii="Calibri" w:hAnsi="Calibri" w:cs="Calibri"/>
          <w:color w:val="00000A"/>
        </w:rPr>
      </w:pPr>
      <w:r>
        <w:rPr/>
      </w:r>
    </w:p>
    <w:p>
      <w:pPr>
        <w:pStyle w:val="Normal"/>
        <w:ind w:hanging="0" w:left="794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</w:r>
    </w:p>
    <w:p>
      <w:pPr>
        <w:pStyle w:val="Normal"/>
        <w:numPr>
          <w:ilvl w:val="1"/>
          <w:numId w:val="2"/>
        </w:numPr>
        <w:ind w:hanging="0" w:left="0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  <w:t>Persistindo a irregularidade, a contratante deverá adotar as medidas necessárias à rescisão contratual nos autos do processo administrativo correspondente, assegurada à contratada a ampla defesa.</w:t>
      </w:r>
    </w:p>
    <w:p>
      <w:pPr>
        <w:pStyle w:val="BodyTextIndent"/>
        <w:widowControl w:val="false"/>
        <w:snapToGrid w:val="false"/>
        <w:spacing w:before="0" w:after="0"/>
        <w:ind w:hanging="0" w:left="1077"/>
        <w:jc w:val="both"/>
        <w:rPr>
          <w:rFonts w:ascii="Calibri" w:hAnsi="Calibri" w:eastAsia="Calibri" w:cs="Calibri"/>
          <w:bCs/>
          <w:color w:val="00000A"/>
          <w:lang w:eastAsia="en-US"/>
        </w:rPr>
      </w:pPr>
      <w:r>
        <w:rPr>
          <w:rFonts w:eastAsia="Calibri" w:cs="Calibri" w:ascii="Calibri" w:hAnsi="Calibri"/>
          <w:bCs/>
          <w:color w:val="00000A"/>
          <w:lang w:eastAsia="en-US"/>
        </w:rPr>
      </w:r>
    </w:p>
    <w:p>
      <w:pPr>
        <w:pStyle w:val="Normal"/>
        <w:numPr>
          <w:ilvl w:val="1"/>
          <w:numId w:val="2"/>
        </w:numPr>
        <w:ind w:hanging="0" w:left="0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  <w:t>Havendo a efetiva execução do objeto, os pagamentos serão realizados normalmente, até que se decida pela rescisão do contrato, caso a contratada não regularize sua situação.</w:t>
      </w:r>
    </w:p>
    <w:p>
      <w:pPr>
        <w:pStyle w:val="BodyTextIndent"/>
        <w:widowControl w:val="false"/>
        <w:snapToGrid w:val="false"/>
        <w:spacing w:before="0" w:after="0"/>
        <w:ind w:hanging="0" w:left="1077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numPr>
          <w:ilvl w:val="2"/>
          <w:numId w:val="2"/>
        </w:numPr>
        <w:suppressAutoHyphens w:val="false"/>
        <w:ind w:hanging="0" w:left="794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ascii="Calibri" w:hAnsi="Calibri" w:cstheme="minorHAnsi"/>
          <w:color w:val="00000A"/>
        </w:rPr>
        <w:t>Será rescindido o contrato em execução com a contratada inadimplente, salvo por motivo de economicidade, segurança nacional ou outro de interesse público de alta relevância, devidamente justificado, em qualquer caso, pela máxima autoridade da contratante.</w:t>
      </w:r>
    </w:p>
    <w:p>
      <w:pPr>
        <w:pStyle w:val="BodyTextIndent"/>
        <w:widowControl w:val="false"/>
        <w:snapToGrid w:val="false"/>
        <w:spacing w:before="0" w:after="0"/>
        <w:ind w:hanging="0" w:left="238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numPr>
          <w:ilvl w:val="1"/>
          <w:numId w:val="2"/>
        </w:numPr>
        <w:ind w:hanging="0" w:left="0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  <w:t>Quando do pagamento, será efetuada a retenção tributária prevista na legislação aplicável.</w:t>
      </w:r>
    </w:p>
    <w:p>
      <w:pPr>
        <w:pStyle w:val="BodyTextIndent"/>
        <w:widowControl w:val="false"/>
        <w:snapToGrid w:val="false"/>
        <w:spacing w:before="0" w:after="0"/>
        <w:ind w:hanging="0" w:left="794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numPr>
          <w:ilvl w:val="2"/>
          <w:numId w:val="2"/>
        </w:numPr>
        <w:suppressAutoHyphens w:val="false"/>
        <w:ind w:hanging="0" w:left="794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ascii="Calibri" w:hAnsi="Calibri" w:cstheme="minorHAnsi"/>
          <w:color w:val="00000A"/>
        </w:rPr>
        <w:t xml:space="preserve">A Contratada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 </w:t>
      </w:r>
    </w:p>
    <w:p>
      <w:pPr>
        <w:pStyle w:val="BodyTextIndent"/>
        <w:widowControl w:val="false"/>
        <w:snapToGrid w:val="false"/>
        <w:spacing w:before="0" w:after="0"/>
        <w:ind w:hanging="0" w:left="794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numPr>
          <w:ilvl w:val="1"/>
          <w:numId w:val="2"/>
        </w:numPr>
        <w:ind w:hanging="0" w:left="0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  <w:t>Nos casos de eventuais atrasos de pagamento, desde que a contratada não tenha concorrido, de alguma forma, para tanto, o valor devido deverá ser acrescido de atualização financeira, e sua aplicação se fará desde a data de seu vencimento até a data do efetivo pagamento, em que os juros de mora serão calculados à taxa de 0,5% (meio por cento) ao mês, ou 6% (seis por cento) ao ano, mediante a aplicação das seguintes fórmulas:</w:t>
      </w:r>
    </w:p>
    <w:p>
      <w:pPr>
        <w:pStyle w:val="BodyTextIndent"/>
        <w:widowControl w:val="false"/>
        <w:snapToGrid w:val="false"/>
        <w:spacing w:before="0" w:after="0"/>
        <w:ind w:hanging="0" w:left="0"/>
        <w:jc w:val="both"/>
        <w:rPr>
          <w:rFonts w:ascii="Calibri" w:hAnsi="Calibri" w:eastAsia="Calibri" w:cs="Calibri"/>
          <w:bCs/>
          <w:color w:val="00000A"/>
          <w:lang w:eastAsia="en-US"/>
        </w:rPr>
      </w:pPr>
      <w:r>
        <w:rPr>
          <w:rFonts w:eastAsia="Calibri" w:cs="Calibri" w:ascii="Calibri" w:hAnsi="Calibri"/>
          <w:bCs/>
          <w:color w:val="00000A"/>
          <w:lang w:eastAsia="en-US"/>
        </w:rPr>
      </w:r>
    </w:p>
    <w:p>
      <w:pPr>
        <w:pStyle w:val="BodyTextIndent"/>
        <w:widowControl w:val="false"/>
        <w:snapToGrid w:val="false"/>
        <w:spacing w:before="0" w:after="0"/>
        <w:ind w:hanging="0" w:left="794"/>
        <w:jc w:val="both"/>
        <w:rPr>
          <w:rFonts w:ascii="Calibri" w:hAnsi="Calibri"/>
        </w:rPr>
      </w:pPr>
      <w:r>
        <w:rPr>
          <w:rFonts w:eastAsia="Calibri" w:cs="Calibri" w:ascii="Calibri" w:hAnsi="Calibri"/>
          <w:bCs/>
          <w:color w:val="00000A"/>
          <w:lang w:eastAsia="en-US"/>
        </w:rPr>
        <w:t>EM = I x N x VP, sendo:</w:t>
      </w:r>
    </w:p>
    <w:p>
      <w:pPr>
        <w:pStyle w:val="BodyTextIndent"/>
        <w:widowControl w:val="false"/>
        <w:snapToGrid w:val="false"/>
        <w:spacing w:before="0" w:after="0"/>
        <w:ind w:hanging="0" w:left="794"/>
        <w:jc w:val="both"/>
        <w:rPr>
          <w:rFonts w:ascii="Calibri" w:hAnsi="Calibri" w:eastAsia="Calibri" w:cs="Calibri"/>
          <w:bCs/>
          <w:color w:val="00000A"/>
          <w:lang w:eastAsia="en-US"/>
        </w:rPr>
      </w:pPr>
      <w:r>
        <w:rPr>
          <w:rFonts w:eastAsia="Calibri" w:cs="Calibri" w:ascii="Calibri" w:hAnsi="Calibri"/>
          <w:bCs/>
          <w:color w:val="00000A"/>
          <w:lang w:eastAsia="en-US"/>
        </w:rPr>
        <w:t>EM = Encargos moratórios;</w:t>
      </w:r>
    </w:p>
    <w:p>
      <w:pPr>
        <w:pStyle w:val="BodyTextIndent"/>
        <w:widowControl w:val="false"/>
        <w:snapToGrid w:val="false"/>
        <w:spacing w:before="0" w:after="0"/>
        <w:ind w:hanging="0" w:left="794"/>
        <w:jc w:val="both"/>
        <w:rPr>
          <w:rFonts w:ascii="Calibri" w:hAnsi="Calibri" w:eastAsia="Calibri" w:cs="Calibri"/>
          <w:bCs/>
          <w:color w:val="00000A"/>
          <w:lang w:eastAsia="en-US"/>
        </w:rPr>
      </w:pPr>
      <w:r>
        <w:rPr>
          <w:rFonts w:eastAsia="Calibri" w:cs="Calibri" w:ascii="Calibri" w:hAnsi="Calibri"/>
          <w:bCs/>
          <w:color w:val="00000A"/>
          <w:lang w:eastAsia="en-US"/>
        </w:rPr>
        <w:t>N = Número de dias entre a data prevista para o pagamento e a do efetivo pagamento;</w:t>
      </w:r>
    </w:p>
    <w:p>
      <w:pPr>
        <w:pStyle w:val="BodyTextIndent"/>
        <w:widowControl w:val="false"/>
        <w:snapToGrid w:val="false"/>
        <w:spacing w:before="0" w:after="0"/>
        <w:ind w:hanging="0" w:left="794"/>
        <w:jc w:val="both"/>
        <w:rPr>
          <w:rFonts w:ascii="Calibri" w:hAnsi="Calibri" w:eastAsia="Calibri" w:cs="Calibri"/>
          <w:bCs/>
          <w:color w:val="00000A"/>
          <w:lang w:eastAsia="en-US"/>
        </w:rPr>
      </w:pPr>
      <w:r>
        <w:rPr>
          <w:rFonts w:eastAsia="Calibri" w:cs="Calibri" w:ascii="Calibri" w:hAnsi="Calibri"/>
          <w:bCs/>
          <w:color w:val="00000A"/>
          <w:lang w:eastAsia="en-US"/>
        </w:rPr>
        <w:t>VP = Valor da parcela a ser paga.</w:t>
      </w:r>
    </w:p>
    <w:p>
      <w:pPr>
        <w:pStyle w:val="BodyTextIndent"/>
        <w:widowControl w:val="false"/>
        <w:snapToGrid w:val="false"/>
        <w:spacing w:before="0" w:after="0"/>
        <w:ind w:hanging="0" w:left="794"/>
        <w:jc w:val="both"/>
        <w:rPr>
          <w:rFonts w:ascii="Calibri" w:hAnsi="Calibri" w:eastAsia="Calibri" w:cs="Calibri"/>
          <w:bCs/>
          <w:color w:val="00000A"/>
          <w:lang w:eastAsia="en-US"/>
        </w:rPr>
      </w:pPr>
      <w:r>
        <w:rPr>
          <w:rFonts w:eastAsia="Calibri" w:cs="Calibri" w:ascii="Calibri" w:hAnsi="Calibri"/>
          <w:bCs/>
          <w:color w:val="00000A"/>
          <w:lang w:eastAsia="en-US"/>
        </w:rPr>
        <w:t>I = Índice de compensação financeira = 0,00016438, assim apurado:</w:t>
      </w:r>
    </w:p>
    <w:p>
      <w:pPr>
        <w:pStyle w:val="BodyTextIndent"/>
        <w:widowControl w:val="false"/>
        <w:snapToGrid w:val="false"/>
        <w:spacing w:before="0" w:after="0"/>
        <w:ind w:hanging="0" w:left="0"/>
        <w:jc w:val="both"/>
        <w:rPr>
          <w:rFonts w:ascii="Calibri" w:hAnsi="Calibri" w:eastAsia="Calibri" w:cs="Calibri"/>
          <w:bCs/>
          <w:color w:val="00000A"/>
          <w:lang w:eastAsia="en-US"/>
        </w:rPr>
      </w:pPr>
      <w:r>
        <w:rPr>
          <w:rFonts w:eastAsia="Calibri" w:cs="Calibri" w:ascii="Calibri" w:hAnsi="Calibri"/>
          <w:bCs/>
          <w:color w:val="00000A"/>
          <w:lang w:eastAsia="en-US"/>
        </w:rPr>
      </w:r>
    </w:p>
    <w:tbl>
      <w:tblPr>
        <w:tblW w:w="6360" w:type="dxa"/>
        <w:jc w:val="left"/>
        <w:tblInd w:w="1727" w:type="dxa"/>
        <w:tblLayout w:type="fixed"/>
        <w:tblCellMar>
          <w:top w:w="55" w:type="dxa"/>
          <w:left w:w="2" w:type="dxa"/>
          <w:bottom w:w="55" w:type="dxa"/>
          <w:right w:w="46" w:type="dxa"/>
        </w:tblCellMar>
        <w:tblLook w:val="04a0" w:noHBand="0" w:noVBand="1" w:firstColumn="1" w:lastRow="0" w:lastColumn="0" w:firstRow="1"/>
      </w:tblPr>
      <w:tblGrid>
        <w:gridCol w:w="899"/>
        <w:gridCol w:w="1660"/>
        <w:gridCol w:w="3801"/>
      </w:tblGrid>
      <w:tr>
        <w:trPr/>
        <w:tc>
          <w:tcPr>
            <w:tcW w:w="8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I = (TX)</w:t>
            </w:r>
          </w:p>
        </w:tc>
        <w:tc>
          <w:tcPr>
            <w:tcW w:w="166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I= (6/100) / 365</w:t>
            </w:r>
          </w:p>
        </w:tc>
        <w:tc>
          <w:tcPr>
            <w:tcW w:w="3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I= 0,00016438</w:t>
            </w:r>
          </w:p>
        </w:tc>
      </w:tr>
      <w:tr>
        <w:trPr/>
        <w:tc>
          <w:tcPr>
            <w:tcW w:w="8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</w:tc>
        <w:tc>
          <w:tcPr>
            <w:tcW w:w="166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TX = Percentual da Taxa Anual = 6%</w:t>
            </w:r>
          </w:p>
        </w:tc>
      </w:tr>
    </w:tbl>
    <w:p>
      <w:pPr>
        <w:pStyle w:val="Normal"/>
        <w:shd w:val="clear" w:color="auto" w:fill="FFFFFF"/>
        <w:jc w:val="both"/>
        <w:rPr/>
      </w:pPr>
      <w:r>
        <w:rPr/>
      </w:r>
    </w:p>
    <w:p>
      <w:pPr>
        <w:pStyle w:val="Normal"/>
        <w:numPr>
          <w:ilvl w:val="0"/>
          <w:numId w:val="2"/>
        </w:numPr>
        <w:shd w:val="clear" w:color="auto" w:fill="BFBFBF" w:themeFill="background1" w:themeFillShade="bf"/>
        <w:jc w:val="both"/>
        <w:rPr>
          <w:rFonts w:ascii="Calibri" w:hAnsi="Calibri"/>
        </w:rPr>
      </w:pPr>
      <w:r>
        <w:rPr>
          <w:rFonts w:cs="Calibri" w:ascii="Calibri" w:hAnsi="Calibri"/>
          <w:b/>
          <w:bCs/>
        </w:rPr>
        <w:t>DAS SANÇÕES</w:t>
      </w:r>
    </w:p>
    <w:p>
      <w:pPr>
        <w:pStyle w:val="Normal"/>
        <w:jc w:val="both"/>
        <w:rPr>
          <w:rFonts w:ascii="Calibri" w:hAnsi="Calibri" w:cs="Calibri"/>
          <w:b/>
          <w:bCs/>
          <w:color w:val="FFFFFF"/>
        </w:rPr>
      </w:pPr>
      <w:r>
        <w:rPr>
          <w:rFonts w:cs="Calibri" w:ascii="Calibri" w:hAnsi="Calibri"/>
          <w:b/>
          <w:bCs/>
          <w:color w:val="FFFFFF"/>
        </w:rPr>
      </w:r>
    </w:p>
    <w:p>
      <w:pPr>
        <w:pStyle w:val="Normal"/>
        <w:numPr>
          <w:ilvl w:val="1"/>
          <w:numId w:val="2"/>
        </w:numPr>
        <w:ind w:hanging="0" w:left="0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  <w:t>Comete infração administrativa o fornecedor que cometer quaisquer das infrações previstas no art. 155 da Lei nº 14.133, de 2021, quais sejam:</w:t>
      </w:r>
    </w:p>
    <w:p>
      <w:pPr>
        <w:pStyle w:val="Normal"/>
        <w:snapToGrid w:val="false"/>
        <w:ind w:hanging="0" w:left="794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snapToGrid w:val="false"/>
        <w:ind w:hanging="0" w:left="794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snapToGrid w:val="false"/>
        <w:ind w:hanging="0" w:left="794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numPr>
          <w:ilvl w:val="2"/>
          <w:numId w:val="2"/>
        </w:numPr>
        <w:suppressAutoHyphens w:val="false"/>
        <w:ind w:hanging="0" w:left="794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ascii="Calibri" w:hAnsi="Calibri" w:cstheme="minorHAnsi"/>
          <w:color w:val="00000A"/>
        </w:rPr>
        <w:t>Dar causa à inexecução parcial do contrato;</w:t>
      </w:r>
    </w:p>
    <w:p>
      <w:pPr>
        <w:pStyle w:val="Normal"/>
        <w:suppressAutoHyphens w:val="false"/>
        <w:ind w:hanging="0" w:left="2381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cstheme="minorHAnsi" w:ascii="Calibri" w:hAnsi="Calibri"/>
          <w:color w:val="00000A"/>
        </w:rPr>
      </w:r>
    </w:p>
    <w:p>
      <w:pPr>
        <w:pStyle w:val="Normal"/>
        <w:numPr>
          <w:ilvl w:val="2"/>
          <w:numId w:val="2"/>
        </w:numPr>
        <w:suppressAutoHyphens w:val="false"/>
        <w:ind w:hanging="0" w:left="794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ascii="Calibri" w:hAnsi="Calibri" w:cstheme="minorHAnsi"/>
          <w:color w:val="00000A"/>
        </w:rPr>
        <w:t>Dar causa à inexecução parcial do contrato que cause grave dano à Administração, ao funcionamento dos serviços públicos ou ao interesse coletivo;</w:t>
      </w:r>
    </w:p>
    <w:p>
      <w:pPr>
        <w:pStyle w:val="Normal"/>
        <w:suppressAutoHyphens w:val="false"/>
        <w:ind w:hanging="0" w:left="2381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cstheme="minorHAnsi" w:ascii="Calibri" w:hAnsi="Calibri"/>
          <w:color w:val="00000A"/>
        </w:rPr>
      </w:r>
    </w:p>
    <w:p>
      <w:pPr>
        <w:pStyle w:val="Normal"/>
        <w:numPr>
          <w:ilvl w:val="2"/>
          <w:numId w:val="2"/>
        </w:numPr>
        <w:suppressAutoHyphens w:val="false"/>
        <w:ind w:hanging="0" w:left="794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ascii="Calibri" w:hAnsi="Calibri" w:cstheme="minorHAnsi"/>
          <w:color w:val="00000A"/>
        </w:rPr>
        <w:t>Dar causa à inexecução total do contrato;</w:t>
      </w:r>
    </w:p>
    <w:p>
      <w:pPr>
        <w:pStyle w:val="Normal"/>
        <w:suppressAutoHyphens w:val="false"/>
        <w:ind w:hanging="0" w:left="2381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cstheme="minorHAnsi" w:ascii="Calibri" w:hAnsi="Calibri"/>
          <w:color w:val="00000A"/>
        </w:rPr>
      </w:r>
    </w:p>
    <w:p>
      <w:pPr>
        <w:pStyle w:val="Normal"/>
        <w:numPr>
          <w:ilvl w:val="2"/>
          <w:numId w:val="2"/>
        </w:numPr>
        <w:suppressAutoHyphens w:val="false"/>
        <w:ind w:hanging="0" w:left="794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ascii="Calibri" w:hAnsi="Calibri" w:cstheme="minorHAnsi"/>
          <w:color w:val="00000A"/>
        </w:rPr>
        <w:t>Deixar de entregar a documentação exigida para o certame;</w:t>
      </w:r>
    </w:p>
    <w:p>
      <w:pPr>
        <w:pStyle w:val="Normal"/>
        <w:snapToGrid w:val="false"/>
        <w:ind w:hanging="0" w:left="1587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numPr>
          <w:ilvl w:val="2"/>
          <w:numId w:val="2"/>
        </w:numPr>
        <w:suppressAutoHyphens w:val="false"/>
        <w:ind w:hanging="0" w:left="794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ascii="Calibri" w:hAnsi="Calibri" w:cstheme="minorHAnsi"/>
          <w:color w:val="00000A"/>
        </w:rPr>
        <w:t>Não manter a proposta, salvo em decorrência de fato superveniente devidamente justificado;</w:t>
      </w:r>
    </w:p>
    <w:p>
      <w:pPr>
        <w:pStyle w:val="Normal"/>
        <w:suppressAutoHyphens w:val="false"/>
        <w:ind w:hanging="0" w:left="2381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cstheme="minorHAnsi" w:ascii="Calibri" w:hAnsi="Calibri"/>
          <w:color w:val="00000A"/>
        </w:rPr>
      </w:r>
    </w:p>
    <w:p>
      <w:pPr>
        <w:pStyle w:val="Normal"/>
        <w:numPr>
          <w:ilvl w:val="2"/>
          <w:numId w:val="2"/>
        </w:numPr>
        <w:suppressAutoHyphens w:val="false"/>
        <w:ind w:hanging="0" w:left="794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ascii="Calibri" w:hAnsi="Calibri" w:cstheme="minorHAnsi"/>
          <w:color w:val="00000A"/>
        </w:rPr>
        <w:t>Não celebrar o contrato ou não entregar a documentação exigida para a contratação, quando convocado dentro do prazo de validade de sua proposta;</w:t>
      </w:r>
    </w:p>
    <w:p>
      <w:pPr>
        <w:pStyle w:val="Normal"/>
        <w:suppressAutoHyphens w:val="false"/>
        <w:ind w:hanging="0" w:left="2381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cstheme="minorHAnsi" w:ascii="Calibri" w:hAnsi="Calibri"/>
          <w:color w:val="00000A"/>
        </w:rPr>
      </w:r>
    </w:p>
    <w:p>
      <w:pPr>
        <w:pStyle w:val="Normal"/>
        <w:numPr>
          <w:ilvl w:val="2"/>
          <w:numId w:val="2"/>
        </w:numPr>
        <w:suppressAutoHyphens w:val="false"/>
        <w:ind w:hanging="0" w:left="794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ascii="Calibri" w:hAnsi="Calibri" w:cstheme="minorHAnsi"/>
          <w:color w:val="00000A"/>
        </w:rPr>
        <w:t>Ensejar o retardamento da execução ou da entrega do objeto da licitação sem motivo justificado;</w:t>
      </w:r>
    </w:p>
    <w:p>
      <w:pPr>
        <w:pStyle w:val="Normal"/>
        <w:suppressAutoHyphens w:val="false"/>
        <w:ind w:hanging="0" w:left="2381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cstheme="minorHAnsi" w:ascii="Calibri" w:hAnsi="Calibri"/>
          <w:color w:val="00000A"/>
        </w:rPr>
      </w:r>
    </w:p>
    <w:p>
      <w:pPr>
        <w:pStyle w:val="Normal"/>
        <w:numPr>
          <w:ilvl w:val="2"/>
          <w:numId w:val="2"/>
        </w:numPr>
        <w:suppressAutoHyphens w:val="false"/>
        <w:ind w:hanging="0" w:left="794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ascii="Calibri" w:hAnsi="Calibri" w:cstheme="minorHAnsi"/>
          <w:color w:val="00000A"/>
        </w:rPr>
        <w:t>Apresentar declaração ou documentação falsa exigida para o certame ou prestar declaração falsa durante a dispensa eletrônica ou a execução do contrato;</w:t>
      </w:r>
    </w:p>
    <w:p>
      <w:pPr>
        <w:pStyle w:val="Normal"/>
        <w:suppressAutoHyphens w:val="false"/>
        <w:ind w:hanging="0" w:left="2381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cstheme="minorHAnsi" w:ascii="Calibri" w:hAnsi="Calibri"/>
          <w:color w:val="00000A"/>
        </w:rPr>
      </w:r>
    </w:p>
    <w:p>
      <w:pPr>
        <w:pStyle w:val="Normal"/>
        <w:numPr>
          <w:ilvl w:val="2"/>
          <w:numId w:val="2"/>
        </w:numPr>
        <w:suppressAutoHyphens w:val="false"/>
        <w:ind w:hanging="0" w:left="794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ascii="Calibri" w:hAnsi="Calibri" w:cstheme="minorHAnsi"/>
          <w:color w:val="00000A"/>
        </w:rPr>
        <w:t>Fraudar a dispensa eletrônica ou praticar ato fraudulento na execução do contrato;</w:t>
      </w:r>
    </w:p>
    <w:p>
      <w:pPr>
        <w:pStyle w:val="Normal"/>
        <w:suppressAutoHyphens w:val="false"/>
        <w:ind w:hanging="0" w:left="2381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cstheme="minorHAnsi" w:ascii="Calibri" w:hAnsi="Calibri"/>
          <w:color w:val="00000A"/>
        </w:rPr>
      </w:r>
    </w:p>
    <w:p>
      <w:pPr>
        <w:pStyle w:val="Normal"/>
        <w:numPr>
          <w:ilvl w:val="2"/>
          <w:numId w:val="2"/>
        </w:numPr>
        <w:suppressAutoHyphens w:val="false"/>
        <w:ind w:hanging="0" w:left="794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ascii="Calibri" w:hAnsi="Calibri" w:cstheme="minorHAnsi"/>
          <w:color w:val="00000A"/>
        </w:rPr>
        <w:t xml:space="preserve"> </w:t>
      </w:r>
      <w:r>
        <w:rPr>
          <w:rFonts w:cs="Calibri" w:ascii="Calibri" w:hAnsi="Calibri" w:cstheme="minorHAnsi"/>
          <w:color w:val="00000A"/>
        </w:rPr>
        <w:t>Comportar-se de modo inidôneo ou cometer fraude de qualquer natureza;</w:t>
      </w:r>
    </w:p>
    <w:p>
      <w:pPr>
        <w:pStyle w:val="Normal"/>
        <w:snapToGrid w:val="false"/>
        <w:ind w:hanging="0" w:left="1587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numPr>
          <w:ilvl w:val="3"/>
          <w:numId w:val="2"/>
        </w:numPr>
        <w:snapToGrid w:val="false"/>
        <w:ind w:hanging="0" w:left="1587"/>
        <w:jc w:val="both"/>
        <w:rPr>
          <w:rFonts w:ascii="Calibri" w:hAnsi="Calibri"/>
        </w:rPr>
      </w:pPr>
      <w:r>
        <w:rPr>
          <w:rFonts w:ascii="Calibri" w:hAnsi="Calibri"/>
        </w:rPr>
        <w:t>Considera-se comportamento inidôneo, entre outros, a declaração falsa quanto às condições de participação, quanto ao enquadramento como ME/EPP ou o conluio entre os fornecedores, em qualquer momento da dispensa, mesmo após o encerramento da fase de lances.</w:t>
      </w:r>
    </w:p>
    <w:p>
      <w:pPr>
        <w:pStyle w:val="Normal"/>
        <w:snapToGrid w:val="false"/>
        <w:ind w:hanging="0" w:left="1587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numPr>
          <w:ilvl w:val="2"/>
          <w:numId w:val="2"/>
        </w:numPr>
        <w:suppressAutoHyphens w:val="false"/>
        <w:ind w:hanging="0" w:left="794"/>
        <w:jc w:val="both"/>
        <w:rPr>
          <w:rFonts w:ascii="Calibri" w:hAnsi="Calibri"/>
        </w:rPr>
      </w:pPr>
      <w:r>
        <w:rPr/>
        <w:t xml:space="preserve"> </w:t>
      </w:r>
      <w:r>
        <w:rPr>
          <w:rFonts w:cs="Calibri" w:ascii="Calibri" w:hAnsi="Calibri" w:asciiTheme="minorHAnsi" w:cstheme="minorHAnsi" w:hAnsiTheme="minorHAnsi"/>
          <w:color w:val="00000A"/>
        </w:rPr>
        <w:t>Praticar atos ilícitos com vistas a frustrar os objetivos deste certame.</w:t>
      </w:r>
    </w:p>
    <w:p>
      <w:pPr>
        <w:pStyle w:val="Normal"/>
        <w:suppressAutoHyphens w:val="false"/>
        <w:ind w:hanging="0" w:left="2381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cstheme="minorHAnsi" w:ascii="Calibri" w:hAnsi="Calibri"/>
          <w:color w:val="00000A"/>
        </w:rPr>
      </w:r>
    </w:p>
    <w:p>
      <w:pPr>
        <w:pStyle w:val="Normal"/>
        <w:numPr>
          <w:ilvl w:val="2"/>
          <w:numId w:val="2"/>
        </w:numPr>
        <w:suppressAutoHyphens w:val="false"/>
        <w:ind w:hanging="0" w:left="794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ascii="Calibri" w:hAnsi="Calibri" w:cstheme="minorHAnsi"/>
          <w:color w:val="00000A"/>
        </w:rPr>
        <w:t xml:space="preserve"> </w:t>
      </w:r>
      <w:r>
        <w:rPr>
          <w:rFonts w:cs="Calibri" w:ascii="Calibri" w:hAnsi="Calibri" w:cstheme="minorHAnsi"/>
          <w:color w:val="00000A"/>
        </w:rPr>
        <w:t>Praticar ato lesivo previsto no art. 5º da Lei nº 12.846, de 1º de agosto de 2013.</w:t>
      </w:r>
    </w:p>
    <w:p>
      <w:pPr>
        <w:pStyle w:val="Normal"/>
        <w:snapToGrid w:val="false"/>
        <w:ind w:hanging="0" w:left="794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numPr>
          <w:ilvl w:val="1"/>
          <w:numId w:val="2"/>
        </w:numPr>
        <w:ind w:hanging="0" w:left="0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  <w:t>O fornecedor que cometer qualquer das infrações discriminadas nos subitens anteriores ficará sujeito, sem prejuízo da responsabilidade civil e criminal, às seguintes sanções:</w:t>
      </w:r>
    </w:p>
    <w:p>
      <w:pPr>
        <w:pStyle w:val="Normal"/>
        <w:numPr>
          <w:ilvl w:val="2"/>
          <w:numId w:val="2"/>
        </w:numPr>
        <w:suppressAutoHyphens w:val="false"/>
        <w:ind w:hanging="0" w:left="794"/>
        <w:jc w:val="both"/>
        <w:rPr>
          <w:rFonts w:ascii="Calibri" w:hAnsi="Calibri"/>
        </w:rPr>
      </w:pPr>
      <w:r>
        <w:rPr>
          <w:rFonts w:cs="Calibri" w:ascii="Calibri" w:hAnsi="Calibri" w:asciiTheme="minorHAnsi" w:cstheme="minorHAnsi" w:hAnsiTheme="minorHAnsi"/>
          <w:color w:val="00000A"/>
        </w:rPr>
        <w:t>Advertência pela falta do subitem 16.1.1 deste Termo de Referência, quando não se justificar a imposição de penalidade mais grave;</w:t>
      </w:r>
    </w:p>
    <w:p>
      <w:pPr>
        <w:pStyle w:val="Normal"/>
        <w:suppressAutoHyphens w:val="false"/>
        <w:ind w:hanging="0" w:left="794"/>
        <w:jc w:val="both"/>
        <w:rPr>
          <w:rFonts w:ascii="Calibri" w:hAnsi="Calibri"/>
        </w:rPr>
      </w:pPr>
      <w:r>
        <w:rPr/>
      </w:r>
    </w:p>
    <w:p>
      <w:pPr>
        <w:pStyle w:val="Normal"/>
        <w:suppressAutoHyphens w:val="false"/>
        <w:ind w:hanging="0" w:left="794"/>
        <w:jc w:val="both"/>
        <w:rPr>
          <w:rFonts w:ascii="Calibri" w:hAnsi="Calibri"/>
        </w:rPr>
      </w:pPr>
      <w:r>
        <w:rPr/>
      </w:r>
    </w:p>
    <w:p>
      <w:pPr>
        <w:pStyle w:val="Normal"/>
        <w:suppressAutoHyphens w:val="false"/>
        <w:ind w:hanging="0" w:left="2381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cstheme="minorHAnsi" w:ascii="Calibri" w:hAnsi="Calibri"/>
          <w:color w:val="00000A"/>
        </w:rPr>
      </w:r>
    </w:p>
    <w:p>
      <w:pPr>
        <w:pStyle w:val="Normal"/>
        <w:numPr>
          <w:ilvl w:val="2"/>
          <w:numId w:val="2"/>
        </w:numPr>
        <w:suppressAutoHyphens w:val="false"/>
        <w:ind w:hanging="0" w:left="794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ascii="Calibri" w:hAnsi="Calibri" w:cstheme="minorHAnsi"/>
          <w:color w:val="00000A"/>
        </w:rPr>
        <w:t>Multa de até 10% (dez por cento) sobre o valor estimado do(s) item(s) prejudicado(s) pela conduta do fornecedor, por qualquer das infrações dos subitens 16.1.1 a 16.1.12;</w:t>
      </w:r>
    </w:p>
    <w:p>
      <w:pPr>
        <w:pStyle w:val="Normal"/>
        <w:suppressAutoHyphens w:val="false"/>
        <w:ind w:hanging="0" w:left="2381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cstheme="minorHAnsi" w:ascii="Calibri" w:hAnsi="Calibri"/>
          <w:color w:val="00000A"/>
        </w:rPr>
      </w:r>
    </w:p>
    <w:p>
      <w:pPr>
        <w:pStyle w:val="Normal"/>
        <w:numPr>
          <w:ilvl w:val="2"/>
          <w:numId w:val="2"/>
        </w:numPr>
        <w:suppressAutoHyphens w:val="false"/>
        <w:ind w:hanging="0" w:left="794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ascii="Calibri" w:hAnsi="Calibri" w:cstheme="minorHAnsi"/>
          <w:color w:val="00000A"/>
        </w:rPr>
        <w:t>Impedimento de licitar e contratar no âmbito da Administração Pública direta e indireta do ente municipal que tiver aplicado a sanção, pelo prazo máximo de 3 (três) anos, nos casos dos subitens 16.1.2 a 16.1.7, quando não se justificar a imposição de penalidade mais grave;</w:t>
      </w:r>
    </w:p>
    <w:p>
      <w:pPr>
        <w:pStyle w:val="Normal"/>
        <w:suppressAutoHyphens w:val="false"/>
        <w:ind w:hanging="0" w:left="2381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cstheme="minorHAnsi" w:ascii="Calibri" w:hAnsi="Calibri"/>
          <w:color w:val="00000A"/>
        </w:rPr>
      </w:r>
    </w:p>
    <w:p>
      <w:pPr>
        <w:pStyle w:val="Normal"/>
        <w:numPr>
          <w:ilvl w:val="2"/>
          <w:numId w:val="2"/>
        </w:numPr>
        <w:suppressAutoHyphens w:val="false"/>
        <w:ind w:hanging="0" w:left="794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ascii="Calibri" w:hAnsi="Calibri" w:cstheme="minorHAnsi"/>
          <w:color w:val="00000A"/>
        </w:rPr>
        <w:t>Declaração de inidoneidade para licitar ou contratar, que impedirá o responsável de licitar ou contratar no âmbito da Administração Pública direta e indireta do ente municipal, pelo prazo mínimo de 3 (três) anos e máximo de 6 (seis) anos, nos casos dos subitens 15.1.8 a 15.1.12, bem como nos demais casos que justifiquem a imposição da penalidade mais grave;</w:t>
      </w:r>
    </w:p>
    <w:p>
      <w:pPr>
        <w:pStyle w:val="Normal"/>
        <w:numPr>
          <w:ilvl w:val="1"/>
          <w:numId w:val="2"/>
        </w:numPr>
        <w:ind w:hanging="0" w:left="0"/>
        <w:jc w:val="both"/>
        <w:rPr>
          <w:rFonts w:ascii="Calibri" w:hAnsi="Calibri"/>
        </w:rPr>
      </w:pPr>
      <w:r>
        <w:rPr>
          <w:rFonts w:cs="Calibri" w:ascii="Calibri" w:hAnsi="Calibri"/>
          <w:color w:val="00000A"/>
        </w:rPr>
        <w:t>Na aplicação das sanções serão considerados:</w:t>
      </w:r>
    </w:p>
    <w:p>
      <w:pPr>
        <w:pStyle w:val="Normal"/>
        <w:snapToGrid w:val="false"/>
        <w:ind w:hanging="0" w:left="794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numPr>
          <w:ilvl w:val="2"/>
          <w:numId w:val="2"/>
        </w:numPr>
        <w:suppressAutoHyphens w:val="false"/>
        <w:ind w:hanging="0" w:left="794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ascii="Calibri" w:hAnsi="Calibri" w:cstheme="minorHAnsi"/>
          <w:color w:val="00000A"/>
        </w:rPr>
        <w:t>A natureza e a gravidade da infração cometida;</w:t>
      </w:r>
    </w:p>
    <w:p>
      <w:pPr>
        <w:pStyle w:val="Normal"/>
        <w:suppressAutoHyphens w:val="false"/>
        <w:ind w:hanging="0" w:left="2381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cstheme="minorHAnsi" w:ascii="Calibri" w:hAnsi="Calibri"/>
          <w:color w:val="00000A"/>
        </w:rPr>
      </w:r>
    </w:p>
    <w:p>
      <w:pPr>
        <w:pStyle w:val="Normal"/>
        <w:numPr>
          <w:ilvl w:val="2"/>
          <w:numId w:val="2"/>
        </w:numPr>
        <w:suppressAutoHyphens w:val="false"/>
        <w:ind w:hanging="0" w:left="794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ascii="Calibri" w:hAnsi="Calibri" w:cstheme="minorHAnsi"/>
          <w:color w:val="00000A"/>
        </w:rPr>
        <w:t>As peculiaridades do caso concreto;</w:t>
      </w:r>
    </w:p>
    <w:p>
      <w:pPr>
        <w:pStyle w:val="Normal"/>
        <w:suppressAutoHyphens w:val="false"/>
        <w:ind w:hanging="0" w:left="2381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cstheme="minorHAnsi" w:ascii="Calibri" w:hAnsi="Calibri"/>
          <w:color w:val="00000A"/>
        </w:rPr>
      </w:r>
    </w:p>
    <w:p>
      <w:pPr>
        <w:pStyle w:val="Normal"/>
        <w:numPr>
          <w:ilvl w:val="2"/>
          <w:numId w:val="2"/>
        </w:numPr>
        <w:suppressAutoHyphens w:val="false"/>
        <w:ind w:hanging="0" w:left="794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ascii="Calibri" w:hAnsi="Calibri" w:cstheme="minorHAnsi"/>
          <w:color w:val="00000A"/>
        </w:rPr>
        <w:t>As circunstâncias agravantes ou atenuantes;</w:t>
      </w:r>
    </w:p>
    <w:p>
      <w:pPr>
        <w:pStyle w:val="Normal"/>
        <w:suppressAutoHyphens w:val="false"/>
        <w:ind w:hanging="0" w:left="2381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cstheme="minorHAnsi" w:ascii="Calibri" w:hAnsi="Calibri"/>
          <w:color w:val="00000A"/>
        </w:rPr>
      </w:r>
    </w:p>
    <w:p>
      <w:pPr>
        <w:pStyle w:val="Normal"/>
        <w:numPr>
          <w:ilvl w:val="2"/>
          <w:numId w:val="2"/>
        </w:numPr>
        <w:suppressAutoHyphens w:val="false"/>
        <w:ind w:hanging="0" w:left="794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ascii="Calibri" w:hAnsi="Calibri" w:cstheme="minorHAnsi"/>
          <w:color w:val="00000A"/>
        </w:rPr>
        <w:t>Os danos que dela provierem para a Administração Pública;</w:t>
      </w:r>
    </w:p>
    <w:p>
      <w:pPr>
        <w:pStyle w:val="Normal"/>
        <w:suppressAutoHyphens w:val="false"/>
        <w:ind w:hanging="0" w:left="2381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cstheme="minorHAnsi" w:ascii="Calibri" w:hAnsi="Calibri"/>
          <w:color w:val="00000A"/>
        </w:rPr>
      </w:r>
    </w:p>
    <w:p>
      <w:pPr>
        <w:pStyle w:val="Normal"/>
        <w:numPr>
          <w:ilvl w:val="2"/>
          <w:numId w:val="2"/>
        </w:numPr>
        <w:suppressAutoHyphens w:val="false"/>
        <w:ind w:hanging="0" w:left="794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ascii="Calibri" w:hAnsi="Calibri" w:cstheme="minorHAnsi"/>
          <w:color w:val="00000A"/>
        </w:rPr>
        <w:t>A implantação ou o aperfeiçoamento de programa de integridade, conforme normas e orientações dos órgãos de controle.</w:t>
      </w:r>
    </w:p>
    <w:p>
      <w:pPr>
        <w:pStyle w:val="Normal"/>
        <w:snapToGrid w:val="false"/>
        <w:ind w:hanging="0" w:left="794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numPr>
          <w:ilvl w:val="1"/>
          <w:numId w:val="2"/>
        </w:numPr>
        <w:ind w:hanging="0" w:left="0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>
      <w:pPr>
        <w:pStyle w:val="Normal"/>
        <w:ind w:hanging="0" w:left="794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</w:r>
    </w:p>
    <w:p>
      <w:pPr>
        <w:pStyle w:val="Normal"/>
        <w:numPr>
          <w:ilvl w:val="1"/>
          <w:numId w:val="2"/>
        </w:numPr>
        <w:ind w:hanging="0" w:left="0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  <w:t>A aplicação das sanções previstas neste Termo de Referência, em hipótese alguma, a obrigação de reparação integral do dano causado à Administração Pública.</w:t>
      </w:r>
    </w:p>
    <w:p>
      <w:pPr>
        <w:pStyle w:val="Normal"/>
        <w:ind w:hanging="0" w:left="794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</w:r>
    </w:p>
    <w:p>
      <w:pPr>
        <w:pStyle w:val="Normal"/>
        <w:numPr>
          <w:ilvl w:val="1"/>
          <w:numId w:val="2"/>
        </w:numPr>
        <w:ind w:hanging="0" w:left="0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  <w:t>A penalidade de multa pode ser aplicada cumulativamente com as demais sanções.</w:t>
      </w:r>
    </w:p>
    <w:p>
      <w:pPr>
        <w:pStyle w:val="Normal"/>
        <w:ind w:hanging="0" w:left="794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</w:r>
    </w:p>
    <w:p>
      <w:pPr>
        <w:pStyle w:val="Normal"/>
        <w:numPr>
          <w:ilvl w:val="1"/>
          <w:numId w:val="2"/>
        </w:numPr>
        <w:ind w:hanging="0" w:left="0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  <w:t>A aplicação de qualquer das penalidades previstas realizar-se-á em processo administrativo que assegurará o contraditório e a ampla defesa ao fornecedor/adjudicatário, observando-se o procedimento previsto na Lei nº 14.133, de 2021, e subsidiariamente na Lei nº 9.784, de 1999.</w:t>
      </w:r>
    </w:p>
    <w:p>
      <w:pPr>
        <w:pStyle w:val="Normal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numPr>
          <w:ilvl w:val="0"/>
          <w:numId w:val="2"/>
        </w:numPr>
        <w:shd w:val="clear" w:color="auto" w:fill="BFBFBF" w:themeFill="background1" w:themeFillShade="bf"/>
        <w:jc w:val="both"/>
        <w:rPr>
          <w:rFonts w:ascii="Calibri" w:hAnsi="Calibri"/>
        </w:rPr>
      </w:pPr>
      <w:r>
        <w:rPr>
          <w:rFonts w:cs="Calibri" w:ascii="Calibri" w:hAnsi="Calibri"/>
          <w:b/>
          <w:bCs/>
        </w:rPr>
        <w:t>CRITÉRIOS DE SELEÇÃO DO FORNECEDOR</w:t>
      </w:r>
    </w:p>
    <w:p>
      <w:pPr>
        <w:pStyle w:val="Normal"/>
        <w:jc w:val="both"/>
        <w:rPr>
          <w:rFonts w:ascii="Calibri" w:hAnsi="Calibri" w:cs="Calibri"/>
          <w:b/>
          <w:bCs/>
          <w:color w:val="FFFFFF"/>
        </w:rPr>
      </w:pPr>
      <w:r>
        <w:rPr>
          <w:rFonts w:cs="Calibri" w:ascii="Calibri" w:hAnsi="Calibri"/>
          <w:b/>
          <w:bCs/>
          <w:color w:val="FFFFFF"/>
        </w:rPr>
      </w:r>
    </w:p>
    <w:p>
      <w:pPr>
        <w:pStyle w:val="Normal"/>
        <w:numPr>
          <w:ilvl w:val="1"/>
          <w:numId w:val="2"/>
        </w:numPr>
        <w:ind w:hanging="0" w:left="0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  <w:t>As exigências de habilitação jurídica e de regularidade fiscal e trabalhista prevista no Capítulo VI da Lei 14.133/2021 serão dispensadas, mantendo apenas a exigência de comprovação da regularidade perante a seguridade social, conforme disposto no art. 95, §3º da CF;</w:t>
      </w:r>
    </w:p>
    <w:p>
      <w:pPr>
        <w:pStyle w:val="Normal"/>
        <w:snapToGrid w:val="false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numPr>
          <w:ilvl w:val="1"/>
          <w:numId w:val="2"/>
        </w:numPr>
        <w:ind w:hanging="0" w:left="0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  <w:t xml:space="preserve">O critério de julgamento da proposta é </w:t>
      </w:r>
      <w:r>
        <w:rPr>
          <w:rFonts w:cs="Calibri" w:ascii="Calibri" w:hAnsi="Calibri"/>
        </w:rPr>
        <w:t>o menor unitário.</w:t>
      </w:r>
    </w:p>
    <w:p>
      <w:pPr>
        <w:pStyle w:val="Normal"/>
        <w:snapToGrid w:val="false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ListParagraph"/>
        <w:numPr>
          <w:ilvl w:val="0"/>
          <w:numId w:val="2"/>
        </w:numPr>
        <w:shd w:val="clear" w:color="auto" w:fill="BFBFBF" w:themeFill="background1" w:themeFillShade="bf"/>
        <w:jc w:val="both"/>
        <w:rPr>
          <w:rFonts w:ascii="Calibri" w:hAnsi="Calibri"/>
        </w:rPr>
      </w:pPr>
      <w:r>
        <w:rPr>
          <w:rFonts w:cs="Calibri" w:ascii="Calibri" w:hAnsi="Calibri"/>
          <w:b/>
          <w:bCs/>
        </w:rPr>
        <w:t xml:space="preserve"> </w:t>
      </w:r>
      <w:r>
        <w:rPr>
          <w:rFonts w:cs="Calibri" w:ascii="Calibri" w:hAnsi="Calibri"/>
          <w:b/>
          <w:bCs/>
        </w:rPr>
        <w:t>ESTIMATIVA DE PREÇOS E PREÇOS REFERENCIAIS</w:t>
      </w:r>
    </w:p>
    <w:p>
      <w:pPr>
        <w:pStyle w:val="Normal"/>
        <w:numPr>
          <w:ilvl w:val="1"/>
          <w:numId w:val="2"/>
        </w:numPr>
        <w:ind w:hanging="0" w:left="0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  <w:t xml:space="preserve">O custo estimado da contratação é de </w:t>
      </w:r>
      <w:r>
        <w:rPr>
          <w:rFonts w:cs="Calibri" w:ascii="Calibri" w:hAnsi="Calibri"/>
          <w:color w:val="auto"/>
        </w:rPr>
        <w:t xml:space="preserve">R$ </w:t>
      </w:r>
      <w:r>
        <w:rPr>
          <w:rFonts w:cs="Calibri" w:ascii="Calibri" w:hAnsi="Calibri"/>
          <w:color w:val="auto"/>
        </w:rPr>
        <w:t>1370,00</w:t>
      </w:r>
      <w:r>
        <w:rPr>
          <w:rFonts w:cs="Calibri" w:ascii="Calibri" w:hAnsi="Calibri"/>
          <w:color w:val="auto"/>
        </w:rPr>
        <w:t xml:space="preserve"> ( </w:t>
      </w:r>
      <w:r>
        <w:rPr>
          <w:rFonts w:cs="Calibri" w:ascii="Calibri" w:hAnsi="Calibri"/>
          <w:color w:val="auto"/>
        </w:rPr>
        <w:t>mil trezentos e setenta reais</w:t>
      </w:r>
      <w:r>
        <w:rPr>
          <w:rFonts w:cs="Calibri" w:ascii="Calibri" w:hAnsi="Calibri"/>
          <w:color w:val="auto"/>
        </w:rPr>
        <w:t xml:space="preserve"> )</w:t>
      </w:r>
      <w:r>
        <w:rPr>
          <w:rFonts w:cs="Calibri" w:ascii="Calibri" w:hAnsi="Calibri"/>
          <w:color w:val="00000A"/>
        </w:rPr>
        <w:t>, conforme discriminado na tabela abaixo:</w:t>
      </w:r>
    </w:p>
    <w:p>
      <w:pPr>
        <w:pStyle w:val="Normal"/>
        <w:ind w:hanging="0" w:left="794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</w:r>
    </w:p>
    <w:tbl>
      <w:tblPr>
        <w:tblW w:w="9750" w:type="dxa"/>
        <w:jc w:val="center"/>
        <w:tblInd w:w="0" w:type="dxa"/>
        <w:tblLayout w:type="fixed"/>
        <w:tblCellMar>
          <w:top w:w="55" w:type="dxa"/>
          <w:left w:w="12" w:type="dxa"/>
          <w:bottom w:w="55" w:type="dxa"/>
          <w:right w:w="55" w:type="dxa"/>
        </w:tblCellMar>
        <w:tblLook w:val="04a0" w:noHBand="0" w:noVBand="1" w:firstColumn="1" w:lastRow="0" w:lastColumn="0" w:firstRow="1"/>
      </w:tblPr>
      <w:tblGrid>
        <w:gridCol w:w="515"/>
        <w:gridCol w:w="3917"/>
        <w:gridCol w:w="1237"/>
        <w:gridCol w:w="997"/>
        <w:gridCol w:w="1541"/>
        <w:gridCol w:w="1542"/>
      </w:tblGrid>
      <w:tr>
        <w:trPr/>
        <w:tc>
          <w:tcPr>
            <w:tcW w:w="5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BFBFBF" w:themeFill="background1" w:themeFillShade="b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39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BFBFBF" w:themeFill="background1" w:themeFillShade="b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DESCRIÇÃO/ESPECIFICAÇÃO</w:t>
            </w:r>
          </w:p>
        </w:tc>
        <w:tc>
          <w:tcPr>
            <w:tcW w:w="12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BFBFBF" w:themeFill="background1" w:themeFillShade="b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9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BFBFBF" w:themeFill="background1" w:themeFillShade="b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1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BFBFBF" w:themeFill="background1" w:themeFillShade="b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VALOR UNIT</w:t>
            </w:r>
            <w:r>
              <w:rPr>
                <w:rFonts w:eastAsia="NSimSun" w:cs="Calibri" w:ascii="CalIBRI" w:hAnsi="CalIBRI"/>
                <w:b/>
                <w:bCs/>
                <w:color w:val="auto"/>
                <w:kern w:val="2"/>
                <w:sz w:val="20"/>
                <w:szCs w:val="20"/>
              </w:rPr>
              <w:t>ÁRIO</w:t>
            </w:r>
          </w:p>
        </w:tc>
        <w:tc>
          <w:tcPr>
            <w:tcW w:w="1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BFBFBF" w:themeFill="background1" w:themeFillShade="b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VALOR TOTAL</w:t>
            </w:r>
          </w:p>
        </w:tc>
      </w:tr>
      <w:tr>
        <w:trPr/>
        <w:tc>
          <w:tcPr>
            <w:tcW w:w="515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</w:rPr>
            </w:pPr>
            <w:r>
              <w:rPr>
                <w:rFonts w:cs="Calibri" w:ascii="CalIBRI" w:hAnsi="CalIBRI"/>
                <w:sz w:val="20"/>
                <w:szCs w:val="20"/>
              </w:rPr>
              <w:t>01</w:t>
            </w:r>
          </w:p>
        </w:tc>
        <w:tc>
          <w:tcPr>
            <w:tcW w:w="3917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dodatabela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Urna  adulta (1,90m seis alça dura sem verniz)</w:t>
            </w:r>
          </w:p>
        </w:tc>
        <w:tc>
          <w:tcPr>
            <w:tcW w:w="1237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color w:val="auto"/>
              </w:rPr>
            </w:pPr>
            <w:r>
              <w:rPr>
                <w:rFonts w:cs="Calibri" w:ascii="CalIBRI" w:hAnsi="CalIBRI"/>
                <w:color w:val="auto"/>
                <w:sz w:val="20"/>
                <w:szCs w:val="20"/>
              </w:rPr>
              <w:t>01</w:t>
            </w:r>
          </w:p>
        </w:tc>
        <w:tc>
          <w:tcPr>
            <w:tcW w:w="997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color w:val="auto"/>
              </w:rPr>
            </w:pPr>
            <w:r>
              <w:rPr>
                <w:rFonts w:cs="Calibri" w:ascii="CalIBRI" w:hAnsi="CalIBRI"/>
                <w:color w:val="auto"/>
                <w:sz w:val="20"/>
                <w:szCs w:val="20"/>
              </w:rPr>
              <w:t>unidade</w:t>
            </w:r>
          </w:p>
        </w:tc>
        <w:tc>
          <w:tcPr>
            <w:tcW w:w="1541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color w:val="auto"/>
              </w:rPr>
            </w:pPr>
            <w:r>
              <w:rPr>
                <w:rFonts w:cs="Calibri" w:ascii="CalIBRI" w:hAnsi="CalIBRI"/>
                <w:color w:val="auto"/>
                <w:sz w:val="20"/>
                <w:szCs w:val="20"/>
              </w:rPr>
              <w:t>R$ 290,00</w:t>
            </w:r>
          </w:p>
        </w:tc>
        <w:tc>
          <w:tcPr>
            <w:tcW w:w="154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color w:val="auto"/>
                <w:sz w:val="20"/>
                <w:szCs w:val="20"/>
              </w:rPr>
            </w:pPr>
            <w:r>
              <w:rPr>
                <w:rFonts w:ascii="CalIBRI" w:hAnsi="CalIBRI"/>
                <w:color w:val="auto"/>
                <w:sz w:val="20"/>
                <w:szCs w:val="20"/>
              </w:rPr>
              <w:t>R$ 290,00</w:t>
            </w:r>
          </w:p>
        </w:tc>
      </w:tr>
      <w:tr>
        <w:trPr/>
        <w:tc>
          <w:tcPr>
            <w:tcW w:w="515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color w:val="auto"/>
                <w:sz w:val="20"/>
                <w:szCs w:val="20"/>
              </w:rPr>
            </w:pPr>
            <w:r>
              <w:rPr>
                <w:rFonts w:ascii="CalIBRI" w:hAnsi="CalIBRI"/>
                <w:color w:val="auto"/>
                <w:sz w:val="20"/>
                <w:szCs w:val="20"/>
              </w:rPr>
              <w:t>02</w:t>
            </w:r>
          </w:p>
        </w:tc>
        <w:tc>
          <w:tcPr>
            <w:tcW w:w="3917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rFonts w:ascii="Calibri" w:hAnsi="Calibri"/>
                <w:color w:val="auto"/>
                <w:sz w:val="20"/>
                <w:szCs w:val="20"/>
              </w:rPr>
              <w:t>Translado Formosa/GO á Flores de Goias-GO + transporte urbano</w:t>
            </w:r>
          </w:p>
          <w:p>
            <w:pPr>
              <w:pStyle w:val="Contedodatabela"/>
              <w:widowControl w:val="false"/>
              <w:jc w:val="both"/>
              <w:rPr>
                <w:rFonts w:ascii="Calibri" w:hAnsi="Calibri"/>
                <w:color w:val="auto"/>
                <w:sz w:val="20"/>
                <w:szCs w:val="20"/>
              </w:rPr>
            </w:pPr>
            <w:r>
              <w:rPr>
                <w:rFonts w:ascii="Calibri" w:hAnsi="Calibri"/>
                <w:color w:val="auto"/>
                <w:sz w:val="20"/>
                <w:szCs w:val="20"/>
              </w:rPr>
            </w:r>
          </w:p>
        </w:tc>
        <w:tc>
          <w:tcPr>
            <w:tcW w:w="1237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593,40</w:t>
            </w:r>
          </w:p>
        </w:tc>
        <w:tc>
          <w:tcPr>
            <w:tcW w:w="997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color w:val="auto"/>
                <w:sz w:val="20"/>
                <w:szCs w:val="20"/>
              </w:rPr>
              <w:t>km</w:t>
            </w:r>
          </w:p>
        </w:tc>
        <w:tc>
          <w:tcPr>
            <w:tcW w:w="1541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color w:val="auto"/>
                <w:sz w:val="20"/>
                <w:szCs w:val="20"/>
              </w:rPr>
            </w:pPr>
            <w:r>
              <w:rPr>
                <w:rFonts w:ascii="CalIBRI" w:hAnsi="CalIBRI"/>
                <w:color w:val="auto"/>
                <w:sz w:val="20"/>
                <w:szCs w:val="20"/>
              </w:rPr>
              <w:t>R$ 1,50</w:t>
            </w:r>
          </w:p>
        </w:tc>
        <w:tc>
          <w:tcPr>
            <w:tcW w:w="154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color w:val="auto"/>
                <w:sz w:val="20"/>
                <w:szCs w:val="20"/>
              </w:rPr>
            </w:pPr>
            <w:r>
              <w:rPr>
                <w:rFonts w:ascii="CalIBRI" w:hAnsi="CalIBRI"/>
                <w:color w:val="auto"/>
                <w:sz w:val="20"/>
                <w:szCs w:val="20"/>
              </w:rPr>
              <w:t xml:space="preserve">R$ </w:t>
            </w:r>
            <w:r>
              <w:rPr>
                <w:rFonts w:ascii="CalIBRI" w:hAnsi="CalIBRI"/>
                <w:color w:val="auto"/>
                <w:sz w:val="20"/>
                <w:szCs w:val="20"/>
              </w:rPr>
              <w:t>890,00</w:t>
            </w:r>
          </w:p>
        </w:tc>
      </w:tr>
      <w:tr>
        <w:trPr/>
        <w:tc>
          <w:tcPr>
            <w:tcW w:w="515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color w:val="auto"/>
                <w:sz w:val="20"/>
                <w:szCs w:val="20"/>
              </w:rPr>
            </w:pPr>
            <w:r>
              <w:rPr>
                <w:rFonts w:ascii="CalIBRI" w:hAnsi="CalIBRI"/>
                <w:color w:val="auto"/>
                <w:sz w:val="20"/>
                <w:szCs w:val="20"/>
              </w:rPr>
              <w:t>03</w:t>
            </w:r>
          </w:p>
        </w:tc>
        <w:tc>
          <w:tcPr>
            <w:tcW w:w="3917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Calibri" w:hAnsi="Calibri"/>
                <w:color w:val="auto"/>
                <w:sz w:val="20"/>
                <w:szCs w:val="20"/>
              </w:rPr>
            </w:pPr>
            <w:r>
              <w:rPr>
                <w:rFonts w:ascii="Calibri" w:hAnsi="Calibri"/>
                <w:color w:val="auto"/>
                <w:sz w:val="20"/>
                <w:szCs w:val="20"/>
              </w:rPr>
              <w:t>Enfeites dentro da urna ( com flores artificias ou edredom e véu de nylon)</w:t>
            </w:r>
          </w:p>
        </w:tc>
        <w:tc>
          <w:tcPr>
            <w:tcW w:w="1237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97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color w:val="auto"/>
                <w:sz w:val="20"/>
                <w:szCs w:val="20"/>
              </w:rPr>
              <w:t>unidade</w:t>
            </w:r>
          </w:p>
        </w:tc>
        <w:tc>
          <w:tcPr>
            <w:tcW w:w="1541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color w:val="auto"/>
                <w:sz w:val="20"/>
                <w:szCs w:val="20"/>
              </w:rPr>
            </w:pPr>
            <w:r>
              <w:rPr>
                <w:rFonts w:ascii="CalIBRI" w:hAnsi="CalIBRI"/>
                <w:color w:val="auto"/>
                <w:sz w:val="20"/>
                <w:szCs w:val="20"/>
              </w:rPr>
              <w:t>R$ 190,00</w:t>
            </w:r>
          </w:p>
        </w:tc>
        <w:tc>
          <w:tcPr>
            <w:tcW w:w="154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color w:val="auto"/>
                <w:sz w:val="20"/>
                <w:szCs w:val="20"/>
              </w:rPr>
            </w:pPr>
            <w:r>
              <w:rPr>
                <w:rFonts w:ascii="CalIBRI" w:hAnsi="CalIBRI"/>
                <w:color w:val="auto"/>
                <w:sz w:val="20"/>
                <w:szCs w:val="20"/>
              </w:rPr>
              <w:t>R$ 190,00</w:t>
            </w:r>
          </w:p>
        </w:tc>
      </w:tr>
      <w:tr>
        <w:trPr/>
        <w:tc>
          <w:tcPr>
            <w:tcW w:w="8207" w:type="dxa"/>
            <w:gridSpan w:val="5"/>
            <w:tcBorders>
              <w:left w:val="single" w:sz="2" w:space="0" w:color="000001"/>
              <w:bottom w:val="single" w:sz="2" w:space="0" w:color="000001"/>
            </w:tcBorders>
            <w:shd w:color="auto" w:fill="BFBFBF" w:themeFill="background1" w:themeFillShade="bf" w:val="clear"/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CalIBRI" w:hAnsi="CalIBRI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Valor global estimado:</w:t>
            </w:r>
          </w:p>
          <w:p>
            <w:pPr>
              <w:pStyle w:val="Contedodatabela"/>
              <w:widowControl w:val="false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</w:tc>
        <w:tc>
          <w:tcPr>
            <w:tcW w:w="154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BFBFBF" w:themeFill="background1" w:themeFillShade="b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R$</w:t>
            </w: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1.370,00</w:t>
            </w:r>
          </w:p>
        </w:tc>
      </w:tr>
    </w:tbl>
    <w:p>
      <w:pPr>
        <w:pStyle w:val="Normal"/>
        <w:shd w:val="clear" w:color="auto" w:fill="FFFFFF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numPr>
          <w:ilvl w:val="0"/>
          <w:numId w:val="2"/>
        </w:numPr>
        <w:shd w:val="clear" w:color="auto" w:fill="BFBFBF" w:themeFill="background1" w:themeFillShade="bf"/>
        <w:jc w:val="both"/>
        <w:rPr>
          <w:rFonts w:ascii="Calibri" w:hAnsi="Calibri"/>
        </w:rPr>
      </w:pPr>
      <w:r>
        <w:rPr>
          <w:rFonts w:cs="Calibri" w:ascii="Calibri" w:hAnsi="Calibri"/>
          <w:b/>
          <w:bCs/>
        </w:rPr>
        <w:t>DOS RECURSOS ORÇAMENTÁRIOS</w:t>
      </w:r>
    </w:p>
    <w:p>
      <w:pPr>
        <w:pStyle w:val="Normal"/>
        <w:jc w:val="both"/>
        <w:rPr>
          <w:rFonts w:ascii="Calibri" w:hAnsi="Calibri" w:cs="Calibri"/>
          <w:b/>
          <w:bCs/>
          <w:color w:val="FFFFFF"/>
        </w:rPr>
      </w:pPr>
      <w:r>
        <w:rPr>
          <w:rFonts w:cs="Calibri" w:ascii="Calibri" w:hAnsi="Calibri"/>
          <w:b/>
          <w:bCs/>
          <w:color w:val="FFFFFF"/>
        </w:rPr>
      </w:r>
    </w:p>
    <w:p>
      <w:pPr>
        <w:pStyle w:val="Normal"/>
        <w:numPr>
          <w:ilvl w:val="1"/>
          <w:numId w:val="2"/>
        </w:numPr>
        <w:ind w:hanging="0" w:left="0"/>
        <w:jc w:val="both"/>
        <w:rPr>
          <w:rFonts w:ascii="Calibri" w:hAnsi="Calibri" w:cs="Calibri"/>
          <w:color w:val="00000A"/>
        </w:rPr>
      </w:pPr>
      <w:r>
        <w:rPr>
          <w:rFonts w:cs="Calibri" w:ascii="Calibri" w:hAnsi="Calibri"/>
          <w:color w:val="00000A"/>
        </w:rPr>
        <w:t>As despesas decorrentes da presente contratação correrão à conta de recursos específicos consignados no orçamento do Município deste exercício, na dotação abaixo discriminada:</w:t>
      </w:r>
    </w:p>
    <w:p>
      <w:pPr>
        <w:pStyle w:val="Normal"/>
        <w:snapToGrid w:val="false"/>
        <w:jc w:val="both"/>
        <w:rPr>
          <w:rFonts w:ascii="Calibri" w:hAnsi="Calibri" w:cs="Calibri"/>
          <w:color w:val="000000"/>
          <w:lang w:eastAsia="en-US"/>
        </w:rPr>
      </w:pPr>
      <w:r>
        <w:rPr>
          <w:rFonts w:cs="Calibri" w:ascii="Calibri" w:hAnsi="Calibri"/>
          <w:color w:val="000000"/>
          <w:lang w:eastAsia="en-US"/>
        </w:rPr>
      </w:r>
    </w:p>
    <w:tbl>
      <w:tblPr>
        <w:tblW w:w="9754" w:type="dxa"/>
        <w:jc w:val="center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noHBand="0" w:noVBand="1" w:firstColumn="1" w:lastRow="0" w:lastColumn="0" w:firstRow="1"/>
      </w:tblPr>
      <w:tblGrid>
        <w:gridCol w:w="9754"/>
      </w:tblGrid>
      <w:tr>
        <w:trPr/>
        <w:tc>
          <w:tcPr>
            <w:tcW w:w="9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BFBFBF" w:themeFill="background1" w:themeFillShade="b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cs="Calibri" w:ascii="Calibri" w:hAnsi="Calibri"/>
                <w:b/>
                <w:bCs/>
                <w:sz w:val="24"/>
                <w:szCs w:val="24"/>
              </w:rPr>
              <w:t>ELEMENTO DE DESPESA</w:t>
            </w:r>
          </w:p>
        </w:tc>
      </w:tr>
      <w:tr>
        <w:trPr>
          <w:trHeight w:val="496" w:hRule="atLeast"/>
        </w:trPr>
        <w:tc>
          <w:tcPr>
            <w:tcW w:w="97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cs="Calibri" w:ascii="Calibri" w:hAnsi="Calibri"/>
                <w:color w:val="000000"/>
                <w:sz w:val="24"/>
                <w:szCs w:val="24"/>
                <w:shd w:fill="FFFFFF" w:val="clear"/>
              </w:rPr>
              <w:t>Ficha 393 – 15.01.08.244.1508.2.234.3.3.90.39 - 100</w:t>
            </w:r>
          </w:p>
        </w:tc>
      </w:tr>
    </w:tbl>
    <w:p>
      <w:pPr>
        <w:pStyle w:val="Normal"/>
        <w:rPr/>
      </w:pPr>
      <w:r>
        <w:rPr/>
      </w:r>
    </w:p>
    <w:p>
      <w:pPr>
        <w:pStyle w:val="ListParagraph"/>
        <w:numPr>
          <w:ilvl w:val="0"/>
          <w:numId w:val="2"/>
        </w:numPr>
        <w:shd w:val="clear" w:color="auto" w:fill="BFBFBF" w:themeFill="background1" w:themeFillShade="bf"/>
        <w:tabs>
          <w:tab w:val="clear" w:pos="720"/>
          <w:tab w:val="left" w:pos="4224" w:leader="none"/>
        </w:tabs>
        <w:rPr>
          <w:rFonts w:ascii="Calibri" w:hAnsi="Calibri"/>
        </w:rPr>
      </w:pPr>
      <w:r>
        <w:rPr>
          <w:rFonts w:cs="Calibri" w:ascii="Calibri" w:hAnsi="Calibri"/>
          <w:b/>
          <w:bCs/>
        </w:rPr>
        <w:t>DOS CASOS OMISSOS</w:t>
      </w:r>
    </w:p>
    <w:p>
      <w:pPr>
        <w:pStyle w:val="Normal"/>
        <w:numPr>
          <w:ilvl w:val="1"/>
          <w:numId w:val="2"/>
        </w:numPr>
        <w:tabs>
          <w:tab w:val="clear" w:pos="720"/>
          <w:tab w:val="left" w:pos="0" w:leader="none"/>
        </w:tabs>
        <w:ind w:hanging="0" w:left="0"/>
        <w:jc w:val="both"/>
        <w:rPr>
          <w:rFonts w:ascii="Calibri" w:hAnsi="Calibri"/>
        </w:rPr>
      </w:pPr>
      <w:r>
        <w:rPr>
          <w:rFonts w:cs="Calibri" w:ascii="Calibri" w:hAnsi="Calibri"/>
          <w:color w:val="00000A"/>
        </w:rPr>
        <w:t xml:space="preserve">Os casos omissos serão decididos pela CONTRATANTE, segundo as disposições contidas e na Lei nº 14.133, de 1º de abril de 2021, e demais normas federais de licitações e contratos administrativos e, subsidiariamente, segundo as disposições contidas na Lei nº 8.078, de 1990 – Código de Defesa do Consumidor – e normas e princípios gerais dos contratos. </w:t>
      </w:r>
    </w:p>
    <w:p>
      <w:pPr>
        <w:pStyle w:val="Normal"/>
        <w:snapToGrid w:val="false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snapToGrid w:val="false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snapToGrid w:val="false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snapToGrid w:val="false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snapToGrid w:val="false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snapToGrid w:val="false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snapToGrid w:val="false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snapToGrid w:val="false"/>
        <w:ind w:hanging="0" w:left="794"/>
        <w:jc w:val="center"/>
        <w:rPr>
          <w:rFonts w:ascii="Calibri" w:hAnsi="Calibri" w:cs="Calibri"/>
          <w:b/>
          <w:bCs/>
        </w:rPr>
      </w:pPr>
      <w:r>
        <w:rPr>
          <w:rFonts w:cs="Calibri" w:ascii="Calibri" w:hAnsi="Calibri" w:cstheme="minorHAnsi"/>
          <w:b/>
          <w:bCs/>
        </w:rPr>
        <w:t>Flores de Goiás, Goiás, 06 de fevereiro de 2024</w:t>
      </w:r>
      <w:r>
        <w:rPr>
          <w:rFonts w:cs="Calibri" w:ascii="Calibri" w:hAnsi="Calibri"/>
          <w:b/>
          <w:bCs/>
        </w:rPr>
        <w:t>.</w:t>
      </w:r>
    </w:p>
    <w:p>
      <w:pPr>
        <w:pStyle w:val="Normal"/>
        <w:snapToGrid w:val="false"/>
        <w:jc w:val="both"/>
        <w:rPr>
          <w:rFonts w:ascii="Calibri" w:hAnsi="Calibri" w:cs="Calibri"/>
          <w:color w:val="000000"/>
        </w:rPr>
      </w:pPr>
      <w:r>
        <w:rPr>
          <w:rFonts w:cs="Calibri" w:ascii="Calibri" w:hAnsi="Calibri"/>
          <w:color w:val="000000"/>
        </w:rPr>
        <w:t>Termo de referência elaborado por:</w:t>
      </w:r>
    </w:p>
    <w:p>
      <w:pPr>
        <w:pStyle w:val="Normal"/>
        <w:snapToGrid w:val="false"/>
        <w:jc w:val="both"/>
        <w:rPr>
          <w:rFonts w:ascii="Calibri" w:hAnsi="Calibri" w:cs="Calibri"/>
          <w:color w:val="000000"/>
        </w:rPr>
      </w:pPr>
      <w:r>
        <w:rPr>
          <w:rFonts w:cs="Calibri" w:ascii="Calibri" w:hAnsi="Calibri"/>
          <w:color w:val="000000"/>
        </w:rPr>
      </w:r>
    </w:p>
    <w:p>
      <w:pPr>
        <w:pStyle w:val="Normal"/>
        <w:snapToGrid w:val="false"/>
        <w:jc w:val="center"/>
        <w:rPr/>
      </w:pPr>
      <w:r>
        <w:rPr/>
        <w:t>_____________________________________________</w:t>
      </w:r>
    </w:p>
    <w:p>
      <w:pPr>
        <w:pStyle w:val="Normal"/>
        <w:snapToGrid w:val="false"/>
        <w:jc w:val="center"/>
        <w:rPr>
          <w:b/>
          <w:bCs/>
        </w:rPr>
      </w:pPr>
      <w:r>
        <w:rPr>
          <w:rFonts w:cs="Calibri" w:ascii="Calibri" w:hAnsi="Calibri"/>
          <w:b/>
          <w:bCs/>
          <w:color w:val="000000"/>
          <w:kern w:val="2"/>
        </w:rPr>
        <w:t xml:space="preserve">Luana Cassia Souza de Jesus  </w:t>
      </w:r>
    </w:p>
    <w:p>
      <w:pPr>
        <w:pStyle w:val="Normal"/>
        <w:snapToGrid w:val="false"/>
        <w:jc w:val="center"/>
        <w:rPr/>
      </w:pPr>
      <w:r>
        <w:rPr>
          <w:rFonts w:cs="Calibri" w:ascii="Calibri" w:hAnsi="Calibri"/>
          <w:color w:val="000000"/>
        </w:rPr>
        <w:t xml:space="preserve">Departamento  de Orçamentos e Compras </w:t>
      </w:r>
    </w:p>
    <w:p>
      <w:pPr>
        <w:pStyle w:val="Normal"/>
        <w:snapToGrid w:val="false"/>
        <w:jc w:val="center"/>
        <w:rPr/>
      </w:pPr>
      <w:r>
        <w:rPr>
          <w:rFonts w:cs="Calibri" w:ascii="Calibri" w:hAnsi="Calibri"/>
          <w:color w:val="000000"/>
        </w:rPr>
        <w:t>DECRETO: 1081/2023</w:t>
      </w:r>
    </w:p>
    <w:p>
      <w:pPr>
        <w:pStyle w:val="Normal"/>
        <w:snapToGrid w:val="false"/>
        <w:jc w:val="center"/>
        <w:rPr>
          <w:rFonts w:ascii="Calibri" w:hAnsi="Calibri" w:cs="Calibri"/>
          <w:color w:val="000000"/>
        </w:rPr>
      </w:pPr>
      <w:r>
        <w:rPr>
          <w:rFonts w:cs="Calibri" w:ascii="Calibri" w:hAnsi="Calibri"/>
          <w:color w:val="000000"/>
        </w:rPr>
      </w:r>
    </w:p>
    <w:p>
      <w:pPr>
        <w:pStyle w:val="Contedodatabela"/>
        <w:widowControl w:val="false"/>
        <w:rPr>
          <w:rFonts w:ascii="Calibri" w:hAnsi="Calibri"/>
        </w:rPr>
      </w:pPr>
      <w:r>
        <w:rPr>
          <w:rFonts w:ascii="Calibri" w:hAnsi="Calibri"/>
        </w:rPr>
        <w:t>De acordo com as motivações presentes nos documentos deste processo, aprovo este Termo de Referência:</w:t>
      </w:r>
    </w:p>
    <w:p>
      <w:pPr>
        <w:pStyle w:val="Contedodatabela"/>
        <w:widowControl w:val="false"/>
        <w:jc w:val="center"/>
        <w:rPr/>
      </w:pPr>
      <w:r>
        <w:rPr/>
        <w:t>___________________________________________</w:t>
      </w:r>
    </w:p>
    <w:p>
      <w:pPr>
        <w:pStyle w:val="Contedodatabela"/>
        <w:widowControl w:val="false"/>
        <w:jc w:val="center"/>
        <w:rPr/>
      </w:pPr>
      <w:r>
        <w:rPr>
          <w:rFonts w:ascii="Calibri" w:hAnsi="Calibri"/>
          <w:b/>
          <w:bCs/>
        </w:rPr>
        <w:t xml:space="preserve">Nara Yorrane Pereira dos Santos </w:t>
      </w:r>
    </w:p>
    <w:p>
      <w:pPr>
        <w:pStyle w:val="Contedodatabela"/>
        <w:widowControl w:val="false"/>
        <w:jc w:val="center"/>
        <w:rPr/>
      </w:pPr>
      <w:r>
        <w:rPr>
          <w:rFonts w:ascii="Calibri" w:hAnsi="Calibri"/>
        </w:rPr>
        <w:t>S</w:t>
      </w:r>
      <w:r>
        <w:rPr>
          <w:rFonts w:eastAsia="NSimSun" w:cs="Lucida Sans" w:ascii="Calibri" w:hAnsi="Calibri"/>
          <w:color w:val="auto"/>
          <w:kern w:val="2"/>
        </w:rPr>
        <w:t>ecretaria de Desenvolvimento Social e Trabalho</w:t>
      </w:r>
    </w:p>
    <w:p>
      <w:pPr>
        <w:pStyle w:val="Contedodatabela"/>
        <w:widowControl w:val="false"/>
        <w:jc w:val="center"/>
        <w:rPr/>
      </w:pPr>
      <w:r>
        <w:rPr>
          <w:rFonts w:ascii="Calibri" w:hAnsi="Calibri"/>
        </w:rPr>
        <w:t>DECRETO 09/2021</w:t>
      </w:r>
    </w:p>
    <w:sectPr>
      <w:headerReference w:type="default" r:id="rId2"/>
      <w:footerReference w:type="default" r:id="rId3"/>
      <w:type w:val="nextPage"/>
      <w:pgSz w:w="11906" w:h="16838"/>
      <w:pgMar w:left="1077" w:right="1077" w:gutter="0" w:header="709" w:top="1900" w:footer="283" w:bottom="1587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CalIBRI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tabs>
        <w:tab w:val="clear" w:pos="4819"/>
        <w:tab w:val="clear" w:pos="9638"/>
        <w:tab w:val="center" w:pos="4419" w:leader="none"/>
        <w:tab w:val="left" w:pos="5812" w:leader="none"/>
        <w:tab w:val="right" w:pos="8838" w:leader="none"/>
      </w:tabs>
      <w:jc w:val="both"/>
      <w:rPr/>
    </w:pPr>
    <w:r>
      <w:rPr>
        <w:rStyle w:val="Hyperlink"/>
        <w:rFonts w:cs="Calibri" w:ascii="Calibri" w:hAnsi="Calibri"/>
        <w:color w:val="auto"/>
        <w:sz w:val="16"/>
        <w:szCs w:val="16"/>
        <w:u w:val="none"/>
      </w:rPr>
      <w:t>Classificação da informação contida no documento ( X ) Público  (    ) Sigiloso  (    ) Restrito  |  Qual restrição?</w:t>
    </w:r>
  </w:p>
  <w:p>
    <w:pPr>
      <w:pStyle w:val="Footer"/>
      <w:tabs>
        <w:tab w:val="clear" w:pos="4819"/>
        <w:tab w:val="clear" w:pos="9638"/>
        <w:tab w:val="center" w:pos="4419" w:leader="none"/>
        <w:tab w:val="left" w:pos="5812" w:leader="none"/>
        <w:tab w:val="right" w:pos="8838" w:leader="none"/>
      </w:tabs>
      <w:jc w:val="both"/>
      <w:rPr>
        <w:rStyle w:val="Hyperlink"/>
        <w:rFonts w:ascii="Calibri" w:hAnsi="Calibri" w:cs="Calibri"/>
        <w:color w:val="auto"/>
        <w:sz w:val="16"/>
        <w:szCs w:val="16"/>
        <w:u w:val="none"/>
      </w:rPr>
    </w:pPr>
    <w:r>
      <w:rPr>
        <w:rFonts w:cs="Calibri" w:ascii="Calibri" w:hAnsi="Calibri"/>
        <w:color w:val="auto"/>
        <w:sz w:val="16"/>
        <w:szCs w:val="16"/>
        <w:u w:val="none"/>
      </w:rPr>
    </w:r>
  </w:p>
  <w:p>
    <w:pPr>
      <w:pStyle w:val="Footer"/>
      <w:tabs>
        <w:tab w:val="clear" w:pos="4819"/>
        <w:tab w:val="clear" w:pos="9638"/>
        <w:tab w:val="center" w:pos="4419" w:leader="none"/>
        <w:tab w:val="left" w:pos="5812" w:leader="none"/>
        <w:tab w:val="right" w:pos="8838" w:leader="none"/>
      </w:tabs>
      <w:jc w:val="center"/>
      <w:rPr/>
    </w:pPr>
    <w:r>
      <w:rPr/>
    </w:r>
  </w:p>
  <w:p>
    <w:pPr>
      <w:pStyle w:val="Rodap1"/>
      <w:tabs>
        <w:tab w:val="center" w:pos="4419" w:leader="none"/>
        <w:tab w:val="left" w:pos="5812" w:leader="none"/>
        <w:tab w:val="right" w:pos="8838" w:leader="none"/>
      </w:tabs>
      <w:jc w:val="center"/>
      <w:rPr/>
    </w:pPr>
    <w:r>
      <w:rPr/>
    </w:r>
  </w:p>
  <w:p>
    <w:pPr>
      <w:pStyle w:val="Rodap1"/>
      <w:tabs>
        <w:tab w:val="center" w:pos="4419" w:leader="none"/>
        <w:tab w:val="left" w:pos="5812" w:leader="none"/>
        <w:tab w:val="right" w:pos="8838" w:leader="none"/>
      </w:tabs>
      <w:jc w:val="center"/>
      <w:rPr>
        <w:sz w:val="16"/>
        <w:szCs w:val="16"/>
      </w:rPr>
    </w:pPr>
    <w:r>
      <w:rPr>
        <w:sz w:val="16"/>
        <w:szCs w:val="16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0" distT="0" distB="0" distL="0" distR="0" simplePos="0" locked="0" layoutInCell="0" allowOverlap="1" relativeHeight="10">
          <wp:simplePos x="0" y="0"/>
          <wp:positionH relativeFrom="column">
            <wp:posOffset>-691515</wp:posOffset>
          </wp:positionH>
          <wp:positionV relativeFrom="paragraph">
            <wp:posOffset>-464820</wp:posOffset>
          </wp:positionV>
          <wp:extent cx="7559675" cy="1607820"/>
          <wp:effectExtent l="0" t="0" r="0" b="0"/>
          <wp:wrapSquare wrapText="largest"/>
          <wp:docPr id="1" name="Figura1" descr="Uma imagem contendo Tex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Uma imagem contendo Tex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0" r="0" b="80578"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607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94"/>
        </w:tabs>
        <w:ind w:left="754" w:hanging="754"/>
      </w:pPr>
      <w:rPr/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/>
    </w:lvl>
    <w:lvl w:ilvl="2">
      <w:start w:val="1"/>
      <w:numFmt w:val="decimal"/>
      <w:lvlText w:val="%1.%2.%3."/>
      <w:lvlJc w:val="left"/>
      <w:pPr>
        <w:tabs>
          <w:tab w:val="num" w:pos="1587"/>
        </w:tabs>
        <w:ind w:left="1587" w:hanging="793"/>
      </w:pPr>
      <w:rPr/>
    </w:lvl>
    <w:lvl w:ilvl="3">
      <w:start w:val="1"/>
      <w:numFmt w:val="decimal"/>
      <w:lvlText w:val="%1.%2.%3.%4."/>
      <w:lvlJc w:val="left"/>
      <w:pPr>
        <w:tabs>
          <w:tab w:val="num" w:pos="1587"/>
        </w:tabs>
        <w:ind w:left="2381" w:hanging="794"/>
      </w:pPr>
      <w:rPr/>
    </w:lvl>
    <w:lvl w:ilvl="4">
      <w:start w:val="1"/>
      <w:numFmt w:val="decimal"/>
      <w:lvlText w:val="%1.%2.%3.%4.%5."/>
      <w:lvlJc w:val="left"/>
      <w:pPr>
        <w:tabs>
          <w:tab w:val="num" w:pos="1985"/>
        </w:tabs>
        <w:ind w:left="2342" w:hanging="755"/>
      </w:pPr>
      <w:rPr/>
    </w:lvl>
    <w:lvl w:ilvl="5">
      <w:start w:val="1"/>
      <w:numFmt w:val="decimal"/>
      <w:lvlText w:val="%6."/>
      <w:lvlJc w:val="left"/>
      <w:pPr>
        <w:tabs>
          <w:tab w:val="num" w:pos="2381"/>
        </w:tabs>
        <w:ind w:left="2738" w:hanging="397"/>
      </w:pPr>
      <w:rPr/>
    </w:lvl>
    <w:lvl w:ilvl="6">
      <w:start w:val="1"/>
      <w:numFmt w:val="decimal"/>
      <w:lvlText w:val="%7."/>
      <w:lvlJc w:val="left"/>
      <w:pPr>
        <w:tabs>
          <w:tab w:val="num" w:pos="2778"/>
        </w:tabs>
        <w:ind w:left="3135" w:hanging="397"/>
      </w:pPr>
      <w:rPr/>
    </w:lvl>
    <w:lvl w:ilvl="7">
      <w:start w:val="1"/>
      <w:numFmt w:val="decimal"/>
      <w:lvlText w:val="%8."/>
      <w:lvlJc w:val="left"/>
      <w:pPr>
        <w:tabs>
          <w:tab w:val="num" w:pos="3175"/>
        </w:tabs>
        <w:ind w:left="3532" w:hanging="397"/>
      </w:pPr>
      <w:rPr/>
    </w:lvl>
    <w:lvl w:ilvl="8">
      <w:start w:val="1"/>
      <w:numFmt w:val="decimal"/>
      <w:lvlText w:val="%9."/>
      <w:lvlJc w:val="left"/>
      <w:pPr>
        <w:tabs>
          <w:tab w:val="num" w:pos="3572"/>
        </w:tabs>
        <w:ind w:left="3929" w:hanging="397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94"/>
        </w:tabs>
        <w:ind w:left="754" w:hanging="754"/>
      </w:pPr>
      <w:rPr>
        <w:sz w:val="24"/>
        <w:b/>
        <w:szCs w:val="24"/>
        <w:bCs/>
        <w:rFonts w:ascii="Calibri" w:hAnsi="Calibri" w:cs="Calibri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dstrike w:val="false"/>
        <w:strike w:val="false"/>
        <w:sz w:val="24"/>
        <w:b w:val="false"/>
        <w:szCs w:val="24"/>
        <w:bCs w:val="false"/>
        <w:rFonts w:ascii="Calibri" w:hAnsi="Calibri" w:eastAsia="Calibri" w:cs="Calibri"/>
        <w:color w:val="00000A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1587"/>
        </w:tabs>
        <w:ind w:left="1587" w:hanging="793"/>
      </w:pPr>
      <w:rPr>
        <w:sz w:val="24"/>
        <w:b w:val="false"/>
        <w:szCs w:val="24"/>
        <w:bCs w:val="false"/>
        <w:rFonts w:ascii="Calibri" w:hAnsi="Calibri" w:eastAsia="Calibri" w:cs="Calibri"/>
        <w:color w:val="000000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1587"/>
        </w:tabs>
        <w:ind w:left="2381" w:hanging="794"/>
      </w:pPr>
      <w:rPr>
        <w:sz w:val="24"/>
        <w:b w:val="false"/>
        <w:szCs w:val="24"/>
        <w:bCs w:val="false"/>
        <w:rFonts w:ascii="Calibri" w:hAnsi="Calibri" w:cs="Calibri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985"/>
        </w:tabs>
        <w:ind w:left="2342" w:hanging="755"/>
      </w:pPr>
      <w:rPr/>
    </w:lvl>
    <w:lvl w:ilvl="5">
      <w:start w:val="1"/>
      <w:numFmt w:val="decimal"/>
      <w:lvlText w:val="%6."/>
      <w:lvlJc w:val="left"/>
      <w:pPr>
        <w:tabs>
          <w:tab w:val="num" w:pos="2381"/>
        </w:tabs>
        <w:ind w:left="2738" w:hanging="397"/>
      </w:pPr>
      <w:rPr/>
    </w:lvl>
    <w:lvl w:ilvl="6">
      <w:start w:val="1"/>
      <w:numFmt w:val="decimal"/>
      <w:lvlText w:val="%7."/>
      <w:lvlJc w:val="left"/>
      <w:pPr>
        <w:tabs>
          <w:tab w:val="num" w:pos="2778"/>
        </w:tabs>
        <w:ind w:left="3135" w:hanging="397"/>
      </w:pPr>
      <w:rPr/>
    </w:lvl>
    <w:lvl w:ilvl="7">
      <w:start w:val="1"/>
      <w:numFmt w:val="decimal"/>
      <w:lvlText w:val="%8."/>
      <w:lvlJc w:val="left"/>
      <w:pPr>
        <w:tabs>
          <w:tab w:val="num" w:pos="3175"/>
        </w:tabs>
        <w:ind w:left="3532" w:hanging="397"/>
      </w:pPr>
      <w:rPr/>
    </w:lvl>
    <w:lvl w:ilvl="8">
      <w:start w:val="1"/>
      <w:numFmt w:val="decimal"/>
      <w:lvlText w:val="%9."/>
      <w:lvlJc w:val="left"/>
      <w:pPr>
        <w:tabs>
          <w:tab w:val="num" w:pos="3572"/>
        </w:tabs>
        <w:ind w:left="3929" w:hanging="397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;Times New Roma" w:hAnsi="Liberation Serif;Times New Roma" w:eastAsia="NSimSun" w:cs="Lucida Sans"/>
      <w:color w:val="auto"/>
      <w:kern w:val="2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Calibri" w:hAnsi="Calibri" w:cs="Calibri"/>
      <w:b/>
      <w:bCs/>
      <w:color w:val="FFFFFF"/>
      <w:sz w:val="24"/>
      <w:szCs w:val="24"/>
    </w:rPr>
  </w:style>
  <w:style w:type="character" w:styleId="WW8Num2z1" w:customStyle="1">
    <w:name w:val="WW8Num2z1"/>
    <w:qFormat/>
    <w:rPr>
      <w:rFonts w:ascii="Calibri" w:hAnsi="Calibri" w:eastAsia="Calibri" w:cs="Calibri"/>
      <w:b w:val="false"/>
      <w:bCs w:val="false"/>
      <w:strike w:val="false"/>
      <w:dstrike w:val="false"/>
      <w:color w:val="00000A"/>
      <w:sz w:val="24"/>
      <w:szCs w:val="24"/>
      <w:lang w:eastAsia="en-US"/>
    </w:rPr>
  </w:style>
  <w:style w:type="character" w:styleId="WW8Num2z2" w:customStyle="1">
    <w:name w:val="WW8Num2z2"/>
    <w:qFormat/>
    <w:rPr>
      <w:rFonts w:ascii="Calibri" w:hAnsi="Calibri" w:eastAsia="Calibri" w:cs="Calibri"/>
      <w:b w:val="false"/>
      <w:bCs w:val="false"/>
      <w:color w:val="000000"/>
      <w:sz w:val="24"/>
      <w:szCs w:val="24"/>
      <w:lang w:eastAsia="en-US"/>
    </w:rPr>
  </w:style>
  <w:style w:type="character" w:styleId="WW8Num2z3" w:customStyle="1">
    <w:name w:val="WW8Num2z3"/>
    <w:qFormat/>
    <w:rPr>
      <w:rFonts w:ascii="Calibri" w:hAnsi="Calibri" w:cs="Calibri"/>
      <w:b w:val="false"/>
      <w:bCs w:val="false"/>
      <w:color w:val="000000"/>
      <w:sz w:val="24"/>
      <w:szCs w:val="24"/>
    </w:rPr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Fontepargpadro1" w:customStyle="1">
    <w:name w:val="Fonte parág. padrão1"/>
    <w:qFormat/>
    <w:rPr/>
  </w:style>
  <w:style w:type="character" w:styleId="Hyperlink" w:customStyle="1">
    <w:name w:val="Hyperlink"/>
    <w:basedOn w:val="DefaultParagraphFont"/>
    <w:uiPriority w:val="99"/>
    <w:semiHidden/>
    <w:unhideWhenUsed/>
    <w:rsid w:val="00c63071"/>
    <w:rPr>
      <w:color w:val="0000FF"/>
      <w:u w:val="single"/>
    </w:rPr>
  </w:style>
  <w:style w:type="character" w:styleId="Smbolosdenumerao" w:customStyle="1">
    <w:name w:val="Símbolos de numeração"/>
    <w:qFormat/>
    <w:rPr/>
  </w:style>
  <w:style w:type="character" w:styleId="Entradadousurio" w:customStyle="1">
    <w:name w:val="Entrada do usuário"/>
    <w:qFormat/>
    <w:rPr>
      <w:rFonts w:ascii="Liberation Mono;Courier New" w:hAnsi="Liberation Mono;Courier New" w:eastAsia="NSimSun" w:cs="Liberation Mono;Courier New"/>
      <w:color w:val="00000A"/>
    </w:rPr>
  </w:style>
  <w:style w:type="character" w:styleId="FollowedHyperlink" w:customStyle="1">
    <w:name w:val="FollowedHyperlink"/>
    <w:rPr>
      <w:color w:val="800000"/>
      <w:u w:val="single"/>
    </w:rPr>
  </w:style>
  <w:style w:type="character" w:styleId="Marcas" w:customStyle="1">
    <w:name w:val="Marcas"/>
    <w:qFormat/>
    <w:rPr>
      <w:rFonts w:ascii="OpenSymbol;Arial Unicode MS" w:hAnsi="OpenSymbol;Arial Unicode MS" w:eastAsia="OpenSymbol;Arial Unicode MS" w:cs="OpenSymbol;Arial Unicode MS"/>
    </w:rPr>
  </w:style>
  <w:style w:type="character" w:styleId="TextodecomentrioChar" w:customStyle="1">
    <w:name w:val="Texto de comentário Char"/>
    <w:basedOn w:val="DefaultParagraphFont"/>
    <w:link w:val="Annotationtext"/>
    <w:uiPriority w:val="99"/>
    <w:semiHidden/>
    <w:qFormat/>
    <w:rPr>
      <w:rFonts w:ascii="Liberation Serif;Times New Roma" w:hAnsi="Liberation Serif;Times New Roma" w:cs="Mangal"/>
      <w:kern w:val="2"/>
      <w:sz w:val="20"/>
      <w:szCs w:val="18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Cf01" w:customStyle="1">
    <w:name w:val="cf01"/>
    <w:basedOn w:val="DefaultParagraphFont"/>
    <w:qFormat/>
    <w:rsid w:val="000750a8"/>
    <w:rPr>
      <w:rFonts w:ascii="Segoe UI" w:hAnsi="Segoe UI" w:cs="Segoe UI"/>
      <w:sz w:val="18"/>
      <w:szCs w:val="18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Source Han Sans CN" w:cs="Droid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itle">
    <w:name w:val="Title"/>
    <w:basedOn w:val="Normal"/>
    <w:next w:val="BodyText"/>
    <w:uiPriority w:val="10"/>
    <w:qFormat/>
    <w:pPr>
      <w:keepNext w:val="true"/>
      <w:spacing w:before="240" w:after="120"/>
    </w:pPr>
    <w:rPr>
      <w:rFonts w:ascii="Liberation Sans;Arial" w:hAnsi="Liberation Sans;Arial" w:eastAsia="Microsoft YaHe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i/>
      <w:iCs/>
    </w:rPr>
  </w:style>
  <w:style w:type="paragraph" w:styleId="CabealhoeRodap" w:customStyle="1">
    <w:name w:val="Cabeçalho e Rodapé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CabealhoeRodap"/>
    <w:pPr/>
    <w:rPr/>
  </w:style>
  <w:style w:type="paragraph" w:styleId="Footer">
    <w:name w:val="Footer"/>
    <w:basedOn w:val="CabealhoeRodap"/>
    <w:pPr/>
    <w:rPr/>
  </w:style>
  <w:style w:type="paragraph" w:styleId="Contedodalista" w:customStyle="1">
    <w:name w:val="Conteúdo da lista"/>
    <w:basedOn w:val="Normal"/>
    <w:qFormat/>
    <w:pPr>
      <w:ind w:hanging="0" w:left="567"/>
    </w:pPr>
    <w:rPr/>
  </w:style>
  <w:style w:type="paragraph" w:styleId="Rodap1" w:customStyle="1">
    <w:name w:val="Rodapé1"/>
    <w:basedOn w:val="Normal"/>
    <w:qFormat/>
    <w:pPr>
      <w:tabs>
        <w:tab w:val="clear" w:pos="720"/>
        <w:tab w:val="center" w:pos="4419" w:leader="none"/>
        <w:tab w:val="right" w:pos="8838" w:leader="none"/>
      </w:tabs>
    </w:pPr>
    <w:rPr>
      <w:rFonts w:ascii="Times New Roman" w:hAnsi="Times New Roman" w:eastAsia="Times New Roman" w:cs="Times New Roman"/>
      <w:color w:val="00000A"/>
      <w:sz w:val="20"/>
      <w:szCs w:val="20"/>
      <w:lang w:bidi="ar-SA"/>
    </w:rPr>
  </w:style>
  <w:style w:type="paragraph" w:styleId="CREMERJ" w:customStyle="1">
    <w:name w:val="CREMERJ"/>
    <w:basedOn w:val="Header"/>
    <w:qFormat/>
    <w:pPr>
      <w:numPr>
        <w:ilvl w:val="0"/>
        <w:numId w:val="1"/>
      </w:numPr>
      <w:jc w:val="both"/>
    </w:pPr>
    <w:rPr>
      <w:rFonts w:ascii="Times New Roman" w:hAnsi="Times New Roman" w:cs="Times New Roman"/>
    </w:rPr>
  </w:style>
  <w:style w:type="paragraph" w:styleId="Contedodatabela" w:customStyle="1">
    <w:name w:val="Conteúdo da tabela"/>
    <w:basedOn w:val="Standard"/>
    <w:qFormat/>
    <w:rsid w:val="00a16501"/>
    <w:pPr>
      <w:suppressLineNumbers/>
      <w:textAlignment w:val="baseline"/>
    </w:pPr>
    <w:rPr>
      <w:rFonts w:ascii="Liberation Serif" w:hAnsi="Liberation Serif" w:eastAsia="NSimSun" w:cs="Lucida Sans"/>
      <w:color w:val="auto"/>
    </w:rPr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Corpodetexto22" w:customStyle="1">
    <w:name w:val="Corpo de texto 22"/>
    <w:basedOn w:val="Normal"/>
    <w:qFormat/>
    <w:pPr>
      <w:tabs>
        <w:tab w:val="left" w:pos="720" w:leader="none"/>
        <w:tab w:val="left" w:pos="1440" w:leader="none"/>
        <w:tab w:val="left" w:pos="2160" w:leader="none"/>
        <w:tab w:val="left" w:pos="2880" w:leader="none"/>
      </w:tabs>
      <w:spacing w:lineRule="atLeast" w:line="240" w:before="280" w:after="280"/>
      <w:jc w:val="both"/>
    </w:pPr>
    <w:rPr>
      <w:rFonts w:ascii="Arial" w:hAnsi="Arial" w:cs="Times New Roman"/>
      <w:b/>
      <w:bCs/>
      <w:color w:val="000000"/>
    </w:rPr>
  </w:style>
  <w:style w:type="paragraph" w:styleId="Corpodetexto21" w:customStyle="1">
    <w:name w:val="Corpo de texto 21"/>
    <w:basedOn w:val="Normal"/>
    <w:qFormat/>
    <w:pPr>
      <w:tabs>
        <w:tab w:val="left" w:pos="720" w:leader="none"/>
        <w:tab w:val="left" w:pos="1440" w:leader="none"/>
        <w:tab w:val="left" w:pos="2160" w:leader="none"/>
        <w:tab w:val="left" w:pos="2880" w:leader="none"/>
      </w:tabs>
      <w:spacing w:lineRule="atLeast" w:line="240" w:before="280" w:after="280"/>
      <w:jc w:val="both"/>
    </w:pPr>
    <w:rPr>
      <w:rFonts w:ascii="Arial" w:hAnsi="Arial" w:cs="Times New Roman"/>
      <w:b/>
      <w:bCs/>
      <w:color w:val="000000"/>
    </w:rPr>
  </w:style>
  <w:style w:type="paragraph" w:styleId="PargrafodaLista1" w:customStyle="1">
    <w:name w:val="Parágrafo da Lista1"/>
    <w:basedOn w:val="Normal"/>
    <w:qFormat/>
    <w:pPr>
      <w:spacing w:before="0" w:after="0"/>
      <w:ind w:hanging="0" w:left="720"/>
      <w:contextualSpacing/>
    </w:pPr>
    <w:rPr/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Liberation Serif;Times New Roma" w:hAnsi="Liberation Serif;Times New Roma" w:eastAsia="SimSun" w:cs="Mangal"/>
      <w:color w:val="00000A"/>
      <w:kern w:val="2"/>
      <w:sz w:val="24"/>
      <w:szCs w:val="24"/>
      <w:lang w:val="pt-BR" w:eastAsia="zh-CN" w:bidi="hi-IN"/>
    </w:rPr>
  </w:style>
  <w:style w:type="paragraph" w:styleId="BodyTextIndent">
    <w:name w:val="Body Text Indent"/>
    <w:basedOn w:val="Normal"/>
    <w:pPr>
      <w:spacing w:before="0" w:after="120"/>
      <w:ind w:hanging="0" w:left="283"/>
    </w:pPr>
    <w:rPr>
      <w:rFonts w:cs="Times New Roman"/>
    </w:rPr>
  </w:style>
  <w:style w:type="paragraph" w:styleId="Default" w:customStyle="1">
    <w:name w:val="Default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NSimSun" w:cs="Mangal"/>
      <w:color w:val="000000"/>
      <w:kern w:val="2"/>
      <w:sz w:val="24"/>
      <w:szCs w:val="24"/>
      <w:lang w:val="pt-BR" w:eastAsia="zh-CN" w:bidi="hi-IN"/>
    </w:rPr>
  </w:style>
  <w:style w:type="paragraph" w:styleId="CREMERJ1" w:customStyle="1">
    <w:name w:val="CREMERJ_1"/>
    <w:basedOn w:val="Normal"/>
    <w:qFormat/>
    <w:pPr>
      <w:jc w:val="both"/>
    </w:pPr>
    <w:rPr/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/>
  </w:style>
  <w:style w:type="paragraph" w:styleId="NormalWeb">
    <w:name w:val="Normal (Web)"/>
    <w:basedOn w:val="Normal"/>
    <w:uiPriority w:val="99"/>
    <w:qFormat/>
    <w:pPr>
      <w:spacing w:before="100" w:after="100"/>
    </w:pPr>
    <w:rPr/>
  </w:style>
  <w:style w:type="paragraph" w:styleId="Tabelanormal1" w:customStyle="1">
    <w:name w:val="Tabela normal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0"/>
      <w:sz w:val="24"/>
      <w:szCs w:val="24"/>
      <w:lang w:val="pt-BR" w:eastAsia="zh-CN" w:bidi="hi-IN"/>
    </w:rPr>
  </w:style>
  <w:style w:type="paragraph" w:styleId="Annotationtext">
    <w:name w:val="annotation text"/>
    <w:basedOn w:val="Normal"/>
    <w:link w:val="TextodecomentrioChar"/>
    <w:uiPriority w:val="99"/>
    <w:semiHidden/>
    <w:unhideWhenUsed/>
    <w:qFormat/>
    <w:pPr/>
    <w:rPr>
      <w:rFonts w:cs="Mangal"/>
      <w:sz w:val="20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4F7951-208D-4FD6-AAD1-DFEA79471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2413</TotalTime>
  <Application>LibreOffice/7.6.2.1$Linux_X86_64 LibreOffice_project/60$Build-1</Application>
  <AppVersion>15.0000</AppVersion>
  <Pages>9</Pages>
  <Words>2399</Words>
  <Characters>13343</Characters>
  <CharactersWithSpaces>15522</CharactersWithSpaces>
  <Paragraphs>163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2024-01-19T17:48:00Z</dcterms:created>
  <dc:creator>André Carvalho de Almeida</dc:creator>
  <dc:description/>
  <dc:language>pt-BR</dc:language>
  <cp:lastModifiedBy/>
  <cp:lastPrinted>2024-02-07T09:31:58Z</cp:lastPrinted>
  <dcterms:modified xsi:type="dcterms:W3CDTF">2024-02-07T09:42:46Z</dcterms:modified>
  <cp:revision>7</cp:revision>
  <dc:subject/>
  <dc:title>Projeto Básico - Dispensa Eletrônica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