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69CF0" w14:textId="77777777" w:rsidR="003F472F" w:rsidRPr="00902E28" w:rsidRDefault="00000000">
      <w:pPr>
        <w:spacing w:after="40"/>
        <w:jc w:val="center"/>
        <w:rPr>
          <w:rFonts w:cs="Arial"/>
          <w:sz w:val="22"/>
          <w:lang w:val="pt-BR"/>
        </w:rPr>
      </w:pPr>
      <w:r w:rsidRPr="00902E28">
        <w:rPr>
          <w:rFonts w:cs="Arial"/>
          <w:b/>
          <w:sz w:val="22"/>
          <w:lang w:val="pt-BR"/>
        </w:rPr>
        <w:t>MEMÓRIA DE CÁLCULO DOS QUANTITATIVOS ESTIMADOS</w:t>
      </w:r>
    </w:p>
    <w:p w14:paraId="70FF753B" w14:textId="77777777" w:rsidR="003F472F" w:rsidRPr="00902E28" w:rsidRDefault="00000000">
      <w:pPr>
        <w:spacing w:after="40"/>
        <w:jc w:val="center"/>
        <w:rPr>
          <w:rFonts w:cs="Arial"/>
          <w:sz w:val="22"/>
          <w:lang w:val="pt-BR"/>
        </w:rPr>
      </w:pPr>
      <w:r w:rsidRPr="00902E28">
        <w:rPr>
          <w:rFonts w:cs="Arial"/>
          <w:b/>
          <w:sz w:val="22"/>
          <w:lang w:val="pt-BR"/>
        </w:rPr>
        <w:t>CREDENCIAMENTO DE SERVIÇOS MÉDICOS – HORA TÉCNICA MÉDICA</w:t>
      </w:r>
    </w:p>
    <w:p w14:paraId="134154AB" w14:textId="77777777" w:rsidR="003F472F" w:rsidRPr="00902E28" w:rsidRDefault="00000000">
      <w:pPr>
        <w:spacing w:after="200"/>
        <w:jc w:val="center"/>
        <w:rPr>
          <w:rFonts w:cs="Arial"/>
          <w:sz w:val="22"/>
          <w:lang w:val="pt-BR"/>
        </w:rPr>
      </w:pPr>
      <w:r w:rsidRPr="00CC3A01">
        <w:rPr>
          <w:lang w:val="pt-BR"/>
        </w:rPr>
        <w:t>ITENS 01 A 05 – ESTIMATIVA INICIAL PARA FORMALIZAÇÃO DA DEMANDA</w:t>
      </w:r>
    </w:p>
    <w:p w14:paraId="4C59DDE4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Objeto: Credenciamento de pessoas jurídicas para prestação de serviços médicos presenciais, remunerados por hora técnica médica efetivamente trabalhada, nas especialidades de Clínica Geral, Ginecologia, Geriatria, Pediatria e Psiquiatria, conforme demanda dos Municípios consorciados ao CONISA.</w:t>
      </w:r>
    </w:p>
    <w:p w14:paraId="2EA24F64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 w:rsidRPr="00902E28">
        <w:rPr>
          <w:rFonts w:ascii="Arial" w:hAnsi="Arial" w:cs="Arial"/>
          <w:color w:val="auto"/>
          <w:sz w:val="22"/>
          <w:szCs w:val="22"/>
          <w:lang w:val="pt-BR"/>
        </w:rPr>
        <w:t>1. FINALIDADE</w:t>
      </w:r>
    </w:p>
    <w:p w14:paraId="23CC87D2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A presente Memória de Cálculo tem por finalidade demonstrar a metodologia utilizada para a estimativa inicial dos quantitativos de horas técnicas médicas necessárias ao atendimento dos Municípios consorciados ao CONISA, nas especialidades de Clínica Geral, Ginecologia, Geriatria, Pediatria e Psiquiatria, servindo de suporte à formalização da demanda e às etapas subsequentes do planejamento da contratação.</w:t>
      </w:r>
    </w:p>
    <w:p w14:paraId="78834A9E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A estimativa considera a abrangência populacional do Consórcio e a previsão inicial de capacidade de atendimento de cada um dos cinco serviços, diante da inexistência, nesta fase, de série histórica consolidada de consumo por especialidade. Os quantitativos possuem natureza estimativa e destinam-se ao dimensionamento da capacidade potencial do credenciamento, não constituindo obrigação de consumo, reserva de demanda ou garantia mínima de contratação.</w:t>
      </w:r>
    </w:p>
    <w:p w14:paraId="5FD28C9A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 w:rsidRPr="00902E28">
        <w:rPr>
          <w:rFonts w:ascii="Arial" w:hAnsi="Arial" w:cs="Arial"/>
          <w:color w:val="auto"/>
          <w:sz w:val="22"/>
          <w:szCs w:val="22"/>
          <w:lang w:val="pt-BR"/>
        </w:rPr>
        <w:t>2. BASE POPULACIONAL UTILIZADA</w:t>
      </w:r>
    </w:p>
    <w:p w14:paraId="2B68DDDE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Para o dimensionamento foi considerada a população residente dos 41 Municípios integrantes do CONISA, adotando-se como marco uniforme a população do Censo Demográfico 2022 do Instituto Brasileiro de Geografia e Estatística – IBGE. A utilização de uma única data-base assegura homogeneidade e rastreabilidade ao cálculo.</w:t>
      </w:r>
    </w:p>
    <w:p w14:paraId="71145308" w14:textId="77777777" w:rsidR="003F472F" w:rsidRPr="00902E28" w:rsidRDefault="00000000">
      <w:pPr>
        <w:rPr>
          <w:rFonts w:cs="Arial"/>
          <w:sz w:val="22"/>
          <w:lang w:val="pt-BR"/>
        </w:rPr>
      </w:pPr>
      <w:r w:rsidRPr="00902E28">
        <w:rPr>
          <w:rFonts w:cs="Arial"/>
          <w:b/>
          <w:sz w:val="22"/>
          <w:lang w:val="pt-BR"/>
        </w:rPr>
        <w:t>A soma da população considerada corresponde a 158.438 habitantes.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66"/>
        <w:gridCol w:w="2364"/>
        <w:gridCol w:w="2364"/>
        <w:gridCol w:w="2364"/>
      </w:tblGrid>
      <w:tr w:rsidR="00902E28" w:rsidRPr="00902E28" w14:paraId="6B748678" w14:textId="77777777">
        <w:trPr>
          <w:cantSplit/>
          <w:tblHeader/>
          <w:jc w:val="center"/>
        </w:trPr>
        <w:tc>
          <w:tcPr>
            <w:tcW w:w="2367" w:type="dxa"/>
            <w:shd w:val="clear" w:color="auto" w:fill="D9E2F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C23B64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b/>
                <w:sz w:val="22"/>
              </w:rPr>
              <w:t>Município</w:t>
            </w:r>
            <w:proofErr w:type="spellEnd"/>
          </w:p>
        </w:tc>
        <w:tc>
          <w:tcPr>
            <w:tcW w:w="2367" w:type="dxa"/>
            <w:shd w:val="clear" w:color="auto" w:fill="D9E2F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6D2AF1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População</w:t>
            </w:r>
          </w:p>
        </w:tc>
        <w:tc>
          <w:tcPr>
            <w:tcW w:w="2367" w:type="dxa"/>
            <w:shd w:val="clear" w:color="auto" w:fill="D9E2F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015418F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Município</w:t>
            </w:r>
          </w:p>
        </w:tc>
        <w:tc>
          <w:tcPr>
            <w:tcW w:w="2367" w:type="dxa"/>
            <w:shd w:val="clear" w:color="auto" w:fill="D9E2F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A80D4E7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População</w:t>
            </w:r>
          </w:p>
        </w:tc>
      </w:tr>
      <w:tr w:rsidR="00902E28" w:rsidRPr="00902E28" w14:paraId="25A5F931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057A0A7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Alpestre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CBB18A2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7.117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0ACE354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Lajeado do Bugre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399FDAE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2.601</w:t>
            </w:r>
          </w:p>
        </w:tc>
      </w:tr>
      <w:tr w:rsidR="00902E28" w:rsidRPr="00902E28" w14:paraId="4AD011F1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B55A5BD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Ametista</w:t>
            </w:r>
            <w:proofErr w:type="spellEnd"/>
            <w:r w:rsidRPr="00902E28">
              <w:rPr>
                <w:rFonts w:cs="Arial"/>
                <w:sz w:val="22"/>
              </w:rPr>
              <w:t xml:space="preserve">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FC434CD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7.650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52A811A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Liberato Salzano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AA79A1D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4.781</w:t>
            </w:r>
          </w:p>
        </w:tc>
      </w:tr>
      <w:tr w:rsidR="00902E28" w:rsidRPr="00902E28" w14:paraId="01BFD6E6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B4D285D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Barra Funda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A123B2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2.498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873DF98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Mariano Moro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055AC4D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1.858</w:t>
            </w:r>
          </w:p>
        </w:tc>
      </w:tr>
      <w:tr w:rsidR="00902E28" w:rsidRPr="00902E28" w14:paraId="6AA2CB35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7A3EFA0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Barra do Rio Azul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2C9E34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1.696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5BDE989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Nonoai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1B512E6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13.719</w:t>
            </w:r>
          </w:p>
        </w:tc>
      </w:tr>
      <w:tr w:rsidR="00902E28" w:rsidRPr="00902E28" w14:paraId="600F422A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25A9F4D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Benjamin Constant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99E07CA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2.082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E9DC0C6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Nova Boa Vista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4F96E7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2.042</w:t>
            </w:r>
          </w:p>
        </w:tc>
      </w:tr>
      <w:tr w:rsidR="00902E28" w:rsidRPr="00902E28" w14:paraId="3E04022B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46A1FEC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 xml:space="preserve">Boa Vista das </w:t>
            </w:r>
            <w:proofErr w:type="spellStart"/>
            <w:r w:rsidRPr="00902E28">
              <w:rPr>
                <w:rFonts w:cs="Arial"/>
                <w:sz w:val="22"/>
              </w:rPr>
              <w:t>Missões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657725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1.933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3C9F94D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Novo Barreiro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66DD153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4.272</w:t>
            </w:r>
          </w:p>
        </w:tc>
      </w:tr>
      <w:tr w:rsidR="00902E28" w:rsidRPr="00902E28" w14:paraId="5CAE050E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AD3FB1F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Carlos Gomes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55A362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1.368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D69DF9B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Novo Xingu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1B44AFF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1.646</w:t>
            </w:r>
          </w:p>
        </w:tc>
      </w:tr>
      <w:tr w:rsidR="00902E28" w:rsidRPr="00902E28" w14:paraId="5473D8BF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B04E3EC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Centenário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A8958D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2.721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F7DFA45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Ponte Preta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EF6FDD0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1.575</w:t>
            </w:r>
          </w:p>
        </w:tc>
      </w:tr>
      <w:tr w:rsidR="00902E28" w:rsidRPr="00902E28" w14:paraId="2553C667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4EFC76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Cerro Grande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0383C58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2.379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6FD104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Planalto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4B2402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10.406</w:t>
            </w:r>
          </w:p>
        </w:tc>
      </w:tr>
      <w:tr w:rsidR="00902E28" w:rsidRPr="00902E28" w14:paraId="78AC5D4E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9EF13AB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Constantina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3D24E1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10.385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60A2FA1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Pontão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FD20F93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3.296</w:t>
            </w:r>
          </w:p>
        </w:tc>
      </w:tr>
      <w:tr w:rsidR="00902E28" w:rsidRPr="00902E28" w14:paraId="5E8F2A06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784708D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 xml:space="preserve">Cristal </w:t>
            </w:r>
            <w:proofErr w:type="gramStart"/>
            <w:r w:rsidRPr="00902E28">
              <w:rPr>
                <w:rFonts w:cs="Arial"/>
                <w:sz w:val="22"/>
              </w:rPr>
              <w:t>do</w:t>
            </w:r>
            <w:proofErr w:type="gramEnd"/>
            <w:r w:rsidRPr="00902E28">
              <w:rPr>
                <w:rFonts w:cs="Arial"/>
                <w:sz w:val="22"/>
              </w:rPr>
              <w:t xml:space="preserve">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EDE846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2.692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98A1938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Rio dos Índios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1F63D02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2.835</w:t>
            </w:r>
          </w:p>
        </w:tc>
      </w:tr>
      <w:tr w:rsidR="00902E28" w:rsidRPr="00902E28" w14:paraId="5068585D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54C2025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lastRenderedPageBreak/>
              <w:t>Cruzaltense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479EE81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1.635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4BF9425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Ronda Alta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4A31BA5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9.777</w:t>
            </w:r>
          </w:p>
        </w:tc>
      </w:tr>
      <w:tr w:rsidR="00902E28" w:rsidRPr="00902E28" w14:paraId="12F3F42B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12D64E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Engenho Velho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3B4451A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1.296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5CBDD52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Sagrada Família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F67BB1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2.480</w:t>
            </w:r>
          </w:p>
        </w:tc>
      </w:tr>
      <w:tr w:rsidR="00902E28" w:rsidRPr="00902E28" w14:paraId="43165304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3EAD84F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Entre Rios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3791B80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2.685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820DE4E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São Pedro das Missões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FFD4A40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1.757</w:t>
            </w:r>
          </w:p>
        </w:tc>
      </w:tr>
      <w:tr w:rsidR="00902E28" w:rsidRPr="00902E28" w14:paraId="66478DE4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A7B8B28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Erebango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965B0C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3.054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32F82D9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São José das Missões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0BB8E1B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2.362</w:t>
            </w:r>
          </w:p>
        </w:tc>
      </w:tr>
      <w:tr w:rsidR="00902E28" w:rsidRPr="00902E28" w14:paraId="24613C75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21B5199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Faxinalzinho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D163864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2.520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87E3E0D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Severiano de Almeida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1F5DE0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3.406</w:t>
            </w:r>
          </w:p>
        </w:tc>
      </w:tr>
      <w:tr w:rsidR="00902E28" w:rsidRPr="00902E28" w14:paraId="7E046FA1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59256D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Gaurama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3FDA709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5.665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4FDAEFC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Três Arroios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32E9B31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2.591</w:t>
            </w:r>
          </w:p>
        </w:tc>
      </w:tr>
      <w:tr w:rsidR="00902E28" w:rsidRPr="00902E28" w14:paraId="3A1687A9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B3B629C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Ipiranga</w:t>
            </w:r>
            <w:proofErr w:type="spellEnd"/>
            <w:r w:rsidRPr="00902E28">
              <w:rPr>
                <w:rFonts w:cs="Arial"/>
                <w:sz w:val="22"/>
              </w:rPr>
              <w:t xml:space="preserve">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42BC8A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1.720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B47A0A6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Três Palmeiras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EAC1B8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4.716</w:t>
            </w:r>
          </w:p>
        </w:tc>
      </w:tr>
      <w:tr w:rsidR="00902E28" w:rsidRPr="00902E28" w14:paraId="127EE18C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D5F33BE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 xml:space="preserve">Gramado dos </w:t>
            </w:r>
            <w:proofErr w:type="spellStart"/>
            <w:r w:rsidRPr="00902E28">
              <w:rPr>
                <w:rFonts w:cs="Arial"/>
                <w:sz w:val="22"/>
              </w:rPr>
              <w:t>Loureiros</w:t>
            </w:r>
            <w:proofErr w:type="spellEnd"/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850AF3B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2.014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A5F2E8B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Trindade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089689B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7.556</w:t>
            </w:r>
          </w:p>
        </w:tc>
      </w:tr>
      <w:tr w:rsidR="00902E28" w:rsidRPr="00902E28" w14:paraId="4B107D86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9F662B" w14:textId="77777777" w:rsidR="003F472F" w:rsidRPr="00902E28" w:rsidRDefault="00000000">
            <w:pPr>
              <w:rPr>
                <w:rFonts w:cs="Arial"/>
                <w:sz w:val="22"/>
              </w:rPr>
            </w:pPr>
            <w:proofErr w:type="spellStart"/>
            <w:r w:rsidRPr="00902E28">
              <w:rPr>
                <w:rFonts w:cs="Arial"/>
                <w:sz w:val="22"/>
              </w:rPr>
              <w:t>Itatiba</w:t>
            </w:r>
            <w:proofErr w:type="spellEnd"/>
            <w:r w:rsidRPr="00902E28">
              <w:rPr>
                <w:rFonts w:cs="Arial"/>
                <w:sz w:val="22"/>
              </w:rPr>
              <w:t xml:space="preserve"> do Sul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61F3CD7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3.208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76DC6F0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Vicente Dutra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975E64A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4.665</w:t>
            </w:r>
          </w:p>
        </w:tc>
      </w:tr>
      <w:tr w:rsidR="00902E28" w:rsidRPr="00902E28" w14:paraId="0D0AF3C6" w14:textId="77777777">
        <w:trPr>
          <w:cantSplit/>
          <w:jc w:val="center"/>
        </w:trPr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2AC52F3" w14:textId="77777777" w:rsidR="003F472F" w:rsidRPr="00902E28" w:rsidRDefault="00000000">
            <w:pPr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Jaboticaba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7F702E1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sz w:val="22"/>
              </w:rPr>
              <w:t>3.779</w:t>
            </w: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A3639F9" w14:textId="77777777" w:rsidR="003F472F" w:rsidRPr="00902E28" w:rsidRDefault="003F472F">
            <w:pPr>
              <w:rPr>
                <w:rFonts w:cs="Arial"/>
                <w:sz w:val="22"/>
              </w:rPr>
            </w:pPr>
          </w:p>
        </w:tc>
        <w:tc>
          <w:tcPr>
            <w:tcW w:w="236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D5ABCD5" w14:textId="77777777" w:rsidR="003F472F" w:rsidRPr="00902E28" w:rsidRDefault="003F472F">
            <w:pPr>
              <w:rPr>
                <w:rFonts w:cs="Arial"/>
                <w:sz w:val="22"/>
              </w:rPr>
            </w:pPr>
          </w:p>
        </w:tc>
      </w:tr>
      <w:tr w:rsidR="00902E28" w:rsidRPr="00902E28" w14:paraId="7DD93201" w14:textId="77777777">
        <w:trPr>
          <w:cantSplit/>
          <w:jc w:val="center"/>
        </w:trPr>
        <w:tc>
          <w:tcPr>
            <w:tcW w:w="7101" w:type="dxa"/>
            <w:gridSpan w:val="3"/>
            <w:shd w:val="clear" w:color="auto" w:fill="E2F0D9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836B5D6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TOTAL – 41 MUNICÍPIOS</w:t>
            </w:r>
          </w:p>
        </w:tc>
        <w:tc>
          <w:tcPr>
            <w:tcW w:w="2367" w:type="dxa"/>
            <w:shd w:val="clear" w:color="auto" w:fill="E2F0D9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5EADACF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158.438</w:t>
            </w:r>
          </w:p>
        </w:tc>
      </w:tr>
    </w:tbl>
    <w:p w14:paraId="10604568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</w:rPr>
      </w:pPr>
      <w:r w:rsidRPr="00902E28">
        <w:rPr>
          <w:rFonts w:ascii="Arial" w:hAnsi="Arial" w:cs="Arial"/>
          <w:color w:val="auto"/>
          <w:sz w:val="22"/>
          <w:szCs w:val="22"/>
        </w:rPr>
        <w:t>3. PREMISSA DE DIMENSIONAMENTO POPULACIONAL</w:t>
      </w:r>
    </w:p>
    <w:p w14:paraId="58534FC4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Considerando a inexistência de série histórica própria suficientemente consolidada de horas médicas utilizadas por Município e por especialidade, o dimensionamento inicial adota as capacidades mensais previstas para cada um dos cinco serviços: 198 horas de Clínica Geral e 77 horas para cada uma das outras quatro especialidades. Esses quantitativos representam premissas administrativas de planejamento, sujeitas à validação pela área requisitante e à revisão com base na demanda efetivamente registrada.</w:t>
      </w:r>
    </w:p>
    <w:p w14:paraId="0F27F9C2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A população de 158.438 habitantes constitui referência para a abrangência territorial e assistencial do credenciamento. A estimativa global de 6.072 horas anuais equivale, apenas como indicador agregado, a aproximadamente 2,30 minutos de capacidade médica por habitante ao ano. Esse indicador é decorrência do quantitativo planejado, e não a premissa utilizada para calculá-lo; não representa duração de consulta, taxa epidemiológica, frequência obrigatória de atendimento nem garantia de utilização individual.</w:t>
      </w:r>
    </w:p>
    <w:p w14:paraId="0BA53C01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</w:rPr>
      </w:pPr>
      <w:r w:rsidRPr="00902E28">
        <w:rPr>
          <w:rFonts w:ascii="Arial" w:hAnsi="Arial" w:cs="Arial"/>
          <w:color w:val="auto"/>
          <w:sz w:val="22"/>
          <w:szCs w:val="22"/>
        </w:rPr>
        <w:t>4. CÁLCULO DO QUANTITATIVO GLOBAL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29"/>
        <w:gridCol w:w="4729"/>
      </w:tblGrid>
      <w:tr w:rsidR="00902E28" w:rsidRPr="00902E28" w14:paraId="5BBE6534" w14:textId="77777777">
        <w:trPr>
          <w:cantSplit/>
          <w:tblHeader/>
          <w:jc w:val="center"/>
        </w:trPr>
        <w:tc>
          <w:tcPr>
            <w:tcW w:w="4734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FBB280" w14:textId="77777777" w:rsidR="000F0D18" w:rsidRDefault="00000000">
            <w:r>
              <w:t>População de referência</w:t>
            </w:r>
          </w:p>
        </w:tc>
        <w:tc>
          <w:tcPr>
            <w:tcW w:w="4734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EFBC4EC" w14:textId="77777777" w:rsidR="000F0D18" w:rsidRDefault="00000000">
            <w:r>
              <w:t>158.438 habitantes</w:t>
            </w:r>
          </w:p>
        </w:tc>
      </w:tr>
      <w:tr w:rsidR="00902E28" w:rsidRPr="00902E28" w14:paraId="5AC28C3C" w14:textId="77777777">
        <w:trPr>
          <w:cantSplit/>
          <w:jc w:val="center"/>
        </w:trPr>
        <w:tc>
          <w:tcPr>
            <w:tcW w:w="473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3D6311" w14:textId="77777777" w:rsidR="000F0D18" w:rsidRDefault="00000000">
            <w:r>
              <w:t>Capacidade mensal estimada</w:t>
            </w:r>
          </w:p>
        </w:tc>
        <w:tc>
          <w:tcPr>
            <w:tcW w:w="473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80E6195" w14:textId="77777777" w:rsidR="000F0D18" w:rsidRDefault="00000000">
            <w:r>
              <w:t>198 + (4 × 77) = 506 horas/mês</w:t>
            </w:r>
          </w:p>
        </w:tc>
      </w:tr>
      <w:tr w:rsidR="00902E28" w:rsidRPr="00902E28" w14:paraId="70949683" w14:textId="77777777">
        <w:trPr>
          <w:cantSplit/>
          <w:jc w:val="center"/>
        </w:trPr>
        <w:tc>
          <w:tcPr>
            <w:tcW w:w="473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8AC46B" w14:textId="77777777" w:rsidR="000F0D18" w:rsidRDefault="00000000">
            <w:r>
              <w:t>Cálculo anual</w:t>
            </w:r>
          </w:p>
        </w:tc>
        <w:tc>
          <w:tcPr>
            <w:tcW w:w="473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9E28EC" w14:textId="77777777" w:rsidR="000F0D18" w:rsidRDefault="00000000">
            <w:r>
              <w:t>506 × 12 = 6.072 horas/ano</w:t>
            </w:r>
          </w:p>
        </w:tc>
      </w:tr>
      <w:tr w:rsidR="00902E28" w:rsidRPr="00902E28" w14:paraId="7992E218" w14:textId="77777777">
        <w:trPr>
          <w:cantSplit/>
          <w:jc w:val="center"/>
        </w:trPr>
        <w:tc>
          <w:tcPr>
            <w:tcW w:w="4734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F5F02F3" w14:textId="77777777" w:rsidR="000F0D18" w:rsidRDefault="00000000">
            <w:r>
              <w:t>Quantidade operacional adotada</w:t>
            </w:r>
          </w:p>
        </w:tc>
        <w:tc>
          <w:tcPr>
            <w:tcW w:w="4734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B00D25C" w14:textId="77777777" w:rsidR="000F0D18" w:rsidRDefault="00000000">
            <w:r>
              <w:t>6.072 horas/ano = 506 horas/mês</w:t>
            </w:r>
          </w:p>
        </w:tc>
      </w:tr>
    </w:tbl>
    <w:p w14:paraId="12F8A849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O quantitativo global de 6.072 horas técnicas médicas anuais resulta da soma dos quantitativos mensais inicialmente planejados para as cinco especialidades, multiplicados por 12 meses. A quantidade corresponde a uma estimativa operacional de capacidade, sem garantia de contratação ou consumo pelos Municípios consorciados.</w:t>
      </w:r>
    </w:p>
    <w:p w14:paraId="685CABD8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 w:rsidRPr="00902E28">
        <w:rPr>
          <w:rFonts w:ascii="Arial" w:hAnsi="Arial" w:cs="Arial"/>
          <w:color w:val="auto"/>
          <w:sz w:val="22"/>
          <w:szCs w:val="22"/>
          <w:lang w:val="pt-BR"/>
        </w:rPr>
        <w:t>5. CRITÉRIO DE DISTRIBUIÇÃO ENTRE OS SERVIÇOS</w:t>
      </w:r>
    </w:p>
    <w:p w14:paraId="46396791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A capacidade anual estimada foi distribuída entre as cinco especialidades conforme os quantitativos mensais de planejamento: Clínica Geral, 198 horas por mês; Ginecologia, Geriatria, Pediatria e Psiquiatria, 77 horas por mês cada. A participação percentual de cada item foi calculada sobre o total de 506 horas mensais, sendo meramente descritiva da distribuição adotada.</w:t>
      </w:r>
    </w:p>
    <w:p w14:paraId="2347074F" w14:textId="77777777" w:rsidR="003F472F" w:rsidRPr="00902E28" w:rsidRDefault="00000000">
      <w:pPr>
        <w:rPr>
          <w:rFonts w:cs="Arial"/>
          <w:sz w:val="22"/>
          <w:lang w:val="pt-BR"/>
        </w:rPr>
      </w:pPr>
      <w:r w:rsidRPr="00CC3A01">
        <w:rPr>
          <w:lang w:val="pt-BR"/>
        </w:rPr>
        <w:t>A soma dos cinco quantitativos corresponde a 506 horas mensais e 6.072 horas anuais. As participações percentuais aproximadas são 39,13% para Clínica Geral e 15,22% para cada uma das quatro demais especialidades, totalizando 100% antes dos arredondamentos.</w:t>
      </w:r>
    </w:p>
    <w:p w14:paraId="76F02F2C" w14:textId="77777777" w:rsidR="00A21340" w:rsidRDefault="00000000">
      <w:r>
        <w:rPr>
          <w:i/>
        </w:rPr>
        <w:t>Nota: Os percentuais apresentados foram arredondados para duas casas decimais, podendo ocorrer diferença residual de arredondamento. Os quantitativos de horas mensais e anuais constituem os parâmetros efetivos do dimensionamento.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5159"/>
        <w:gridCol w:w="1020"/>
        <w:gridCol w:w="1134"/>
        <w:gridCol w:w="1134"/>
      </w:tblGrid>
      <w:tr w:rsidR="00902E28" w:rsidRPr="00902E28" w14:paraId="15E846D0" w14:textId="77777777">
        <w:trPr>
          <w:cantSplit/>
          <w:tblHeader/>
          <w:jc w:val="center"/>
        </w:trPr>
        <w:tc>
          <w:tcPr>
            <w:tcW w:w="680" w:type="dxa"/>
            <w:shd w:val="clear" w:color="auto" w:fill="D9E2F3"/>
          </w:tcPr>
          <w:p w14:paraId="774EA424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ITEM</w:t>
            </w:r>
          </w:p>
        </w:tc>
        <w:tc>
          <w:tcPr>
            <w:tcW w:w="5159" w:type="dxa"/>
            <w:shd w:val="clear" w:color="auto" w:fill="D9E2F3"/>
          </w:tcPr>
          <w:p w14:paraId="1EFBEE58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SERVIÇO</w:t>
            </w:r>
          </w:p>
        </w:tc>
        <w:tc>
          <w:tcPr>
            <w:tcW w:w="1020" w:type="dxa"/>
            <w:shd w:val="clear" w:color="auto" w:fill="D9E2F3"/>
          </w:tcPr>
          <w:p w14:paraId="41F363C9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PESO</w:t>
            </w:r>
          </w:p>
        </w:tc>
        <w:tc>
          <w:tcPr>
            <w:tcW w:w="1134" w:type="dxa"/>
            <w:shd w:val="clear" w:color="auto" w:fill="D9E2F3"/>
          </w:tcPr>
          <w:p w14:paraId="3147EA3D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H/MÊS</w:t>
            </w:r>
          </w:p>
        </w:tc>
        <w:tc>
          <w:tcPr>
            <w:tcW w:w="1134" w:type="dxa"/>
            <w:shd w:val="clear" w:color="auto" w:fill="D9E2F3"/>
          </w:tcPr>
          <w:p w14:paraId="2EF2064B" w14:textId="77777777" w:rsidR="003F472F" w:rsidRPr="00902E28" w:rsidRDefault="00000000">
            <w:pPr>
              <w:jc w:val="center"/>
              <w:rPr>
                <w:rFonts w:cs="Arial"/>
                <w:sz w:val="22"/>
              </w:rPr>
            </w:pPr>
            <w:r w:rsidRPr="00902E28">
              <w:rPr>
                <w:rFonts w:cs="Arial"/>
                <w:b/>
                <w:sz w:val="22"/>
              </w:rPr>
              <w:t>H/ANO</w:t>
            </w:r>
          </w:p>
        </w:tc>
      </w:tr>
      <w:tr w:rsidR="00902E28" w:rsidRPr="00902E28" w14:paraId="02F4AAB1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0AF14BB1" w14:textId="77777777" w:rsidR="000F0D18" w:rsidRDefault="00000000">
            <w:r>
              <w:t>01</w:t>
            </w:r>
          </w:p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65F18CA1" w14:textId="77777777" w:rsidR="000F0D18" w:rsidRPr="00CC3A01" w:rsidRDefault="00000000">
            <w:pPr>
              <w:rPr>
                <w:lang w:val="pt-BR"/>
              </w:rPr>
            </w:pPr>
            <w:r w:rsidRPr="00CC3A01">
              <w:rPr>
                <w:lang w:val="pt-BR"/>
              </w:rPr>
              <w:t>Prestação de Serviços Médicos – Clínica Geral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7EACF9B1" w14:textId="77777777" w:rsidR="000F0D18" w:rsidRDefault="00000000">
            <w:r>
              <w:t>39,13%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4CF3E925" w14:textId="77777777" w:rsidR="000F0D18" w:rsidRDefault="00000000">
            <w:r>
              <w:t>198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4444155F" w14:textId="77777777" w:rsidR="000F0D18" w:rsidRDefault="00000000">
            <w:r>
              <w:t>2.376</w:t>
            </w:r>
          </w:p>
        </w:tc>
      </w:tr>
      <w:tr w:rsidR="00902E28" w:rsidRPr="00902E28" w14:paraId="7B91B461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7F44FF38" w14:textId="77777777" w:rsidR="000F0D18" w:rsidRDefault="00000000">
            <w:r>
              <w:t>02</w:t>
            </w:r>
          </w:p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15000D05" w14:textId="77777777" w:rsidR="000F0D18" w:rsidRPr="00CC3A01" w:rsidRDefault="00000000">
            <w:pPr>
              <w:rPr>
                <w:lang w:val="pt-BR"/>
              </w:rPr>
            </w:pPr>
            <w:r w:rsidRPr="00CC3A01">
              <w:rPr>
                <w:lang w:val="pt-BR"/>
              </w:rPr>
              <w:t>Prestação de Serviços Médicos – Ginecologia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3E00452B" w14:textId="77777777" w:rsidR="000F0D18" w:rsidRDefault="00000000">
            <w:r>
              <w:t>15,22%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2B6A5FFC" w14:textId="77777777" w:rsidR="000F0D18" w:rsidRDefault="00000000">
            <w:r>
              <w:t>77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2AF10676" w14:textId="77777777" w:rsidR="000F0D18" w:rsidRDefault="00000000">
            <w:r>
              <w:t>924</w:t>
            </w:r>
          </w:p>
        </w:tc>
      </w:tr>
      <w:tr w:rsidR="00902E28" w:rsidRPr="00902E28" w14:paraId="4534566F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1FC1F370" w14:textId="77777777" w:rsidR="000F0D18" w:rsidRDefault="00000000">
            <w:r>
              <w:t>03</w:t>
            </w:r>
          </w:p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6EA4CF73" w14:textId="77777777" w:rsidR="000F0D18" w:rsidRPr="00CC3A01" w:rsidRDefault="00000000">
            <w:pPr>
              <w:rPr>
                <w:lang w:val="pt-BR"/>
              </w:rPr>
            </w:pPr>
            <w:r w:rsidRPr="00CC3A01">
              <w:rPr>
                <w:lang w:val="pt-BR"/>
              </w:rPr>
              <w:t>Prestação de Serviços Médicos – Geriatria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43B75EB8" w14:textId="77777777" w:rsidR="000F0D18" w:rsidRDefault="00000000">
            <w:r>
              <w:t>15,22%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6CB9A111" w14:textId="77777777" w:rsidR="000F0D18" w:rsidRDefault="00000000">
            <w:r>
              <w:t>77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2864FC6B" w14:textId="77777777" w:rsidR="000F0D18" w:rsidRDefault="00000000">
            <w:r>
              <w:t>924</w:t>
            </w:r>
          </w:p>
        </w:tc>
      </w:tr>
      <w:tr w:rsidR="00902E28" w:rsidRPr="00902E28" w14:paraId="4E3085F9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03E4B7B2" w14:textId="77777777" w:rsidR="000F0D18" w:rsidRDefault="00000000">
            <w:r>
              <w:t>04</w:t>
            </w:r>
          </w:p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7867D332" w14:textId="77777777" w:rsidR="000F0D18" w:rsidRPr="00CC3A01" w:rsidRDefault="00000000">
            <w:pPr>
              <w:rPr>
                <w:lang w:val="pt-BR"/>
              </w:rPr>
            </w:pPr>
            <w:r w:rsidRPr="00CC3A01">
              <w:rPr>
                <w:lang w:val="pt-BR"/>
              </w:rPr>
              <w:t>Prestação de Serviços Médicos – Pediatria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421E1375" w14:textId="77777777" w:rsidR="000F0D18" w:rsidRDefault="00000000">
            <w:r>
              <w:t>15,22%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16DD57BB" w14:textId="77777777" w:rsidR="000F0D18" w:rsidRDefault="00000000">
            <w:r>
              <w:t>77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447B6DCF" w14:textId="77777777" w:rsidR="000F0D18" w:rsidRDefault="00000000">
            <w:r>
              <w:t>924</w:t>
            </w:r>
          </w:p>
        </w:tc>
      </w:tr>
      <w:tr w:rsidR="00902E28" w:rsidRPr="00902E28" w14:paraId="725C7DF3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36909140" w14:textId="77777777" w:rsidR="000F0D18" w:rsidRDefault="00000000">
            <w:r>
              <w:t>05</w:t>
            </w:r>
          </w:p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63211E63" w14:textId="77777777" w:rsidR="000F0D18" w:rsidRPr="00CC3A01" w:rsidRDefault="00000000">
            <w:pPr>
              <w:rPr>
                <w:lang w:val="pt-BR"/>
              </w:rPr>
            </w:pPr>
            <w:r w:rsidRPr="00CC3A01">
              <w:rPr>
                <w:lang w:val="pt-BR"/>
              </w:rPr>
              <w:t>Prestação de Serviços Médicos – Psiquiatria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0897A984" w14:textId="77777777" w:rsidR="000F0D18" w:rsidRDefault="00000000">
            <w:r>
              <w:t>15,22%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3D4ECF7F" w14:textId="77777777" w:rsidR="000F0D18" w:rsidRDefault="00000000">
            <w:r>
              <w:t>77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137B0ADD" w14:textId="77777777" w:rsidR="000F0D18" w:rsidRDefault="00000000">
            <w:r>
              <w:t>924</w:t>
            </w:r>
          </w:p>
        </w:tc>
      </w:tr>
      <w:tr w:rsidR="00902E28" w:rsidRPr="00902E28" w14:paraId="6D7F8A08" w14:textId="77777777">
        <w:trPr>
          <w:cantSplit/>
          <w:jc w:val="center"/>
        </w:trPr>
        <w:tc>
          <w:tcPr>
            <w:tcW w:w="68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6158BFEC" w14:textId="77777777" w:rsidR="000F0D18" w:rsidRDefault="000F0D18"/>
        </w:tc>
        <w:tc>
          <w:tcPr>
            <w:tcW w:w="5159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24C7A943" w14:textId="77777777" w:rsidR="000F0D18" w:rsidRDefault="00000000">
            <w:r>
              <w:t>TOTAL</w:t>
            </w:r>
          </w:p>
        </w:tc>
        <w:tc>
          <w:tcPr>
            <w:tcW w:w="1020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1AB531BB" w14:textId="77777777" w:rsidR="000F0D18" w:rsidRDefault="00000000">
            <w:r>
              <w:t>100%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344183DD" w14:textId="77777777" w:rsidR="000F0D18" w:rsidRDefault="00000000">
            <w:r>
              <w:t>506</w:t>
            </w:r>
          </w:p>
        </w:tc>
        <w:tc>
          <w:tcPr>
            <w:tcW w:w="1134" w:type="dxa"/>
            <w:tcMar>
              <w:top w:w="45" w:type="dxa"/>
              <w:left w:w="55" w:type="dxa"/>
              <w:bottom w:w="45" w:type="dxa"/>
              <w:right w:w="55" w:type="dxa"/>
            </w:tcMar>
          </w:tcPr>
          <w:p w14:paraId="506C8036" w14:textId="77777777" w:rsidR="000F0D18" w:rsidRDefault="00000000">
            <w:r>
              <w:t>6.072</w:t>
            </w:r>
          </w:p>
        </w:tc>
      </w:tr>
    </w:tbl>
    <w:p w14:paraId="50DF3CC2" w14:textId="77777777" w:rsidR="00CC3A01" w:rsidRPr="00CC3A01" w:rsidRDefault="00CC3A01" w:rsidP="00CC3A01">
      <w:pPr>
        <w:spacing w:before="100" w:beforeAutospacing="1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  <w:t>6</w:t>
      </w:r>
      <w:r w:rsidRPr="00CC3A01"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  <w:t>. JUSTIFICATIVA TÉCNICA DOS QUANTITATIVOS ESTIMADOS</w:t>
      </w:r>
    </w:p>
    <w:p w14:paraId="1F2AAF07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estimativa dos quantitativos de horas técnicas médicas para as especialidades de Clínica Geral, Ginecologia, Geriatria, Pediatria e Psiquiatria foi estabelecida considerando a abrangência territorial do Consórcio Intermunicipal de Saúde – CONISA, composto por 41 Municípios consorciados, com população total de 158.438 habitantes, conforme dados do Censo Demográfico de 2022 do Instituto Brasileiro de Geografia e Estatística – IBGE.</w:t>
      </w:r>
    </w:p>
    <w:p w14:paraId="43895D22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O dimensionamento tem por finalidade estabelecer uma previsão inicial da capacidade de prestação dos serviços médicos, de forma a subsidiar o planejamento administrativo, a pesquisa de preços e a estruturação do procedimento de credenciamento, observando a natureza variável das demandas assistenciais dos Municípios consorciados.</w:t>
      </w:r>
    </w:p>
    <w:p w14:paraId="07C6C708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Considerando que os serviços objeto do credenciamento se destinam a complementar a capacidade de atendimento das redes municipais de saúde, a estimativa não corresponde à totalidade das necessidades assistenciais da população abrangida, mas à previsão de utilização de serviços médicos adicionais, conforme as demandas que venham a ser formalizadas pelos Municípios interessados.</w:t>
      </w:r>
    </w:p>
    <w:p w14:paraId="6FCE4409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Diante da inexistência de série histórica própria suficientemente consolidada de horas técnicas médicas utilizadas por Município e por especialidade, foram adotados quantitativos iniciais de planejamento, sujeitos à avaliação e ao aperfeiçoamento com base nos registros de utilização efetiva.</w:t>
      </w:r>
    </w:p>
    <w:p w14:paraId="57150E12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6.1. Justificativa do quantitativo de Clínica Geral</w:t>
      </w:r>
    </w:p>
    <w:p w14:paraId="5DC9ABAB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Para a especialidade de Clínica Geral, foi estabelecido o quantitativo estimado de 198 horas mensais, correspondente a 2.376 horas anuais.</w:t>
      </w:r>
    </w:p>
    <w:p w14:paraId="1CCBA4E0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previsão considera o caráter abrangente e transversal da Clínica Geral na assistência à saúde, especialmente no atendimento de demandas clínicas diversas, avaliações médicas, acompanhamento de pacientes e complementação dos serviços prestados pelas equipes municipais.</w:t>
      </w:r>
    </w:p>
    <w:p w14:paraId="4B80F27A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atribuição de quantitativo superior ao das demais especialidades decorre da maior amplitude das atividades clínicas abrangidas pelo serviço e da possibilidade de sua utilização em diferentes contextos assistenciais, conforme as necessidades identificadas pelos Municípios consorciados.</w:t>
      </w:r>
    </w:p>
    <w:p w14:paraId="2CE308A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6.2. Justificativa dos quantitativos de Ginecologia, Geriatria, Pediatria e Psiquiatria</w:t>
      </w:r>
    </w:p>
    <w:p w14:paraId="1CCF38A6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Para as especialidades de Ginecologia, Geriatria, Pediatria e Psiquiatria, foi estabelecido o quantitativo estimado de 77 horas mensais por especialidade, correspondente a 924 horas anuais para cada serviço.</w:t>
      </w:r>
    </w:p>
    <w:p w14:paraId="54BCED3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previsão contempla a possibilidade de atendimento de demandas específicas relacionadas à saúde da mulher, à assistência à população idosa, à saúde infantil e à atenção especializada em saúde mental.</w:t>
      </w:r>
    </w:p>
    <w:p w14:paraId="6EE4C6DE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Considerando a inexistência de informações históricas consolidadas que permitam estabelecer, nesta etapa, diferenças quantitativas objetivamente demonstradas entre essas quatro especialidades, adotou-se distribuição inicial uniforme das horas técnicas médicas.</w:t>
      </w:r>
    </w:p>
    <w:p w14:paraId="59AE30D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Esse critério busca estabelecer uma referência administrativa para o planejamento, sem pressupor que as necessidades assistenciais das quatro especialidades sejam equivalentes.</w:t>
      </w:r>
    </w:p>
    <w:p w14:paraId="0A940A5D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efetiva utilização dependerá da demanda apresentada pelos Municípios consorciados, da disponibilidade de profissionais credenciados e da formalização das respectivas contratações.</w:t>
      </w:r>
    </w:p>
    <w:p w14:paraId="6C5E40FD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6.3. Justificativa do quantitativo global</w:t>
      </w:r>
    </w:p>
    <w:p w14:paraId="76F01461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soma dos quantitativos individualmente previstos para as cinco especialidades resulta em 506 horas técnicas médicas mensais, correspondentes a 6.072 horas anuais.</w:t>
      </w:r>
    </w:p>
    <w:p w14:paraId="734AD1C9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O quantitativo global representa a capacidade potencial inicialmente planejada para o credenciamento, considerando sua finalidade complementar às redes municipais de saúde e a possibilidade de contratação dos serviços conforme as necessidades efetivamente identificadas.</w:t>
      </w:r>
    </w:p>
    <w:p w14:paraId="185EF24D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 estimativa não pressupõe utilização uniforme pelos 41 Municípios consorciados, uma vez que a demanda poderá variar em razão da população atendida, da estrutura assistencial disponível, da existência de profissionais próprios e das necessidades específicas de cada localidade.</w:t>
      </w:r>
    </w:p>
    <w:p w14:paraId="0D82253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Os quantitativos constituem referência inicial de planejamento e não representam obrigação de contratação integral, garantia de demanda mínima, reserva de horas ou compromisso de utilização por parte dos Municípios.</w:t>
      </w:r>
    </w:p>
    <w:p w14:paraId="54D9FC5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6.4. Acompanhamento e revisão dos quantitativos</w:t>
      </w:r>
    </w:p>
    <w:p w14:paraId="49B20472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Durante a execução das contratações decorrentes do credenciamento, recomenda-se o registro das horas técnicas médicas efetivamente utilizadas, discriminadas por Município, especialidade e período de atendimento.</w:t>
      </w:r>
    </w:p>
    <w:p w14:paraId="4D6172C3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As informações permitirão constituir série histórica própria, possibilitando o aperfeiçoamento progressivo do planejamento e a identificação de eventuais necessidades de adequação dos quantitativos inicialmente previstos.</w:t>
      </w:r>
    </w:p>
    <w:p w14:paraId="2E7C8B84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Eventuais revisões deverão ser fundamentadas em dados de utilização, solicitações formalizadas pelos Municípios e justificativas técnicas da área requisitante, observados os procedimentos administrativos e as disposições legais aplicáveis.</w:t>
      </w:r>
    </w:p>
    <w:p w14:paraId="7B011746" w14:textId="77777777" w:rsidR="00CC3A01" w:rsidRPr="00CC3A01" w:rsidRDefault="00CC3A01" w:rsidP="00CC3A01">
      <w:pPr>
        <w:spacing w:before="100" w:beforeAutospacing="1" w:afterAutospacing="1" w:line="240" w:lineRule="auto"/>
        <w:jc w:val="both"/>
        <w:rPr>
          <w:lang w:val="pt-BR"/>
        </w:rPr>
      </w:pPr>
      <w:r w:rsidRPr="00CC3A01">
        <w:rPr>
          <w:lang w:val="pt-BR"/>
        </w:rPr>
        <w:t>Dessa forma, a metodologia adotada busca assegurar objetividade, transparência e rastreabilidade ao dimensionamento inicial dos serviços, em consonância com o art. 18, § 1º, inciso IV, da Lei Federal nº 14.133/2021.</w:t>
      </w:r>
    </w:p>
    <w:p w14:paraId="73E6CDD7" w14:textId="77777777" w:rsidR="003F472F" w:rsidRPr="00902E28" w:rsidRDefault="00CC3A01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>
        <w:rPr>
          <w:rFonts w:ascii="Arial" w:hAnsi="Arial" w:cs="Arial"/>
          <w:color w:val="auto"/>
          <w:sz w:val="22"/>
          <w:szCs w:val="22"/>
          <w:lang w:val="pt-BR"/>
        </w:rPr>
        <w:t>7</w:t>
      </w:r>
      <w:r w:rsidRPr="00902E28">
        <w:rPr>
          <w:rFonts w:ascii="Arial" w:hAnsi="Arial" w:cs="Arial"/>
          <w:color w:val="auto"/>
          <w:sz w:val="22"/>
          <w:szCs w:val="22"/>
          <w:lang w:val="pt-BR"/>
        </w:rPr>
        <w:t>. NATUREZA ESTIMATIVA E UTILIZAÇÃO EFETIVA</w:t>
      </w:r>
    </w:p>
    <w:p w14:paraId="7873A338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Os quantitativos definidos nesta memória representam capacidade potencial de atendimento e não consumo obrigatório. A utilização efetiva dependerá das solicitações dos Municípios consorciados, da necessidade assistencial identificada, da regulação dos serviços, da disponibilidade de profissionais credenciados e da formalização das contratações decorrentes do credenciamento.</w:t>
      </w:r>
    </w:p>
    <w:p w14:paraId="07498DC3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A distribuição entre especialidades poderá apresentar comportamento distinto durante a execução, razão pela qual os dados de utilização deverão ser registrados por Município, especialidade e período, formando série histórica própria para subsidiar revisões futuras dos quantitativos.</w:t>
      </w:r>
    </w:p>
    <w:p w14:paraId="2BD03367" w14:textId="77777777" w:rsidR="003F472F" w:rsidRPr="00902E28" w:rsidRDefault="00CC3A01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>
        <w:rPr>
          <w:rFonts w:ascii="Arial" w:hAnsi="Arial" w:cs="Arial"/>
          <w:color w:val="auto"/>
          <w:sz w:val="22"/>
          <w:szCs w:val="22"/>
          <w:lang w:val="pt-BR"/>
        </w:rPr>
        <w:t>8</w:t>
      </w:r>
      <w:r w:rsidRPr="00902E28">
        <w:rPr>
          <w:rFonts w:ascii="Arial" w:hAnsi="Arial" w:cs="Arial"/>
          <w:color w:val="auto"/>
          <w:sz w:val="22"/>
          <w:szCs w:val="22"/>
          <w:lang w:val="pt-BR"/>
        </w:rPr>
        <w:t>. ESTIMATIVA DE PREÇOS EM ETAPA PRÓPRIA</w:t>
      </w:r>
    </w:p>
    <w:p w14:paraId="6D50CDC8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Esta Memória de Cálculo trata exclusivamente da estimativa dos quantitativos. Os valores unitários das horas técnicas médicas e o valor estimado da contratação serão apurados em etapa própria, mediante pesquisa de preços compatível com o objeto, utilizando parâmetros e fontes idôneas de mercado e de contratações públicas similares.</w:t>
      </w:r>
    </w:p>
    <w:p w14:paraId="4FF369EA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A separação entre o dimensionamento da necessidade e a estimativa econômica permite que a quantidade seja justificada por critério assistencial e populacional, enquanto o preço de referência decorra de pesquisa específica, preservando a rastreabilidade de cada etapa do planejamento.</w:t>
      </w:r>
    </w:p>
    <w:p w14:paraId="48332461" w14:textId="77777777" w:rsidR="003F472F" w:rsidRPr="00902E28" w:rsidRDefault="00CC3A01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>
        <w:rPr>
          <w:rFonts w:ascii="Arial" w:hAnsi="Arial" w:cs="Arial"/>
          <w:color w:val="auto"/>
          <w:sz w:val="22"/>
          <w:szCs w:val="22"/>
          <w:lang w:val="pt-BR"/>
        </w:rPr>
        <w:t>9</w:t>
      </w:r>
      <w:r w:rsidRPr="00902E28">
        <w:rPr>
          <w:rFonts w:ascii="Arial" w:hAnsi="Arial" w:cs="Arial"/>
          <w:color w:val="auto"/>
          <w:sz w:val="22"/>
          <w:szCs w:val="22"/>
          <w:lang w:val="pt-BR"/>
        </w:rPr>
        <w:t>. FUNDAMENTAÇÃO DO PLANEJAMENTO</w:t>
      </w:r>
    </w:p>
    <w:p w14:paraId="6D076611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A metodologia adotada observa a necessidade de planejamento da contratação e de demonstração das estimativas quantitativas por memória de cálculo. Nos termos do art. 18, § 1º, inciso IV, da Lei Federal nº 14.133/2021, as estimativas das quantidades devem ser acompanhadas das respectivas memórias de cálculo e dos documentos que lhes dão suporte.</w:t>
      </w:r>
    </w:p>
    <w:p w14:paraId="4FE3894B" w14:textId="77777777" w:rsidR="003F472F" w:rsidRPr="00902E28" w:rsidRDefault="00CC3A01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>
        <w:rPr>
          <w:rFonts w:ascii="Arial" w:hAnsi="Arial" w:cs="Arial"/>
          <w:color w:val="auto"/>
          <w:sz w:val="22"/>
          <w:szCs w:val="22"/>
          <w:lang w:val="pt-BR"/>
        </w:rPr>
        <w:t>10</w:t>
      </w:r>
      <w:r w:rsidRPr="00902E28">
        <w:rPr>
          <w:rFonts w:ascii="Arial" w:hAnsi="Arial" w:cs="Arial"/>
          <w:color w:val="auto"/>
          <w:sz w:val="22"/>
          <w:szCs w:val="22"/>
          <w:lang w:val="pt-BR"/>
        </w:rPr>
        <w:t>. DOCUMENTOS E FONTES DE SUPORTE</w:t>
      </w:r>
    </w:p>
    <w:p w14:paraId="6716EA78" w14:textId="77777777" w:rsidR="003F472F" w:rsidRPr="00902E28" w:rsidRDefault="00000000">
      <w:pPr>
        <w:spacing w:after="40"/>
        <w:ind w:left="227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a) Relação dos Municípios associados ao CONISA;</w:t>
      </w:r>
    </w:p>
    <w:p w14:paraId="752DF0D5" w14:textId="77777777" w:rsidR="003F472F" w:rsidRPr="00902E28" w:rsidRDefault="00000000">
      <w:pPr>
        <w:spacing w:after="40"/>
        <w:ind w:left="227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b) Instituto Brasileiro de Geografia e Estatística – IBGE, Censo Demográfico 2022, população dos Municípios considerados;</w:t>
      </w:r>
    </w:p>
    <w:p w14:paraId="7E7D0327" w14:textId="77777777" w:rsidR="003F472F" w:rsidRPr="00902E28" w:rsidRDefault="00000000">
      <w:pPr>
        <w:spacing w:after="40"/>
        <w:ind w:left="227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c) Lei Federal nº 14.133/2021, especialmente art. 18, § 1º, inciso IV;</w:t>
      </w:r>
    </w:p>
    <w:p w14:paraId="1CEEDF0A" w14:textId="77777777" w:rsidR="003F472F" w:rsidRPr="00902E28" w:rsidRDefault="00000000">
      <w:pPr>
        <w:spacing w:after="40"/>
        <w:ind w:left="227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d) Documento de Formalização da Demanda e demais documentos da fase preparatória, para fins de correspondência dos quantitativos adotados.</w:t>
      </w:r>
    </w:p>
    <w:p w14:paraId="12EF3D74" w14:textId="77777777" w:rsidR="003F472F" w:rsidRPr="00902E28" w:rsidRDefault="00000000">
      <w:pPr>
        <w:pStyle w:val="Ttulo1"/>
        <w:spacing w:before="160" w:after="80"/>
        <w:rPr>
          <w:rFonts w:ascii="Arial" w:hAnsi="Arial" w:cs="Arial"/>
          <w:color w:val="auto"/>
          <w:sz w:val="22"/>
          <w:szCs w:val="22"/>
          <w:lang w:val="pt-BR"/>
        </w:rPr>
      </w:pPr>
      <w:r w:rsidRPr="00902E28">
        <w:rPr>
          <w:rFonts w:ascii="Arial" w:hAnsi="Arial" w:cs="Arial"/>
          <w:color w:val="auto"/>
          <w:sz w:val="22"/>
          <w:szCs w:val="22"/>
          <w:lang w:val="pt-BR"/>
        </w:rPr>
        <w:t>1</w:t>
      </w:r>
      <w:r w:rsidR="00CC3A01">
        <w:rPr>
          <w:rFonts w:ascii="Arial" w:hAnsi="Arial" w:cs="Arial"/>
          <w:color w:val="auto"/>
          <w:sz w:val="22"/>
          <w:szCs w:val="22"/>
          <w:lang w:val="pt-BR"/>
        </w:rPr>
        <w:t>1</w:t>
      </w:r>
      <w:r w:rsidRPr="00902E28">
        <w:rPr>
          <w:rFonts w:ascii="Arial" w:hAnsi="Arial" w:cs="Arial"/>
          <w:color w:val="auto"/>
          <w:sz w:val="22"/>
          <w:szCs w:val="22"/>
          <w:lang w:val="pt-BR"/>
        </w:rPr>
        <w:t>. CONCLUSÃO</w:t>
      </w:r>
    </w:p>
    <w:p w14:paraId="7F15552B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Considerando a população de referência de 158.438 habitantes dos 41 Municípios consorciados e os quantitativos mensais previstos para os cinco serviços médicos abrangidos, estima-se uma capacidade operacional global de 6.072 horas técnicas médicas anuais, equivalente a 506 horas mensais.</w:t>
      </w:r>
    </w:p>
    <w:p w14:paraId="70713E24" w14:textId="77777777" w:rsidR="003F472F" w:rsidRPr="00902E28" w:rsidRDefault="00000000">
      <w:pPr>
        <w:jc w:val="both"/>
        <w:rPr>
          <w:rFonts w:cs="Arial"/>
          <w:sz w:val="22"/>
          <w:lang w:val="pt-BR"/>
        </w:rPr>
      </w:pPr>
      <w:r w:rsidRPr="00CC3A01">
        <w:rPr>
          <w:lang w:val="pt-BR"/>
        </w:rPr>
        <w:t>Para fins de planejamento inicial, ficam previstas 2.376 horas anuais para Clínica Geral e 924 horas anuais para cada uma das especialidades de Ginecologia, Geriatria, Pediatria e Psiquiatria. A estimativa não impõe consumo mínimo e deverá ser validada pela área requisitante, podendo ser revista com base na demanda assistencial registrada.</w:t>
      </w:r>
    </w:p>
    <w:p w14:paraId="4369DE18" w14:textId="77777777" w:rsidR="003F472F" w:rsidRPr="00902E28" w:rsidRDefault="00000000" w:rsidP="00902E28">
      <w:pPr>
        <w:spacing w:before="160"/>
        <w:jc w:val="right"/>
        <w:rPr>
          <w:rFonts w:cs="Arial"/>
          <w:sz w:val="22"/>
          <w:lang w:val="pt-BR"/>
        </w:rPr>
      </w:pPr>
      <w:proofErr w:type="spellStart"/>
      <w:r w:rsidRPr="00CC3A01">
        <w:rPr>
          <w:lang w:val="pt-BR"/>
        </w:rPr>
        <w:t>Nonoai</w:t>
      </w:r>
      <w:proofErr w:type="spellEnd"/>
      <w:r w:rsidRPr="00CC3A01">
        <w:rPr>
          <w:lang w:val="pt-BR"/>
        </w:rPr>
        <w:t xml:space="preserve">/RS, ____ de __________________ </w:t>
      </w:r>
      <w:proofErr w:type="spellStart"/>
      <w:r w:rsidRPr="00CC3A01">
        <w:rPr>
          <w:lang w:val="pt-BR"/>
        </w:rPr>
        <w:t>de</w:t>
      </w:r>
      <w:proofErr w:type="spellEnd"/>
      <w:r w:rsidRPr="00CC3A01">
        <w:rPr>
          <w:lang w:val="pt-BR"/>
        </w:rPr>
        <w:t xml:space="preserve"> 2026.</w:t>
      </w:r>
    </w:p>
    <w:p w14:paraId="4F7A11AA" w14:textId="77777777" w:rsidR="003F472F" w:rsidRPr="00902E28" w:rsidRDefault="00000000">
      <w:pPr>
        <w:keepNext/>
        <w:spacing w:before="240"/>
        <w:jc w:val="center"/>
        <w:rPr>
          <w:rFonts w:cs="Arial"/>
          <w:sz w:val="22"/>
          <w:lang w:val="pt-BR"/>
        </w:rPr>
      </w:pPr>
      <w:r w:rsidRPr="00902E28">
        <w:rPr>
          <w:rFonts w:cs="Arial"/>
          <w:b/>
          <w:sz w:val="22"/>
          <w:lang w:val="pt-BR"/>
        </w:rPr>
        <w:t>EDINALDO RUPOLO ROSSETTO</w:t>
      </w:r>
    </w:p>
    <w:p w14:paraId="19048386" w14:textId="77777777" w:rsidR="003F472F" w:rsidRPr="00902E28" w:rsidRDefault="00000000">
      <w:pPr>
        <w:keepLines/>
        <w:spacing w:after="0"/>
        <w:jc w:val="center"/>
        <w:rPr>
          <w:rFonts w:cs="Arial"/>
          <w:sz w:val="22"/>
          <w:lang w:val="pt-BR"/>
        </w:rPr>
      </w:pPr>
      <w:r w:rsidRPr="00902E28">
        <w:rPr>
          <w:rFonts w:cs="Arial"/>
          <w:sz w:val="22"/>
          <w:lang w:val="pt-BR"/>
        </w:rPr>
        <w:t>Coordenador Geral / Diretor Geral do CONISA</w:t>
      </w:r>
    </w:p>
    <w:sectPr w:rsidR="003F472F" w:rsidRPr="00902E28" w:rsidSect="00034616">
      <w:headerReference w:type="default" r:id="rId8"/>
      <w:footerReference w:type="default" r:id="rId9"/>
      <w:pgSz w:w="11906" w:h="16838"/>
      <w:pgMar w:top="1247" w:right="1134" w:bottom="1134" w:left="1304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8BD5" w14:textId="77777777" w:rsidR="00D05354" w:rsidRDefault="00D05354">
      <w:pPr>
        <w:spacing w:after="0" w:line="240" w:lineRule="auto"/>
      </w:pPr>
      <w:r>
        <w:separator/>
      </w:r>
    </w:p>
  </w:endnote>
  <w:endnote w:type="continuationSeparator" w:id="0">
    <w:p w14:paraId="6910C4B6" w14:textId="77777777" w:rsidR="00D05354" w:rsidRDefault="00D05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7049C" w14:textId="77777777" w:rsidR="003F472F" w:rsidRPr="00B03867" w:rsidRDefault="00000000">
    <w:pPr>
      <w:pBdr>
        <w:top w:val="single" w:sz="6" w:space="4" w:color="77933C"/>
      </w:pBdr>
      <w:jc w:val="center"/>
      <w:rPr>
        <w:lang w:val="pt-BR"/>
      </w:rPr>
    </w:pPr>
    <w:r w:rsidRPr="00B03867">
      <w:rPr>
        <w:color w:val="77933C"/>
        <w:sz w:val="16"/>
        <w:lang w:val="pt-BR"/>
      </w:rPr>
      <w:t xml:space="preserve">Rua Padre Manoel Gomez Gonzalez, 1450, Bairro </w:t>
    </w:r>
    <w:proofErr w:type="spellStart"/>
    <w:r w:rsidRPr="00B03867">
      <w:rPr>
        <w:color w:val="77933C"/>
        <w:sz w:val="16"/>
        <w:lang w:val="pt-BR"/>
      </w:rPr>
      <w:t>Aniloc</w:t>
    </w:r>
    <w:proofErr w:type="spellEnd"/>
    <w:r w:rsidRPr="00B03867">
      <w:rPr>
        <w:color w:val="77933C"/>
        <w:sz w:val="16"/>
        <w:lang w:val="pt-BR"/>
      </w:rPr>
      <w:t xml:space="preserve">, </w:t>
    </w:r>
    <w:proofErr w:type="spellStart"/>
    <w:r w:rsidRPr="00B03867">
      <w:rPr>
        <w:color w:val="77933C"/>
        <w:sz w:val="16"/>
        <w:lang w:val="pt-BR"/>
      </w:rPr>
      <w:t>Nonoai</w:t>
    </w:r>
    <w:proofErr w:type="spellEnd"/>
    <w:r w:rsidRPr="00B03867">
      <w:rPr>
        <w:color w:val="77933C"/>
        <w:sz w:val="16"/>
        <w:lang w:val="pt-BR"/>
      </w:rPr>
      <w:t>/RS- CEP 99.600-000</w:t>
    </w:r>
  </w:p>
  <w:p w14:paraId="4E48B9F9" w14:textId="77777777" w:rsidR="003F472F" w:rsidRDefault="00000000">
    <w:pPr>
      <w:jc w:val="center"/>
    </w:pPr>
    <w:r>
      <w:rPr>
        <w:color w:val="77933C"/>
        <w:sz w:val="16"/>
      </w:rPr>
      <w:t>www.conisa.rs.gov.br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C0A7A" w14:textId="77777777" w:rsidR="00D05354" w:rsidRDefault="00D05354">
      <w:pPr>
        <w:spacing w:after="0" w:line="240" w:lineRule="auto"/>
      </w:pPr>
      <w:r>
        <w:separator/>
      </w:r>
    </w:p>
  </w:footnote>
  <w:footnote w:type="continuationSeparator" w:id="0">
    <w:p w14:paraId="1567AC54" w14:textId="77777777" w:rsidR="00D05354" w:rsidRDefault="00D05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A1A1D" w14:textId="77777777" w:rsidR="003F472F" w:rsidRDefault="00000000">
    <w:pPr>
      <w:jc w:val="center"/>
    </w:pPr>
    <w:r>
      <w:rPr>
        <w:noProof/>
      </w:rPr>
      <w:drawing>
        <wp:inline distT="0" distB="0" distL="0" distR="0" wp14:anchorId="1883EB2F" wp14:editId="17E2341B">
          <wp:extent cx="3131999" cy="83851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31999" cy="838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12625981">
    <w:abstractNumId w:val="8"/>
  </w:num>
  <w:num w:numId="2" w16cid:durableId="493375212">
    <w:abstractNumId w:val="6"/>
  </w:num>
  <w:num w:numId="3" w16cid:durableId="21831085">
    <w:abstractNumId w:val="5"/>
  </w:num>
  <w:num w:numId="4" w16cid:durableId="497698133">
    <w:abstractNumId w:val="4"/>
  </w:num>
  <w:num w:numId="5" w16cid:durableId="456534573">
    <w:abstractNumId w:val="7"/>
  </w:num>
  <w:num w:numId="6" w16cid:durableId="31927839">
    <w:abstractNumId w:val="3"/>
  </w:num>
  <w:num w:numId="7" w16cid:durableId="1714884374">
    <w:abstractNumId w:val="2"/>
  </w:num>
  <w:num w:numId="8" w16cid:durableId="1520777109">
    <w:abstractNumId w:val="1"/>
  </w:num>
  <w:num w:numId="9" w16cid:durableId="1926184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47E"/>
    <w:rsid w:val="00034616"/>
    <w:rsid w:val="0006063C"/>
    <w:rsid w:val="000F0D18"/>
    <w:rsid w:val="0015074B"/>
    <w:rsid w:val="0024213E"/>
    <w:rsid w:val="00260E8D"/>
    <w:rsid w:val="0029639D"/>
    <w:rsid w:val="003235A0"/>
    <w:rsid w:val="00326F90"/>
    <w:rsid w:val="003F472F"/>
    <w:rsid w:val="004B7B1E"/>
    <w:rsid w:val="005B45A1"/>
    <w:rsid w:val="0069607D"/>
    <w:rsid w:val="006D60BC"/>
    <w:rsid w:val="008F2F9A"/>
    <w:rsid w:val="00902E28"/>
    <w:rsid w:val="00A07A5E"/>
    <w:rsid w:val="00A21340"/>
    <w:rsid w:val="00AA1D8D"/>
    <w:rsid w:val="00B03867"/>
    <w:rsid w:val="00B47730"/>
    <w:rsid w:val="00CB0664"/>
    <w:rsid w:val="00CC3A01"/>
    <w:rsid w:val="00D053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2C5AAB"/>
  <w14:defaultImageDpi w14:val="300"/>
  <w15:docId w15:val="{B4E4013B-A47F-467B-A1EC-C2D43100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3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tuloCONISA">
    <w:name w:val="Título CONISA"/>
    <w:pPr>
      <w:spacing w:after="80"/>
      <w:jc w:val="center"/>
    </w:pPr>
    <w:rPr>
      <w:rFonts w:ascii="Arial" w:hAnsi="Arial"/>
      <w:b/>
      <w:sz w:val="26"/>
    </w:rPr>
  </w:style>
  <w:style w:type="paragraph" w:customStyle="1" w:styleId="SubttuloCONISA">
    <w:name w:val="Subtítulo CONISA"/>
    <w:pPr>
      <w:spacing w:after="80"/>
      <w:jc w:val="center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2153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Memória de Cálculo dos Quantitativos Estimados – Serviços Médicos</dc:title>
  <dc:subject>Estimativa populacional para formalização da demanda</dc:subject>
  <dc:creator>python-docx</dc:creator>
  <cp:keywords>CONISA, memória de cálculo, DFD, serviços médicos, Lei 14.133/2021</cp:keywords>
  <dc:description>generated by python-docx</dc:description>
  <cp:lastModifiedBy>Deise Kossmann</cp:lastModifiedBy>
  <cp:revision>2</cp:revision>
  <dcterms:created xsi:type="dcterms:W3CDTF">2026-10-13T21:53:00Z</dcterms:created>
  <dcterms:modified xsi:type="dcterms:W3CDTF">2026-10-13T21:53:00Z</dcterms:modified>
  <cp:category/>
</cp:coreProperties>
</file>