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tLeast" w:line="25" w:before="0" w:after="0"/>
        <w:jc w:val="both"/>
        <w:rPr>
          <w:rFonts w:ascii="Arial" w:hAnsi="Arial" w:cs="Arial"/>
          <w:b/>
          <w:b/>
          <w:u w:val="thick"/>
        </w:rPr>
      </w:pPr>
      <w:r>
        <w:rPr>
          <w:rFonts w:cs="Arial" w:ascii="Arial" w:hAnsi="Arial"/>
          <w:b/>
          <w:u w:val="thick"/>
        </w:rPr>
        <mc:AlternateContent>
          <mc:Choice Requires="wps">
            <w:drawing>
              <wp:anchor behindDoc="0" distT="0" distB="0" distL="0" distR="0" simplePos="0" locked="0" layoutInCell="0" allowOverlap="1" relativeHeight="12" wp14:anchorId="052C1A13">
                <wp:simplePos x="0" y="0"/>
                <wp:positionH relativeFrom="page">
                  <wp:posOffset>372110</wp:posOffset>
                </wp:positionH>
                <wp:positionV relativeFrom="page">
                  <wp:posOffset>5702935</wp:posOffset>
                </wp:positionV>
                <wp:extent cx="5080" cy="5080"/>
                <wp:effectExtent l="0" t="0" r="0" b="0"/>
                <wp:wrapNone/>
                <wp:docPr id="1" name="AutoShape 19"/>
                <a:graphic xmlns:a="http://schemas.openxmlformats.org/drawingml/2006/main">
                  <a:graphicData uri="http://schemas.microsoft.com/office/word/2010/wordprocessingShape">
                    <wps:wsp>
                      <wps:cNvSpPr/>
                      <wps:spPr>
                        <a:xfrm>
                          <a:off x="0" y="0"/>
                          <a:ext cx="5040" cy="5040"/>
                        </a:xfrm>
                        <a:custGeom>
                          <a:avLst/>
                          <a:gdLst/>
                          <a:ahLst/>
                          <a:rect l="l" t="t" r="r" b="b"/>
                          <a:pathLst>
                            <a:path w="8" h="8">
                              <a:moveTo>
                                <a:pt x="7" y="7"/>
                              </a:moveTo>
                              <a:lnTo>
                                <a:pt x="0" y="7"/>
                              </a:lnTo>
                              <a:lnTo>
                                <a:pt x="0" y="5"/>
                              </a:lnTo>
                              <a:lnTo>
                                <a:pt x="7" y="5"/>
                              </a:lnTo>
                              <a:lnTo>
                                <a:pt x="7" y="7"/>
                              </a:lnTo>
                              <a:close/>
                              <a:moveTo>
                                <a:pt x="7" y="2"/>
                              </a:moveTo>
                              <a:lnTo>
                                <a:pt x="4" y="2"/>
                              </a:lnTo>
                              <a:lnTo>
                                <a:pt x="4" y="0"/>
                              </a:lnTo>
                              <a:lnTo>
                                <a:pt x="7" y="0"/>
                              </a:lnTo>
                              <a:lnTo>
                                <a:pt x="7" y="2"/>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13" wp14:anchorId="40A9BFF3">
                <wp:simplePos x="0" y="0"/>
                <wp:positionH relativeFrom="page">
                  <wp:posOffset>7136765</wp:posOffset>
                </wp:positionH>
                <wp:positionV relativeFrom="page">
                  <wp:posOffset>5702935</wp:posOffset>
                </wp:positionV>
                <wp:extent cx="5080" cy="5080"/>
                <wp:effectExtent l="0" t="0" r="0" b="0"/>
                <wp:wrapNone/>
                <wp:docPr id="2" name="AutoShape 18"/>
                <a:graphic xmlns:a="http://schemas.openxmlformats.org/drawingml/2006/main">
                  <a:graphicData uri="http://schemas.microsoft.com/office/word/2010/wordprocessingShape">
                    <wps:wsp>
                      <wps:cNvSpPr/>
                      <wps:spPr>
                        <a:xfrm>
                          <a:off x="0" y="0"/>
                          <a:ext cx="5040" cy="5040"/>
                        </a:xfrm>
                        <a:custGeom>
                          <a:avLst/>
                          <a:gdLst/>
                          <a:ahLst/>
                          <a:rect l="l" t="t" r="r" b="b"/>
                          <a:pathLst>
                            <a:path w="8" h="8">
                              <a:moveTo>
                                <a:pt x="7" y="7"/>
                              </a:moveTo>
                              <a:lnTo>
                                <a:pt x="0" y="7"/>
                              </a:lnTo>
                              <a:lnTo>
                                <a:pt x="0" y="5"/>
                              </a:lnTo>
                              <a:lnTo>
                                <a:pt x="7" y="5"/>
                              </a:lnTo>
                              <a:lnTo>
                                <a:pt x="7" y="7"/>
                              </a:lnTo>
                              <a:close/>
                              <a:moveTo>
                                <a:pt x="3" y="2"/>
                              </a:moveTo>
                              <a:lnTo>
                                <a:pt x="0" y="2"/>
                              </a:lnTo>
                              <a:lnTo>
                                <a:pt x="0" y="0"/>
                              </a:lnTo>
                              <a:lnTo>
                                <a:pt x="3" y="0"/>
                              </a:lnTo>
                              <a:lnTo>
                                <a:pt x="3" y="2"/>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w:r>
      <w:bookmarkStart w:id="0" w:name="_GoBack"/>
      <w:bookmarkStart w:id="1" w:name="_GoBack"/>
      <w:bookmarkEnd w:id="1"/>
    </w:p>
    <w:p>
      <w:pPr>
        <w:pStyle w:val="Normal"/>
        <w:shd w:val="clear" w:color="auto" w:fill="A6A6A6" w:themeFill="background1" w:themeFillShade="a6"/>
        <w:spacing w:lineRule="atLeast" w:line="25" w:before="0" w:after="0"/>
        <w:jc w:val="center"/>
        <w:rPr>
          <w:rFonts w:ascii="Arial" w:hAnsi="Arial" w:cs="Arial"/>
          <w:b/>
          <w:b/>
        </w:rPr>
      </w:pPr>
      <w:r>
        <w:rPr>
          <w:rFonts w:cs="Arial" w:ascii="Arial" w:hAnsi="Arial"/>
          <w:b/>
        </w:rPr>
        <w:t>EDITAL DE DISPENSA ELETRÔNICA</w:t>
      </w:r>
    </w:p>
    <w:p>
      <w:pPr>
        <w:pStyle w:val="Normal"/>
        <w:spacing w:lineRule="atLeast" w:line="25" w:before="0" w:after="0"/>
        <w:jc w:val="both"/>
        <w:rPr>
          <w:rFonts w:ascii="Arial" w:hAnsi="Arial" w:cs="Arial"/>
          <w:bCs/>
        </w:rPr>
      </w:pPr>
      <w:r>
        <w:rPr>
          <w:rFonts w:cs="Arial" w:ascii="Arial" w:hAnsi="Arial"/>
          <w:b/>
          <w:bCs/>
        </w:rPr>
        <w:t>Modalidade:</w:t>
      </w:r>
      <w:r>
        <w:rPr>
          <w:rFonts w:cs="Arial" w:ascii="Arial" w:hAnsi="Arial"/>
          <w:bCs/>
        </w:rPr>
        <w:t xml:space="preserve"> Dispensa Eletrônica </w:t>
      </w:r>
    </w:p>
    <w:p>
      <w:pPr>
        <w:pStyle w:val="Ttulo1"/>
        <w:suppressAutoHyphens w:val="true"/>
        <w:spacing w:lineRule="atLeast" w:line="25"/>
        <w:ind w:left="0" w:hanging="0"/>
        <w:jc w:val="both"/>
        <w:rPr>
          <w:b w:val="false"/>
          <w:b w:val="false"/>
          <w:sz w:val="22"/>
          <w:szCs w:val="22"/>
        </w:rPr>
      </w:pPr>
      <w:r>
        <w:rPr>
          <w:sz w:val="22"/>
          <w:szCs w:val="22"/>
        </w:rPr>
        <w:t>Processo nº:</w:t>
      </w:r>
      <w:r>
        <w:rPr>
          <w:b w:val="false"/>
          <w:sz w:val="22"/>
          <w:szCs w:val="22"/>
        </w:rPr>
        <w:t xml:space="preserve"> </w:t>
      </w:r>
      <w:r>
        <w:rPr>
          <w:b w:val="false"/>
          <w:sz w:val="22"/>
          <w:szCs w:val="22"/>
        </w:rPr>
        <w:t>28654</w:t>
      </w:r>
      <w:r>
        <w:rPr>
          <w:b w:val="false"/>
          <w:sz w:val="22"/>
          <w:szCs w:val="22"/>
        </w:rPr>
        <w:t>/2024</w:t>
      </w:r>
    </w:p>
    <w:p>
      <w:pPr>
        <w:pStyle w:val="Normal"/>
        <w:spacing w:lineRule="atLeast" w:line="25" w:before="0" w:after="0"/>
        <w:jc w:val="both"/>
        <w:rPr>
          <w:rFonts w:ascii="Arial" w:hAnsi="Arial" w:cs="Arial"/>
          <w:b/>
          <w:b/>
          <w:bCs/>
          <w:color w:val="FF0000"/>
        </w:rPr>
      </w:pPr>
      <w:r>
        <mc:AlternateContent>
          <mc:Choice Requires="wps">
            <w:drawing>
              <wp:anchor behindDoc="0" distT="0" distB="0" distL="0" distR="0" simplePos="0" locked="0" layoutInCell="0" allowOverlap="1" relativeHeight="14">
                <wp:simplePos x="0" y="0"/>
                <wp:positionH relativeFrom="page">
                  <wp:posOffset>372110</wp:posOffset>
                </wp:positionH>
                <wp:positionV relativeFrom="paragraph">
                  <wp:posOffset>1023620</wp:posOffset>
                </wp:positionV>
                <wp:extent cx="5080" cy="5080"/>
                <wp:effectExtent l="0" t="0" r="0" b="0"/>
                <wp:wrapNone/>
                <wp:docPr id="3" name="Forma livre 5"/>
                <a:graphic xmlns:a="http://schemas.openxmlformats.org/drawingml/2006/main">
                  <a:graphicData uri="http://schemas.microsoft.com/office/word/2010/wordprocessingShape">
                    <wps:wsp>
                      <wps:cNvSpPr/>
                      <wps:spPr>
                        <a:xfrm>
                          <a:off x="0" y="0"/>
                          <a:ext cx="5040" cy="5040"/>
                        </a:xfrm>
                        <a:custGeom>
                          <a:avLst/>
                          <a:gdLst/>
                          <a:ahLst/>
                          <a:rect l="l" t="t" r="r" b="b"/>
                          <a:pathLst>
                            <a:path w="8" h="8">
                              <a:moveTo>
                                <a:pt x="7" y="2"/>
                              </a:moveTo>
                              <a:lnTo>
                                <a:pt x="0" y="2"/>
                              </a:lnTo>
                              <a:lnTo>
                                <a:pt x="0" y="0"/>
                              </a:lnTo>
                              <a:lnTo>
                                <a:pt x="7" y="0"/>
                              </a:lnTo>
                              <a:lnTo>
                                <a:pt x="7" y="2"/>
                              </a:lnTo>
                              <a:close/>
                              <a:moveTo>
                                <a:pt x="7" y="7"/>
                              </a:moveTo>
                              <a:lnTo>
                                <a:pt x="4" y="7"/>
                              </a:lnTo>
                              <a:lnTo>
                                <a:pt x="4" y="4"/>
                              </a:lnTo>
                              <a:lnTo>
                                <a:pt x="7" y="4"/>
                              </a:lnTo>
                              <a:lnTo>
                                <a:pt x="7" y="7"/>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w:r>
      <w:r>
        <w:rPr>
          <w:rFonts w:cs="Arial" w:ascii="Arial" w:hAnsi="Arial"/>
          <w:b/>
          <w:bCs/>
        </w:rPr>
        <w:t>Objeto:</w:t>
      </w:r>
      <w:r>
        <w:rPr>
          <w:rFonts w:cs="Arial" w:ascii="Arial" w:hAnsi="Arial"/>
          <w:bCs/>
        </w:rPr>
        <w:t xml:space="preserve"> Dispensa eletrônica, sob o julgamento de </w:t>
      </w:r>
      <w:r>
        <w:rPr>
          <w:rFonts w:cs="Arial" w:ascii="Arial" w:hAnsi="Arial"/>
          <w:b/>
          <w:bCs/>
          <w:i/>
          <w:sz w:val="24"/>
          <w:szCs w:val="24"/>
        </w:rPr>
        <w:t xml:space="preserve">menor preço </w:t>
      </w:r>
      <w:r>
        <w:rPr>
          <w:rFonts w:cs="Arial" w:ascii="Arial" w:hAnsi="Arial"/>
          <w:b/>
          <w:bCs/>
          <w:i/>
          <w:iCs/>
          <w:color w:val="FF0000"/>
          <w:sz w:val="24"/>
          <w:szCs w:val="24"/>
        </w:rPr>
        <w:t>GLOBAL</w:t>
      </w:r>
      <w:r>
        <w:rPr>
          <w:rFonts w:cs="Arial" w:ascii="Arial" w:hAnsi="Arial"/>
          <w:bCs/>
        </w:rPr>
        <w:t xml:space="preserve">, para </w:t>
      </w:r>
      <w:r>
        <w:rPr>
          <w:rFonts w:cs="Arial" w:ascii="Arial" w:hAnsi="Arial"/>
          <w:bCs/>
          <w:color w:val="000000"/>
        </w:rPr>
        <w:t>cobrir despesas com:</w:t>
      </w:r>
    </w:p>
    <w:p>
      <w:pPr>
        <w:pStyle w:val="Normal"/>
        <w:spacing w:lineRule="atLeast" w:line="25" w:before="0" w:after="0"/>
        <w:jc w:val="both"/>
        <w:rPr>
          <w:rFonts w:ascii="Arial" w:hAnsi="Arial" w:cs="Arial"/>
          <w:bCs/>
        </w:rPr>
      </w:pPr>
      <w:r>
        <w:rPr>
          <w:rFonts w:cs="Arial" w:ascii="Arial" w:hAnsi="Arial"/>
          <w:b/>
          <w:bCs/>
          <w:color w:val="FF0000"/>
        </w:rPr>
        <w:t xml:space="preserve">AQUISIÇÃO DE PNEU PARA OS VEICULOS DO TRANSPORTE COLETIVO MUNICIPAL., </w:t>
      </w:r>
      <w:r>
        <w:rPr>
          <w:rFonts w:cs="Arial" w:ascii="Arial" w:hAnsi="Arial"/>
          <w:bCs/>
          <w:color w:val="FF0000"/>
        </w:rPr>
        <w:t>f</w:t>
      </w:r>
      <w:r>
        <w:rPr>
          <w:rFonts w:cs="Arial" w:ascii="Arial" w:hAnsi="Arial"/>
          <w:bCs/>
          <w:color w:val="FF0000"/>
          <w:lang w:eastAsia="en-US"/>
        </w:rPr>
        <w:t>undamentadas no art. 75, inciso II, da Lei Federal nº 14.133, de 2021</w:t>
      </w:r>
      <w:r>
        <w:rPr>
          <w:rFonts w:cs="Arial" w:ascii="Arial" w:hAnsi="Arial"/>
          <w:bCs/>
        </w:rPr>
        <w:t>, visando atender as necessidades da/o</w:t>
      </w:r>
    </w:p>
    <w:p>
      <w:pPr>
        <w:pStyle w:val="Normal"/>
        <w:spacing w:lineRule="atLeast" w:line="25" w:before="0" w:after="0"/>
        <w:jc w:val="both"/>
        <w:rPr>
          <w:rFonts w:ascii="Arial" w:hAnsi="Arial" w:cs="Arial"/>
          <w:b/>
          <w:b/>
          <w:bCs/>
          <w:color w:val="FF0000"/>
        </w:rPr>
      </w:pPr>
      <w:r>
        <w:rPr>
          <w:rFonts w:cs="Arial" w:ascii="Arial" w:hAnsi="Arial"/>
          <w:b/>
          <w:bCs/>
          <w:color w:val="FF0000"/>
        </w:rPr>
        <w:t xml:space="preserve">- </w:t>
      </w:r>
      <w:r>
        <w:rPr>
          <w:rFonts w:cs="Arial" w:ascii="Arial" w:hAnsi="Arial"/>
          <w:b/>
          <w:bCs/>
          <w:color w:val="FF0000"/>
        </w:rPr>
        <w:t>SMT</w:t>
      </w:r>
      <w:r>
        <w:rPr>
          <w:rFonts w:cs="Arial" w:ascii="Arial" w:hAnsi="Arial"/>
          <w:b/>
          <w:bCs/>
          <w:color w:val="FF0000"/>
        </w:rPr>
        <w:t xml:space="preserve">- </w:t>
      </w:r>
      <w:r>
        <w:rPr>
          <w:rFonts w:cs="Arial" w:ascii="Arial" w:hAnsi="Arial"/>
          <w:b/>
          <w:bCs/>
          <w:color w:val="FF0000"/>
        </w:rPr>
        <w:t xml:space="preserve">SUPERINTENDENCIA MUNICIPAL DE TRANSITO </w:t>
      </w:r>
      <w:r>
        <w:rPr>
          <w:rFonts w:cs="Arial" w:ascii="Arial" w:hAnsi="Arial"/>
          <w:b/>
          <w:bCs/>
          <w:color w:val="FF0000"/>
        </w:rPr>
        <w:t xml:space="preserve">  , EM ITUMBIARA-GO</w:t>
      </w:r>
    </w:p>
    <w:p>
      <w:pPr>
        <w:pStyle w:val="Normal"/>
        <w:spacing w:lineRule="atLeast" w:line="25" w:before="0" w:after="0"/>
        <w:jc w:val="both"/>
        <w:rPr>
          <w:rFonts w:ascii="Arial" w:hAnsi="Arial" w:cs="Arial"/>
          <w:b/>
          <w:b/>
          <w:bCs/>
        </w:rPr>
      </w:pPr>
      <w:r>
        <w:rPr>
          <w:rFonts w:cs="Arial" w:ascii="Arial" w:hAnsi="Arial"/>
          <w:b/>
          <w:bCs/>
        </w:rPr>
        <w:t>conforme especificações do Termo de Referência, DFD e outros documentos anexos.</w:t>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Normal"/>
        <w:spacing w:lineRule="atLeast" w:line="25" w:before="0" w:after="0"/>
        <w:jc w:val="both"/>
        <w:rPr>
          <w:rFonts w:ascii="Arial" w:hAnsi="Arial" w:cs="Arial"/>
          <w:bCs/>
        </w:rPr>
      </w:pPr>
      <w:r>
        <w:rPr>
          <w:rFonts w:cs="Arial" w:ascii="Arial" w:hAnsi="Arial"/>
          <w:bCs/>
        </w:rPr>
        <w:t xml:space="preserve">Observações: </w:t>
      </w:r>
    </w:p>
    <w:p>
      <w:pPr>
        <w:pStyle w:val="ListParagraph"/>
        <w:numPr>
          <w:ilvl w:val="0"/>
          <w:numId w:val="5"/>
        </w:numPr>
        <w:spacing w:lineRule="atLeast" w:line="25" w:before="0" w:after="0"/>
        <w:contextualSpacing/>
        <w:jc w:val="both"/>
        <w:rPr>
          <w:rFonts w:ascii="Arial" w:hAnsi="Arial" w:cs="Arial"/>
          <w:bCs/>
          <w:spacing w:val="-1"/>
        </w:rPr>
      </w:pPr>
      <w:r>
        <w:rPr>
          <w:rFonts w:cs="Arial" w:ascii="Arial" w:hAnsi="Arial"/>
          <w:bCs/>
        </w:rPr>
        <w:t>Em caso de dúvidas sobre documentação, os interessados podem entrar em contato pelo</w:t>
      </w:r>
      <w:r>
        <w:rPr>
          <w:rFonts w:cs="Arial" w:ascii="Arial" w:hAnsi="Arial"/>
          <w:bCs/>
          <w:spacing w:val="-4"/>
        </w:rPr>
        <w:t xml:space="preserve"> tele</w:t>
      </w:r>
      <w:r>
        <w:rPr>
          <w:rFonts w:cs="Arial" w:ascii="Arial" w:hAnsi="Arial"/>
          <w:bCs/>
        </w:rPr>
        <w:t>fone</w:t>
      </w:r>
      <w:r>
        <w:rPr>
          <w:rFonts w:cs="Arial" w:ascii="Arial" w:hAnsi="Arial"/>
          <w:bCs/>
          <w:spacing w:val="-5"/>
        </w:rPr>
        <w:t xml:space="preserve"> </w:t>
      </w:r>
      <w:r>
        <w:rPr>
          <w:rFonts w:cs="Arial" w:ascii="Arial" w:hAnsi="Arial"/>
          <w:bCs/>
        </w:rPr>
        <w:t>(64)</w:t>
      </w:r>
      <w:r>
        <w:rPr>
          <w:rFonts w:cs="Arial" w:ascii="Arial" w:hAnsi="Arial"/>
          <w:bCs/>
          <w:spacing w:val="-2"/>
        </w:rPr>
        <w:t xml:space="preserve"> </w:t>
      </w:r>
      <w:r>
        <w:rPr>
          <w:rFonts w:cs="Arial" w:ascii="Arial" w:hAnsi="Arial"/>
          <w:bCs/>
        </w:rPr>
        <w:t>3433-0423</w:t>
      </w:r>
      <w:r>
        <w:rPr>
          <w:rFonts w:cs="Arial" w:ascii="Arial" w:hAnsi="Arial"/>
          <w:bCs/>
          <w:spacing w:val="-5"/>
        </w:rPr>
        <w:t xml:space="preserve"> (Departamento de Compras - Prefeitura) </w:t>
      </w:r>
      <w:r>
        <w:rPr>
          <w:rFonts w:cs="Arial" w:ascii="Arial" w:hAnsi="Arial"/>
          <w:bCs/>
        </w:rPr>
        <w:t>ou por meio de mensagem eletrônica, via e-mail</w:t>
      </w:r>
      <w:r>
        <w:rPr>
          <w:rFonts w:cs="Arial" w:ascii="Arial" w:hAnsi="Arial"/>
          <w:bCs/>
          <w:spacing w:val="-1"/>
        </w:rPr>
        <w:t xml:space="preserve"> </w:t>
      </w:r>
      <w:hyperlink r:id="rId2">
        <w:r>
          <w:rPr>
            <w:rStyle w:val="LinkdaInternet"/>
            <w:rFonts w:cs="Arial" w:ascii="Arial" w:hAnsi="Arial"/>
            <w:bCs/>
            <w:spacing w:val="-1"/>
          </w:rPr>
          <w:t>compras@itumbiara.go.gov.br</w:t>
        </w:r>
      </w:hyperlink>
      <w:r>
        <w:rPr>
          <w:rFonts w:cs="Arial" w:ascii="Arial" w:hAnsi="Arial"/>
          <w:bCs/>
          <w:spacing w:val="-1"/>
        </w:rPr>
        <w:t>. (</w:t>
      </w:r>
      <w:r>
        <w:rPr>
          <w:rFonts w:cs="Arial" w:ascii="Arial" w:hAnsi="Arial"/>
          <w:b/>
          <w:bCs/>
          <w:i/>
          <w:spacing w:val="-1"/>
          <w:sz w:val="26"/>
          <w:szCs w:val="26"/>
        </w:rPr>
        <w:t>não enviar orçamentos nesse e-mail</w:t>
      </w:r>
      <w:r>
        <w:rPr>
          <w:rFonts w:cs="Arial" w:ascii="Arial" w:hAnsi="Arial"/>
          <w:bCs/>
          <w:spacing w:val="-1"/>
        </w:rPr>
        <w:t>)</w:t>
      </w:r>
    </w:p>
    <w:p>
      <w:pPr>
        <w:pStyle w:val="ListParagraph"/>
        <w:spacing w:lineRule="atLeast" w:line="25" w:before="0" w:after="0"/>
        <w:contextualSpacing/>
        <w:jc w:val="both"/>
        <w:rPr>
          <w:rFonts w:ascii="Arial" w:hAnsi="Arial" w:cs="Arial"/>
          <w:bCs/>
          <w:spacing w:val="-1"/>
        </w:rPr>
      </w:pPr>
      <w:r>
        <w:rPr>
          <w:rFonts w:cs="Arial" w:ascii="Arial" w:hAnsi="Arial"/>
          <w:bCs/>
          <w:spacing w:val="-1"/>
        </w:rPr>
      </w:r>
    </w:p>
    <w:p>
      <w:pPr>
        <w:pStyle w:val="ListParagraph"/>
        <w:numPr>
          <w:ilvl w:val="0"/>
          <w:numId w:val="6"/>
        </w:numPr>
        <w:spacing w:lineRule="atLeast" w:line="25" w:before="0" w:after="0"/>
        <w:contextualSpacing/>
        <w:jc w:val="both"/>
        <w:rPr>
          <w:rFonts w:ascii="Arial" w:hAnsi="Arial" w:cs="Arial"/>
        </w:rPr>
      </w:pPr>
      <w:r>
        <w:rPr>
          <w:rFonts w:cs="Arial" w:ascii="Arial" w:hAnsi="Arial"/>
          <w:bCs/>
        </w:rPr>
        <w:t xml:space="preserve">Em caso de dúvidas sobre os itens/produtos/serviços, os interessados podem entrar em contato por e-mail: </w:t>
      </w:r>
      <w:hyperlink r:id="rId3">
        <w:r>
          <w:rPr>
            <w:rStyle w:val="LinkdaInternet"/>
            <w:rFonts w:cs="Arial" w:ascii="Arial" w:hAnsi="Arial"/>
            <w:bCs/>
          </w:rPr>
          <w:t>compras@itumbiara.go.gov.br</w:t>
        </w:r>
      </w:hyperlink>
      <w:r>
        <w:rPr>
          <w:rFonts w:cs="Arial" w:ascii="Arial" w:hAnsi="Arial"/>
          <w:bCs/>
        </w:rPr>
        <w:t>.</w:t>
        <w:tab/>
      </w:r>
    </w:p>
    <w:p>
      <w:pPr>
        <w:pStyle w:val="ListParagraph"/>
        <w:spacing w:lineRule="atLeast" w:line="25" w:before="0" w:after="0"/>
        <w:contextualSpacing/>
        <w:jc w:val="both"/>
        <w:rPr>
          <w:rFonts w:ascii="Arial" w:hAnsi="Arial" w:cs="Arial"/>
        </w:rPr>
      </w:pPr>
      <w:r>
        <w:rPr>
          <w:rFonts w:cs="Arial" w:ascii="Arial" w:hAnsi="Arial"/>
        </w:rPr>
        <w:t xml:space="preserve"> </w:t>
      </w:r>
    </w:p>
    <w:p>
      <w:pPr>
        <w:pStyle w:val="ListParagraph"/>
        <w:numPr>
          <w:ilvl w:val="0"/>
          <w:numId w:val="7"/>
        </w:numPr>
        <w:spacing w:lineRule="atLeast" w:line="25" w:before="0" w:after="0"/>
        <w:contextualSpacing/>
        <w:jc w:val="both"/>
        <w:rPr>
          <w:rFonts w:ascii="Arial" w:hAnsi="Arial" w:cs="Arial"/>
        </w:rPr>
      </w:pPr>
      <w:r>
        <w:rPr>
          <w:rFonts w:cs="Arial" w:ascii="Arial" w:hAnsi="Arial"/>
        </w:rPr>
        <w:t xml:space="preserve">Toda informação adicional desta dispensa será divulgada em conformidade com as exigências legais. </w:t>
      </w:r>
    </w:p>
    <w:p>
      <w:pPr>
        <w:pStyle w:val="ListParagraph"/>
        <w:rPr>
          <w:rFonts w:ascii="Arial" w:hAnsi="Arial" w:cs="Arial"/>
        </w:rPr>
      </w:pPr>
      <w:r>
        <w:rPr>
          <w:rFonts w:cs="Arial" w:ascii="Arial" w:hAnsi="Arial"/>
        </w:rPr>
      </w:r>
    </w:p>
    <w:p>
      <w:pPr>
        <w:pStyle w:val="ListParagraph"/>
        <w:spacing w:lineRule="atLeast" w:line="25" w:before="0" w:after="0"/>
        <w:contextualSpacing/>
        <w:jc w:val="both"/>
        <w:rPr>
          <w:rFonts w:ascii="Arial" w:hAnsi="Arial" w:cs="Arial"/>
          <w:bCs/>
          <w:spacing w:val="-1"/>
        </w:rPr>
      </w:pPr>
      <w:r>
        <w:rPr>
          <w:rFonts w:cs="Arial" w:ascii="Arial" w:hAnsi="Arial"/>
          <w:bCs/>
          <w:spacing w:val="-1"/>
        </w:rPr>
      </w:r>
    </w:p>
    <w:p>
      <w:pPr>
        <w:pStyle w:val="Corpodotexto"/>
        <w:shd w:val="clear" w:color="auto" w:fill="D9D9D9" w:themeFill="background1" w:themeFillShade="d9"/>
        <w:spacing w:lineRule="atLeast" w:line="25" w:before="0" w:after="0"/>
        <w:jc w:val="center"/>
        <w:rPr>
          <w:rFonts w:ascii="Arial" w:hAnsi="Arial" w:cs="Arial"/>
          <w:b/>
          <w:b/>
        </w:rPr>
      </w:pPr>
      <w:r>
        <w:rPr>
          <w:rFonts w:cs="Arial" w:ascii="Arial" w:hAnsi="Arial"/>
          <w:b/>
        </w:rPr>
        <w:t>INFORMAÇÕES ESSENCIAIS:</w:t>
      </w:r>
    </w:p>
    <w:p>
      <w:pPr>
        <w:pStyle w:val="Normal"/>
        <w:spacing w:lineRule="atLeast" w:line="25" w:before="0" w:after="0"/>
        <w:jc w:val="both"/>
        <w:rPr>
          <w:rFonts w:ascii="Arial" w:hAnsi="Arial" w:cs="Arial"/>
          <w:bCs/>
        </w:rPr>
      </w:pPr>
      <w:r>
        <w:rPr>
          <w:rFonts w:cs="Arial" w:ascii="Arial" w:hAnsi="Arial"/>
          <w:bCs/>
        </w:rPr>
      </w:r>
    </w:p>
    <w:p>
      <w:pPr>
        <w:pStyle w:val="Normal"/>
        <w:spacing w:lineRule="atLeast" w:line="25" w:before="0" w:after="0"/>
        <w:jc w:val="both"/>
        <w:rPr>
          <w:rFonts w:ascii="Arial" w:hAnsi="Arial" w:cs="Arial"/>
          <w:bCs/>
        </w:rPr>
      </w:pPr>
      <w:r>
        <w:rPr>
          <w:rFonts w:cs="Arial" w:ascii="Arial" w:hAnsi="Arial"/>
          <w:bCs/>
        </w:rPr>
        <w:t>1) Início para envio das</w:t>
      </w:r>
      <w:r>
        <w:rPr>
          <w:rFonts w:cs="Arial" w:ascii="Arial" w:hAnsi="Arial"/>
          <w:bCs/>
          <w:spacing w:val="-2"/>
        </w:rPr>
        <w:t xml:space="preserve"> </w:t>
      </w:r>
      <w:r>
        <w:rPr>
          <w:rFonts w:cs="Arial" w:ascii="Arial" w:hAnsi="Arial"/>
          <w:bCs/>
        </w:rPr>
        <w:t>propostas</w:t>
      </w:r>
      <w:r>
        <w:rPr>
          <w:rFonts w:cs="Arial" w:ascii="Arial" w:hAnsi="Arial"/>
          <w:bCs/>
          <w:spacing w:val="-3"/>
        </w:rPr>
        <w:t xml:space="preserve"> </w:t>
      </w:r>
      <w:r>
        <w:rPr>
          <w:rFonts w:cs="Arial" w:ascii="Arial" w:hAnsi="Arial"/>
          <w:bCs/>
        </w:rPr>
        <w:t xml:space="preserve">comerciais no portal: </w:t>
      </w:r>
    </w:p>
    <w:p>
      <w:pPr>
        <w:pStyle w:val="Corpodotexto"/>
        <w:spacing w:lineRule="atLeast" w:line="25" w:before="0" w:after="0"/>
        <w:rPr>
          <w:rFonts w:ascii="Arial" w:hAnsi="Arial" w:cs="Arial"/>
          <w:bCs/>
        </w:rPr>
      </w:pPr>
      <w:r>
        <w:rPr>
          <w:rFonts w:cs="Arial" w:ascii="Arial" w:hAnsi="Arial"/>
          <w:bCs/>
        </w:rPr>
        <w:t>Dia</w:t>
      </w:r>
      <w:r>
        <w:rPr>
          <w:rFonts w:cs="Arial" w:ascii="Arial" w:hAnsi="Arial"/>
          <w:bCs/>
          <w:spacing w:val="-3"/>
        </w:rPr>
        <w:t xml:space="preserve"> </w:t>
      </w:r>
      <w:r>
        <w:rPr>
          <w:rFonts w:cs="Arial" w:ascii="Arial" w:hAnsi="Arial"/>
          <w:bCs/>
          <w:color w:val="FF0000"/>
          <w:spacing w:val="-3"/>
        </w:rPr>
        <w:t>1</w:t>
      </w:r>
      <w:r>
        <w:rPr>
          <w:rFonts w:cs="Arial" w:ascii="Arial" w:hAnsi="Arial"/>
          <w:bCs/>
          <w:color w:val="FF0000"/>
          <w:spacing w:val="-3"/>
        </w:rPr>
        <w:t>5</w:t>
      </w:r>
      <w:r>
        <w:rPr>
          <w:rFonts w:cs="Arial" w:ascii="Arial" w:hAnsi="Arial"/>
          <w:bCs/>
          <w:color w:val="FF0000"/>
        </w:rPr>
        <w:t>/05/2024,</w:t>
      </w:r>
      <w:r>
        <w:rPr>
          <w:rFonts w:cs="Arial" w:ascii="Arial" w:hAnsi="Arial"/>
          <w:bCs/>
          <w:color w:val="FF0000"/>
          <w:spacing w:val="-1"/>
        </w:rPr>
        <w:t xml:space="preserve"> </w:t>
      </w:r>
      <w:r>
        <w:rPr>
          <w:rFonts w:cs="Arial" w:ascii="Arial" w:hAnsi="Arial"/>
          <w:bCs/>
          <w:color w:val="FF0000"/>
        </w:rPr>
        <w:t>às</w:t>
      </w:r>
      <w:r>
        <w:rPr>
          <w:rFonts w:cs="Arial" w:ascii="Arial" w:hAnsi="Arial"/>
          <w:bCs/>
          <w:color w:val="FF0000"/>
          <w:spacing w:val="-2"/>
        </w:rPr>
        <w:t xml:space="preserve"> 23:59</w:t>
      </w:r>
      <w:r>
        <w:rPr>
          <w:rFonts w:cs="Arial" w:ascii="Arial" w:hAnsi="Arial"/>
          <w:bCs/>
        </w:rPr>
        <w:t xml:space="preserve"> horas.</w:t>
      </w:r>
    </w:p>
    <w:p>
      <w:pPr>
        <w:pStyle w:val="Corpodotexto"/>
        <w:spacing w:lineRule="atLeast" w:line="25" w:before="0" w:after="0"/>
        <w:rPr>
          <w:rFonts w:ascii="Arial" w:hAnsi="Arial" w:cs="Arial"/>
          <w:bCs/>
        </w:rPr>
      </w:pPr>
      <w:r>
        <w:rPr>
          <w:rFonts w:cs="Arial" w:ascii="Arial" w:hAnsi="Arial"/>
          <w:bCs/>
        </w:rPr>
      </w:r>
    </w:p>
    <w:p>
      <w:pPr>
        <w:pStyle w:val="Normal"/>
        <w:spacing w:lineRule="atLeast" w:line="25" w:before="0" w:after="0"/>
        <w:jc w:val="both"/>
        <w:rPr>
          <w:rFonts w:ascii="Arial" w:hAnsi="Arial" w:cs="Arial"/>
          <w:bCs/>
        </w:rPr>
      </w:pPr>
      <w:r>
        <w:rPr>
          <w:rFonts w:cs="Arial" w:ascii="Arial" w:hAnsi="Arial"/>
          <w:bCs/>
        </w:rPr>
        <w:t>2) Data limite para envio das</w:t>
      </w:r>
      <w:r>
        <w:rPr>
          <w:rFonts w:cs="Arial" w:ascii="Arial" w:hAnsi="Arial"/>
          <w:bCs/>
          <w:spacing w:val="-2"/>
        </w:rPr>
        <w:t xml:space="preserve"> </w:t>
      </w:r>
      <w:r>
        <w:rPr>
          <w:rFonts w:cs="Arial" w:ascii="Arial" w:hAnsi="Arial"/>
          <w:bCs/>
        </w:rPr>
        <w:t>propostas</w:t>
      </w:r>
      <w:r>
        <w:rPr>
          <w:rFonts w:cs="Arial" w:ascii="Arial" w:hAnsi="Arial"/>
          <w:bCs/>
          <w:spacing w:val="-3"/>
        </w:rPr>
        <w:t xml:space="preserve"> </w:t>
      </w:r>
      <w:r>
        <w:rPr>
          <w:rFonts w:cs="Arial" w:ascii="Arial" w:hAnsi="Arial"/>
          <w:bCs/>
        </w:rPr>
        <w:t>comerciais no portal:</w:t>
      </w:r>
    </w:p>
    <w:p>
      <w:pPr>
        <w:pStyle w:val="Corpodotexto"/>
        <w:spacing w:lineRule="atLeast" w:line="25" w:before="0" w:after="0"/>
        <w:rPr>
          <w:rFonts w:ascii="Arial" w:hAnsi="Arial" w:cs="Arial"/>
          <w:bCs/>
        </w:rPr>
      </w:pPr>
      <w:r>
        <w:rPr>
          <w:rFonts w:cs="Arial" w:ascii="Arial" w:hAnsi="Arial"/>
          <w:bCs/>
        </w:rPr>
        <w:t>Dia</w:t>
      </w:r>
      <w:r>
        <w:rPr>
          <w:rFonts w:cs="Arial" w:ascii="Arial" w:hAnsi="Arial"/>
          <w:bCs/>
          <w:spacing w:val="-3"/>
        </w:rPr>
        <w:t xml:space="preserve"> </w:t>
      </w:r>
      <w:r>
        <w:rPr>
          <w:rFonts w:cs="Arial" w:ascii="Arial" w:hAnsi="Arial"/>
          <w:bCs/>
          <w:spacing w:val="-3"/>
        </w:rPr>
        <w:t>20</w:t>
      </w:r>
      <w:r>
        <w:rPr>
          <w:rFonts w:cs="Arial" w:ascii="Arial" w:hAnsi="Arial"/>
          <w:bCs/>
          <w:spacing w:val="-3"/>
        </w:rPr>
        <w:t>/</w:t>
      </w:r>
      <w:r>
        <w:rPr>
          <w:rFonts w:cs="Arial" w:ascii="Arial" w:hAnsi="Arial"/>
          <w:bCs/>
          <w:color w:val="FF0000"/>
        </w:rPr>
        <w:t>05/2024</w:t>
      </w:r>
      <w:r>
        <w:rPr>
          <w:rFonts w:cs="Arial" w:ascii="Arial" w:hAnsi="Arial"/>
          <w:bCs/>
        </w:rPr>
        <w:t>, às</w:t>
      </w:r>
      <w:r>
        <w:rPr>
          <w:rFonts w:cs="Arial" w:ascii="Arial" w:hAnsi="Arial"/>
          <w:bCs/>
          <w:spacing w:val="-2"/>
        </w:rPr>
        <w:t xml:space="preserve"> </w:t>
      </w:r>
      <w:r>
        <w:rPr>
          <w:rFonts w:cs="Arial" w:ascii="Arial" w:hAnsi="Arial"/>
          <w:bCs/>
        </w:rPr>
        <w:t>23 (vinte e três) horas e 59 (cinquenta e nove) minutos.</w:t>
      </w:r>
    </w:p>
    <w:p>
      <w:pPr>
        <w:pStyle w:val="Corpodotexto"/>
        <w:spacing w:lineRule="atLeast" w:line="25" w:before="0" w:after="0"/>
        <w:rPr>
          <w:rFonts w:ascii="Arial" w:hAnsi="Arial" w:cs="Arial"/>
          <w:bCs/>
        </w:rPr>
      </w:pPr>
      <w:r>
        <w:rPr>
          <w:rFonts w:cs="Arial" w:ascii="Arial" w:hAnsi="Arial"/>
          <w:bCs/>
        </w:rPr>
      </w:r>
    </w:p>
    <w:p>
      <w:pPr>
        <w:pStyle w:val="Normal"/>
        <w:shd w:val="clear" w:color="auto" w:fill="FFFFFF" w:themeFill="background1"/>
        <w:spacing w:lineRule="atLeast" w:line="25" w:before="0" w:after="0"/>
        <w:jc w:val="both"/>
        <w:rPr>
          <w:rFonts w:ascii="Arial" w:hAnsi="Arial" w:cs="Arial"/>
          <w:sz w:val="28"/>
          <w:szCs w:val="28"/>
          <w:lang w:eastAsia="en-US"/>
        </w:rPr>
      </w:pPr>
      <w:r>
        <w:rPr>
          <w:rFonts w:cs="Arial" w:ascii="Arial" w:hAnsi="Arial"/>
          <w:bCs/>
        </w:rPr>
        <w:t xml:space="preserve">3) </w:t>
      </w:r>
      <w:r>
        <w:rPr>
          <w:rFonts w:cs="Arial" w:ascii="Arial" w:hAnsi="Arial"/>
          <w:bCs/>
          <w:sz w:val="28"/>
          <w:szCs w:val="28"/>
        </w:rPr>
        <w:t>P</w:t>
      </w:r>
      <w:r>
        <w:rPr>
          <w:rFonts w:cs="Arial" w:ascii="Arial" w:hAnsi="Arial"/>
          <w:sz w:val="28"/>
          <w:szCs w:val="28"/>
          <w:lang w:eastAsia="en-US"/>
        </w:rPr>
        <w:t>lataforma eletrônica portal do fornecedor, disponível no endereço eletrônico:</w:t>
      </w:r>
    </w:p>
    <w:p>
      <w:pPr>
        <w:pStyle w:val="Normal"/>
        <w:shd w:val="clear" w:color="auto" w:fill="FFFFFF" w:themeFill="background1"/>
        <w:spacing w:lineRule="atLeast" w:line="25" w:before="0" w:after="0"/>
        <w:jc w:val="both"/>
        <w:rPr>
          <w:rFonts w:ascii="Arial" w:hAnsi="Arial" w:cs="Arial"/>
          <w:sz w:val="28"/>
          <w:szCs w:val="28"/>
          <w:lang w:eastAsia="en-US"/>
        </w:rPr>
      </w:pPr>
      <w:r>
        <w:rPr>
          <w:rFonts w:cs="Arial" w:ascii="Arial" w:hAnsi="Arial"/>
          <w:sz w:val="28"/>
          <w:szCs w:val="28"/>
          <w:lang w:eastAsia="en-US"/>
        </w:rPr>
      </w:r>
    </w:p>
    <w:p>
      <w:pPr>
        <w:pStyle w:val="Normal"/>
        <w:shd w:val="clear" w:color="auto" w:fill="FFFFFF" w:themeFill="background1"/>
        <w:spacing w:lineRule="atLeast" w:line="25" w:before="0" w:after="0"/>
        <w:jc w:val="center"/>
        <w:rPr>
          <w:rFonts w:ascii="Arial" w:hAnsi="Arial" w:cs="Arial"/>
          <w:b/>
          <w:b/>
          <w:sz w:val="38"/>
          <w:szCs w:val="38"/>
          <w:lang w:eastAsia="en-US"/>
        </w:rPr>
      </w:pPr>
      <w:hyperlink r:id="rId4">
        <w:r>
          <w:rPr>
            <w:rStyle w:val="LinkdaInternet"/>
            <w:rFonts w:cs="Arial" w:ascii="Arial" w:hAnsi="Arial"/>
            <w:b/>
            <w:sz w:val="38"/>
            <w:szCs w:val="38"/>
            <w:lang w:eastAsia="en-US"/>
          </w:rPr>
          <w:t>https://go.centi.com.br/itumbiara/portalfornecedor</w:t>
        </w:r>
      </w:hyperlink>
    </w:p>
    <w:p>
      <w:pPr>
        <w:pStyle w:val="Normal"/>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Corpodotexto"/>
        <w:spacing w:lineRule="atLeast" w:line="25" w:before="0" w:after="0"/>
        <w:jc w:val="both"/>
        <w:rPr>
          <w:rFonts w:ascii="Arial" w:hAnsi="Arial" w:cs="Arial"/>
          <w:b/>
          <w:b/>
        </w:rPr>
      </w:pPr>
      <w:r>
        <w:rPr>
          <w:rFonts w:cs="Arial" w:ascii="Arial" w:hAnsi="Arial"/>
          <w:b/>
        </w:rPr>
      </w:r>
    </w:p>
    <w:p>
      <w:pPr>
        <w:pStyle w:val="Normal"/>
        <w:shd w:val="clear" w:color="auto" w:fill="A6A6A6" w:themeFill="background1" w:themeFillShade="a6"/>
        <w:spacing w:lineRule="atLeast" w:line="25" w:before="0" w:after="0"/>
        <w:jc w:val="center"/>
        <w:rPr>
          <w:rFonts w:ascii="Arial" w:hAnsi="Arial" w:cs="Arial"/>
          <w:b/>
          <w:b/>
        </w:rPr>
      </w:pPr>
      <w:r>
        <w:rPr>
          <w:rFonts w:cs="Arial" w:ascii="Arial" w:hAnsi="Arial"/>
          <w:b/>
        </w:rPr>
        <w:t xml:space="preserve">EDITAL </w:t>
      </w:r>
    </w:p>
    <w:p>
      <w:pPr>
        <w:pStyle w:val="Normal"/>
        <w:shd w:val="clear" w:color="auto" w:fill="D9D9D9" w:themeFill="background1" w:themeFillShade="d9"/>
        <w:spacing w:lineRule="atLeast" w:line="25" w:before="0" w:after="0"/>
        <w:jc w:val="center"/>
        <w:rPr>
          <w:rFonts w:ascii="Arial" w:hAnsi="Arial" w:cs="Arial"/>
          <w:b/>
          <w:b/>
        </w:rPr>
      </w:pPr>
      <w:r>
        <w:rPr>
          <w:rFonts w:cs="Arial" w:ascii="Arial" w:hAnsi="Arial"/>
          <w:b/>
        </w:rPr>
        <w:t xml:space="preserve">DISPENSA ELETRÔNICA </w:t>
      </w:r>
    </w:p>
    <w:p>
      <w:pPr>
        <w:pStyle w:val="Corpodotexto"/>
        <w:spacing w:lineRule="atLeast" w:line="25" w:before="0" w:after="0"/>
        <w:jc w:val="both"/>
        <w:rPr>
          <w:rFonts w:ascii="Arial" w:hAnsi="Arial" w:cs="Arial"/>
          <w:b/>
          <w:b/>
        </w:rPr>
      </w:pPr>
      <w:r>
        <w:rPr>
          <w:rFonts w:cs="Arial" w:ascii="Arial" w:hAnsi="Arial"/>
        </w:rPr>
        <w:t xml:space="preserve">O </w:t>
      </w:r>
      <w:r>
        <w:rPr>
          <w:rFonts w:cs="Arial" w:ascii="Arial" w:hAnsi="Arial"/>
          <w:b/>
          <w:bCs/>
          <w:u w:val="single"/>
        </w:rPr>
        <w:t>MUNICÍPIO DE ITUMBIARA</w:t>
      </w:r>
      <w:r>
        <w:rPr>
          <w:rFonts w:cs="Arial" w:ascii="Arial" w:hAnsi="Arial"/>
        </w:rPr>
        <w:t xml:space="preserve">, Estado de Goiás, por meio do Departamento de Compras, do agente de contratação signatário e equipe de apoio, designados pela Portaria n° 902, de 2023, e n° 73 de 2024, de acordo com a Lei Federal nº 14.133, de 2021, com a Lei Complementar nº 123, de 2006, com a Lei Municipal nº 5.268, de 2023 (Lei Municipal da ME e EPP), com os Decretos Municipais nº 1.064, de 2022, nº 1.194, de 2022, 1.196, de 2022, nº 346, de 2023, e nº 98, de 2023, e demais condições fixadas neste Edital, torna público, para conhecimento dos interessados, que realizará a dispensa </w:t>
      </w:r>
      <w:r>
        <w:rPr>
          <w:rFonts w:cs="Arial" w:ascii="Arial" w:hAnsi="Arial"/>
          <w:b/>
          <w:color w:val="FF0000"/>
        </w:rPr>
        <w:t>na forma eletrônica</w:t>
      </w:r>
      <w:r>
        <w:rPr>
          <w:rFonts w:cs="Arial" w:ascii="Arial" w:hAnsi="Arial"/>
        </w:rPr>
        <w:t xml:space="preserve">, com critério de julgamento de </w:t>
      </w:r>
      <w:r>
        <w:rPr>
          <w:rFonts w:cs="Arial" w:ascii="Arial" w:hAnsi="Arial"/>
          <w:b/>
          <w:color w:val="FF0000"/>
          <w:sz w:val="28"/>
          <w:szCs w:val="28"/>
        </w:rPr>
        <w:t xml:space="preserve">menor preço (valor) </w:t>
      </w:r>
      <w:r>
        <w:rPr>
          <w:rFonts w:cs="Arial" w:ascii="Arial" w:hAnsi="Arial"/>
          <w:b/>
          <w:bCs/>
          <w:color w:val="FF0000"/>
          <w:sz w:val="28"/>
          <w:szCs w:val="28"/>
        </w:rPr>
        <w:t>GLOBAL</w:t>
      </w:r>
      <w:r>
        <w:rPr>
          <w:rFonts w:cs="Arial" w:ascii="Arial" w:hAnsi="Arial"/>
          <w:b/>
        </w:rPr>
        <w:t>.</w:t>
      </w:r>
    </w:p>
    <w:p>
      <w:pPr>
        <w:pStyle w:val="Corpodotexto"/>
        <w:spacing w:lineRule="atLeast" w:line="25" w:before="0" w:after="0"/>
        <w:jc w:val="both"/>
        <w:rPr>
          <w:rFonts w:ascii="Arial" w:hAnsi="Arial" w:cs="Arial"/>
          <w:b/>
          <w:b/>
        </w:rPr>
      </w:pPr>
      <w:r>
        <w:rPr>
          <w:rFonts w:cs="Arial" w:ascii="Arial" w:hAnsi="Arial"/>
          <w:b/>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1. OBJETO DA CONTRATAÇÃO DIRETA</w:t>
      </w:r>
    </w:p>
    <w:p>
      <w:pPr>
        <w:pStyle w:val="Normal"/>
        <w:spacing w:lineRule="atLeast" w:line="25" w:before="0" w:after="0"/>
        <w:jc w:val="both"/>
        <w:rPr>
          <w:rFonts w:ascii="Arial" w:hAnsi="Arial" w:cs="Arial"/>
          <w:b/>
          <w:b/>
          <w:bCs/>
          <w:color w:val="FF0000"/>
        </w:rPr>
      </w:pPr>
      <w:r>
        <w:rPr>
          <w:rFonts w:cs="Arial" w:ascii="Arial" w:hAnsi="Arial"/>
          <w:i/>
          <w:lang w:eastAsia="en-US"/>
        </w:rPr>
        <w:t>1.1.</w:t>
      </w:r>
      <w:r>
        <w:rPr>
          <w:rFonts w:cs="Arial" w:ascii="Arial" w:hAnsi="Arial"/>
          <w:lang w:eastAsia="en-US"/>
        </w:rPr>
        <w:t xml:space="preserve"> O objeto da dispensa é a escolha da proposta mais vantajosa para</w:t>
      </w:r>
      <w:r>
        <w:rPr>
          <w:rFonts w:cs="Arial" w:ascii="Arial" w:hAnsi="Arial"/>
          <w:b/>
          <w:bCs/>
        </w:rPr>
        <w:t>:</w:t>
      </w:r>
    </w:p>
    <w:p>
      <w:pPr>
        <w:pStyle w:val="Normal"/>
        <w:spacing w:lineRule="atLeast" w:line="25" w:before="0" w:after="0"/>
        <w:jc w:val="both"/>
        <w:rPr>
          <w:rFonts w:ascii="Arial" w:hAnsi="Arial" w:cs="Arial"/>
          <w:bCs/>
        </w:rPr>
      </w:pPr>
      <w:r>
        <w:rPr>
          <w:rFonts w:cs="Arial" w:ascii="Arial" w:hAnsi="Arial"/>
          <w:b/>
          <w:bCs/>
          <w:color w:val="FF0000"/>
        </w:rPr>
        <w:t xml:space="preserve">AQUISIÇÃO DE PNEU PARA OS VEICULOS DO TRANSPORTE COLETIVO MUNICIPAL, </w:t>
      </w:r>
      <w:r>
        <w:rPr>
          <w:rFonts w:cs="Arial" w:ascii="Arial" w:hAnsi="Arial"/>
          <w:bCs/>
          <w:color w:val="FF0000"/>
        </w:rPr>
        <w:t>f</w:t>
      </w:r>
      <w:r>
        <w:rPr>
          <w:rFonts w:cs="Arial" w:ascii="Arial" w:hAnsi="Arial"/>
          <w:bCs/>
          <w:color w:val="FF0000"/>
          <w:lang w:eastAsia="en-US"/>
        </w:rPr>
        <w:t>undamentadas no art. 75, inciso II, da Lei Federal nº 14.133, de 2021</w:t>
      </w:r>
      <w:r>
        <w:rPr>
          <w:rFonts w:cs="Arial" w:ascii="Arial" w:hAnsi="Arial"/>
          <w:bCs/>
        </w:rPr>
        <w:t>, visando atender as necessidades da/o</w:t>
      </w:r>
    </w:p>
    <w:p>
      <w:pPr>
        <w:pStyle w:val="Normal"/>
        <w:spacing w:lineRule="atLeast" w:line="25" w:before="0" w:after="0"/>
        <w:jc w:val="both"/>
        <w:rPr>
          <w:rFonts w:ascii="Arial" w:hAnsi="Arial" w:cs="Arial"/>
          <w:b/>
          <w:b/>
          <w:bCs/>
          <w:color w:val="FF0000"/>
        </w:rPr>
      </w:pPr>
      <w:r>
        <w:rPr>
          <w:rFonts w:cs="Arial" w:ascii="Arial" w:hAnsi="Arial"/>
          <w:b/>
          <w:bCs/>
          <w:color w:val="FF0000"/>
        </w:rPr>
        <w:t xml:space="preserve">-- </w:t>
      </w:r>
      <w:r>
        <w:rPr>
          <w:rFonts w:cs="Arial" w:ascii="Arial" w:hAnsi="Arial"/>
          <w:b/>
          <w:bCs/>
          <w:color w:val="FF0000"/>
        </w:rPr>
        <w:t>SMT</w:t>
      </w:r>
      <w:r>
        <w:rPr>
          <w:rFonts w:cs="Arial" w:ascii="Arial" w:hAnsi="Arial"/>
          <w:b/>
          <w:bCs/>
          <w:color w:val="FF0000"/>
        </w:rPr>
        <w:t xml:space="preserve">- </w:t>
      </w:r>
      <w:r>
        <w:rPr>
          <w:rFonts w:cs="Arial" w:ascii="Arial" w:hAnsi="Arial"/>
          <w:b/>
          <w:bCs/>
          <w:color w:val="FF0000"/>
        </w:rPr>
        <w:t xml:space="preserve">SUPERINTENDENCIA MUNICIPAL DE TRANSITO </w:t>
      </w:r>
      <w:r>
        <w:rPr>
          <w:rFonts w:cs="Arial" w:ascii="Arial" w:hAnsi="Arial"/>
          <w:b/>
          <w:bCs/>
          <w:color w:val="FF0000"/>
        </w:rPr>
        <w:t xml:space="preserve">  , EM ITUMBIARA-GO</w:t>
      </w:r>
    </w:p>
    <w:p>
      <w:pPr>
        <w:pStyle w:val="Normal"/>
        <w:spacing w:lineRule="atLeast" w:line="25" w:before="0" w:after="0"/>
        <w:jc w:val="both"/>
        <w:rPr>
          <w:rFonts w:ascii="Arial" w:hAnsi="Arial" w:cs="Arial"/>
          <w:b/>
          <w:b/>
          <w:bCs/>
        </w:rPr>
      </w:pPr>
      <w:r>
        <w:rPr>
          <w:rFonts w:cs="Arial" w:ascii="Arial" w:hAnsi="Arial"/>
          <w:b/>
          <w:bCs/>
        </w:rPr>
        <w:t>conforme especificações do Termo de Referência, DFD e outros documentos anexos.</w:t>
      </w:r>
    </w:p>
    <w:p>
      <w:pPr>
        <w:pStyle w:val="Normal"/>
        <w:spacing w:lineRule="atLeast" w:line="25" w:before="0" w:after="0"/>
        <w:jc w:val="both"/>
        <w:rPr>
          <w:rFonts w:ascii="Arial" w:hAnsi="Arial" w:cs="Arial"/>
          <w:i/>
          <w:i/>
          <w:lang w:eastAsia="en-US"/>
        </w:rPr>
      </w:pPr>
      <w:r>
        <w:rPr>
          <w:rFonts w:cs="Arial" w:ascii="Arial" w:hAnsi="Arial"/>
          <w:i/>
          <w:lang w:eastAsia="en-US"/>
        </w:rPr>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1.2.</w:t>
      </w:r>
      <w:r>
        <w:rPr>
          <w:rFonts w:cs="Arial" w:ascii="Arial" w:hAnsi="Arial"/>
          <w:lang w:eastAsia="en-US"/>
        </w:rPr>
        <w:t xml:space="preserve"> O critério de julgamento adotado será o de </w:t>
      </w:r>
      <w:r>
        <w:rPr>
          <w:rFonts w:cs="Arial" w:ascii="Arial" w:hAnsi="Arial"/>
          <w:b/>
          <w:color w:val="FF0000"/>
          <w:lang w:eastAsia="en-US"/>
        </w:rPr>
        <w:t>menor valor GLOBAL</w:t>
      </w:r>
      <w:r>
        <w:rPr>
          <w:rFonts w:cs="Arial" w:ascii="Arial" w:hAnsi="Arial"/>
          <w:lang w:eastAsia="en-US"/>
        </w:rPr>
        <w:t xml:space="preserve">, observadas as exigências contidas neste Aviso de Contratação Direta e seus Anexos quanto às especificações do objeto. </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2. PARTICIPAÇÃO NA DISPENSA ELETRÔNICA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2.1.</w:t>
      </w:r>
      <w:r>
        <w:rPr>
          <w:rFonts w:cs="Arial" w:ascii="Arial" w:hAnsi="Arial"/>
          <w:lang w:eastAsia="en-US"/>
        </w:rPr>
        <w:t xml:space="preserve"> Para cumprimento do art. 48, inciso I, da Lei Complementar n° 123, de 2006, e do art. 13, da Lei Municipal nº 5.268, de 2023, no presente certame, cujo os itens de contratação possuem valores inferiores a R$ 80.000,00 (oitenta mil reais), esta dispensa será destinada à participação preferencial de microempresas e empresas de pequeno porte.</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2.2.</w:t>
      </w:r>
      <w:r>
        <w:rPr>
          <w:rFonts w:cs="Arial" w:ascii="Arial" w:hAnsi="Arial"/>
          <w:lang w:eastAsia="en-US"/>
        </w:rPr>
        <w:t xml:space="preserve"> Desse modo, deverá haver a participação de, no mínimo, de 03 (três) microempresas ou empresas de pequeno porte, sediadas local ou regionalmente com apresentação de proposta.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2.3.</w:t>
      </w:r>
      <w:r>
        <w:rPr>
          <w:rFonts w:cs="Arial" w:ascii="Arial" w:hAnsi="Arial"/>
          <w:lang w:eastAsia="en-US"/>
        </w:rPr>
        <w:t xml:space="preserve"> O não atendimento à condição acima caracterizará o disposto no art. 49, inciso II, da Lei Complementar n° 123, de 2006, tornando a dispensa</w:t>
      </w:r>
      <w:r>
        <w:rPr>
          <w:rFonts w:cs="Arial" w:ascii="Arial" w:hAnsi="Arial"/>
          <w:color w:val="FF0000"/>
          <w:lang w:eastAsia="en-US"/>
        </w:rPr>
        <w:t xml:space="preserve"> </w:t>
      </w:r>
      <w:r>
        <w:rPr>
          <w:rFonts w:cs="Arial" w:ascii="Arial" w:hAnsi="Arial"/>
          <w:lang w:eastAsia="en-US"/>
        </w:rPr>
        <w:t>de ampla disputa.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2.4.</w:t>
      </w:r>
      <w:r>
        <w:rPr>
          <w:rFonts w:cs="Arial" w:ascii="Arial" w:hAnsi="Arial"/>
          <w:lang w:eastAsia="en-US"/>
        </w:rPr>
        <w:t xml:space="preserve"> Utilizando a definição prevista no art. 2°, incisos I e II, da Lei n° 5.268, de 2023, considera-se como sediadas em âmbito local as empresas constituídas nos limites geográficos do Município onde será executado o objeto da contratação e, em âmbito regional, considerar-se-ão aquelas sediadas em municípios situados no Estado de Goiás.</w:t>
      </w:r>
    </w:p>
    <w:p>
      <w:pPr>
        <w:pStyle w:val="Normal"/>
        <w:shd w:val="clear" w:color="auto" w:fill="FFFFFF" w:themeFill="background1"/>
        <w:spacing w:lineRule="atLeast" w:line="25" w:before="0" w:after="0"/>
        <w:jc w:val="both"/>
        <w:rPr>
          <w:rFonts w:ascii="Arial" w:hAnsi="Arial" w:cs="Arial"/>
          <w:b/>
          <w:b/>
          <w:sz w:val="30"/>
          <w:szCs w:val="30"/>
          <w:lang w:eastAsia="en-US"/>
        </w:rPr>
      </w:pPr>
      <w:r>
        <w:rPr>
          <w:rFonts w:cs="Arial" w:ascii="Arial" w:hAnsi="Arial"/>
          <w:b/>
          <w:i/>
          <w:sz w:val="30"/>
          <w:szCs w:val="30"/>
          <w:lang w:eastAsia="en-US"/>
        </w:rPr>
        <w:t>2.5.</w:t>
      </w:r>
      <w:r>
        <w:rPr>
          <w:rFonts w:cs="Arial" w:ascii="Arial" w:hAnsi="Arial"/>
          <w:b/>
          <w:sz w:val="30"/>
          <w:szCs w:val="30"/>
          <w:lang w:eastAsia="en-US"/>
        </w:rPr>
        <w:t xml:space="preserve"> A participação na presente dispensa eletrônica só se dará mediante acesso à plataforma eletrônica PORTAL DO FORNECEDOR, disponível no endereço eletrônico</w:t>
      </w:r>
    </w:p>
    <w:p>
      <w:pPr>
        <w:pStyle w:val="Normal"/>
        <w:shd w:val="clear" w:color="auto" w:fill="FFFFFF" w:themeFill="background1"/>
        <w:spacing w:lineRule="atLeast" w:line="25" w:before="0" w:after="0"/>
        <w:jc w:val="both"/>
        <w:rPr>
          <w:rFonts w:ascii="Arial" w:hAnsi="Arial" w:cs="Arial"/>
          <w:b/>
          <w:b/>
          <w:sz w:val="28"/>
          <w:szCs w:val="28"/>
          <w:lang w:eastAsia="en-US"/>
        </w:rPr>
      </w:pPr>
      <w:r>
        <w:rPr>
          <w:rFonts w:cs="Arial" w:ascii="Arial" w:hAnsi="Arial"/>
          <w:b/>
          <w:sz w:val="28"/>
          <w:szCs w:val="28"/>
          <w:lang w:eastAsia="en-US"/>
        </w:rPr>
      </w:r>
    </w:p>
    <w:p>
      <w:pPr>
        <w:pStyle w:val="Normal"/>
        <w:shd w:val="clear" w:color="auto" w:fill="FFFFFF" w:themeFill="background1"/>
        <w:spacing w:lineRule="atLeast" w:line="25" w:before="0" w:after="0"/>
        <w:jc w:val="center"/>
        <w:rPr>
          <w:rStyle w:val="LinkdaInternet"/>
          <w:rFonts w:ascii="Arial" w:hAnsi="Arial" w:cs="Arial"/>
          <w:b/>
          <w:b/>
          <w:sz w:val="38"/>
          <w:szCs w:val="38"/>
          <w:lang w:eastAsia="en-US"/>
        </w:rPr>
      </w:pPr>
      <w:hyperlink r:id="rId5">
        <w:r>
          <w:rPr>
            <w:rStyle w:val="LinkdaInternet"/>
            <w:rFonts w:cs="Arial" w:ascii="Arial" w:hAnsi="Arial"/>
            <w:b/>
            <w:sz w:val="38"/>
            <w:szCs w:val="38"/>
            <w:lang w:eastAsia="en-US"/>
          </w:rPr>
          <w:t>https://go.centi.com.br/itumbiara/portalfornecedor</w:t>
        </w:r>
      </w:hyperlink>
    </w:p>
    <w:p>
      <w:pPr>
        <w:pStyle w:val="Normal"/>
        <w:shd w:val="clear" w:color="auto" w:fill="FFFFFF" w:themeFill="background1"/>
        <w:spacing w:lineRule="atLeast" w:line="25" w:before="0" w:after="0"/>
        <w:jc w:val="center"/>
        <w:rPr>
          <w:rFonts w:ascii="Arial" w:hAnsi="Arial" w:cs="Arial"/>
          <w:sz w:val="36"/>
          <w:szCs w:val="36"/>
          <w:lang w:eastAsia="en-US"/>
        </w:rPr>
      </w:pPr>
      <w:r>
        <w:rPr>
          <w:rFonts w:cs="Arial" w:ascii="Arial" w:hAnsi="Arial"/>
          <w:sz w:val="36"/>
          <w:szCs w:val="36"/>
          <w:lang w:eastAsia="en-US"/>
        </w:rPr>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lang w:eastAsia="en-US"/>
        </w:rPr>
        <w:t>2.5.1.</w:t>
      </w:r>
      <w:r>
        <w:rPr>
          <w:rFonts w:cs="Arial" w:ascii="Arial" w:hAnsi="Arial"/>
          <w:lang w:eastAsia="en-US"/>
        </w:rPr>
        <w:t xml:space="preserve"> </w:t>
      </w:r>
      <w:r>
        <w:rPr>
          <w:rFonts w:cs="Arial" w:ascii="Arial" w:hAnsi="Arial"/>
          <w:color w:val="000000"/>
          <w:lang w:eastAsia="en-US"/>
        </w:rPr>
        <w:t>O fornecedor</w:t>
      </w:r>
      <w:r>
        <w:rPr>
          <w:rFonts w:cs="Arial" w:ascii="Arial" w:hAnsi="Arial"/>
          <w:color w:val="FF0000"/>
          <w:lang w:eastAsia="en-US"/>
        </w:rPr>
        <w:t xml:space="preserve"> </w:t>
      </w:r>
      <w:r>
        <w:rPr>
          <w:rFonts w:cs="Arial" w:ascii="Arial" w:hAnsi="Arial"/>
          <w:lang w:eastAsia="en-US"/>
        </w:rPr>
        <w:t>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dispensa por eventuais danos decorrentes de uso indevido das credenciais de acesso, ainda que por terceiros.</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lang w:eastAsia="en-US"/>
        </w:rPr>
        <w:t xml:space="preserve">2.5.2. </w:t>
      </w:r>
      <w:r>
        <w:rPr>
          <w:rFonts w:cs="Arial" w:ascii="Arial" w:hAnsi="Arial"/>
          <w:b/>
          <w:bCs/>
          <w:lang w:eastAsia="en-US"/>
        </w:rPr>
        <w:t>A presente dispensa eletrônica terá início no dia 1</w:t>
      </w:r>
      <w:r>
        <w:rPr>
          <w:rFonts w:cs="Arial" w:ascii="Arial" w:hAnsi="Arial"/>
          <w:b/>
          <w:bCs/>
          <w:lang w:eastAsia="en-US"/>
        </w:rPr>
        <w:t>5</w:t>
      </w:r>
      <w:r>
        <w:rPr>
          <w:rFonts w:cs="Arial" w:ascii="Arial" w:hAnsi="Arial"/>
          <w:b/>
          <w:bCs/>
          <w:color w:val="FF0000"/>
          <w:lang w:eastAsia="en-US"/>
        </w:rPr>
        <w:t xml:space="preserve">/05/2024 </w:t>
      </w:r>
      <w:r>
        <w:rPr>
          <w:rFonts w:cs="Arial" w:ascii="Arial" w:hAnsi="Arial"/>
          <w:b/>
          <w:bCs/>
          <w:color w:val="000000"/>
          <w:lang w:eastAsia="en-US"/>
        </w:rPr>
        <w:t xml:space="preserve">e término no dia </w:t>
      </w:r>
      <w:r>
        <w:rPr>
          <w:rFonts w:cs="Arial" w:ascii="Arial" w:hAnsi="Arial"/>
          <w:b/>
          <w:bCs/>
          <w:color w:val="000000"/>
          <w:lang w:eastAsia="en-US"/>
        </w:rPr>
        <w:t>20</w:t>
      </w:r>
      <w:r>
        <w:rPr>
          <w:rFonts w:cs="Arial" w:ascii="Arial" w:hAnsi="Arial"/>
          <w:b/>
          <w:bCs/>
          <w:color w:val="FF0000"/>
          <w:lang w:eastAsia="en-US"/>
        </w:rPr>
        <w:t>/05/2024</w:t>
      </w:r>
      <w:r>
        <w:rPr>
          <w:rFonts w:cs="Arial" w:ascii="Arial" w:hAnsi="Arial"/>
          <w:b/>
          <w:bCs/>
          <w:color w:val="000000"/>
          <w:lang w:eastAsia="en-US"/>
        </w:rPr>
        <w:t>, às 23 (vinte e três) horas e 59 (c</w:t>
      </w:r>
      <w:r>
        <w:rPr>
          <w:rFonts w:cs="Arial" w:ascii="Arial" w:hAnsi="Arial"/>
          <w:b/>
          <w:bCs/>
          <w:lang w:eastAsia="en-US"/>
        </w:rPr>
        <w:t>inquenta e nove) minutos.</w:t>
      </w:r>
      <w:r>
        <w:rPr>
          <w:rFonts w:cs="Arial" w:ascii="Arial" w:hAnsi="Arial"/>
          <w:lang w:eastAsia="en-US"/>
        </w:rPr>
        <w:t xml:space="preserve"> </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2.6.</w:t>
      </w:r>
      <w:r>
        <w:rPr>
          <w:rFonts w:cs="Arial" w:ascii="Arial" w:hAnsi="Arial"/>
          <w:lang w:eastAsia="en-US"/>
        </w:rPr>
        <w:t xml:space="preserve"> Não poderão participar desta dispensa os fornecedores: </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lang w:eastAsia="en-US"/>
        </w:rPr>
        <w:t>2.6.1.</w:t>
      </w:r>
      <w:r>
        <w:rPr>
          <w:rFonts w:cs="Arial" w:ascii="Arial" w:hAnsi="Arial"/>
          <w:lang w:eastAsia="en-US"/>
        </w:rPr>
        <w:t xml:space="preserve"> Que não atendam às condições deste Aviso de Contração Direta e seus anexos;</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lang w:eastAsia="en-US"/>
        </w:rPr>
        <w:t>2.6.2.</w:t>
      </w:r>
      <w:r>
        <w:rPr>
          <w:rFonts w:cs="Arial" w:ascii="Arial" w:hAnsi="Arial"/>
          <w:lang w:eastAsia="en-US"/>
        </w:rPr>
        <w:t xml:space="preserve"> Estrangeiros que não tenham representação legal no Brasil com poderes expressos para receber citação e responder administrativa ou judicialmente;</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iCs/>
          <w:lang w:eastAsia="en-US"/>
        </w:rPr>
        <w:t>2.6.3.</w:t>
      </w:r>
      <w:r>
        <w:rPr>
          <w:rFonts w:cs="Arial" w:ascii="Arial" w:hAnsi="Arial"/>
          <w:lang w:eastAsia="en-US"/>
        </w:rPr>
        <w:t xml:space="preserve"> Organização da Sociedade Civil de Interesse Público – OSCIP, atuando nessa condição (Acórdão n° 746/2014-TCU-Plenário).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lang w:eastAsia="en-US"/>
        </w:rPr>
        <w:t>2.6.4.</w:t>
      </w:r>
      <w:r>
        <w:rPr>
          <w:rFonts w:cs="Arial" w:ascii="Arial" w:hAnsi="Arial"/>
          <w:lang w:eastAsia="en-US"/>
        </w:rPr>
        <w:t xml:space="preserve"> Que se enquadrem nas seguintes vedações:</w:t>
      </w:r>
    </w:p>
    <w:p>
      <w:pPr>
        <w:pStyle w:val="Normal"/>
        <w:shd w:val="clear" w:color="auto" w:fill="FFFFFF" w:themeFill="background1"/>
        <w:spacing w:lineRule="atLeast" w:line="25" w:before="0" w:after="0"/>
        <w:ind w:left="1416" w:hanging="0"/>
        <w:jc w:val="both"/>
        <w:rPr>
          <w:rFonts w:ascii="Arial" w:hAnsi="Arial" w:cs="Arial"/>
          <w:lang w:eastAsia="en-US"/>
        </w:rPr>
      </w:pPr>
      <w:r>
        <w:rPr>
          <w:rFonts w:cs="Arial" w:ascii="Arial" w:hAnsi="Arial"/>
          <w:lang w:eastAsia="en-US"/>
        </w:rPr>
        <w:t>a) Autor do anteprojeto, do projeto básico ou do projeto executivo, pessoa física ou jurídica;</w:t>
      </w:r>
    </w:p>
    <w:p>
      <w:pPr>
        <w:pStyle w:val="Normal"/>
        <w:shd w:val="clear" w:color="auto" w:fill="FFFFFF" w:themeFill="background1"/>
        <w:spacing w:lineRule="atLeast" w:line="25" w:before="0" w:after="0"/>
        <w:ind w:left="708" w:firstLine="708"/>
        <w:jc w:val="both"/>
        <w:rPr>
          <w:rFonts w:ascii="Arial" w:hAnsi="Arial" w:cs="Arial"/>
          <w:lang w:eastAsia="en-US"/>
        </w:rPr>
      </w:pPr>
      <w:r>
        <w:rPr>
          <w:rFonts w:cs="Arial" w:ascii="Arial" w:hAnsi="Arial"/>
          <w:lang w:eastAsia="en-US"/>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pPr>
        <w:pStyle w:val="Normal"/>
        <w:shd w:val="clear" w:color="auto" w:fill="FFFFFF" w:themeFill="background1"/>
        <w:spacing w:lineRule="atLeast" w:line="25" w:before="0" w:after="0"/>
        <w:ind w:left="1416" w:hanging="0"/>
        <w:jc w:val="both"/>
        <w:rPr>
          <w:rFonts w:ascii="Arial" w:hAnsi="Arial" w:cs="Arial"/>
          <w:lang w:eastAsia="en-US"/>
        </w:rPr>
      </w:pPr>
      <w:r>
        <w:rPr>
          <w:rFonts w:cs="Arial" w:ascii="Arial" w:hAnsi="Arial"/>
          <w:lang w:eastAsia="en-US"/>
        </w:rPr>
        <w:t>c) Pessoa jurídica que se encontre, ao tempo da contratação, impossibilitada de contratar em decorrência de sanção que lhe foi imposta;</w:t>
      </w:r>
    </w:p>
    <w:p>
      <w:pPr>
        <w:pStyle w:val="Normal"/>
        <w:shd w:val="clear" w:color="auto" w:fill="FFFFFF" w:themeFill="background1"/>
        <w:spacing w:lineRule="atLeast" w:line="25" w:before="0" w:after="0"/>
        <w:ind w:left="708" w:firstLine="708"/>
        <w:jc w:val="both"/>
        <w:rPr>
          <w:rFonts w:ascii="Arial" w:hAnsi="Arial" w:cs="Arial"/>
          <w:lang w:eastAsia="en-US"/>
        </w:rPr>
      </w:pPr>
      <w:r>
        <w:rPr>
          <w:rFonts w:cs="Arial" w:ascii="Arial" w:hAnsi="Arial"/>
          <w:lang w:eastAsia="en-US"/>
        </w:rPr>
        <w:t>d) Aquele que mantenha vínculo de natureza técnica, comercial, econômica, financeira, trabalhista ou civil com dirigente do órgão ou entidade contratante ou com agente público que desempenhe função na contratação ou atue na fiscalização ou na gestão do contrato, ou que deles seja cônjuge, companheiro ou parente em linha reta, colateral ou por afinidade, até o terceiro grau;</w:t>
      </w:r>
    </w:p>
    <w:p>
      <w:pPr>
        <w:pStyle w:val="Normal"/>
        <w:shd w:val="clear" w:color="auto" w:fill="FFFFFF" w:themeFill="background1"/>
        <w:spacing w:lineRule="atLeast" w:line="25" w:before="0" w:after="0"/>
        <w:ind w:left="1416" w:hanging="0"/>
        <w:jc w:val="both"/>
        <w:rPr>
          <w:rFonts w:ascii="Arial" w:hAnsi="Arial" w:cs="Arial"/>
          <w:lang w:eastAsia="en-US"/>
        </w:rPr>
      </w:pPr>
      <w:r>
        <w:rPr>
          <w:rFonts w:cs="Arial" w:ascii="Arial" w:hAnsi="Arial"/>
          <w:lang w:eastAsia="en-US"/>
        </w:rPr>
        <w:t>e) Empresas controladoras, controladas ou coligadas, nos termos da Lei n° 6.404, de 1976, concorrendo entre si;</w:t>
      </w:r>
    </w:p>
    <w:p>
      <w:pPr>
        <w:pStyle w:val="Normal"/>
        <w:shd w:val="clear" w:color="auto" w:fill="FFFFFF" w:themeFill="background1"/>
        <w:spacing w:lineRule="atLeast" w:line="25" w:before="0" w:after="0"/>
        <w:ind w:left="708" w:firstLine="708"/>
        <w:jc w:val="both"/>
        <w:rPr>
          <w:rFonts w:ascii="Arial" w:hAnsi="Arial" w:cs="Arial"/>
          <w:lang w:eastAsia="en-US"/>
        </w:rPr>
      </w:pPr>
      <w:r>
        <w:rPr>
          <w:rFonts w:cs="Arial" w:ascii="Arial" w:hAnsi="Arial"/>
          <w:lang w:eastAsia="en-US"/>
        </w:rPr>
        <w:t>f) 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lang w:eastAsia="en-US"/>
        </w:rPr>
        <w:t>2.6.5.</w:t>
      </w:r>
      <w:r>
        <w:rPr>
          <w:rFonts w:cs="Arial" w:ascii="Arial" w:hAnsi="Arial"/>
          <w:lang w:eastAsia="en-US"/>
        </w:rPr>
        <w:t xml:space="preserve"> Equiparam-se aos autores do projeto as empresas integrantes do mesmo grupo econômico.</w:t>
      </w:r>
    </w:p>
    <w:p>
      <w:pPr>
        <w:pStyle w:val="Normal"/>
        <w:shd w:val="clear" w:color="auto" w:fill="FFFFFF" w:themeFill="background1"/>
        <w:spacing w:lineRule="atLeast" w:line="25" w:before="0" w:after="0"/>
        <w:ind w:left="1416" w:hanging="0"/>
        <w:jc w:val="both"/>
        <w:rPr>
          <w:rFonts w:ascii="Arial" w:hAnsi="Arial" w:cs="Arial"/>
          <w:lang w:eastAsia="en-US"/>
        </w:rPr>
      </w:pPr>
      <w:r>
        <w:rPr>
          <w:rFonts w:cs="Arial" w:ascii="Arial" w:hAnsi="Arial"/>
          <w:i/>
          <w:lang w:eastAsia="en-US"/>
        </w:rPr>
        <w:t>2.6.5.1.</w:t>
      </w:r>
      <w:r>
        <w:rPr>
          <w:rFonts w:cs="Arial" w:ascii="Arial" w:hAnsi="Arial"/>
          <w:lang w:eastAsia="en-US"/>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 xml:space="preserve">3. INGRESSO NA DISPENSA ELETRÔNICA </w:t>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E CADASTRAMENTO DA PROPOSTA INICIAL</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3.1.</w:t>
      </w:r>
      <w:r>
        <w:rPr>
          <w:rFonts w:cs="Arial" w:ascii="Arial" w:hAnsi="Arial"/>
          <w:lang w:eastAsia="en-US"/>
        </w:rPr>
        <w:t xml:space="preserve"> O ingresso do fornecedor na disputa da dispensa eletrônica se dará com o cadastramento de sua proposta inicial, na forma deste item.</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3.2.</w:t>
      </w:r>
      <w:r>
        <w:rPr>
          <w:rFonts w:cs="Arial" w:ascii="Arial" w:hAnsi="Arial"/>
          <w:lang w:eastAsia="en-US"/>
        </w:rPr>
        <w:t xml:space="preserve"> O fornecedor interessado, após a divulgação do aviso de contratação direta, encaminhará, exclusivamente por meio do sistema eletrônico, a proposta com o preço, até a data e o horário estabelecidos neste Edital.</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3.3.</w:t>
      </w:r>
      <w:r>
        <w:rPr>
          <w:rFonts w:cs="Arial" w:ascii="Arial" w:hAnsi="Arial"/>
          <w:lang w:eastAsia="en-US"/>
        </w:rPr>
        <w:t xml:space="preserve"> Todas as especificações do objeto contidas na proposta, em especial o preço, vinculam a contratada.</w:t>
      </w:r>
    </w:p>
    <w:p>
      <w:pPr>
        <w:pStyle w:val="Normal"/>
        <w:shd w:val="clear" w:color="auto" w:fill="FFFFFF" w:themeFill="background1"/>
        <w:spacing w:lineRule="atLeast" w:line="25" w:before="0" w:after="0"/>
        <w:jc w:val="both"/>
        <w:rPr>
          <w:rFonts w:ascii="Arial" w:hAnsi="Arial" w:cs="Arial"/>
        </w:rPr>
      </w:pPr>
      <w:r>
        <w:rPr>
          <w:rFonts w:cs="Arial" w:ascii="Arial" w:hAnsi="Arial"/>
          <w:i/>
          <w:lang w:eastAsia="en-US"/>
        </w:rPr>
        <w:t>3.4.</w:t>
      </w:r>
      <w:r>
        <w:rPr>
          <w:rFonts w:cs="Arial" w:ascii="Arial" w:hAnsi="Arial"/>
          <w:lang w:eastAsia="en-US"/>
        </w:rPr>
        <w:t xml:space="preserve"> Nos valores propostos estarão inclusos todos os custos operacionais, encargos previdenciários, trabalhistas, tributários, comerciais e quaisquer outros que incidam direta ou indiretamente na entrega do bem ou na execução dos serviços.</w:t>
      </w:r>
    </w:p>
    <w:p>
      <w:pPr>
        <w:pStyle w:val="Normal"/>
        <w:shd w:val="clear" w:color="auto" w:fill="FFFFFF" w:themeFill="background1"/>
        <w:spacing w:lineRule="atLeast" w:line="25" w:before="0" w:after="0"/>
        <w:ind w:left="708" w:hanging="0"/>
        <w:jc w:val="both"/>
        <w:rPr>
          <w:rFonts w:ascii="Arial" w:hAnsi="Arial" w:cs="Arial"/>
        </w:rPr>
      </w:pPr>
      <w:r>
        <w:rPr>
          <w:rFonts w:cs="Arial" w:ascii="Arial" w:hAnsi="Arial"/>
          <w:i/>
          <w:lang w:eastAsia="en-US"/>
        </w:rPr>
        <w:t>3.4.1.</w:t>
      </w:r>
      <w:r>
        <w:rPr>
          <w:rFonts w:cs="Arial" w:ascii="Arial" w:hAnsi="Arial"/>
          <w:lang w:eastAsia="en-US"/>
        </w:rPr>
        <w:t xml:space="preserve"> Os preços ofertados na proposta serão de exclusiva responsabilidade do fornecedor, não lhe assistindo o direito de pleitear qualquer alteração após o prazo assinalado no item “2.5.2”, sob alegação de erro, omissão ou qualquer outro pretexto.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3.5.</w:t>
      </w:r>
      <w:r>
        <w:rPr>
          <w:rFonts w:cs="Arial" w:ascii="Arial" w:hAnsi="Arial"/>
          <w:lang w:eastAsia="en-US"/>
        </w:rPr>
        <w:t xml:space="preserve"> No cadastramento da proposta inicial, o fornecedor deverá, também, assinalar “sim” ou “não” em campo próprio do sistema eletrônico, às seguintes declarações: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3.5.1.</w:t>
      </w:r>
      <w:r>
        <w:rPr>
          <w:rFonts w:cs="Arial" w:ascii="Arial" w:hAnsi="Arial"/>
          <w:lang w:eastAsia="en-US"/>
        </w:rPr>
        <w:t xml:space="preserve"> Que inexistem fatos impeditivos para sua habilitação no certame, ciente da obrigatoriedade de declarar ocorrências posteriores;</w:t>
      </w:r>
    </w:p>
    <w:p>
      <w:pPr>
        <w:pStyle w:val="Normal"/>
        <w:ind w:left="708" w:hanging="0"/>
        <w:rPr>
          <w:rFonts w:ascii="Arial" w:hAnsi="Arial" w:cs="Arial"/>
          <w:lang w:eastAsia="en-US"/>
        </w:rPr>
      </w:pPr>
      <w:r>
        <w:rPr>
          <w:rFonts w:cs="Arial" w:ascii="Arial" w:hAnsi="Arial"/>
          <w:i/>
          <w:iCs/>
          <w:lang w:eastAsia="en-US"/>
        </w:rPr>
        <w:t>3.5.2.</w:t>
      </w:r>
      <w:r>
        <w:rPr>
          <w:rFonts w:cs="Arial" w:ascii="Arial" w:hAnsi="Arial"/>
          <w:lang w:eastAsia="en-US"/>
        </w:rPr>
        <w:t xml:space="preserve"> Que cumpre os requisitos estabelecidos no artigo 3° da Lei Complementar nº 123, de 2006, estando apto a usufruir do tratamento favorecido estabelecido em seus arts. 42 a 49;</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3.5.3.</w:t>
      </w:r>
      <w:r>
        <w:rPr>
          <w:rFonts w:cs="Arial" w:ascii="Arial" w:hAnsi="Arial"/>
          <w:lang w:eastAsia="en-US"/>
        </w:rPr>
        <w:t xml:space="preserve"> Que está ciente e concorda as condições contidas no Aviso de Contratação Direta e seus anexos; </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3.5.4.</w:t>
      </w:r>
      <w:r>
        <w:rPr>
          <w:rFonts w:cs="Arial" w:ascii="Arial" w:hAnsi="Arial"/>
          <w:lang w:eastAsia="en-US"/>
        </w:rPr>
        <w:t xml:space="preserve"> Que assume a responsabilidade pelas transações que forem efetuadas no sistema e pelos documentos juntados, assumindo como firmes e verdadeiras;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3.5.5.</w:t>
      </w:r>
      <w:r>
        <w:rPr>
          <w:rFonts w:cs="Arial" w:ascii="Arial" w:hAnsi="Arial"/>
          <w:lang w:eastAsia="en-US"/>
        </w:rPr>
        <w:t xml:space="preserve"> Que não emprega menor de 18 anos em trabalho noturno, perigoso ou insalubre e que não emprega menor de 16 anos, salvo menor, a partir de 14 anos, na condição de aprendiz, nos termos do art. 7°, XXXIII, da Constituição.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3.6.</w:t>
      </w:r>
      <w:r>
        <w:rPr>
          <w:rFonts w:cs="Arial" w:ascii="Arial" w:hAnsi="Arial"/>
          <w:lang w:eastAsia="en-US"/>
        </w:rPr>
        <w:t xml:space="preserve"> A apresentação das propostas implica obrigatoriedade do cumprimento das disposições nelas contidas, em conformidade com o que dispõe o Termo de Referência, assumindo o proponente o compromisso de fornecer os objetos nos seus termos. </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3.7.</w:t>
      </w:r>
      <w:r>
        <w:rPr>
          <w:rFonts w:cs="Arial" w:ascii="Arial" w:hAnsi="Arial"/>
          <w:lang w:eastAsia="en-US"/>
        </w:rPr>
        <w:t xml:space="preserve"> No preenchimento da proposta, a parte interessada deverá marcar a caixa de seleção e clicar em “acessar produtos” para acessar a listagem de produtos.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3.7.1.</w:t>
      </w:r>
      <w:r>
        <w:rPr>
          <w:rFonts w:cs="Arial" w:ascii="Arial" w:hAnsi="Arial"/>
          <w:lang w:eastAsia="en-US"/>
        </w:rPr>
        <w:t xml:space="preserve"> Caso deseje utilizar a planilha para preencher a proposta, deverá alterar o campo “utilizar planilha” para “sim”.</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3.7.2.</w:t>
      </w:r>
      <w:r>
        <w:rPr>
          <w:rFonts w:cs="Arial" w:ascii="Arial" w:hAnsi="Arial"/>
          <w:lang w:eastAsia="en-US"/>
        </w:rPr>
        <w:t xml:space="preserve"> Ao acessar a listagem de produtos, a parte interessada deverá, no campo “lote” verificar a possibilidade de existência de mais de 01 (um) lote. Caso haja mais de 01 (um) lote, deverá escolher o lote ou os lotes desejados.</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i/>
          <w:iCs/>
          <w:lang w:eastAsia="en-US"/>
        </w:rPr>
        <w:t>3.7.3.</w:t>
      </w:r>
      <w:r>
        <w:rPr>
          <w:rFonts w:cs="Arial" w:ascii="Arial" w:hAnsi="Arial"/>
          <w:lang w:eastAsia="en-US"/>
        </w:rPr>
        <w:t xml:space="preserve"> A coluna “item” representa a sequência de produtos.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3.7.4.</w:t>
      </w:r>
      <w:r>
        <w:rPr>
          <w:rFonts w:cs="Arial" w:ascii="Arial" w:hAnsi="Arial"/>
          <w:lang w:eastAsia="en-US"/>
        </w:rPr>
        <w:t xml:space="preserve"> Na coluna “marca”, deverá informar a marca do produto ofertado; e na coluna “valor unitário”, informar o valor unitário do seu produto.</w:t>
      </w:r>
    </w:p>
    <w:p>
      <w:pPr>
        <w:pStyle w:val="Normal"/>
        <w:shd w:val="clear" w:color="auto" w:fill="FFFFFF" w:themeFill="background1"/>
        <w:spacing w:lineRule="atLeast" w:line="25" w:before="0" w:after="0"/>
        <w:ind w:left="708" w:hanging="0"/>
        <w:jc w:val="both"/>
        <w:rPr>
          <w:rFonts w:ascii="Arial" w:hAnsi="Arial" w:cs="Arial"/>
          <w:i/>
          <w:i/>
          <w:iCs/>
          <w:lang w:eastAsia="en-US"/>
        </w:rPr>
      </w:pPr>
      <w:r>
        <w:rPr>
          <w:rFonts w:cs="Arial" w:ascii="Arial" w:hAnsi="Arial"/>
          <w:i/>
          <w:iCs/>
          <w:lang w:eastAsia="en-US"/>
        </w:rPr>
        <w:t>3.7.5.</w:t>
      </w:r>
      <w:r>
        <w:rPr>
          <w:rFonts w:cs="Arial" w:ascii="Arial" w:hAnsi="Arial"/>
          <w:lang w:eastAsia="en-US"/>
        </w:rPr>
        <w:t xml:space="preserve"> Após salvar a proposta, deverá clicar no item “documentos” para encaminhar a proposta em “.</w:t>
      </w:r>
      <w:r>
        <w:rPr>
          <w:rFonts w:cs="Arial" w:ascii="Arial" w:hAnsi="Arial"/>
          <w:i/>
          <w:iCs/>
          <w:lang w:eastAsia="en-US"/>
        </w:rPr>
        <w:t>pdf”</w:t>
      </w:r>
      <w:r>
        <w:rPr>
          <w:rFonts w:cs="Arial" w:ascii="Arial" w:hAnsi="Arial"/>
          <w:lang w:eastAsia="en-US"/>
        </w:rPr>
        <w:t xml:space="preserve"> devidamente datada e assinada e os documentos de habilitação e, em seguida, clicar no botão “enviar proposta”.</w:t>
      </w:r>
    </w:p>
    <w:p>
      <w:pPr>
        <w:pStyle w:val="Normal"/>
        <w:shd w:val="clear" w:color="auto" w:fill="FFFFFF" w:themeFill="background1"/>
        <w:spacing w:lineRule="atLeast" w:line="25" w:before="0" w:after="0"/>
        <w:jc w:val="both"/>
        <w:rPr>
          <w:rFonts w:ascii="Arial" w:hAnsi="Arial" w:cs="Arial"/>
          <w:i/>
          <w:i/>
          <w:iCs/>
          <w:lang w:eastAsia="en-US"/>
        </w:rPr>
      </w:pPr>
      <w:r>
        <w:rPr>
          <w:rFonts w:cs="Arial" w:ascii="Arial" w:hAnsi="Arial"/>
          <w:i/>
          <w:iCs/>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4. FASE DE PROPOSTAS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4.1</w:t>
      </w:r>
      <w:r>
        <w:rPr>
          <w:rFonts w:cs="Arial" w:ascii="Arial" w:hAnsi="Arial"/>
          <w:lang w:eastAsia="en-US"/>
        </w:rPr>
        <w:t xml:space="preserve"> A partir da data e horários estabelecidos no preâmbulo deste Aviso de Contratação Direta, será automaticamente aberta pelo sistema o PORTAL DO FORNECEDOR para o envio de propostas, exclusivamente, por meio do sistema eletrônico, sendo encerrado no horário de finalização também já previsto neste aviso.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4.2.</w:t>
      </w:r>
      <w:r>
        <w:rPr>
          <w:rFonts w:cs="Arial" w:ascii="Arial" w:hAnsi="Arial"/>
          <w:lang w:eastAsia="en-US"/>
        </w:rPr>
        <w:t xml:space="preserve"> Iniciada a etapa competitiva, os fornecedores deverão encaminhar propostas exclusivamente por meio de sistema eletrônico, sendo imediatamente informados do seu recebimento e do valor consignado no registro.</w:t>
      </w:r>
    </w:p>
    <w:p>
      <w:pPr>
        <w:pStyle w:val="Normal"/>
        <w:shd w:val="clear" w:color="auto" w:fill="FFFFFF" w:themeFill="background1"/>
        <w:spacing w:lineRule="atLeast" w:line="25" w:before="0" w:after="0"/>
        <w:jc w:val="both"/>
        <w:rPr>
          <w:rFonts w:ascii="Arial" w:hAnsi="Arial" w:cs="Arial"/>
        </w:rPr>
      </w:pPr>
      <w:r>
        <w:rPr>
          <w:rFonts w:cs="Arial" w:ascii="Arial" w:hAnsi="Arial"/>
          <w:i/>
          <w:lang w:eastAsia="en-US"/>
        </w:rPr>
        <w:t>4.3.</w:t>
      </w:r>
      <w:r>
        <w:rPr>
          <w:rFonts w:cs="Arial" w:ascii="Arial" w:hAnsi="Arial"/>
          <w:lang w:eastAsia="en-US"/>
        </w:rPr>
        <w:t xml:space="preserve"> A proposta deverá ser ofertada na forma do item “2.1”.</w:t>
      </w:r>
    </w:p>
    <w:p>
      <w:pPr>
        <w:pStyle w:val="Normal"/>
        <w:shd w:val="clear" w:color="auto" w:fill="FFFFFF" w:themeFill="background1"/>
        <w:spacing w:lineRule="atLeast" w:line="25" w:before="0" w:after="0"/>
        <w:jc w:val="both"/>
        <w:rPr>
          <w:rFonts w:ascii="Arial" w:hAnsi="Arial" w:cs="Arial"/>
        </w:rPr>
      </w:pPr>
      <w:r>
        <w:rPr>
          <w:rFonts w:cs="Arial" w:ascii="Arial" w:hAnsi="Arial"/>
          <w:i/>
          <w:lang w:eastAsia="en-US"/>
        </w:rPr>
        <w:t>4.4.</w:t>
      </w:r>
      <w:r>
        <w:rPr>
          <w:rFonts w:cs="Arial" w:ascii="Arial" w:hAnsi="Arial"/>
          <w:lang w:eastAsia="en-US"/>
        </w:rPr>
        <w:t xml:space="preserve"> Durante o período de propostas, o fornecedor poderá oferecer valor inferior em relação ao último por ele ofertado e registrado pelo sistema.</w:t>
      </w:r>
    </w:p>
    <w:p>
      <w:pPr>
        <w:pStyle w:val="Normal"/>
        <w:shd w:val="clear" w:color="auto" w:fill="FFFFFF" w:themeFill="background1"/>
        <w:spacing w:lineRule="atLeast" w:line="25" w:before="0" w:after="0"/>
        <w:jc w:val="both"/>
        <w:rPr>
          <w:rFonts w:ascii="Arial" w:hAnsi="Arial" w:cs="Arial"/>
        </w:rPr>
      </w:pPr>
      <w:r>
        <w:rPr>
          <w:rFonts w:cs="Arial" w:ascii="Arial" w:hAnsi="Arial"/>
          <w:i/>
          <w:lang w:eastAsia="en-US"/>
        </w:rPr>
        <w:t>4.5.</w:t>
      </w:r>
      <w:r>
        <w:rPr>
          <w:rFonts w:cs="Arial" w:ascii="Arial" w:hAnsi="Arial"/>
          <w:lang w:eastAsia="en-US"/>
        </w:rPr>
        <w:t xml:space="preserve"> Havendo propostas iguais à menor já ofertada, o critério de desempate será, sucessivamente:</w:t>
      </w:r>
    </w:p>
    <w:p>
      <w:pPr>
        <w:pStyle w:val="Normal"/>
        <w:shd w:val="clear" w:color="auto" w:fill="FFFFFF" w:themeFill="background1"/>
        <w:spacing w:lineRule="atLeast" w:line="25" w:before="0" w:after="0"/>
        <w:ind w:left="708" w:hanging="0"/>
        <w:jc w:val="both"/>
        <w:rPr>
          <w:rFonts w:ascii="Arial" w:hAnsi="Arial" w:cs="Arial"/>
        </w:rPr>
      </w:pPr>
      <w:r>
        <w:rPr>
          <w:rFonts w:cs="Arial" w:ascii="Arial" w:hAnsi="Arial"/>
          <w:lang w:eastAsia="en-US"/>
        </w:rPr>
        <w:t>I – a proposta ofertada por Microempresa ou Empresa de Pequeno Porte, nos termos do art. 12 da Lei Municipal nº 5.268, de 2023;</w:t>
      </w:r>
    </w:p>
    <w:p>
      <w:pPr>
        <w:pStyle w:val="Normal"/>
        <w:shd w:val="clear" w:color="auto" w:fill="FFFFFF" w:themeFill="background1"/>
        <w:spacing w:lineRule="atLeast" w:line="25" w:before="0" w:after="0"/>
        <w:ind w:left="708" w:hanging="0"/>
        <w:jc w:val="both"/>
        <w:rPr>
          <w:rFonts w:ascii="Arial" w:hAnsi="Arial" w:cs="Arial"/>
        </w:rPr>
      </w:pPr>
      <w:r>
        <w:rPr>
          <w:rFonts w:cs="Arial" w:ascii="Arial" w:hAnsi="Arial"/>
          <w:lang w:eastAsia="en-US"/>
        </w:rPr>
        <w:t>II – a proposta ofertada por empresa estabelecida no âmbito local, assim definido no art. 2º, inciso I, da Lei Municipal nº 5.268, de 2023;</w:t>
      </w:r>
    </w:p>
    <w:p>
      <w:pPr>
        <w:pStyle w:val="Normal"/>
        <w:shd w:val="clear" w:color="auto" w:fill="FFFFFF" w:themeFill="background1"/>
        <w:spacing w:lineRule="atLeast" w:line="25" w:before="0" w:after="0"/>
        <w:ind w:left="708" w:hanging="0"/>
        <w:jc w:val="both"/>
        <w:rPr>
          <w:rFonts w:ascii="Arial" w:hAnsi="Arial" w:cs="Arial"/>
        </w:rPr>
      </w:pPr>
      <w:r>
        <w:rPr>
          <w:rFonts w:cs="Arial" w:ascii="Arial" w:hAnsi="Arial"/>
          <w:lang w:eastAsia="en-US"/>
        </w:rPr>
        <w:t>III – a proposta ofertada por empresa estabelecida no âmbito regional, assim definido no art. 2º, inciso I, da Lei Municipal nº 5.268, de 2023;</w:t>
      </w:r>
    </w:p>
    <w:p>
      <w:pPr>
        <w:pStyle w:val="Normal"/>
        <w:shd w:val="clear" w:color="auto" w:fill="FFFFFF" w:themeFill="background1"/>
        <w:spacing w:lineRule="atLeast" w:line="25" w:before="0" w:after="0"/>
        <w:ind w:firstLine="708"/>
        <w:jc w:val="both"/>
        <w:rPr>
          <w:rFonts w:ascii="Arial" w:hAnsi="Arial" w:cs="Arial"/>
        </w:rPr>
      </w:pPr>
      <w:r>
        <w:rPr>
          <w:rFonts w:cs="Arial" w:ascii="Arial" w:hAnsi="Arial"/>
          <w:lang w:eastAsia="en-US"/>
        </w:rPr>
        <w:t>IV – sorteio.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4.6.</w:t>
      </w:r>
      <w:r>
        <w:rPr>
          <w:rFonts w:cs="Arial" w:ascii="Arial" w:hAnsi="Arial"/>
          <w:lang w:eastAsia="en-US"/>
        </w:rPr>
        <w:t xml:space="preserve"> Caso o fornecedor não apresente novas propostas, concorrerá com a inicial registrada no sistema.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4.7.</w:t>
      </w:r>
      <w:r>
        <w:rPr>
          <w:rFonts w:cs="Arial" w:ascii="Arial" w:hAnsi="Arial"/>
          <w:lang w:eastAsia="en-US"/>
        </w:rPr>
        <w:t xml:space="preserve"> Após o término do prazo estabelecido para a fase de propostas, haverá o seu encerramento, com o ordenamento e divulgação das propostas, pelo sistema, em ordem de classificação.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4.8.</w:t>
      </w:r>
      <w:r>
        <w:rPr>
          <w:rFonts w:cs="Arial" w:ascii="Arial" w:hAnsi="Arial"/>
          <w:lang w:eastAsia="en-US"/>
        </w:rPr>
        <w:t xml:space="preserve"> O encerramento da fase de propostas ocorrerá de forma automática pontualmente no horário indicado, sem qualquer possibilidade de prorrogação e não havendo tempo aleatório ou mecanismo similar.</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5. JULGAMENTO DAS PROPOSTAS DE PREÇO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5.1 </w:t>
      </w:r>
      <w:r>
        <w:rPr>
          <w:rFonts w:cs="Arial" w:ascii="Arial" w:hAnsi="Arial"/>
          <w:lang w:eastAsia="en-US"/>
        </w:rPr>
        <w:t>Encerrada a fase de propostas, será verificada a conformidade da proposta classificada em primeiro lugar quanto à adequação do objeto e à compatibilidade do preço em relação ao estipulado para a contratação.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5.2.</w:t>
      </w:r>
      <w:r>
        <w:rPr>
          <w:rFonts w:cs="Arial" w:ascii="Arial" w:hAnsi="Arial"/>
          <w:lang w:eastAsia="en-US"/>
        </w:rPr>
        <w:t xml:space="preserve"> Estando o preço compatível, poderão ser solicitados documentos complementares.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5.3. </w:t>
      </w:r>
      <w:r>
        <w:rPr>
          <w:rFonts w:cs="Arial" w:ascii="Arial" w:hAnsi="Arial"/>
          <w:lang w:eastAsia="en-US"/>
        </w:rPr>
        <w:t>Será desclassificada a proposta vencedora que:</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a) Contiver vícios insanáveis;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Não obedecer às especificações técnicas pormenorizadas neste aviso ou em seus anexos;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c) Apresentar preços inexequíveis ou permanecerem acima do preço máximo definido para a contratação;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d) Não tiverem sua exequibilidade demonstrada, quando exigido pela Administração;</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e) Apresentar desconformidade com quaisquer outras exigências deste aviso ou seus anexos, desde que insanável.</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5.4. </w:t>
      </w:r>
      <w:r>
        <w:rPr>
          <w:rFonts w:cs="Arial" w:ascii="Arial" w:hAnsi="Arial"/>
          <w:lang w:eastAsia="en-US"/>
        </w:rPr>
        <w:t>Se houver indícios de inexequibilidade da proposta de preço, ou em caso da necessidade de esclarecimentos complementares, poderão ser efetuadas diligências, para que a empresa comprove a exequibilidade da proposta.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lang w:eastAsia="en-US"/>
        </w:rPr>
        <w:t xml:space="preserve">5.5. </w:t>
      </w:r>
      <w:r>
        <w:rPr>
          <w:rFonts w:cs="Arial" w:ascii="Arial" w:hAnsi="Arial"/>
          <w:b/>
          <w:lang w:eastAsia="en-US"/>
        </w:rPr>
        <w:t>O resultado do julgamento das propostas</w:t>
      </w:r>
      <w:r>
        <w:rPr>
          <w:rFonts w:cs="Arial" w:ascii="Arial" w:hAnsi="Arial"/>
          <w:lang w:eastAsia="en-US"/>
        </w:rPr>
        <w:t xml:space="preserve"> será divulgado no site da Prefeitura Municipal de Itumbiara, aba: Dispensas e Inexigibilidades ou pelo link:</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FFFFFF" w:themeFill="background1"/>
        <w:spacing w:lineRule="atLeast" w:line="25" w:before="0" w:after="0"/>
        <w:jc w:val="center"/>
        <w:rPr>
          <w:rFonts w:ascii="Arial" w:hAnsi="Arial" w:cs="Arial"/>
          <w:b/>
          <w:b/>
          <w:sz w:val="23"/>
          <w:szCs w:val="23"/>
          <w:lang w:eastAsia="en-US"/>
        </w:rPr>
      </w:pPr>
      <w:hyperlink r:id="rId6">
        <w:r>
          <w:rPr>
            <w:rStyle w:val="LinkdaInternet"/>
            <w:rFonts w:cs="Arial" w:ascii="Arial" w:hAnsi="Arial"/>
            <w:b/>
            <w:sz w:val="23"/>
            <w:szCs w:val="23"/>
            <w:lang w:eastAsia="en-US"/>
          </w:rPr>
          <w:t>https://acessoainformacao.itumbiara.go.gov.br/cidadao/informacao/dispensas_cnt</w:t>
        </w:r>
      </w:hyperlink>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tab/>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6. HABILITAÇÃO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6.1. </w:t>
      </w:r>
      <w:r>
        <w:rPr>
          <w:rFonts w:cs="Arial" w:ascii="Arial" w:hAnsi="Arial"/>
          <w:lang w:eastAsia="en-US"/>
        </w:rPr>
        <w:t>Os documentos a serem exigidos para fins de habilitação constam nos itens “6.17” e “6.18” deste aviso e serão solicitados do fornecedor mais bem classificado da fase de propostas.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6.2. </w:t>
      </w:r>
      <w:r>
        <w:rPr>
          <w:rFonts w:cs="Arial" w:ascii="Arial" w:hAnsi="Arial"/>
          <w:lang w:eastAsia="en-US"/>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a) Cadastro Nacional de Empresas Inidôneas e Suspensas - CEIS, mantido pela Controladoria-Geral da União (www.portaldatransparencia.gov.br/ceis);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Cadastro Nacional de Condenações Cíveis por Atos de Improbidade Administrativa, mantido pelo Conselho Nacional de Justiça (</w:t>
      </w:r>
      <w:hyperlink r:id="rId7">
        <w:r>
          <w:rPr>
            <w:rStyle w:val="LinkdaInternet"/>
            <w:rFonts w:cs="Arial" w:ascii="Arial" w:hAnsi="Arial"/>
            <w:lang w:eastAsia="en-US"/>
          </w:rPr>
          <w:t>www.cnj.jus.br/improbidade_adm/consultar_requerido.php</w:t>
        </w:r>
      </w:hyperlink>
      <w:r>
        <w:rPr>
          <w:rFonts w:cs="Arial" w:ascii="Arial" w:hAnsi="Arial"/>
          <w:lang w:eastAsia="en-US"/>
        </w:rPr>
        <w:t>);</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c) Lista de Inidôneos mantida pelo Tribunal de Contas da União – TCU.</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6.3. </w:t>
      </w:r>
      <w:r>
        <w:rPr>
          <w:rFonts w:cs="Arial" w:ascii="Arial" w:hAnsi="Arial"/>
          <w:lang w:eastAsia="en-US"/>
        </w:rPr>
        <w:t>Para a consulta de fornecedores pessoa jurídica poderá haver a substituição das consultas das alíneas “a”, “b” e “c” acima pela Consulta Consolidada de Pessoa Jurídica do TCU (https://certidoesapf.apps.tcu.gov.br/)</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6.4. </w:t>
      </w:r>
      <w:r>
        <w:rPr>
          <w:rFonts w:cs="Arial" w:ascii="Arial" w:hAnsi="Arial"/>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6.5.</w:t>
      </w:r>
      <w:r>
        <w:rPr>
          <w:rFonts w:cs="Arial" w:ascii="Arial" w:hAnsi="Arial"/>
          <w:lang w:eastAsia="en-US"/>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6.6. </w:t>
      </w:r>
      <w:r>
        <w:rPr>
          <w:rFonts w:cs="Arial" w:ascii="Arial" w:hAnsi="Arial"/>
          <w:lang w:eastAsia="en-US"/>
        </w:rPr>
        <w:t xml:space="preserve">A tentativa de burla será verificada por meio dos vínculos societários, linhas de serviços similares, dentre outros. </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6.7.</w:t>
      </w:r>
      <w:r>
        <w:rPr>
          <w:rFonts w:cs="Arial" w:ascii="Arial" w:hAnsi="Arial"/>
          <w:lang w:eastAsia="en-US"/>
        </w:rPr>
        <w:t xml:space="preserve"> O fornecedor será convocado para manifestação previamente à sua desclassificação.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6.8. </w:t>
      </w:r>
      <w:r>
        <w:rPr>
          <w:rFonts w:cs="Arial" w:ascii="Arial" w:hAnsi="Arial"/>
          <w:lang w:eastAsia="en-US"/>
        </w:rPr>
        <w:t>Constatada a existência de sanção, o fornecedor será reputado inabilitado, por falta de condição de participação.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6.9.</w:t>
      </w:r>
      <w:r>
        <w:rPr>
          <w:rFonts w:cs="Arial" w:ascii="Arial" w:hAnsi="Arial"/>
          <w:lang w:eastAsia="en-US"/>
        </w:rPr>
        <w:t xml:space="preserve"> Caso atendidas as condições de participação, a habilitação dos fornecedores será verificada por meio dos documentos por ele abrangidos.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6.10. </w:t>
      </w:r>
      <w:r>
        <w:rPr>
          <w:rFonts w:cs="Arial" w:ascii="Arial" w:hAnsi="Arial"/>
          <w:lang w:eastAsia="en-US"/>
        </w:rPr>
        <w:t>O descumprimento do subitem acima implicará a inabilitação do fornecedor, exceto se a consulta aos sítios eletrônicos oficiais emissores de certidões lograr êxito em encontrar a(s) certidão(ões) válida(s).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6.11.</w:t>
      </w:r>
      <w:r>
        <w:rPr>
          <w:rFonts w:cs="Arial" w:ascii="Arial" w:hAnsi="Arial"/>
          <w:lang w:eastAsia="en-US"/>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6.12.</w:t>
      </w:r>
      <w:r>
        <w:rPr>
          <w:rFonts w:cs="Arial" w:ascii="Arial" w:hAnsi="Arial"/>
          <w:lang w:eastAsia="en-US"/>
        </w:rPr>
        <w:t xml:space="preserve"> Somente haverá a necessidade de comprovação do preenchimento de requisitos mediante apresentação dos documentos originais não-digitais quando houver dúvida em relação à integridade do documento digital.</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6.13. </w:t>
      </w:r>
      <w:r>
        <w:rPr>
          <w:rFonts w:cs="Arial" w:ascii="Arial" w:hAnsi="Arial"/>
          <w:lang w:eastAsia="en-US"/>
        </w:rPr>
        <w:t>Havendo necessidade de analisar minuciosamente os documentos exigidos, a análise pelo agente de contratação será suspensa, sendo informada a nova data e horário para a sua continuidade.</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6.14. </w:t>
      </w:r>
      <w:r>
        <w:rPr>
          <w:rFonts w:cs="Arial" w:ascii="Arial" w:hAnsi="Arial"/>
          <w:lang w:eastAsia="en-US"/>
        </w:rPr>
        <w:t>Será inabilitado o fornecedor que não comprovar sua habilitação, seja por não apresentar quaisquer dos documentos exigidos, ou apresentá-los em desacordo com o estabelecido neste Aviso de Contratação Direta.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6.15. </w:t>
      </w:r>
      <w:r>
        <w:rPr>
          <w:rFonts w:cs="Arial" w:ascii="Arial" w:hAnsi="Arial"/>
          <w:lang w:eastAsia="en-US"/>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6.16. </w:t>
      </w:r>
      <w:r>
        <w:rPr>
          <w:rFonts w:cs="Arial" w:ascii="Arial" w:hAnsi="Arial"/>
          <w:lang w:eastAsia="en-US"/>
        </w:rPr>
        <w:t>Constatado o atendimento às exigências de habilitação, o fornecedor será habilitado.</w:t>
      </w:r>
    </w:p>
    <w:p>
      <w:pPr>
        <w:pStyle w:val="Ttulo1"/>
        <w:tabs>
          <w:tab w:val="clear" w:pos="708"/>
          <w:tab w:val="left" w:pos="993" w:leader="none"/>
        </w:tabs>
        <w:spacing w:lineRule="atLeast" w:line="25"/>
        <w:ind w:left="0" w:hanging="0"/>
        <w:jc w:val="both"/>
        <w:rPr>
          <w:b w:val="false"/>
          <w:b w:val="false"/>
          <w:bCs w:val="false"/>
          <w:i/>
          <w:i/>
          <w:sz w:val="22"/>
          <w:szCs w:val="22"/>
        </w:rPr>
      </w:pPr>
      <w:r>
        <w:rPr>
          <w:b w:val="false"/>
          <w:bCs w:val="false"/>
          <w:i/>
          <w:sz w:val="22"/>
          <w:szCs w:val="22"/>
        </w:rPr>
        <w:t>6.17. HABILITAÇÃO JURÍDICA</w:t>
      </w:r>
    </w:p>
    <w:p>
      <w:pPr>
        <w:pStyle w:val="Ttulo1"/>
        <w:spacing w:lineRule="atLeast" w:line="25"/>
        <w:ind w:left="0" w:firstLine="708"/>
        <w:jc w:val="both"/>
        <w:rPr>
          <w:b w:val="false"/>
          <w:b w:val="false"/>
          <w:sz w:val="22"/>
          <w:szCs w:val="22"/>
        </w:rPr>
      </w:pPr>
      <w:r>
        <w:rPr>
          <w:b w:val="false"/>
          <w:i/>
          <w:sz w:val="22"/>
          <w:szCs w:val="22"/>
        </w:rPr>
        <w:t>6.17.1.</w:t>
      </w:r>
      <w:r>
        <w:rPr>
          <w:b w:val="false"/>
          <w:sz w:val="22"/>
          <w:szCs w:val="22"/>
        </w:rPr>
        <w:t xml:space="preserve"> Ato Constitutivo:</w:t>
      </w:r>
    </w:p>
    <w:p>
      <w:pPr>
        <w:pStyle w:val="ListParagraph"/>
        <w:tabs>
          <w:tab w:val="clear" w:pos="708"/>
          <w:tab w:val="left" w:pos="668" w:leader="none"/>
        </w:tabs>
        <w:spacing w:lineRule="atLeast" w:line="25" w:before="0" w:after="0"/>
        <w:ind w:left="1416" w:hanging="0"/>
        <w:contextualSpacing w:val="false"/>
        <w:jc w:val="both"/>
        <w:rPr>
          <w:rFonts w:ascii="Arial" w:hAnsi="Arial" w:cs="Arial"/>
        </w:rPr>
      </w:pPr>
      <w:r>
        <w:rPr>
          <w:rFonts w:cs="Arial" w:ascii="Arial" w:hAnsi="Arial"/>
        </w:rPr>
        <w:t>a) No caso de empresário individual: inscrição no Registro Público de Empresas Mercantis, a cargo da Junta Comercial da respectiva sede; ou</w:t>
      </w:r>
    </w:p>
    <w:p>
      <w:pPr>
        <w:pStyle w:val="ListParagraph"/>
        <w:tabs>
          <w:tab w:val="clear" w:pos="708"/>
          <w:tab w:val="left" w:pos="668" w:leader="none"/>
        </w:tabs>
        <w:spacing w:lineRule="atLeast" w:line="25" w:before="0" w:after="0"/>
        <w:ind w:left="1416" w:hanging="0"/>
        <w:contextualSpacing w:val="false"/>
        <w:jc w:val="both"/>
        <w:rPr>
          <w:rFonts w:ascii="Arial" w:hAnsi="Arial" w:cs="Arial"/>
        </w:rPr>
      </w:pPr>
      <w:r>
        <w:rPr>
          <w:rFonts w:cs="Arial" w:ascii="Arial" w:hAnsi="Arial"/>
        </w:rPr>
        <w:t>b) No caso de sociedades empresárias: o respectivo contrato social, com as alterações em vigor, devidamente registradas e arquivadas na repartição competente, e, em se tratando de sociedades por ações, acompanhado também de documentos de eleição de seus administradores; ou</w:t>
      </w:r>
    </w:p>
    <w:p>
      <w:pPr>
        <w:pStyle w:val="ListParagraph"/>
        <w:tabs>
          <w:tab w:val="clear" w:pos="708"/>
          <w:tab w:val="left" w:pos="668" w:leader="none"/>
        </w:tabs>
        <w:spacing w:lineRule="atLeast" w:line="25" w:before="0" w:after="0"/>
        <w:ind w:left="1416" w:hanging="0"/>
        <w:contextualSpacing w:val="false"/>
        <w:jc w:val="both"/>
        <w:rPr>
          <w:rFonts w:ascii="Arial" w:hAnsi="Arial" w:cs="Arial"/>
        </w:rPr>
      </w:pPr>
      <w:r>
        <w:rPr>
          <w:rFonts w:cs="Arial" w:ascii="Arial" w:hAnsi="Arial"/>
        </w:rPr>
        <w:t>c) No caso de Sociedades Civis: inscrição do ato constitutivo, acompanhada de prova da diretoria em exercício; ou</w:t>
      </w:r>
    </w:p>
    <w:p>
      <w:pPr>
        <w:pStyle w:val="ListParagraph"/>
        <w:tabs>
          <w:tab w:val="clear" w:pos="708"/>
          <w:tab w:val="left" w:pos="668" w:leader="none"/>
        </w:tabs>
        <w:spacing w:lineRule="atLeast" w:line="25" w:before="0" w:after="0"/>
        <w:ind w:left="1416" w:hanging="0"/>
        <w:contextualSpacing w:val="false"/>
        <w:jc w:val="both"/>
        <w:rPr>
          <w:rFonts w:ascii="Arial" w:hAnsi="Arial" w:cs="Arial"/>
        </w:rPr>
      </w:pPr>
      <w:r>
        <w:rPr>
          <w:rFonts w:cs="Arial" w:ascii="Arial" w:hAnsi="Arial"/>
        </w:rPr>
        <w:t>d) Em se tratando de microempreendedor individual – MEI: Certificado da Condição de Microempreendedor Individual - CCMEI, cuja aceitação fica</w:t>
      </w:r>
      <w:r>
        <w:rPr>
          <w:rStyle w:val="LinkdaInternet"/>
          <w:rFonts w:cs="Arial" w:ascii="Arial" w:hAnsi="Arial"/>
        </w:rPr>
        <w:t>rá condicionada à verificação da a</w:t>
      </w:r>
      <w:r>
        <w:rPr>
          <w:rFonts w:cs="Arial" w:ascii="Arial" w:hAnsi="Arial"/>
        </w:rPr>
        <w:t xml:space="preserve">utenticidade no sítio </w:t>
      </w:r>
      <w:hyperlink r:id="rId8">
        <w:r>
          <w:rPr>
            <w:rStyle w:val="LinkdaInternet"/>
            <w:rFonts w:cs="Arial" w:ascii="Arial" w:hAnsi="Arial"/>
          </w:rPr>
          <w:t>www.gov.br/empresas-e-negocios/pt-br/empreendedor</w:t>
        </w:r>
      </w:hyperlink>
    </w:p>
    <w:p>
      <w:pPr>
        <w:pStyle w:val="ListParagraph"/>
        <w:tabs>
          <w:tab w:val="clear" w:pos="708"/>
          <w:tab w:val="left" w:pos="668" w:leader="none"/>
        </w:tabs>
        <w:spacing w:lineRule="atLeast" w:line="25" w:before="0" w:after="0"/>
        <w:ind w:left="1416" w:hanging="0"/>
        <w:contextualSpacing w:val="false"/>
        <w:jc w:val="both"/>
        <w:rPr>
          <w:rFonts w:ascii="Arial" w:hAnsi="Arial" w:cs="Arial"/>
        </w:rPr>
      </w:pPr>
      <w:r>
        <w:rPr>
          <w:rFonts w:cs="Arial" w:ascii="Arial" w:hAnsi="Arial"/>
        </w:rPr>
        <w:t>e) No caso de empresa individual de responsabilidade limitada - EIRELI: ato constitutivo, devidamente registrado na Junta Comercial da respectiva sede; ou, conforme o caso,</w:t>
      </w:r>
    </w:p>
    <w:p>
      <w:pPr>
        <w:pStyle w:val="ListParagraph"/>
        <w:tabs>
          <w:tab w:val="clear" w:pos="708"/>
          <w:tab w:val="left" w:pos="668" w:leader="none"/>
        </w:tabs>
        <w:spacing w:lineRule="atLeast" w:line="25" w:before="0" w:after="0"/>
        <w:ind w:left="1416" w:hanging="0"/>
        <w:contextualSpacing w:val="false"/>
        <w:jc w:val="both"/>
        <w:rPr>
          <w:rFonts w:ascii="Arial" w:hAnsi="Arial" w:cs="Arial"/>
        </w:rPr>
      </w:pPr>
      <w:r>
        <w:rPr>
          <w:rFonts w:cs="Arial" w:ascii="Arial" w:hAnsi="Arial"/>
        </w:rPr>
        <w:t>f) Decreto de autorização, em se tratando de empresas ou sociedade estrangeira em funcionamento no País, e ato de registro ou autorização para funcionamento expedido pelo órgão competente, quando a atividade assim o exigir.</w:t>
      </w:r>
    </w:p>
    <w:p>
      <w:pPr>
        <w:pStyle w:val="Normal"/>
        <w:tabs>
          <w:tab w:val="clear" w:pos="708"/>
          <w:tab w:val="left" w:pos="1134" w:leader="none"/>
        </w:tabs>
        <w:spacing w:lineRule="atLeast" w:line="25" w:before="0" w:after="0"/>
        <w:ind w:left="708" w:hanging="0"/>
        <w:jc w:val="both"/>
        <w:rPr>
          <w:rFonts w:ascii="Arial" w:hAnsi="Arial" w:cs="Arial"/>
        </w:rPr>
      </w:pPr>
      <w:r>
        <w:rPr>
          <w:rFonts w:cs="Arial" w:ascii="Arial" w:hAnsi="Arial"/>
          <w:i/>
        </w:rPr>
        <w:t xml:space="preserve">6.17.2. </w:t>
      </w:r>
      <w:r>
        <w:rPr>
          <w:rFonts w:cs="Arial" w:ascii="Arial" w:hAnsi="Arial"/>
        </w:rPr>
        <w:t>O objeto social descrito no ato constitutivo deverá possuir ramo de atividade compatível ao objeto licitado.</w:t>
      </w:r>
    </w:p>
    <w:p>
      <w:pPr>
        <w:pStyle w:val="Ttulo1"/>
        <w:tabs>
          <w:tab w:val="clear" w:pos="708"/>
          <w:tab w:val="left" w:pos="993" w:leader="none"/>
        </w:tabs>
        <w:spacing w:lineRule="atLeast" w:line="25"/>
        <w:ind w:left="0" w:hanging="0"/>
        <w:jc w:val="both"/>
        <w:rPr>
          <w:b w:val="false"/>
          <w:b w:val="false"/>
          <w:bCs w:val="false"/>
          <w:i/>
          <w:i/>
          <w:sz w:val="22"/>
          <w:szCs w:val="22"/>
        </w:rPr>
      </w:pPr>
      <w:r>
        <w:rPr>
          <w:b w:val="false"/>
          <w:bCs w:val="false"/>
          <w:i/>
          <w:sz w:val="22"/>
          <w:szCs w:val="22"/>
        </w:rPr>
        <w:t>6.18. HABILITAÇÃO FISCAL, SOCIAL E TRABALHISTA</w:t>
      </w:r>
    </w:p>
    <w:p>
      <w:pPr>
        <w:pStyle w:val="Ttulo1"/>
        <w:spacing w:lineRule="atLeast" w:line="25"/>
        <w:ind w:left="709" w:hanging="0"/>
        <w:jc w:val="both"/>
        <w:rPr>
          <w:b w:val="false"/>
          <w:b w:val="false"/>
          <w:bCs w:val="false"/>
          <w:sz w:val="22"/>
          <w:szCs w:val="22"/>
        </w:rPr>
      </w:pPr>
      <w:r>
        <w:rPr>
          <w:b w:val="false"/>
          <w:i/>
          <w:sz w:val="22"/>
          <w:szCs w:val="22"/>
        </w:rPr>
        <w:t xml:space="preserve">6.18.1. </w:t>
      </w:r>
      <w:r>
        <w:rPr>
          <w:b w:val="false"/>
          <w:sz w:val="22"/>
          <w:szCs w:val="22"/>
        </w:rPr>
        <w:t>Prova de Inscrição no CNPJ:</w:t>
      </w:r>
      <w:r>
        <w:rPr>
          <w:b w:val="false"/>
          <w:bCs w:val="false"/>
          <w:sz w:val="22"/>
          <w:szCs w:val="22"/>
        </w:rPr>
        <w:t xml:space="preserve"> o documento deverá ser expedido no máximo 90 (noventa) dias antes da data do envio da proposta.</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 xml:space="preserve">6.18.2. </w:t>
      </w:r>
      <w:r>
        <w:rPr>
          <w:b w:val="false"/>
          <w:sz w:val="22"/>
          <w:szCs w:val="22"/>
        </w:rPr>
        <w:t>Prova de inscrição no cadastro de contribuintes estadual e/ou municipal</w:t>
      </w:r>
      <w:r>
        <w:rPr>
          <w:b w:val="false"/>
          <w:bCs w:val="false"/>
          <w:sz w:val="22"/>
          <w:szCs w:val="22"/>
        </w:rPr>
        <w:t>, se houver, relativo ao domicílio ou sede do fornecedor, pertinente ao seu ramo de atividade e compatível com o objeto contratual.</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6.18.3.</w:t>
      </w:r>
      <w:r>
        <w:rPr>
          <w:b w:val="false"/>
          <w:bCs w:val="false"/>
          <w:sz w:val="22"/>
          <w:szCs w:val="22"/>
        </w:rPr>
        <w:t xml:space="preserve"> </w:t>
      </w:r>
      <w:r>
        <w:rPr>
          <w:b w:val="false"/>
          <w:sz w:val="22"/>
          <w:szCs w:val="22"/>
        </w:rPr>
        <w:t>Prova de regularidade para com a Fazenda Federal e a Seguridade Social</w:t>
      </w:r>
      <w:r>
        <w:rPr>
          <w:sz w:val="22"/>
          <w:szCs w:val="22"/>
        </w:rPr>
        <w:t xml:space="preserve">, </w:t>
      </w:r>
      <w:r>
        <w:rPr>
          <w:b w:val="false"/>
          <w:bCs w:val="false"/>
          <w:sz w:val="22"/>
          <w:szCs w:val="22"/>
        </w:rPr>
        <w:t>em vigor, incluindo os débitos previdenciários, mediante apresentação de Certidão Conjunta de Débitos Relativos a Tributos Federais e à Dívida Ativa da União, emitida pela Secretaria da Receita Federal do Brasil ou pela Procuradoria-Geral da Fazenda Nacional.</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6.18.4.</w:t>
      </w:r>
      <w:r>
        <w:rPr>
          <w:b w:val="false"/>
          <w:bCs w:val="false"/>
          <w:sz w:val="22"/>
          <w:szCs w:val="22"/>
        </w:rPr>
        <w:t xml:space="preserve"> </w:t>
      </w:r>
      <w:r>
        <w:rPr>
          <w:b w:val="false"/>
          <w:sz w:val="22"/>
          <w:szCs w:val="22"/>
        </w:rPr>
        <w:t>Prova de regularidade para com a Fazenda Estadual do domicílio ou sede do fornecedor</w:t>
      </w:r>
      <w:r>
        <w:rPr>
          <w:b w:val="false"/>
          <w:bCs w:val="false"/>
          <w:sz w:val="22"/>
          <w:szCs w:val="22"/>
        </w:rPr>
        <w:t>, em vigor, mediante apresentação de certidão emitida pela Secretaria competente do Estado;</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6.18.5.</w:t>
      </w:r>
      <w:r>
        <w:rPr>
          <w:b w:val="false"/>
          <w:bCs w:val="false"/>
          <w:sz w:val="22"/>
          <w:szCs w:val="22"/>
        </w:rPr>
        <w:t xml:space="preserve"> </w:t>
      </w:r>
      <w:r>
        <w:rPr>
          <w:b w:val="false"/>
          <w:sz w:val="22"/>
          <w:szCs w:val="22"/>
        </w:rPr>
        <w:t>Prova de regularidade para com a Fazenda Municipal do domicílio ou sede do fornecedor</w:t>
      </w:r>
      <w:r>
        <w:rPr>
          <w:b w:val="false"/>
          <w:bCs w:val="false"/>
          <w:sz w:val="22"/>
          <w:szCs w:val="22"/>
        </w:rPr>
        <w:t>, em vigor, mediante apresentação de certidão emitida pela Secretaria competente do Município;</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6.18.6.</w:t>
      </w:r>
      <w:r>
        <w:rPr>
          <w:b w:val="false"/>
          <w:bCs w:val="false"/>
          <w:sz w:val="22"/>
          <w:szCs w:val="22"/>
        </w:rPr>
        <w:t xml:space="preserve"> </w:t>
      </w:r>
      <w:r>
        <w:rPr>
          <w:b w:val="false"/>
          <w:sz w:val="22"/>
          <w:szCs w:val="22"/>
        </w:rPr>
        <w:t>Prova de regularidade relativa ao Fundo de Garantia por Tempo de Serviço – FGTS</w:t>
      </w:r>
      <w:r>
        <w:rPr>
          <w:b w:val="false"/>
          <w:bCs w:val="false"/>
          <w:sz w:val="22"/>
          <w:szCs w:val="22"/>
        </w:rPr>
        <w:t>, em vigor, emitida pela Caixa Econômica Federal;</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6.18.7.</w:t>
      </w:r>
      <w:r>
        <w:rPr>
          <w:b w:val="false"/>
          <w:bCs w:val="false"/>
          <w:sz w:val="22"/>
          <w:szCs w:val="22"/>
        </w:rPr>
        <w:t xml:space="preserve"> </w:t>
      </w:r>
      <w:r>
        <w:rPr>
          <w:b w:val="false"/>
          <w:sz w:val="22"/>
          <w:szCs w:val="22"/>
        </w:rPr>
        <w:t>Prova de regularidade perante a Justiça do Trabalho</w:t>
      </w:r>
      <w:r>
        <w:rPr>
          <w:b w:val="false"/>
          <w:bCs w:val="false"/>
          <w:sz w:val="22"/>
          <w:szCs w:val="22"/>
        </w:rPr>
        <w:t>, em vigor, mediante a apresentação de Certidão Negativa de Débitos Trabalhistas - CNDT, ou Certidão Positiva de Débitos Trabalhistas com os mesmos efeitos da CNDT, conforme a Lei Federal nº 12.440, de 2011;</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 xml:space="preserve">6.18.8. </w:t>
      </w:r>
      <w:r>
        <w:rPr>
          <w:b w:val="false"/>
          <w:sz w:val="22"/>
          <w:szCs w:val="22"/>
        </w:rPr>
        <w:t>Certidão Simplificada ou Simplificada Digital da Junta Comercial</w:t>
      </w:r>
      <w:r>
        <w:rPr>
          <w:b w:val="false"/>
          <w:bCs w:val="false"/>
          <w:sz w:val="22"/>
          <w:szCs w:val="22"/>
        </w:rPr>
        <w:t>, com data de emissão máxima de 90 (Noventa) dias, para fins de comprovação da condição de Microempresas e Empresas de Pequeno Porte;</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6.18.9.</w:t>
      </w:r>
      <w:r>
        <w:rPr>
          <w:b w:val="false"/>
          <w:bCs w:val="false"/>
          <w:sz w:val="22"/>
          <w:szCs w:val="22"/>
        </w:rPr>
        <w:t xml:space="preserve"> A existência de restrição relativamente à regularidade fiscal e trabalhista não impede que o fornecedor qualificado como microempresa ou empresa de pequeno porte seja declarada vencedora, uma vez que atenda a todas as demais exigências do edital.</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6.18.10.</w:t>
      </w:r>
      <w:r>
        <w:rPr>
          <w:b w:val="false"/>
          <w:bCs w:val="false"/>
          <w:sz w:val="22"/>
          <w:szCs w:val="22"/>
        </w:rPr>
        <w:t xml:space="preserve"> Havendo restrição quanto à regularidade fiscal ou trabalhista no caso de Microempresa, Empresa de Pequeno Porte e microempreendedor equiparadas, fica concedido um prazo de 05 (cinco) dias úteis para a sua regularização, prorrogável por igual período mediante justificativa tempestiva e aceita pelo agente de contratação e equipe de apoio, nos termos da Lei Complementar nº 147, de 2014 e da Lei Municipal nº 5.268, de 2023.</w:t>
      </w:r>
    </w:p>
    <w:p>
      <w:pPr>
        <w:pStyle w:val="Ttulo1"/>
        <w:tabs>
          <w:tab w:val="clear" w:pos="708"/>
          <w:tab w:val="left" w:pos="1276" w:leader="none"/>
        </w:tabs>
        <w:spacing w:lineRule="atLeast" w:line="25"/>
        <w:ind w:left="709" w:hanging="0"/>
        <w:jc w:val="both"/>
        <w:rPr>
          <w:b w:val="false"/>
          <w:b w:val="false"/>
          <w:bCs w:val="false"/>
          <w:sz w:val="22"/>
          <w:szCs w:val="22"/>
        </w:rPr>
      </w:pPr>
      <w:r>
        <w:rPr>
          <w:b w:val="false"/>
          <w:bCs w:val="false"/>
          <w:i/>
          <w:sz w:val="22"/>
          <w:szCs w:val="22"/>
        </w:rPr>
        <w:t>6.18.11.</w:t>
      </w:r>
      <w:r>
        <w:rPr>
          <w:b w:val="false"/>
          <w:bCs w:val="false"/>
          <w:sz w:val="22"/>
          <w:szCs w:val="22"/>
        </w:rPr>
        <w:t xml:space="preserve"> A não-regularização fiscal e trabalhista no prazo previsto no subitem anterior acarretará a inabilitação do fornecedor, sem prejuízo das sanções previstas neste Edital, sendo facultada a convocação dos fornecedores remanescentes, na ordem de classificação. </w:t>
      </w:r>
    </w:p>
    <w:p>
      <w:pPr>
        <w:pStyle w:val="Ttulo1"/>
        <w:tabs>
          <w:tab w:val="clear" w:pos="708"/>
          <w:tab w:val="left" w:pos="1276" w:leader="none"/>
        </w:tabs>
        <w:spacing w:lineRule="atLeast" w:line="25"/>
        <w:ind w:left="1276" w:hanging="0"/>
        <w:jc w:val="both"/>
        <w:rPr>
          <w:b w:val="false"/>
          <w:b w:val="false"/>
          <w:bCs w:val="false"/>
          <w:sz w:val="22"/>
          <w:szCs w:val="22"/>
        </w:rPr>
      </w:pPr>
      <w:r>
        <w:rPr>
          <w:b w:val="false"/>
          <w:bCs w:val="false"/>
          <w:i/>
          <w:iCs/>
          <w:sz w:val="22"/>
          <w:szCs w:val="22"/>
        </w:rPr>
        <w:tab/>
        <w:t>6.18.11.1.</w:t>
      </w:r>
      <w:r>
        <w:rPr>
          <w:b w:val="false"/>
          <w:bCs w:val="false"/>
          <w:sz w:val="22"/>
          <w:szCs w:val="22"/>
        </w:rPr>
        <w:t xml:space="preserve"> Se, na ordem de classificação, seguir-se outra microempresa, empresa de pequeno porte ou equiparada, com alguma restrição na documentação fiscal e trabalhista, será concedido o mesmo prazo para regularização.</w:t>
      </w:r>
    </w:p>
    <w:p>
      <w:pPr>
        <w:pStyle w:val="Ttulo1"/>
        <w:tabs>
          <w:tab w:val="clear" w:pos="708"/>
          <w:tab w:val="left" w:pos="426" w:leader="none"/>
          <w:tab w:val="left" w:pos="993" w:leader="none"/>
        </w:tabs>
        <w:spacing w:lineRule="atLeast" w:line="25"/>
        <w:ind w:left="0" w:hanging="0"/>
        <w:jc w:val="both"/>
        <w:rPr>
          <w:b w:val="false"/>
          <w:b w:val="false"/>
          <w:bCs w:val="false"/>
          <w:i/>
          <w:i/>
          <w:sz w:val="22"/>
          <w:szCs w:val="22"/>
        </w:rPr>
      </w:pPr>
      <w:r>
        <w:rPr>
          <w:b w:val="false"/>
          <w:bCs w:val="false"/>
          <w:i/>
          <w:sz w:val="22"/>
          <w:szCs w:val="22"/>
        </w:rPr>
        <w:t>6.19. DISPOSIÇÕES ESPECÍFICAS SOBRE A HABILITAÇÃO</w:t>
      </w:r>
    </w:p>
    <w:p>
      <w:pPr>
        <w:pStyle w:val="ListParagraph"/>
        <w:tabs>
          <w:tab w:val="clear" w:pos="708"/>
          <w:tab w:val="left" w:pos="668" w:leader="none"/>
        </w:tabs>
        <w:spacing w:lineRule="atLeast" w:line="25"/>
        <w:ind w:left="668" w:hanging="0"/>
        <w:jc w:val="both"/>
        <w:rPr>
          <w:rFonts w:ascii="Arial" w:hAnsi="Arial" w:cs="Arial"/>
        </w:rPr>
      </w:pPr>
      <w:r>
        <w:rPr>
          <w:rFonts w:cs="Arial" w:ascii="Arial" w:hAnsi="Arial"/>
          <w:i/>
        </w:rPr>
        <w:tab/>
        <w:t>6.19.1.</w:t>
      </w:r>
      <w:r>
        <w:rPr>
          <w:rFonts w:cs="Arial" w:ascii="Arial" w:hAnsi="Arial"/>
        </w:rPr>
        <w:t xml:space="preserve"> Qualquer informação incompleta ou inverídica constante dos documentos apresentados apurada pelo agente de contratação mediante simples conferência ou diligência, implicará inabilitação do respectivo fornecedor e envio dos documentos para o Ministério Público do Estado de Goiás, para apuração de possível prática delituosa, conforme prevê o art. 178 da Lei Federal nº 14.133, de 2021.</w:t>
      </w:r>
    </w:p>
    <w:p>
      <w:pPr>
        <w:pStyle w:val="ListParagraph"/>
        <w:tabs>
          <w:tab w:val="clear" w:pos="708"/>
          <w:tab w:val="left" w:pos="668" w:leader="none"/>
        </w:tabs>
        <w:spacing w:lineRule="atLeast" w:line="25"/>
        <w:ind w:left="668" w:hanging="0"/>
        <w:jc w:val="both"/>
        <w:rPr>
          <w:rFonts w:ascii="Arial" w:hAnsi="Arial" w:cs="Arial"/>
        </w:rPr>
      </w:pPr>
      <w:r>
        <w:rPr>
          <w:rFonts w:cs="Arial" w:ascii="Arial" w:hAnsi="Arial"/>
          <w:i/>
        </w:rPr>
        <w:tab/>
        <w:t>6.19.2.</w:t>
      </w:r>
      <w:r>
        <w:rPr>
          <w:rFonts w:cs="Arial" w:ascii="Arial" w:hAnsi="Arial"/>
        </w:rPr>
        <w:t xml:space="preserve"> Não serão aceitos protocolos de pedidos ou solicitações de documentos, em substituição aos documentos requeridos no presente Edital.</w:t>
      </w:r>
    </w:p>
    <w:p>
      <w:pPr>
        <w:pStyle w:val="ListParagraph"/>
        <w:tabs>
          <w:tab w:val="clear" w:pos="708"/>
          <w:tab w:val="left" w:pos="668" w:leader="none"/>
        </w:tabs>
        <w:spacing w:lineRule="atLeast" w:line="25"/>
        <w:ind w:left="668" w:hanging="0"/>
        <w:jc w:val="both"/>
        <w:rPr>
          <w:rFonts w:ascii="Arial" w:hAnsi="Arial" w:cs="Arial"/>
        </w:rPr>
      </w:pPr>
      <w:r>
        <w:rPr>
          <w:rFonts w:cs="Arial" w:ascii="Arial" w:hAnsi="Arial"/>
          <w:i/>
        </w:rPr>
        <w:tab/>
        <w:t>6.19.3.</w:t>
      </w:r>
      <w:r>
        <w:rPr>
          <w:rFonts w:cs="Arial" w:ascii="Arial" w:hAnsi="Arial"/>
        </w:rPr>
        <w:t xml:space="preserve"> A declaração do vencedor acontecerá no momento imediatamente posterior à fase de habilitação.</w:t>
      </w:r>
    </w:p>
    <w:p>
      <w:pPr>
        <w:pStyle w:val="ListParagraph"/>
        <w:tabs>
          <w:tab w:val="clear" w:pos="708"/>
          <w:tab w:val="left" w:pos="668" w:leader="none"/>
        </w:tabs>
        <w:spacing w:lineRule="atLeast" w:line="25"/>
        <w:ind w:left="668" w:hanging="0"/>
        <w:jc w:val="both"/>
        <w:rPr>
          <w:rFonts w:ascii="Arial" w:hAnsi="Arial" w:cs="Arial"/>
        </w:rPr>
      </w:pPr>
      <w:r>
        <w:rPr>
          <w:rFonts w:cs="Arial" w:ascii="Arial" w:hAnsi="Arial"/>
          <w:i/>
        </w:rPr>
        <w:tab/>
        <w:t>6.19.4.</w:t>
      </w:r>
      <w:r>
        <w:rPr>
          <w:rFonts w:cs="Arial" w:ascii="Arial" w:hAnsi="Arial"/>
        </w:rPr>
        <w:t xml:space="preserve"> Será inabilitado o fornecedor que não comprovar sua habilitação, seja por não apresentar quaisquer dos documentos exigidos, ou apresentá-los em desacordo com o estabelecido neste Edital.</w:t>
      </w:r>
    </w:p>
    <w:p>
      <w:pPr>
        <w:pStyle w:val="ListParagraph"/>
        <w:tabs>
          <w:tab w:val="clear" w:pos="708"/>
          <w:tab w:val="left" w:pos="668" w:leader="none"/>
        </w:tabs>
        <w:spacing w:lineRule="atLeast" w:line="25" w:before="0" w:after="0"/>
        <w:ind w:left="668" w:hanging="0"/>
        <w:contextualSpacing/>
        <w:jc w:val="both"/>
        <w:rPr>
          <w:rFonts w:ascii="Arial" w:hAnsi="Arial" w:cs="Arial"/>
        </w:rPr>
      </w:pPr>
      <w:r>
        <w:rPr>
          <w:rFonts w:cs="Arial" w:ascii="Arial" w:hAnsi="Arial"/>
          <w:i/>
        </w:rPr>
        <w:tab/>
        <w:t>6.19.5.</w:t>
      </w:r>
      <w:r>
        <w:rPr>
          <w:rFonts w:cs="Arial" w:ascii="Arial" w:hAnsi="Arial"/>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tabs>
          <w:tab w:val="clear" w:pos="708"/>
          <w:tab w:val="left" w:pos="668" w:leader="none"/>
        </w:tabs>
        <w:spacing w:lineRule="atLeast" w:line="25" w:before="0" w:after="0"/>
        <w:ind w:left="668" w:hanging="0"/>
        <w:contextualSpacing/>
        <w:jc w:val="both"/>
        <w:rPr>
          <w:rFonts w:ascii="Arial" w:hAnsi="Arial" w:cs="Arial"/>
        </w:rPr>
      </w:pPr>
      <w:r>
        <w:rPr>
          <w:rFonts w:cs="Arial" w:ascii="Arial" w:hAnsi="Arial"/>
          <w:i/>
        </w:rPr>
        <w:tab/>
        <w:t>6.19.6.</w:t>
      </w:r>
      <w:r>
        <w:rPr>
          <w:rFonts w:cs="Arial" w:ascii="Arial" w:hAnsi="Arial"/>
        </w:rPr>
        <w:t xml:space="preserve"> Constatado o atendimento às exigências de habilitação fixadas no Edital, o fornecedor será declarado vencedor.</w:t>
      </w:r>
    </w:p>
    <w:p>
      <w:pPr>
        <w:pStyle w:val="ListParagraph"/>
        <w:tabs>
          <w:tab w:val="clear" w:pos="708"/>
          <w:tab w:val="left" w:pos="668" w:leader="none"/>
        </w:tabs>
        <w:spacing w:lineRule="atLeast" w:line="25" w:before="0" w:after="0"/>
        <w:ind w:left="668" w:hanging="0"/>
        <w:contextualSpacing/>
        <w:jc w:val="both"/>
        <w:rPr>
          <w:rFonts w:ascii="Arial" w:hAnsi="Arial" w:cs="Arial"/>
        </w:rPr>
      </w:pPr>
      <w:r>
        <w:rPr>
          <w:rFonts w:cs="Arial" w:ascii="Arial" w:hAnsi="Arial"/>
          <w:i/>
        </w:rPr>
        <w:tab/>
        <w:t>6.19.7.</w:t>
      </w:r>
      <w:r>
        <w:rPr>
          <w:rFonts w:cs="Arial" w:ascii="Arial" w:hAnsi="Arial"/>
        </w:rPr>
        <w:t xml:space="preserve"> As Certidões que não possuírem prazo de validade, somente serão aceitas com data de emissão não superior a 60 (sessenta) dias consecutivos de antecedência da data de abertura da sessão deste Pregão.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highlight w:val="lightGray"/>
          <w:shd w:fill="AEAAAA" w:val="clear"/>
          <w:lang w:eastAsia="en-US"/>
        </w:rPr>
        <w:t>7. CONTRATAÇÃO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7.1.</w:t>
      </w:r>
      <w:r>
        <w:rPr>
          <w:rFonts w:cs="Arial" w:ascii="Arial" w:hAnsi="Arial"/>
          <w:lang w:eastAsia="en-US"/>
        </w:rPr>
        <w:t xml:space="preserve"> Após a adjudicação e homologação, caso se conclua pela contratação, será firmado Termo de Contrato ou emitido instrumento equivalente.</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7.2.</w:t>
      </w:r>
      <w:r>
        <w:rPr>
          <w:rFonts w:cs="Arial" w:ascii="Arial" w:hAnsi="Arial"/>
          <w:lang w:eastAsia="en-US"/>
        </w:rPr>
        <w:t xml:space="preserve"> O fornecedor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7.3. </w:t>
      </w:r>
      <w:r>
        <w:rPr>
          <w:rFonts w:cs="Arial" w:ascii="Arial" w:hAnsi="Arial"/>
          <w:lang w:eastAsia="en-US"/>
        </w:rPr>
        <w:t>O prazo previsto para assinatura do contrato ou aceitação da nota de empenho ou instrumento equivalente poderá ser prorrogado 1 (uma) vez, por igual período, por solicitação justificada do fornecedor e aceita pela Administração.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7.4. </w:t>
      </w:r>
      <w:r>
        <w:rPr>
          <w:rFonts w:cs="Arial" w:ascii="Arial" w:hAnsi="Arial"/>
          <w:lang w:eastAsia="en-US"/>
        </w:rPr>
        <w:t>O Aceite da Nota de Empenho ou do instrumento equivalente, emitida ao fornecedor, implica no reconhecimento de que:</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a) A referida nota está substituindo o contrato, aplicando-se à relação de negócios ali estabelecida as disposições da Lei n°14.133, de 2021;</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A contratada se vincula à sua proposta e às previsões contidas no Aviso de Contratação Direta e seus anexos;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 xml:space="preserve">c) A contratada reconhece que as hipóteses de rescisão são aquelas previstas nos artigos 137 e 138 da Lei n° 14.133, de 2021 e reconhece os direitos da Administração previstos nos artigos 137 e 139 da mesma Lei; </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 xml:space="preserve">d) Na assinatura do contrato ou do instrumento equivalente será exigida a comprovação das condições de habilitação e contratação consignadas neste aviso, que deverão ser mantidas pelo fornecedor durante a vigência do contrato. </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8. SANÇÕES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8.1. </w:t>
      </w:r>
      <w:r>
        <w:rPr>
          <w:rFonts w:cs="Arial" w:ascii="Arial" w:hAnsi="Arial"/>
          <w:lang w:eastAsia="en-US"/>
        </w:rPr>
        <w:t>Comete infração administrativa o fornecedor que cometer quaisquer das infrações previstas no art. 155 da Lei n° 14.133/2021, quais sejam:</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a) Dar causa à inexecução parcial do contrato;</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Dar causa à inexecução parcial do contrato que cause grave dano à Administração, ao funcionamento dos serviços públicos ou ao interesse coletivo;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c) Dar causa à inexecução total do contrato;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d) Deixar de entregar a documentação exigida para o certame;</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e) Não manter a proposta, salvo em decorrência de fato superveniente devidamente justificado;</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f) Não celebrar o contrato ou não entregar a documentação exigida para a contratação, quando convocado dentro do prazo de validade de sua proposta;</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g) Ensejar o retardamento da execução ou da entrega do objeto da contratação sem motivo justificado;</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h) Apresentar declaração ou documentação falsa exigida para o certame ou prestar declaração falsa durante a dispensa eletrônica ou a execução do contrato;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i) Fraudar a dispensa eletrônica ou praticar ato fraudulento na execução do contrato;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j) Comportar-se de modo inidôneo ou cometer fraude de qualquer natureza;</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h) Praticar atos ilícitos com vistas a frustrar os objetivos deste certame;</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i) Praticar ato lesivo previsto no art. 5º da Lei nº 12.846, de 2013.</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i/>
          <w:iCs/>
          <w:lang w:eastAsia="en-US"/>
        </w:rPr>
        <w:t>8.1.1.</w:t>
      </w:r>
      <w:r>
        <w:rPr>
          <w:rFonts w:cs="Arial" w:ascii="Arial" w:hAnsi="Arial"/>
          <w:lang w:eastAsia="en-US"/>
        </w:rPr>
        <w:t xml:space="preserve"> Considera-se comportamento inidôneo, entre outros, a declaração falsa quanto às condições de participação, quanto ao enquadramento como ME/EPP ou o conluio entre os fornecedores, em qualquer momento da dispensa, mesmo após o encerramento da fase de propostas.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8.2.</w:t>
      </w:r>
      <w:r>
        <w:rPr>
          <w:rFonts w:cs="Arial" w:ascii="Arial" w:hAnsi="Arial"/>
          <w:lang w:eastAsia="en-US"/>
        </w:rPr>
        <w:t xml:space="preserve"> O fornecedor que cometer qualquer das infrações discriminadas nos subitens anteriores ficará sujeito, sem prejuízo da responsabilidade civil e criminal, às seguintes sanções:</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a) Advertência;</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Multa de 0,5% (meio por cento) sobre o valor prejudicado pela conduta do fornecedor;</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c) Impedimento de licitar e contratar no âmbito da Administração Pública direta e indireta do ente federativo que tiver aplicado a sanção, pelo prazo máximo de 3 (três) anos, quando não se justificar a imposição de penalidade mais grave;</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d) Declaração de inidoneidade para licitar ou contratar, que impedirá o responsável de licitar ou contratar no âmbito da Administração Pública direta e indireta de todos os entes federativos, pelo prazo mínimo de 3 (três) anos e máximo de 6 (seis) anos.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8.3. </w:t>
      </w:r>
      <w:r>
        <w:rPr>
          <w:rFonts w:cs="Arial" w:ascii="Arial" w:hAnsi="Arial"/>
          <w:lang w:eastAsia="en-US"/>
        </w:rPr>
        <w:t>Na aplicação das sanções serão considerados:</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a) A natureza e a gravidade da infração cometida;</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b) As peculiaridades do caso concreto;</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c) As circunstâncias agravantes ou atenuantes;</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d) Os danos que dela Provierem para Administração Pública;</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e) A implantação ou o aperfeiçoamento de programa de integridade, conforme normas e orientações dos órgãos de controle.</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8.4. </w:t>
      </w:r>
      <w:r>
        <w:rPr>
          <w:rFonts w:cs="Arial" w:ascii="Arial" w:hAnsi="Arial"/>
          <w:lang w:eastAsia="en-US"/>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8.5. </w:t>
      </w:r>
      <w:r>
        <w:rPr>
          <w:rFonts w:cs="Arial" w:ascii="Arial" w:hAnsi="Arial"/>
          <w:lang w:eastAsia="en-US"/>
        </w:rPr>
        <w:t>A aplicação das sanções previstas neste Aviso de Contratação Direta, em hipótese alguma, a obrigação de reparação integral do dano causado à Administração Pública.</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8.6.</w:t>
      </w:r>
      <w:r>
        <w:rPr>
          <w:rFonts w:cs="Arial" w:ascii="Arial" w:hAnsi="Arial"/>
          <w:lang w:eastAsia="en-US"/>
        </w:rPr>
        <w:t xml:space="preserve"> A penalidade de multa pode ser aplicada cumulativamente com as demais sanções.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8.7. </w:t>
      </w:r>
      <w:r>
        <w:rPr>
          <w:rFonts w:cs="Arial" w:ascii="Arial" w:hAnsi="Arial"/>
          <w:lang w:eastAsia="en-US"/>
        </w:rPr>
        <w:t>Se, durante o processo de aplicação de penalidade, houver indícios de prática de infração administrativa tipificada pela Lei nº 12.846,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de Fornecedor - PARF.</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8.8. </w:t>
      </w:r>
      <w:r>
        <w:rPr>
          <w:rFonts w:cs="Arial" w:ascii="Arial" w:hAnsi="Arial"/>
          <w:lang w:eastAsia="en-US"/>
        </w:rPr>
        <w:t>A apuração e o julgamento das demais infrações administrativas não consideradas como ato lesivo à Administração Pública nacional ou estrangeira nos termos da Lei nº 12.846, de 2013, seguirão seu rito normal na unidade administrativa.</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a) O processamento do PARF não interfere no seguimento regular dos processos administrativos específicos para apuração da ocorrência de danos e prejuízos à Administração resultantes de ato lesivo cometido por pessoa jurídica, com ou sem a participação de agente público;</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A aplicação de qualquer das penalidades previstas realizar-se-á em processo administrativo que assegurará o contraditório e a ampla defesa ao fornecedor, observando-se o procedimento previsto na Lei nº 14.133, de 2021, e, subsidiariamente, na Lei nº 9.784, de 1999.</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D9D9D9" w:themeFill="background1" w:themeFillShade="d9"/>
        <w:spacing w:lineRule="atLeast" w:line="25" w:before="0" w:after="0"/>
        <w:jc w:val="center"/>
        <w:rPr>
          <w:rFonts w:ascii="Arial" w:hAnsi="Arial" w:cs="Arial"/>
          <w:b/>
          <w:b/>
          <w:lang w:eastAsia="en-US"/>
        </w:rPr>
      </w:pPr>
      <w:r>
        <w:rPr>
          <w:rFonts w:cs="Arial" w:ascii="Arial" w:hAnsi="Arial"/>
          <w:b/>
          <w:lang w:eastAsia="en-US"/>
        </w:rPr>
        <w:t>9. DAS DISPOSIÇÕES GERAIS</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9.1. </w:t>
      </w:r>
      <w:r>
        <w:rPr>
          <w:rFonts w:cs="Arial" w:ascii="Arial" w:hAnsi="Arial"/>
          <w:lang w:eastAsia="en-US"/>
        </w:rPr>
        <w:t xml:space="preserve">O procedimento será divulgado no PORTAL DO FORNECEDOR, endereço:  </w:t>
      </w:r>
      <w:hyperlink r:id="rId9">
        <w:r>
          <w:rPr>
            <w:rStyle w:val="LinkdaInternet"/>
            <w:rFonts w:cs="Arial" w:ascii="Arial" w:hAnsi="Arial"/>
            <w:lang w:eastAsia="en-US"/>
          </w:rPr>
          <w:t>https://go.centi.com.br/itumbiara/portalfornecedor</w:t>
        </w:r>
      </w:hyperlink>
      <w:r>
        <w:rPr>
          <w:rFonts w:cs="Arial" w:ascii="Arial" w:hAnsi="Arial"/>
          <w:lang w:eastAsia="en-US"/>
        </w:rPr>
        <w:t>.</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9.2. </w:t>
      </w:r>
      <w:r>
        <w:rPr>
          <w:rFonts w:cs="Arial" w:ascii="Arial" w:hAnsi="Arial"/>
          <w:lang w:eastAsia="en-US"/>
        </w:rPr>
        <w:t>No caso de todos os fornecedores restarem desclassificados ou inabilitados (procedimento fracassado) ou se não comparecerem fornecedores com propostas (no caso de procedimento deserto), a Administração poderá:</w:t>
      </w:r>
    </w:p>
    <w:p>
      <w:pPr>
        <w:pStyle w:val="Normal"/>
        <w:shd w:val="clear" w:color="auto" w:fill="FFFFFF" w:themeFill="background1"/>
        <w:spacing w:lineRule="atLeast" w:line="25" w:before="0" w:after="0"/>
        <w:ind w:firstLine="708"/>
        <w:jc w:val="both"/>
        <w:rPr>
          <w:rFonts w:ascii="Arial" w:hAnsi="Arial" w:cs="Arial"/>
          <w:lang w:eastAsia="en-US"/>
        </w:rPr>
      </w:pPr>
      <w:r>
        <w:rPr>
          <w:rFonts w:cs="Arial" w:ascii="Arial" w:hAnsi="Arial"/>
          <w:lang w:eastAsia="en-US"/>
        </w:rPr>
        <w:t>a) Republicar o presente aviso com uma nova data;</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b) Valer-se, para a contratação, de proposta obtida na pesquisa de preços que serviu de base ao procedimento, se houver, privilegiando-se os menores preços, sempre que possível, e desde que atendidas às condições de habilitação exigidas;</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 xml:space="preserve">c) No caso do subitem anterior, a contratação será operacionalizada fora deste procedimento; </w:t>
      </w:r>
    </w:p>
    <w:p>
      <w:pPr>
        <w:pStyle w:val="Normal"/>
        <w:shd w:val="clear" w:color="auto" w:fill="FFFFFF" w:themeFill="background1"/>
        <w:spacing w:lineRule="atLeast" w:line="25" w:before="0" w:after="0"/>
        <w:ind w:left="708" w:hanging="0"/>
        <w:jc w:val="both"/>
        <w:rPr>
          <w:rFonts w:ascii="Arial" w:hAnsi="Arial" w:cs="Arial"/>
          <w:lang w:eastAsia="en-US"/>
        </w:rPr>
      </w:pPr>
      <w:r>
        <w:rPr>
          <w:rFonts w:cs="Arial" w:ascii="Arial" w:hAnsi="Arial"/>
          <w:lang w:eastAsia="en-US"/>
        </w:rPr>
        <w:t>d) Fixar prazo para que possa haver adequação das propostas ou da documentação de habilitação, conforme o caso.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9.3. </w:t>
      </w:r>
      <w:r>
        <w:rPr>
          <w:rFonts w:cs="Arial" w:ascii="Arial" w:hAnsi="Arial"/>
          <w:lang w:eastAsia="en-US"/>
        </w:rPr>
        <w:t>As providências dos itens “a)” e “b)” acima poderão ser utilizados se não houver comparecimento de quaisquer fornecedores interessados (procedimento deserto).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9.4. </w:t>
      </w:r>
      <w:r>
        <w:rPr>
          <w:rFonts w:cs="Arial" w:ascii="Arial" w:hAnsi="Arial"/>
          <w:lang w:eastAsia="en-US"/>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 xml:space="preserve">9.5. </w:t>
      </w:r>
      <w:r>
        <w:rPr>
          <w:rFonts w:cs="Arial" w:ascii="Arial" w:hAnsi="Arial"/>
          <w:lang w:eastAsia="en-US"/>
        </w:rPr>
        <w:t>Caberá ao fornecedor acompanhar as operações, ficando responsável pelo ônus decorrente da perda do negócio diante da inobservância de quaisquer mensagens emitidas pela Administração ou de sua desconexão.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9.6.</w:t>
      </w:r>
      <w:r>
        <w:rPr>
          <w:rFonts w:cs="Arial" w:ascii="Arial" w:hAnsi="Arial"/>
          <w:lang w:eastAsia="en-US"/>
        </w:rPr>
        <w:t xml:space="preserve"> Os horários estabelecidos na divulgação deste procedimento e durante o envio de propostas observarão o horário de Brasília, Distrito Federal, inclusive para contagem de tempo e registro no sistema e na documentação relativa ao procedimento.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9.7.</w:t>
      </w:r>
      <w:r>
        <w:rPr>
          <w:rFonts w:cs="Arial" w:ascii="Arial" w:hAnsi="Arial"/>
          <w:lang w:eastAsia="en-US"/>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9.8.</w:t>
      </w:r>
      <w:r>
        <w:rPr>
          <w:rFonts w:cs="Arial" w:ascii="Arial" w:hAnsi="Arial"/>
          <w:lang w:eastAsia="en-US"/>
        </w:rPr>
        <w:t xml:space="preserve"> As normas disciplinadoras deste Aviso de Contratação Direta serão sempre interpretadas em favor da ampliação da disputa dos interessados, desde que não comprometam o interesse da Administração, o princípio da isonomia, a finalidade e a segurança da contratação.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9.9.</w:t>
      </w:r>
      <w:r>
        <w:rPr>
          <w:rFonts w:cs="Arial" w:ascii="Arial" w:hAnsi="Arial"/>
          <w:lang w:eastAsia="en-US"/>
        </w:rPr>
        <w:t xml:space="preserve"> Os fornecedores assumem todos os custos de preparação e apresentação de suas propostas e a Administração não será, em nenhum caso, responsável por esses custos, independentemente da condução ou do resultado do processo de contratação. </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9.10.</w:t>
      </w:r>
      <w:r>
        <w:rPr>
          <w:rFonts w:cs="Arial" w:ascii="Arial" w:hAnsi="Arial"/>
          <w:lang w:eastAsia="en-US"/>
        </w:rPr>
        <w:t xml:space="preserve"> Em caso de divergência entre as disposições deste Aviso de Contratação Direta e de seus anexos ou demais peças que compõem o processo, prevalecerá as deste aviso.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i/>
          <w:iCs/>
          <w:lang w:eastAsia="en-US"/>
        </w:rPr>
        <w:t>9.11.</w:t>
      </w:r>
      <w:r>
        <w:rPr>
          <w:rFonts w:cs="Arial" w:ascii="Arial" w:hAnsi="Arial"/>
          <w:lang w:eastAsia="en-US"/>
        </w:rPr>
        <w:t xml:space="preserve"> Integram este Aviso de Contratação Direta, para todos os fins e efeitos, o Termo de Referência e a Minuta do Termo de Contrato, se for o caso.</w:t>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r>
    </w:p>
    <w:p>
      <w:pPr>
        <w:pStyle w:val="Normal"/>
        <w:shd w:val="clear" w:color="auto" w:fill="FFFFFF" w:themeFill="background1"/>
        <w:spacing w:lineRule="atLeast" w:line="25" w:before="0" w:after="0"/>
        <w:jc w:val="both"/>
        <w:rPr>
          <w:rFonts w:ascii="Arial" w:hAnsi="Arial" w:cs="Arial"/>
          <w:lang w:eastAsia="en-US"/>
        </w:rPr>
      </w:pPr>
      <w:r>
        <w:rPr>
          <w:rFonts w:cs="Arial" w:ascii="Arial" w:hAnsi="Arial"/>
          <w:lang w:eastAsia="en-US"/>
        </w:rPr>
        <w:t>Itumbiara – GO, 1</w:t>
      </w:r>
      <w:r>
        <w:rPr>
          <w:rFonts w:cs="Arial" w:ascii="Arial" w:hAnsi="Arial"/>
          <w:lang w:eastAsia="en-US"/>
        </w:rPr>
        <w:t>5</w:t>
      </w:r>
      <w:r>
        <w:rPr>
          <w:rFonts w:cs="Arial" w:ascii="Arial" w:hAnsi="Arial"/>
          <w:lang w:eastAsia="en-US"/>
        </w:rPr>
        <w:t xml:space="preserve"> de maio de 2024.</w:t>
      </w:r>
    </w:p>
    <w:p>
      <w:pPr>
        <w:pStyle w:val="Normal"/>
        <w:shd w:val="clear" w:color="auto" w:fill="FFFFFF" w:themeFill="background1"/>
        <w:spacing w:lineRule="atLeast" w:line="25" w:before="0" w:after="0"/>
        <w:jc w:val="center"/>
        <w:rPr>
          <w:rFonts w:ascii="Arial" w:hAnsi="Arial" w:cs="Arial"/>
          <w:lang w:eastAsia="en-US"/>
        </w:rPr>
      </w:pPr>
      <w:r>
        <w:rPr>
          <w:rFonts w:cs="Arial" w:ascii="Arial" w:hAnsi="Arial"/>
          <w:lang w:eastAsia="en-US"/>
        </w:rPr>
      </w:r>
    </w:p>
    <w:p>
      <w:pPr>
        <w:pStyle w:val="Normal"/>
        <w:shd w:val="clear" w:color="auto" w:fill="FFFFFF" w:themeFill="background1"/>
        <w:spacing w:lineRule="atLeast" w:line="25" w:before="0" w:after="0"/>
        <w:jc w:val="center"/>
        <w:rPr>
          <w:rFonts w:ascii="Arial" w:hAnsi="Arial" w:cs="Arial"/>
          <w:lang w:eastAsia="en-US"/>
        </w:rPr>
      </w:pPr>
      <w:r>
        <w:rPr>
          <w:rFonts w:cs="Arial" w:ascii="Arial" w:hAnsi="Arial"/>
          <w:lang w:eastAsia="en-US"/>
        </w:rPr>
      </w:r>
    </w:p>
    <w:p>
      <w:pPr>
        <w:pStyle w:val="Normal"/>
        <w:shd w:val="clear" w:color="auto" w:fill="FFFFFF" w:themeFill="background1"/>
        <w:spacing w:lineRule="atLeast" w:line="25" w:before="0" w:after="0"/>
        <w:jc w:val="center"/>
        <w:rPr>
          <w:rFonts w:ascii="Arial" w:hAnsi="Arial" w:cs="Arial"/>
          <w:lang w:eastAsia="en-US"/>
        </w:rPr>
      </w:pPr>
      <w:r>
        <w:rPr>
          <w:rFonts w:cs="Arial" w:ascii="Arial" w:hAnsi="Arial"/>
          <w:lang w:eastAsia="en-US"/>
        </w:rPr>
      </w:r>
    </w:p>
    <w:p>
      <w:pPr>
        <w:pStyle w:val="Normal"/>
        <w:shd w:val="clear" w:color="auto" w:fill="FFFFFF" w:themeFill="background1"/>
        <w:spacing w:lineRule="atLeast" w:line="25" w:before="0" w:after="0"/>
        <w:jc w:val="center"/>
        <w:rPr>
          <w:rFonts w:ascii="Arial" w:hAnsi="Arial" w:cs="Arial"/>
          <w:lang w:eastAsia="en-US"/>
        </w:rPr>
      </w:pPr>
      <w:r>
        <w:rPr>
          <w:rFonts w:cs="Arial" w:ascii="Arial" w:hAnsi="Arial"/>
          <w:lang w:eastAsia="en-US"/>
        </w:rPr>
      </w:r>
    </w:p>
    <w:p>
      <w:pPr>
        <w:pStyle w:val="Normal"/>
        <w:shd w:val="clear" w:color="auto" w:fill="FFFFFF" w:themeFill="background1"/>
        <w:spacing w:lineRule="atLeast" w:line="25" w:before="0" w:after="0"/>
        <w:jc w:val="center"/>
        <w:rPr>
          <w:rFonts w:ascii="Arial" w:hAnsi="Arial" w:cs="Arial"/>
          <w:b/>
          <w:b/>
          <w:bCs/>
          <w:lang w:eastAsia="en-US"/>
        </w:rPr>
      </w:pPr>
      <w:r>
        <w:rPr>
          <w:rFonts w:cs="Arial" w:ascii="Arial" w:hAnsi="Arial"/>
          <w:b/>
          <w:bCs/>
          <w:lang w:eastAsia="en-US"/>
        </w:rPr>
      </w:r>
    </w:p>
    <w:p>
      <w:pPr>
        <w:pStyle w:val="Normal"/>
        <w:shd w:val="clear" w:color="auto" w:fill="FFFFFF" w:themeFill="background1"/>
        <w:spacing w:lineRule="atLeast" w:line="25" w:before="0" w:after="0"/>
        <w:jc w:val="center"/>
        <w:rPr>
          <w:rFonts w:ascii="Arial" w:hAnsi="Arial" w:cs="Arial"/>
          <w:b/>
          <w:b/>
          <w:bCs/>
          <w:lang w:eastAsia="en-US"/>
        </w:rPr>
      </w:pPr>
      <w:r>
        <w:rPr>
          <w:rFonts w:cs="Arial" w:ascii="Arial" w:hAnsi="Arial"/>
          <w:b/>
          <w:bCs/>
          <w:lang w:eastAsia="en-US"/>
        </w:rPr>
        <w:t>Maria Rodrigues da  Costa Borges</w:t>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t>Equipe de Apoio</w:t>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t>Decreto 73/2024</w:t>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r>
    </w:p>
    <w:p>
      <w:pPr>
        <w:pStyle w:val="Normal"/>
        <w:shd w:val="clear" w:color="auto" w:fill="FFFFFF" w:themeFill="background1"/>
        <w:spacing w:lineRule="atLeast" w:line="25" w:before="0" w:after="0"/>
        <w:jc w:val="center"/>
        <w:rPr>
          <w:rFonts w:ascii="Arial" w:hAnsi="Arial" w:cs="Arial"/>
          <w:i/>
          <w:i/>
          <w:sz w:val="18"/>
          <w:szCs w:val="18"/>
          <w:vertAlign w:val="superscript"/>
          <w:lang w:eastAsia="en-US"/>
        </w:rPr>
      </w:pPr>
      <w:r>
        <w:rPr>
          <w:rFonts w:cs="Arial" w:ascii="Arial" w:hAnsi="Arial"/>
          <w:i/>
          <w:sz w:val="18"/>
          <w:szCs w:val="18"/>
          <w:vertAlign w:val="superscript"/>
          <w:lang w:eastAsia="en-US"/>
        </w:rPr>
        <w:t>Agente de Contratação</w:t>
      </w:r>
    </w:p>
    <w:sectPr>
      <w:headerReference w:type="default" r:id="rId10"/>
      <w:footerReference w:type="default" r:id="rId11"/>
      <w:type w:val="nextPage"/>
      <w:pgSz w:w="11906" w:h="16838"/>
      <w:pgMar w:left="1701" w:right="1134" w:gutter="0" w:header="0" w:top="1701" w:footer="0" w:bottom="1134"/>
      <w:pgNumType w:fmt="decimal"/>
      <w:formProt w:val="false"/>
      <w:textDirection w:val="lrTb"/>
      <w:docGrid w:type="default" w:linePitch="360" w:charSpace="2867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Liberation Sans">
    <w:altName w:val="Arial"/>
    <w:charset w:val="00"/>
    <w:family w:val="roman"/>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pBdr>
        <w:bottom w:val="single" w:sz="12" w:space="1" w:color="000000"/>
      </w:pBdr>
      <w:rPr/>
    </w:pPr>
    <w:r>
      <w:rPr/>
    </w:r>
  </w:p>
  <w:p>
    <w:pPr>
      <w:pStyle w:val="Rodap"/>
      <w:rPr/>
    </w:pPr>
    <w:r>
      <w:rPr/>
    </w:r>
  </w:p>
  <w:p>
    <w:pPr>
      <w:pStyle w:val="Rodap"/>
      <w:rPr/>
    </w:pPr>
    <w:r>
      <w:rPr/>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drawing>
        <wp:inline distT="0" distB="0" distL="0" distR="0">
          <wp:extent cx="819150" cy="848360"/>
          <wp:effectExtent l="0" t="0" r="0" b="0"/>
          <wp:docPr id="4" name="Imagem 1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1" descr="Logo"/>
                  <pic:cNvPicPr>
                    <a:picLocks noChangeAspect="1" noChangeArrowheads="1"/>
                  </pic:cNvPicPr>
                </pic:nvPicPr>
                <pic:blipFill>
                  <a:blip r:embed="rId1"/>
                  <a:srcRect l="0" t="-13806" r="74186" b="0"/>
                  <a:stretch>
                    <a:fillRect/>
                  </a:stretch>
                </pic:blipFill>
                <pic:spPr bwMode="auto">
                  <a:xfrm>
                    <a:off x="0" y="0"/>
                    <a:ext cx="819150" cy="848360"/>
                  </a:xfrm>
                  <a:prstGeom prst="rect">
                    <a:avLst/>
                  </a:prstGeom>
                </pic:spPr>
              </pic:pic>
            </a:graphicData>
          </a:graphic>
        </wp:inline>
      </w:drawing>
    </w:r>
  </w:p>
  <w:p>
    <w:pPr>
      <w:pStyle w:val="Cabealho"/>
      <w:jc w:val="center"/>
      <w:rPr>
        <w:rFonts w:ascii="Times New Roman" w:hAnsi="Times New Roman" w:cs="Times New Roman"/>
      </w:rPr>
    </w:pPr>
    <w:r>
      <w:rPr>
        <w:rFonts w:cs="Times New Roman" w:ascii="Times New Roman" w:hAnsi="Times New Roman"/>
      </w:rPr>
      <w:t>ESTADO DE GOIÁS</w:t>
    </w:r>
  </w:p>
  <w:p>
    <w:pPr>
      <w:pStyle w:val="Cabealho"/>
      <w:pBdr>
        <w:bottom w:val="single" w:sz="12" w:space="1" w:color="000000"/>
      </w:pBdr>
      <w:jc w:val="center"/>
      <w:rPr>
        <w:rFonts w:ascii="Times New Roman" w:hAnsi="Times New Roman" w:cs="Times New Roman"/>
      </w:rPr>
    </w:pPr>
    <w:r>
      <w:rPr>
        <w:rFonts w:cs="Times New Roman" w:ascii="Times New Roman" w:hAnsi="Times New Roman"/>
      </w:rPr>
      <w:t>MUNICÍPIO DE ITUMBIARA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1"/>
    <w:lvlOverride w:ilvl="0">
      <w:startOverride w:val="1"/>
    </w:lvlOverride>
  </w:num>
  <w:num w:numId="6">
    <w:abstractNumId w:val="1"/>
  </w:num>
  <w:num w:numId="7">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35446"/>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0"/>
      <w:sz w:val="22"/>
      <w:szCs w:val="22"/>
      <w:lang w:val="pt-BR" w:eastAsia="pt-BR" w:bidi="ar-SA"/>
    </w:rPr>
  </w:style>
  <w:style w:type="paragraph" w:styleId="Ttulo1">
    <w:name w:val="Heading 1"/>
    <w:basedOn w:val="Normal"/>
    <w:link w:val="Ttulo1Char"/>
    <w:uiPriority w:val="1"/>
    <w:qFormat/>
    <w:rsid w:val="00f6464c"/>
    <w:pPr>
      <w:widowControl w:val="false"/>
      <w:suppressAutoHyphens w:val="false"/>
      <w:spacing w:lineRule="auto" w:line="240" w:before="0" w:after="0"/>
      <w:ind w:left="292" w:hanging="0"/>
      <w:outlineLvl w:val="0"/>
    </w:pPr>
    <w:rPr>
      <w:rFonts w:ascii="Arial" w:hAnsi="Arial" w:eastAsia="Arial" w:cs="Arial"/>
      <w:b/>
      <w:bCs/>
      <w:sz w:val="24"/>
      <w:szCs w:val="24"/>
      <w:lang w:val="pt-PT" w:eastAsia="en-US"/>
    </w:rPr>
  </w:style>
  <w:style w:type="paragraph" w:styleId="Ttulo2">
    <w:name w:val="Heading 2"/>
    <w:basedOn w:val="Normal"/>
    <w:next w:val="Normal"/>
    <w:link w:val="Ttulo2Char"/>
    <w:uiPriority w:val="9"/>
    <w:semiHidden/>
    <w:unhideWhenUsed/>
    <w:qFormat/>
    <w:rsid w:val="008d6358"/>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d94cb0"/>
    <w:rPr>
      <w:rFonts w:cs="Calibri"/>
      <w:lang w:eastAsia="pt-BR"/>
    </w:rPr>
  </w:style>
  <w:style w:type="character" w:styleId="RodapChar" w:customStyle="1">
    <w:name w:val="Rodapé Char"/>
    <w:basedOn w:val="DefaultParagraphFont"/>
    <w:uiPriority w:val="99"/>
    <w:qFormat/>
    <w:rsid w:val="00d94cb0"/>
    <w:rPr>
      <w:rFonts w:cs="Calibri"/>
      <w:lang w:eastAsia="pt-BR"/>
    </w:rPr>
  </w:style>
  <w:style w:type="character" w:styleId="CabealhoChar1" w:customStyle="1">
    <w:name w:val="Cabeçalho Char1"/>
    <w:basedOn w:val="DefaultParagraphFont"/>
    <w:uiPriority w:val="99"/>
    <w:semiHidden/>
    <w:qFormat/>
    <w:rsid w:val="00d94cb0"/>
    <w:rPr>
      <w:rFonts w:ascii="Calibri" w:hAnsi="Calibri" w:eastAsia="等?" w:cs="Calibri"/>
    </w:rPr>
  </w:style>
  <w:style w:type="character" w:styleId="LinkdaInternet">
    <w:name w:val="Link da Internet"/>
    <w:basedOn w:val="DefaultParagraphFont"/>
    <w:uiPriority w:val="99"/>
    <w:unhideWhenUsed/>
    <w:rsid w:val="00935d3e"/>
    <w:rPr>
      <w:color w:val="0563C1" w:themeColor="hyperlink"/>
      <w:u w:val="single"/>
    </w:rPr>
  </w:style>
  <w:style w:type="character" w:styleId="Ttulo1Char" w:customStyle="1">
    <w:name w:val="Título 1 Char"/>
    <w:basedOn w:val="DefaultParagraphFont"/>
    <w:uiPriority w:val="1"/>
    <w:qFormat/>
    <w:rsid w:val="00f6464c"/>
    <w:rPr>
      <w:rFonts w:ascii="Arial" w:hAnsi="Arial" w:eastAsia="Arial" w:cs="Arial"/>
      <w:b/>
      <w:bCs/>
      <w:sz w:val="24"/>
      <w:szCs w:val="24"/>
      <w:lang w:val="pt-PT"/>
    </w:rPr>
  </w:style>
  <w:style w:type="character" w:styleId="Ttulo2Char" w:customStyle="1">
    <w:name w:val="Título 2 Char"/>
    <w:basedOn w:val="DefaultParagraphFont"/>
    <w:uiPriority w:val="9"/>
    <w:semiHidden/>
    <w:qFormat/>
    <w:rsid w:val="008d6358"/>
    <w:rPr>
      <w:rFonts w:ascii="Calibri Light" w:hAnsi="Calibri Light" w:eastAsia="" w:cs="" w:asciiTheme="majorHAnsi" w:cstheme="majorBidi" w:eastAsiaTheme="majorEastAsia" w:hAnsiTheme="majorHAnsi"/>
      <w:color w:val="2E74B5" w:themeColor="accent1" w:themeShade="bf"/>
      <w:sz w:val="26"/>
      <w:szCs w:val="26"/>
      <w:lang w:eastAsia="pt-BR"/>
    </w:rPr>
  </w:style>
  <w:style w:type="character" w:styleId="Annotationreference">
    <w:name w:val="annotation reference"/>
    <w:basedOn w:val="DefaultParagraphFont"/>
    <w:uiPriority w:val="99"/>
    <w:semiHidden/>
    <w:unhideWhenUsed/>
    <w:qFormat/>
    <w:rsid w:val="00fb19c4"/>
    <w:rPr>
      <w:sz w:val="16"/>
      <w:szCs w:val="16"/>
    </w:rPr>
  </w:style>
  <w:style w:type="character" w:styleId="TextodecomentrioChar" w:customStyle="1">
    <w:name w:val="Texto de comentário Char"/>
    <w:basedOn w:val="DefaultParagraphFont"/>
    <w:link w:val="Annotationtext"/>
    <w:uiPriority w:val="99"/>
    <w:semiHidden/>
    <w:qFormat/>
    <w:rsid w:val="00fb19c4"/>
    <w:rPr>
      <w:rFonts w:cs="Calibri"/>
      <w:sz w:val="20"/>
      <w:szCs w:val="20"/>
      <w:lang w:eastAsia="pt-BR"/>
    </w:rPr>
  </w:style>
  <w:style w:type="character" w:styleId="AssuntodocomentrioChar" w:customStyle="1">
    <w:name w:val="Assunto do comentário Char"/>
    <w:basedOn w:val="TextodecomentrioChar"/>
    <w:link w:val="Annotationsubject"/>
    <w:uiPriority w:val="99"/>
    <w:semiHidden/>
    <w:qFormat/>
    <w:rsid w:val="00fb19c4"/>
    <w:rPr>
      <w:rFonts w:cs="Calibri"/>
      <w:b/>
      <w:bCs/>
      <w:sz w:val="20"/>
      <w:szCs w:val="20"/>
      <w:lang w:eastAsia="pt-BR"/>
    </w:rPr>
  </w:style>
  <w:style w:type="character" w:styleId="TextodenotaderodapChar" w:customStyle="1">
    <w:name w:val="Texto de nota de rodapé Char"/>
    <w:basedOn w:val="DefaultParagraphFont"/>
    <w:uiPriority w:val="99"/>
    <w:semiHidden/>
    <w:qFormat/>
    <w:rsid w:val="00fb19c4"/>
    <w:rPr>
      <w:rFonts w:cs="Calibri"/>
      <w:sz w:val="20"/>
      <w:szCs w:val="20"/>
      <w:lang w:eastAsia="pt-BR"/>
    </w:rPr>
  </w:style>
  <w:style w:type="character" w:styleId="Caracteresdenotaderodap" w:customStyle="1">
    <w:name w:val="Caracteres de nota de rodapé"/>
    <w:qFormat/>
    <w:rPr>
      <w:vertAlign w:val="superscript"/>
    </w:rPr>
  </w:style>
  <w:style w:type="character" w:styleId="Ncoradanotaderodap">
    <w:name w:val="Âncora da nota de rodapé"/>
    <w:rPr>
      <w:vertAlign w:val="superscript"/>
    </w:rPr>
  </w:style>
  <w:style w:type="character" w:styleId="FootnoteCharacters" w:customStyle="1">
    <w:name w:val="Footnote Characters"/>
    <w:basedOn w:val="DefaultParagraphFont"/>
    <w:uiPriority w:val="99"/>
    <w:semiHidden/>
    <w:unhideWhenUsed/>
    <w:qFormat/>
    <w:rsid w:val="00fb19c4"/>
    <w:rPr>
      <w:vertAlign w:val="superscript"/>
    </w:rPr>
  </w:style>
  <w:style w:type="character" w:styleId="HiperlinkVisitado1" w:customStyle="1">
    <w:name w:val="HiperlinkVisitado1"/>
    <w:basedOn w:val="DefaultParagraphFont"/>
    <w:uiPriority w:val="99"/>
    <w:semiHidden/>
    <w:unhideWhenUsed/>
    <w:qFormat/>
    <w:rsid w:val="004c7b27"/>
    <w:rPr>
      <w:color w:val="954F72" w:themeColor="followedHyperlink"/>
      <w:u w:val="single"/>
    </w:rPr>
  </w:style>
  <w:style w:type="character" w:styleId="UnresolvedMention" w:customStyle="1">
    <w:name w:val="Unresolved Mention"/>
    <w:basedOn w:val="DefaultParagraphFont"/>
    <w:uiPriority w:val="99"/>
    <w:semiHidden/>
    <w:unhideWhenUsed/>
    <w:qFormat/>
    <w:rsid w:val="00935d3e"/>
    <w:rPr>
      <w:color w:val="605E5C"/>
      <w:shd w:fill="E1DFDD" w:val="clear"/>
    </w:rPr>
  </w:style>
  <w:style w:type="character" w:styleId="Linkdainternetvisitado">
    <w:name w:val="Link da internet visitado"/>
    <w:basedOn w:val="DefaultParagraphFont"/>
    <w:uiPriority w:val="99"/>
    <w:semiHidden/>
    <w:unhideWhenUsed/>
    <w:rsid w:val="00de573f"/>
    <w:rPr>
      <w:color w:val="954F72" w:themeColor="followedHyperlink"/>
      <w:u w:val="single"/>
    </w:rPr>
  </w:style>
  <w:style w:type="character" w:styleId="CorpodetextoChar" w:customStyle="1">
    <w:name w:val="Corpo de texto Char"/>
    <w:basedOn w:val="DefaultParagraphFont"/>
    <w:qFormat/>
    <w:rsid w:val="00686795"/>
    <w:rPr>
      <w:rFonts w:cs="Calibri"/>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pPr>
      <w:spacing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1"/>
    <w:qFormat/>
    <w:rsid w:val="00e97f62"/>
    <w:pPr>
      <w:spacing w:before="0" w:after="200"/>
      <w:ind w:left="720" w:hanging="0"/>
      <w:contextualSpacing/>
    </w:pPr>
    <w:rPr/>
  </w:style>
  <w:style w:type="paragraph" w:styleId="Contedodatabela" w:customStyle="1">
    <w:name w:val="Conteúdo da tabela"/>
    <w:basedOn w:val="Normal"/>
    <w:qFormat/>
    <w:pPr>
      <w:widowControl w:val="false"/>
      <w:suppressLineNumbers/>
    </w:pPr>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d94cb0"/>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d94cb0"/>
    <w:pPr>
      <w:tabs>
        <w:tab w:val="clear" w:pos="708"/>
        <w:tab w:val="center" w:pos="4252" w:leader="none"/>
        <w:tab w:val="right" w:pos="8504" w:leader="none"/>
      </w:tabs>
      <w:spacing w:lineRule="auto" w:line="240" w:before="0" w:after="0"/>
    </w:pPr>
    <w:rPr/>
  </w:style>
  <w:style w:type="paragraph" w:styleId="TableParagraph" w:customStyle="1">
    <w:name w:val="Table Paragraph"/>
    <w:basedOn w:val="Normal"/>
    <w:uiPriority w:val="1"/>
    <w:qFormat/>
    <w:rsid w:val="009d2093"/>
    <w:pPr>
      <w:widowControl w:val="false"/>
      <w:suppressAutoHyphens w:val="false"/>
      <w:spacing w:lineRule="auto" w:line="240" w:before="0" w:after="0"/>
    </w:pPr>
    <w:rPr>
      <w:rFonts w:ascii="Arial MT" w:hAnsi="Arial MT" w:eastAsia="Arial MT" w:cs="Arial MT"/>
      <w:lang w:val="pt-PT" w:eastAsia="en-US"/>
    </w:rPr>
  </w:style>
  <w:style w:type="paragraph" w:styleId="Western" w:customStyle="1">
    <w:name w:val="western"/>
    <w:basedOn w:val="Normal"/>
    <w:qFormat/>
    <w:rsid w:val="00b1080f"/>
    <w:pPr>
      <w:suppressAutoHyphens w:val="false"/>
      <w:spacing w:beforeAutospacing="1" w:after="142"/>
    </w:pPr>
    <w:rPr>
      <w:rFonts w:ascii="Times New Roman" w:hAnsi="Times New Roman" w:eastAsia="Times New Roman" w:cs="Times New Roman"/>
      <w:sz w:val="24"/>
      <w:szCs w:val="24"/>
    </w:rPr>
  </w:style>
  <w:style w:type="paragraph" w:styleId="Annotationtext">
    <w:name w:val="annotation text"/>
    <w:basedOn w:val="Normal"/>
    <w:link w:val="TextodecomentrioChar"/>
    <w:uiPriority w:val="99"/>
    <w:semiHidden/>
    <w:unhideWhenUsed/>
    <w:qFormat/>
    <w:rsid w:val="00fb19c4"/>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fb19c4"/>
    <w:pPr/>
    <w:rPr>
      <w:b/>
      <w:bCs/>
    </w:rPr>
  </w:style>
  <w:style w:type="paragraph" w:styleId="Notaderodap">
    <w:name w:val="Footnote Text"/>
    <w:basedOn w:val="Normal"/>
    <w:link w:val="TextodenotaderodapChar"/>
    <w:uiPriority w:val="99"/>
    <w:semiHidden/>
    <w:unhideWhenUsed/>
    <w:rsid w:val="00fb19c4"/>
    <w:pPr>
      <w:spacing w:lineRule="auto" w:line="240" w:before="0" w:after="0"/>
    </w:pPr>
    <w:rPr>
      <w:sz w:val="20"/>
      <w:szCs w:val="20"/>
    </w:rPr>
  </w:style>
  <w:style w:type="paragraph" w:styleId="Contedodoquadro" w:customStyle="1">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e97f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9d2093"/>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mpras@itumbiara.go.gov.br" TargetMode="External"/><Relationship Id="rId3" Type="http://schemas.openxmlformats.org/officeDocument/2006/relationships/hyperlink" Target="mailto:compras@itumbiara.go.gov.br" TargetMode="External"/><Relationship Id="rId4" Type="http://schemas.openxmlformats.org/officeDocument/2006/relationships/hyperlink" Target="https://go.centi.com.br/itumbiara/portalfornecedor" TargetMode="External"/><Relationship Id="rId5" Type="http://schemas.openxmlformats.org/officeDocument/2006/relationships/hyperlink" Target="https://go.centi.com.br/itumbiara/portalfornecedor" TargetMode="External"/><Relationship Id="rId6" Type="http://schemas.openxmlformats.org/officeDocument/2006/relationships/hyperlink" Target="https://acessoainformacao.itumbiara.go.gov.br/cidadao/informacao/dispensas_cnt" TargetMode="External"/><Relationship Id="rId7" Type="http://schemas.openxmlformats.org/officeDocument/2006/relationships/hyperlink" Target="http://www.cnj.jus.br/improbidade_adm/consultar_requerido.php" TargetMode="External"/><Relationship Id="rId8" Type="http://schemas.openxmlformats.org/officeDocument/2006/relationships/hyperlink" Target="http://www.gov.br/empresas-e-negocios/pt-br/empreendedor" TargetMode="External"/><Relationship Id="rId9" Type="http://schemas.openxmlformats.org/officeDocument/2006/relationships/hyperlink" Target="https://go.centi.com.br/itumbiara/portalfornecedor"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6EE1B-37B0-4A97-8F7E-37DD91E21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Application>LibreOffice/7.3.0.3$Windows_X86_64 LibreOffice_project/0f246aa12d0eee4a0f7adcefbf7c878fc2238db3</Application>
  <AppVersion>15.0000</AppVersion>
  <Pages>10</Pages>
  <Words>4684</Words>
  <Characters>26911</Characters>
  <CharactersWithSpaces>31427</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2024-05-08T10:35:00Z</dcterms:created>
  <dc:creator>Cliente</dc:creator>
  <dc:description/>
  <dc:language>pt-BR</dc:language>
  <cp:lastModifiedBy/>
  <cp:lastPrinted>2024-03-07T11:31:00Z</cp:lastPrinted>
  <dcterms:modified xsi:type="dcterms:W3CDTF">2024-05-15T11:02:05Z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