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5F18A2" w14:textId="038A90B8" w:rsidR="001D6F81" w:rsidRDefault="00443E44" w:rsidP="00820BD4">
      <w:pPr>
        <w:keepNext/>
        <w:spacing w:after="0" w:line="240" w:lineRule="auto"/>
        <w:jc w:val="center"/>
        <w:rPr>
          <w:rFonts w:ascii="Tahoma" w:hAnsi="Tahoma" w:cs="Tahoma"/>
          <w:b/>
          <w:sz w:val="24"/>
          <w:szCs w:val="24"/>
        </w:rPr>
      </w:pPr>
      <w:bookmarkStart w:id="0" w:name="_GoBack"/>
      <w:bookmarkEnd w:id="0"/>
      <w:r>
        <w:rPr>
          <w:rFonts w:ascii="Tahoma" w:hAnsi="Tahoma" w:cs="Tahoma"/>
          <w:b/>
          <w:sz w:val="24"/>
          <w:szCs w:val="24"/>
        </w:rPr>
        <w:t xml:space="preserve">ANEXO VII - </w:t>
      </w:r>
      <w:r w:rsidRPr="00820BD4">
        <w:rPr>
          <w:rFonts w:ascii="Tahoma" w:hAnsi="Tahoma" w:cs="Tahoma"/>
          <w:b/>
          <w:sz w:val="24"/>
          <w:szCs w:val="24"/>
        </w:rPr>
        <w:t>ESTUDO TÉCNICO PRELIMINAR</w:t>
      </w:r>
    </w:p>
    <w:p w14:paraId="3ACB05C3" w14:textId="77777777" w:rsidR="00820BD4" w:rsidRPr="00820BD4" w:rsidRDefault="00820BD4" w:rsidP="00820BD4">
      <w:pPr>
        <w:keepNext/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p w14:paraId="7640F4B6" w14:textId="77777777" w:rsidR="001D6F81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O presente Estudo Técnico Preliminar – ETP tem por finalidade caracterizar a necessidade administrativa, avaliar as alternativas existentes no mercado e demonstrar a viabilidade técnica e econômica da contratação </w:t>
      </w:r>
      <w:r w:rsidRPr="00820BD4">
        <w:rPr>
          <w:rFonts w:ascii="Tahoma" w:hAnsi="Tahoma" w:cs="Tahoma"/>
          <w:sz w:val="24"/>
          <w:szCs w:val="24"/>
        </w:rPr>
        <w:t>pretendida, em conformidade com o artigo 18, §1º, da Lei Federal nº 14.133/2021, visando subsidiar a aquisição de equipamentos de informática para atendimento das necessidades do Serviço de Água e Esgoto do Município de Bariri – SAEMBA.</w:t>
      </w:r>
    </w:p>
    <w:p w14:paraId="7D5BF117" w14:textId="77777777" w:rsidR="00820BD4" w:rsidRPr="00820BD4" w:rsidRDefault="00820BD4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</w:p>
    <w:p w14:paraId="34F8DF9B" w14:textId="77777777" w:rsidR="001D6F81" w:rsidRPr="00820BD4" w:rsidRDefault="00A80941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1 - DESCRIÇÃO DA N</w:t>
      </w:r>
      <w:r w:rsidRPr="00820BD4">
        <w:rPr>
          <w:rFonts w:ascii="Tahoma" w:hAnsi="Tahoma" w:cs="Tahoma"/>
          <w:b/>
          <w:sz w:val="24"/>
          <w:szCs w:val="24"/>
        </w:rPr>
        <w:t>ECESSIDADE DA CONTRATAÇÃO, CONSIDERADO O PROBLEMA A SER RESOLVIDO SOB A PERSPECTIVA DO INTERESSE PÚBLICO</w:t>
      </w:r>
    </w:p>
    <w:p w14:paraId="7BE03CD1" w14:textId="77777777" w:rsidR="00820BD4" w:rsidRDefault="00820BD4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</w:p>
    <w:p w14:paraId="4AA70FF4" w14:textId="4B3CF06C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A contratação destina-se à aquisição de equipamentos de informática necessários à manutenção e ao adequado funcionamento dos diversos setores administ</w:t>
      </w:r>
      <w:r w:rsidRPr="00820BD4">
        <w:rPr>
          <w:rFonts w:ascii="Tahoma" w:hAnsi="Tahoma" w:cs="Tahoma"/>
          <w:sz w:val="24"/>
          <w:szCs w:val="24"/>
        </w:rPr>
        <w:t>rativos e operacionais do SAEMBA, assegurando condições tecnológicas compatíveis com as atividades desenvolvidas pela Autarquia.</w:t>
      </w:r>
    </w:p>
    <w:p w14:paraId="061BEAE5" w14:textId="77777777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Conforme identificado no Documento de Formalização da Demanda – DFD, parte dos equipamentos atualmente utilizados encontra-se d</w:t>
      </w:r>
      <w:r w:rsidRPr="00820BD4">
        <w:rPr>
          <w:rFonts w:ascii="Tahoma" w:hAnsi="Tahoma" w:cs="Tahoma"/>
          <w:sz w:val="24"/>
          <w:szCs w:val="24"/>
        </w:rPr>
        <w:t>anificada, apresenta defeitos recorrentes ou está em situação de obsolescência tecnológica, circunstâncias que podem comprometer a produtividade, a segurança operacional, a continuidade dos serviços e a eficiência das rotinas administrativas.</w:t>
      </w:r>
    </w:p>
    <w:p w14:paraId="780F1234" w14:textId="77777777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A necessidade</w:t>
      </w:r>
      <w:r w:rsidRPr="00820BD4">
        <w:rPr>
          <w:rFonts w:ascii="Tahoma" w:hAnsi="Tahoma" w:cs="Tahoma"/>
          <w:sz w:val="24"/>
          <w:szCs w:val="24"/>
        </w:rPr>
        <w:t xml:space="preserve"> também decorre da adequação dos postos de trabalho existentes, do atendimento ao ingresso de novos servidores e da substituição de equipamentos que venham a apresentar falhas, de modo a manter estrutura mínima e adequada para execução das atividades insti</w:t>
      </w:r>
      <w:r w:rsidRPr="00820BD4">
        <w:rPr>
          <w:rFonts w:ascii="Tahoma" w:hAnsi="Tahoma" w:cs="Tahoma"/>
          <w:sz w:val="24"/>
          <w:szCs w:val="24"/>
        </w:rPr>
        <w:t>tucionais.</w:t>
      </w:r>
    </w:p>
    <w:p w14:paraId="753A4BE0" w14:textId="77777777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A não realização da aquisição poderá ocasionar indisponibilidade de estações de trabalho, redução da produtividade, atrasos em procedimentos administrativos e operacionais, dificuldade de acesso aos sistemas utilizados pela Autarquia e aumento d</w:t>
      </w:r>
      <w:r w:rsidRPr="00820BD4">
        <w:rPr>
          <w:rFonts w:ascii="Tahoma" w:hAnsi="Tahoma" w:cs="Tahoma"/>
          <w:sz w:val="24"/>
          <w:szCs w:val="24"/>
        </w:rPr>
        <w:t>a incidência de manutenções corretivas em equipamentos tecnologicamente defasados.</w:t>
      </w:r>
    </w:p>
    <w:p w14:paraId="20F21254" w14:textId="77777777" w:rsidR="00820BD4" w:rsidRDefault="00820BD4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587DBB4C" w14:textId="648A191B" w:rsidR="001D6F81" w:rsidRDefault="00A80941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2 - DEMONSTRAÇÃO DA PREVISÃO DA CONTRATAÇÃO NO PLANO DE CONTRATAÇÕES ANUAL, SEMPRE QUE ELABORADO, DE MODO A INDICAR O SEU ALINHAMENTO COM O PLANEJAMENTO DA ADMINISTRAÇÃO</w:t>
      </w:r>
    </w:p>
    <w:p w14:paraId="38A39CA9" w14:textId="77777777" w:rsidR="00820BD4" w:rsidRPr="00820BD4" w:rsidRDefault="00820BD4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A87343D" w14:textId="77777777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C</w:t>
      </w:r>
      <w:r w:rsidRPr="00820BD4">
        <w:rPr>
          <w:rFonts w:ascii="Tahoma" w:hAnsi="Tahoma" w:cs="Tahoma"/>
          <w:sz w:val="24"/>
          <w:szCs w:val="24"/>
        </w:rPr>
        <w:t>onforme registrado no DFD, a contratação encontra-se abrangida pela previsão geral constante do Plano de Contratações Anual do SAEMBA relativa à aquisição de equipamentos de informática, embora os itens e quantitativos ora demandados não estejam individual</w:t>
      </w:r>
      <w:r w:rsidRPr="00820BD4">
        <w:rPr>
          <w:rFonts w:ascii="Tahoma" w:hAnsi="Tahoma" w:cs="Tahoma"/>
          <w:sz w:val="24"/>
          <w:szCs w:val="24"/>
        </w:rPr>
        <w:t>mente discriminados. Dessa forma, a demanda mantém alinhamento com o planejamento institucional da Autarquia.</w:t>
      </w:r>
    </w:p>
    <w:p w14:paraId="5FEBFBFF" w14:textId="77777777" w:rsidR="001D6F81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A contratação também se mostra compatível com os princípios do planejamento, eficiência, economicidade, interesse público e continuidade dos servi</w:t>
      </w:r>
      <w:r w:rsidRPr="00820BD4">
        <w:rPr>
          <w:rFonts w:ascii="Tahoma" w:hAnsi="Tahoma" w:cs="Tahoma"/>
          <w:sz w:val="24"/>
          <w:szCs w:val="24"/>
        </w:rPr>
        <w:t>ços, observados na Lei Federal nº 14.133/2021.</w:t>
      </w:r>
    </w:p>
    <w:p w14:paraId="4804A9D4" w14:textId="77777777" w:rsidR="00820BD4" w:rsidRPr="00820BD4" w:rsidRDefault="00820BD4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</w:p>
    <w:p w14:paraId="7B2F5ECB" w14:textId="77777777" w:rsidR="001D6F81" w:rsidRDefault="00A80941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lastRenderedPageBreak/>
        <w:t>3 - REQUISITOS DA CONTRATAÇÃO</w:t>
      </w:r>
    </w:p>
    <w:p w14:paraId="2B6D4F71" w14:textId="77777777" w:rsidR="00820BD4" w:rsidRPr="00820BD4" w:rsidRDefault="00820BD4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35486EF" w14:textId="77777777" w:rsidR="001D6F81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3.1 Requisitos gerais: Aquisição de equipamentos de informática novos, de primeiro uso, não recondicionados e não remanufaturados, destinados ao atendimento das necessidades do </w:t>
      </w:r>
      <w:r w:rsidRPr="00820BD4">
        <w:rPr>
          <w:rFonts w:ascii="Tahoma" w:hAnsi="Tahoma" w:cs="Tahoma"/>
          <w:sz w:val="24"/>
          <w:szCs w:val="24"/>
        </w:rPr>
        <w:t>SAEMBA, observadas as especificações técnicas mínimas a serem consolidadas no Termo de Referência.</w:t>
      </w:r>
    </w:p>
    <w:p w14:paraId="34C18543" w14:textId="77777777" w:rsidR="00820BD4" w:rsidRPr="00820BD4" w:rsidRDefault="00820BD4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CC95BF6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3.2 Requisitos técnicos mínimos:</w:t>
      </w:r>
    </w:p>
    <w:p w14:paraId="13D9BDBE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os equipamentos deverão ser novos, de primeiro uso e pertencentes a linha de fabricação/comercialização regular;</w:t>
      </w:r>
    </w:p>
    <w:p w14:paraId="2350DF8B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• </w:t>
      </w:r>
      <w:r w:rsidRPr="00820BD4">
        <w:rPr>
          <w:rFonts w:ascii="Tahoma" w:hAnsi="Tahoma" w:cs="Tahoma"/>
          <w:sz w:val="24"/>
          <w:szCs w:val="24"/>
        </w:rPr>
        <w:t>deverão atender integralmente às especificações mínimas de desempenho, capacidade, compatibilidade e durabilidade definidas no Termo de Referência;</w:t>
      </w:r>
    </w:p>
    <w:p w14:paraId="709C8FD7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• as especificações deverão utilizar parâmetros objetivos e usuais de mercado, evitando características </w:t>
      </w:r>
      <w:r w:rsidRPr="00820BD4">
        <w:rPr>
          <w:rFonts w:ascii="Tahoma" w:hAnsi="Tahoma" w:cs="Tahoma"/>
          <w:sz w:val="24"/>
          <w:szCs w:val="24"/>
        </w:rPr>
        <w:t>injustificadamente restritivas à competitividade ou direcionamento a marca/modelo específico;</w:t>
      </w:r>
    </w:p>
    <w:p w14:paraId="41471BB9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monitores, microcomputadores e notebooks deverão possuir garantia compatível com a natureza do equipamento, cujo prazo e condições serão definidos no Termo de R</w:t>
      </w:r>
      <w:r w:rsidRPr="00820BD4">
        <w:rPr>
          <w:rFonts w:ascii="Tahoma" w:hAnsi="Tahoma" w:cs="Tahoma"/>
          <w:sz w:val="24"/>
          <w:szCs w:val="24"/>
        </w:rPr>
        <w:t>eferência;</w:t>
      </w:r>
    </w:p>
    <w:p w14:paraId="5FFF6258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os acessórios e componentes necessários ao funcionamento regular dos equipamentos deverão acompanhar os respectivos itens, quando aplicável;</w:t>
      </w:r>
    </w:p>
    <w:p w14:paraId="636CB783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os produtos deverão ser entregues em embalagem adequada, com identificação e documentação técnica pe</w:t>
      </w:r>
      <w:r w:rsidRPr="00820BD4">
        <w:rPr>
          <w:rFonts w:ascii="Tahoma" w:hAnsi="Tahoma" w:cs="Tahoma"/>
          <w:sz w:val="24"/>
          <w:szCs w:val="24"/>
        </w:rPr>
        <w:t>rtinente, quando aplicável.</w:t>
      </w:r>
    </w:p>
    <w:p w14:paraId="5DE91CAF" w14:textId="77777777" w:rsidR="00820BD4" w:rsidRDefault="00820BD4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5CC90BDB" w14:textId="7F22321A" w:rsidR="001D6F81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3.3 Prazo e entrega: Conforme o DFD, a entrega deverá ocorrer em parcela única, no prazo máximo de 28 (vinte e oito) dias contados do recebimento da Ordem de Fornecimento ou instrumento equivalente. O Termo de Referência deverá</w:t>
      </w:r>
      <w:r w:rsidRPr="00820BD4">
        <w:rPr>
          <w:rFonts w:ascii="Tahoma" w:hAnsi="Tahoma" w:cs="Tahoma"/>
          <w:sz w:val="24"/>
          <w:szCs w:val="24"/>
        </w:rPr>
        <w:t xml:space="preserve"> confirmar a compatibilidade desse prazo com as práticas de mercado.</w:t>
      </w:r>
    </w:p>
    <w:p w14:paraId="0DBC3EB3" w14:textId="77777777" w:rsidR="00820BD4" w:rsidRPr="00820BD4" w:rsidRDefault="00820BD4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7D8C6A6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3.4 Garantia e assistência: O Termo de Referência deverá estabelecer objetivamente os prazos de garantia, forma de acionamento, prazos para solução de defeitos e condições de substituiçã</w:t>
      </w:r>
      <w:r w:rsidRPr="00820BD4">
        <w:rPr>
          <w:rFonts w:ascii="Tahoma" w:hAnsi="Tahoma" w:cs="Tahoma"/>
          <w:sz w:val="24"/>
          <w:szCs w:val="24"/>
        </w:rPr>
        <w:t>o dos equipamentos, observando a proporcionalidade e evitando exigências que restrinjam indevidamente a competição.</w:t>
      </w:r>
    </w:p>
    <w:p w14:paraId="5DB88297" w14:textId="77777777" w:rsidR="00820BD4" w:rsidRDefault="00820BD4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2498BF9" w14:textId="09BE1F04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3.5 Sustentabilidade: Sempre que tecnicamente aplicável e sem restrição injustificada à competitividade, deverão ser considerados critérios</w:t>
      </w:r>
      <w:r w:rsidRPr="00820BD4">
        <w:rPr>
          <w:rFonts w:ascii="Tahoma" w:hAnsi="Tahoma" w:cs="Tahoma"/>
          <w:sz w:val="24"/>
          <w:szCs w:val="24"/>
        </w:rPr>
        <w:t xml:space="preserve"> relacionados à eficiência energética, redução do consumo de recursos, durabilidade dos equipamentos, redução de resíduos, destinação ambientalmente adequada e logística reversa.</w:t>
      </w:r>
    </w:p>
    <w:p w14:paraId="1B97C55E" w14:textId="77777777" w:rsidR="00820BD4" w:rsidRDefault="00820BD4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1A8B95BE" w14:textId="1B8D6CE8" w:rsidR="001D6F81" w:rsidRDefault="00A80941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4 - ESTIMATIVAS DAS QUANTIDADES PARA A CONTRATAÇÃO, ACOMPANHADAS DAS MEMÓRIA</w:t>
      </w:r>
      <w:r w:rsidRPr="00820BD4">
        <w:rPr>
          <w:rFonts w:ascii="Tahoma" w:hAnsi="Tahoma" w:cs="Tahoma"/>
          <w:b/>
          <w:sz w:val="24"/>
          <w:szCs w:val="24"/>
        </w:rPr>
        <w:t>S DE CÁLCULO E DOS DOCUMENTOS QUE LHES DÃO SUPORTE, QUE CONSIDEREM INTERDEPENDÊNCIAS COM OUTRAS CONTRATAÇÕES, DE MODO A POSSIBILITAR ECONOMIA DE ESCALA</w:t>
      </w:r>
    </w:p>
    <w:p w14:paraId="22081E81" w14:textId="77777777" w:rsidR="00820BD4" w:rsidRPr="00820BD4" w:rsidRDefault="00820BD4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77FC5C08" w14:textId="77777777" w:rsidR="001D6F81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Os quantitativos foram definidos a partir do levantamento das necessidades atuais dos setores da Autarq</w:t>
      </w:r>
      <w:r w:rsidRPr="00820BD4">
        <w:rPr>
          <w:rFonts w:ascii="Tahoma" w:hAnsi="Tahoma" w:cs="Tahoma"/>
          <w:sz w:val="24"/>
          <w:szCs w:val="24"/>
        </w:rPr>
        <w:t xml:space="preserve">uia, considerando equipamentos que demandam substituição por defeitos ou obsolescência, adequação dos postos de trabalho existentes, atendimento </w:t>
      </w:r>
      <w:r w:rsidRPr="00820BD4">
        <w:rPr>
          <w:rFonts w:ascii="Tahoma" w:hAnsi="Tahoma" w:cs="Tahoma"/>
          <w:sz w:val="24"/>
          <w:szCs w:val="24"/>
        </w:rPr>
        <w:lastRenderedPageBreak/>
        <w:t>de novos servidores e necessidade de manter recursos periféricos compatíveis com a rotina administrativa e oper</w:t>
      </w:r>
      <w:r w:rsidRPr="00820BD4">
        <w:rPr>
          <w:rFonts w:ascii="Tahoma" w:hAnsi="Tahoma" w:cs="Tahoma"/>
          <w:sz w:val="24"/>
          <w:szCs w:val="24"/>
        </w:rPr>
        <w:t>acional.</w:t>
      </w:r>
    </w:p>
    <w:p w14:paraId="4F66D1CB" w14:textId="77777777" w:rsidR="00820BD4" w:rsidRPr="00820BD4" w:rsidRDefault="00820BD4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804"/>
        <w:gridCol w:w="2877"/>
        <w:gridCol w:w="1843"/>
        <w:gridCol w:w="2551"/>
      </w:tblGrid>
      <w:tr w:rsidR="001D6F81" w:rsidRPr="00820BD4" w14:paraId="4558685B" w14:textId="77777777" w:rsidTr="00820BD4">
        <w:trPr>
          <w:jc w:val="center"/>
        </w:trPr>
        <w:tc>
          <w:tcPr>
            <w:tcW w:w="804" w:type="dxa"/>
            <w:shd w:val="clear" w:color="auto" w:fill="9DC3E6"/>
            <w:vAlign w:val="center"/>
          </w:tcPr>
          <w:p w14:paraId="2763A016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b/>
                <w:sz w:val="24"/>
                <w:szCs w:val="24"/>
              </w:rPr>
              <w:t>Item</w:t>
            </w:r>
          </w:p>
        </w:tc>
        <w:tc>
          <w:tcPr>
            <w:tcW w:w="2877" w:type="dxa"/>
            <w:shd w:val="clear" w:color="auto" w:fill="9DC3E6"/>
            <w:vAlign w:val="center"/>
          </w:tcPr>
          <w:p w14:paraId="3401252A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b/>
                <w:sz w:val="24"/>
                <w:szCs w:val="24"/>
              </w:rPr>
              <w:t>Descrição</w:t>
            </w:r>
          </w:p>
        </w:tc>
        <w:tc>
          <w:tcPr>
            <w:tcW w:w="1843" w:type="dxa"/>
            <w:shd w:val="clear" w:color="auto" w:fill="9DC3E6"/>
            <w:vAlign w:val="center"/>
          </w:tcPr>
          <w:p w14:paraId="2AFB8670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b/>
                <w:sz w:val="24"/>
                <w:szCs w:val="24"/>
              </w:rPr>
              <w:t>Unidade</w:t>
            </w:r>
          </w:p>
        </w:tc>
        <w:tc>
          <w:tcPr>
            <w:tcW w:w="2551" w:type="dxa"/>
            <w:shd w:val="clear" w:color="auto" w:fill="9DC3E6"/>
            <w:vAlign w:val="center"/>
          </w:tcPr>
          <w:p w14:paraId="0E6149C9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b/>
                <w:sz w:val="24"/>
                <w:szCs w:val="24"/>
              </w:rPr>
              <w:t>Quantidade Total</w:t>
            </w:r>
          </w:p>
        </w:tc>
      </w:tr>
      <w:tr w:rsidR="001D6F81" w:rsidRPr="00820BD4" w14:paraId="2625DB50" w14:textId="77777777" w:rsidTr="00820BD4">
        <w:trPr>
          <w:jc w:val="center"/>
        </w:trPr>
        <w:tc>
          <w:tcPr>
            <w:tcW w:w="804" w:type="dxa"/>
            <w:vAlign w:val="center"/>
          </w:tcPr>
          <w:p w14:paraId="6BA837B5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1</w:t>
            </w:r>
          </w:p>
        </w:tc>
        <w:tc>
          <w:tcPr>
            <w:tcW w:w="2877" w:type="dxa"/>
            <w:vAlign w:val="center"/>
          </w:tcPr>
          <w:p w14:paraId="2F6E13FD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Monitor</w:t>
            </w:r>
          </w:p>
        </w:tc>
        <w:tc>
          <w:tcPr>
            <w:tcW w:w="1843" w:type="dxa"/>
            <w:vAlign w:val="center"/>
          </w:tcPr>
          <w:p w14:paraId="2D01A6DB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Unid.</w:t>
            </w:r>
          </w:p>
        </w:tc>
        <w:tc>
          <w:tcPr>
            <w:tcW w:w="2551" w:type="dxa"/>
            <w:vAlign w:val="center"/>
          </w:tcPr>
          <w:p w14:paraId="336AE026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7</w:t>
            </w:r>
          </w:p>
        </w:tc>
      </w:tr>
      <w:tr w:rsidR="001D6F81" w:rsidRPr="00820BD4" w14:paraId="6F954F27" w14:textId="77777777" w:rsidTr="00820BD4">
        <w:trPr>
          <w:jc w:val="center"/>
        </w:trPr>
        <w:tc>
          <w:tcPr>
            <w:tcW w:w="804" w:type="dxa"/>
            <w:vAlign w:val="center"/>
          </w:tcPr>
          <w:p w14:paraId="155B46CF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  <w:tc>
          <w:tcPr>
            <w:tcW w:w="2877" w:type="dxa"/>
            <w:vAlign w:val="center"/>
          </w:tcPr>
          <w:p w14:paraId="69B83642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Microcomputador</w:t>
            </w:r>
          </w:p>
        </w:tc>
        <w:tc>
          <w:tcPr>
            <w:tcW w:w="1843" w:type="dxa"/>
            <w:vAlign w:val="center"/>
          </w:tcPr>
          <w:p w14:paraId="5B06719E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Unid.</w:t>
            </w:r>
          </w:p>
        </w:tc>
        <w:tc>
          <w:tcPr>
            <w:tcW w:w="2551" w:type="dxa"/>
            <w:vAlign w:val="center"/>
          </w:tcPr>
          <w:p w14:paraId="2141ACF7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</w:tr>
      <w:tr w:rsidR="001D6F81" w:rsidRPr="00820BD4" w14:paraId="7F692C60" w14:textId="77777777" w:rsidTr="00820BD4">
        <w:trPr>
          <w:jc w:val="center"/>
        </w:trPr>
        <w:tc>
          <w:tcPr>
            <w:tcW w:w="804" w:type="dxa"/>
            <w:vAlign w:val="center"/>
          </w:tcPr>
          <w:p w14:paraId="4E0A79B0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3</w:t>
            </w:r>
          </w:p>
        </w:tc>
        <w:tc>
          <w:tcPr>
            <w:tcW w:w="2877" w:type="dxa"/>
            <w:vAlign w:val="center"/>
          </w:tcPr>
          <w:p w14:paraId="02EB2BC9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Notebook</w:t>
            </w:r>
          </w:p>
        </w:tc>
        <w:tc>
          <w:tcPr>
            <w:tcW w:w="1843" w:type="dxa"/>
            <w:vAlign w:val="center"/>
          </w:tcPr>
          <w:p w14:paraId="12FB5F24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Unid.</w:t>
            </w:r>
          </w:p>
        </w:tc>
        <w:tc>
          <w:tcPr>
            <w:tcW w:w="2551" w:type="dxa"/>
            <w:vAlign w:val="center"/>
          </w:tcPr>
          <w:p w14:paraId="507DA67F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2</w:t>
            </w:r>
          </w:p>
        </w:tc>
      </w:tr>
      <w:tr w:rsidR="001D6F81" w:rsidRPr="00820BD4" w14:paraId="1C0A487F" w14:textId="77777777" w:rsidTr="00820BD4">
        <w:trPr>
          <w:jc w:val="center"/>
        </w:trPr>
        <w:tc>
          <w:tcPr>
            <w:tcW w:w="804" w:type="dxa"/>
            <w:vAlign w:val="center"/>
          </w:tcPr>
          <w:p w14:paraId="00D861B4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4</w:t>
            </w:r>
          </w:p>
        </w:tc>
        <w:tc>
          <w:tcPr>
            <w:tcW w:w="2877" w:type="dxa"/>
            <w:vAlign w:val="center"/>
          </w:tcPr>
          <w:p w14:paraId="0828EF91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Teclado</w:t>
            </w:r>
          </w:p>
        </w:tc>
        <w:tc>
          <w:tcPr>
            <w:tcW w:w="1843" w:type="dxa"/>
            <w:vAlign w:val="center"/>
          </w:tcPr>
          <w:p w14:paraId="257B317F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Unid.</w:t>
            </w:r>
          </w:p>
        </w:tc>
        <w:tc>
          <w:tcPr>
            <w:tcW w:w="2551" w:type="dxa"/>
            <w:vAlign w:val="center"/>
          </w:tcPr>
          <w:p w14:paraId="02268D60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10</w:t>
            </w:r>
          </w:p>
        </w:tc>
      </w:tr>
      <w:tr w:rsidR="001D6F81" w:rsidRPr="00820BD4" w14:paraId="79741394" w14:textId="77777777" w:rsidTr="00820BD4">
        <w:trPr>
          <w:jc w:val="center"/>
        </w:trPr>
        <w:tc>
          <w:tcPr>
            <w:tcW w:w="804" w:type="dxa"/>
            <w:vAlign w:val="center"/>
          </w:tcPr>
          <w:p w14:paraId="518BFD34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5</w:t>
            </w:r>
          </w:p>
        </w:tc>
        <w:tc>
          <w:tcPr>
            <w:tcW w:w="2877" w:type="dxa"/>
            <w:vAlign w:val="center"/>
          </w:tcPr>
          <w:p w14:paraId="027D8A8D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Mouse</w:t>
            </w:r>
          </w:p>
        </w:tc>
        <w:tc>
          <w:tcPr>
            <w:tcW w:w="1843" w:type="dxa"/>
            <w:vAlign w:val="center"/>
          </w:tcPr>
          <w:p w14:paraId="2538E624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Unid.</w:t>
            </w:r>
          </w:p>
        </w:tc>
        <w:tc>
          <w:tcPr>
            <w:tcW w:w="2551" w:type="dxa"/>
            <w:vAlign w:val="center"/>
          </w:tcPr>
          <w:p w14:paraId="12E1BF49" w14:textId="77777777" w:rsidR="001D6F81" w:rsidRPr="00820BD4" w:rsidRDefault="00A80941" w:rsidP="00820BD4">
            <w:pPr>
              <w:spacing w:after="0" w:line="240" w:lineRule="auto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820BD4">
              <w:rPr>
                <w:rFonts w:ascii="Tahoma" w:hAnsi="Tahoma" w:cs="Tahoma"/>
                <w:sz w:val="24"/>
                <w:szCs w:val="24"/>
              </w:rPr>
              <w:t>10</w:t>
            </w:r>
          </w:p>
        </w:tc>
      </w:tr>
    </w:tbl>
    <w:p w14:paraId="3323F066" w14:textId="77777777" w:rsidR="00820BD4" w:rsidRDefault="00820BD4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75202094" w14:textId="4BE858D8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Memória de cálculo: As quantidades acima reproduzem o levantamento consolidado no DFD. </w:t>
      </w:r>
      <w:r w:rsidR="00053AC0">
        <w:rPr>
          <w:rFonts w:ascii="Tahoma" w:hAnsi="Tahoma" w:cs="Tahoma"/>
          <w:sz w:val="24"/>
          <w:szCs w:val="24"/>
        </w:rPr>
        <w:t>Os itens “teclado” e “mouse” contemplam unidades que ficarão no estoque do SAEMBA, para troca em caso de necessidade, evitando interrupções nos trabalhos dos servidores, em caso desses equipamentos utilizados atualmente perderem suas funcionalidades.</w:t>
      </w:r>
    </w:p>
    <w:p w14:paraId="7010BA72" w14:textId="77777777" w:rsidR="003D3537" w:rsidRDefault="003D3537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6C8ECBDE" w14:textId="3F4909FB" w:rsidR="001D6F81" w:rsidRPr="00820BD4" w:rsidRDefault="00A80941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 xml:space="preserve">5 - </w:t>
      </w:r>
      <w:r w:rsidRPr="00820BD4">
        <w:rPr>
          <w:rFonts w:ascii="Tahoma" w:hAnsi="Tahoma" w:cs="Tahoma"/>
          <w:b/>
          <w:sz w:val="24"/>
          <w:szCs w:val="24"/>
        </w:rPr>
        <w:t>LEVANTAMENTO DE MERCADO, QUE CONSISTE NA ANÁLISE DAS ALTERNATIVAS POSSÍVEIS, E JUSTIFICATIVA TÉCNICA E ECONÔMICA DA ESCOLHA DO TIPO DE SOLUÇÃO A CONTRATAR</w:t>
      </w:r>
    </w:p>
    <w:p w14:paraId="087BEBF6" w14:textId="77777777" w:rsidR="003D3537" w:rsidRDefault="003D3537" w:rsidP="00820BD4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3D2FF876" w14:textId="4CCDA691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Solução 1 – Manutenção exclusiva dos equipamentos atualmente existentes</w:t>
      </w:r>
    </w:p>
    <w:p w14:paraId="745BA799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Descrição: continuidade da u</w:t>
      </w:r>
      <w:r w:rsidRPr="00820BD4">
        <w:rPr>
          <w:rFonts w:ascii="Tahoma" w:hAnsi="Tahoma" w:cs="Tahoma"/>
          <w:sz w:val="24"/>
          <w:szCs w:val="24"/>
        </w:rPr>
        <w:t>tilização dos equipamentos atuais, com realização de manutenções corretivas quando necessárias.</w:t>
      </w:r>
    </w:p>
    <w:p w14:paraId="7B398586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Vantagens:</w:t>
      </w:r>
    </w:p>
    <w:p w14:paraId="68C46A13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menor desembolso inicial, quando o reparo for tecnicamente viável e economicamente vantajoso.</w:t>
      </w:r>
    </w:p>
    <w:p w14:paraId="5226599B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Desvantagens:</w:t>
      </w:r>
    </w:p>
    <w:p w14:paraId="24486F12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não soluciona adequadamente situações</w:t>
      </w:r>
      <w:r w:rsidRPr="00820BD4">
        <w:rPr>
          <w:rFonts w:ascii="Tahoma" w:hAnsi="Tahoma" w:cs="Tahoma"/>
          <w:sz w:val="24"/>
          <w:szCs w:val="24"/>
        </w:rPr>
        <w:t xml:space="preserve"> de obsolescência tecnológica;</w:t>
      </w:r>
    </w:p>
    <w:p w14:paraId="09D9BE43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pode elevar a frequência e o custo de manutenções corretivas;</w:t>
      </w:r>
    </w:p>
    <w:p w14:paraId="0164D714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mantém riscos de indisponibilidade e perda de produtividade;</w:t>
      </w:r>
    </w:p>
    <w:p w14:paraId="149BB95D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não atende integralmente à necessidade de novos postos de trabalho.</w:t>
      </w:r>
    </w:p>
    <w:p w14:paraId="4BEB41BA" w14:textId="77777777" w:rsidR="003D3537" w:rsidRDefault="003D3537" w:rsidP="00820BD4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3522E6E0" w14:textId="5078F8BD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Solução 2 – Locação de equi</w:t>
      </w:r>
      <w:r w:rsidRPr="00820BD4">
        <w:rPr>
          <w:rFonts w:ascii="Tahoma" w:hAnsi="Tahoma" w:cs="Tahoma"/>
          <w:b/>
          <w:sz w:val="24"/>
          <w:szCs w:val="24"/>
        </w:rPr>
        <w:t>pamentos de informática</w:t>
      </w:r>
    </w:p>
    <w:p w14:paraId="16FFE64C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Descrição: contratação de solução de locação, com disponibilização dos equipamentos durante determinado período.</w:t>
      </w:r>
    </w:p>
    <w:p w14:paraId="7232B54E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Vantagens:</w:t>
      </w:r>
    </w:p>
    <w:p w14:paraId="1E6262AB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possibilidade de atualização periódica do parque e previsibilidade de custos, conforme o modelo contratado</w:t>
      </w:r>
      <w:r w:rsidRPr="00820BD4">
        <w:rPr>
          <w:rFonts w:ascii="Tahoma" w:hAnsi="Tahoma" w:cs="Tahoma"/>
          <w:sz w:val="24"/>
          <w:szCs w:val="24"/>
        </w:rPr>
        <w:t>;</w:t>
      </w:r>
    </w:p>
    <w:p w14:paraId="3F6FF697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eventual inclusão de manutenção e suporte na solução.</w:t>
      </w:r>
    </w:p>
    <w:p w14:paraId="4553C8BC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Desvantagens:</w:t>
      </w:r>
    </w:p>
    <w:p w14:paraId="3A48B1E2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gera obrigação financeira continuada durante a vigência;</w:t>
      </w:r>
    </w:p>
    <w:p w14:paraId="11DCFFEC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• pode apresentar custo global superior quando a necessidade é de equipamentos em quantitativos definidos e para uso </w:t>
      </w:r>
      <w:r w:rsidRPr="00820BD4">
        <w:rPr>
          <w:rFonts w:ascii="Tahoma" w:hAnsi="Tahoma" w:cs="Tahoma"/>
          <w:sz w:val="24"/>
          <w:szCs w:val="24"/>
        </w:rPr>
        <w:t>prolongado;</w:t>
      </w:r>
    </w:p>
    <w:p w14:paraId="6652CBE3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demanda gestão contratual contínua e regras de devolução/substituição.</w:t>
      </w:r>
    </w:p>
    <w:p w14:paraId="4E72876B" w14:textId="77777777" w:rsidR="003D3537" w:rsidRDefault="003D3537" w:rsidP="00820BD4">
      <w:pPr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1164A46D" w14:textId="1B4558F6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Solução 3 – Aquisição dos equipamentos</w:t>
      </w:r>
    </w:p>
    <w:p w14:paraId="5D049EB8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lastRenderedPageBreak/>
        <w:t>Descrição: aquisição definitiva dos equipamentos de informática necessários, com incorporação ao patrimônio do SAEMBA quando cabíve</w:t>
      </w:r>
      <w:r w:rsidRPr="00820BD4">
        <w:rPr>
          <w:rFonts w:ascii="Tahoma" w:hAnsi="Tahoma" w:cs="Tahoma"/>
          <w:sz w:val="24"/>
          <w:szCs w:val="24"/>
        </w:rPr>
        <w:t>l.</w:t>
      </w:r>
    </w:p>
    <w:p w14:paraId="1549F0BB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Vantagens:</w:t>
      </w:r>
    </w:p>
    <w:p w14:paraId="50A50163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atende diretamente às necessidades identificadas e aos quantitativos previamente definidos;</w:t>
      </w:r>
    </w:p>
    <w:p w14:paraId="6533096E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permite utilização dos bens ao longo de sua vida útil, sem pagamento mensal de locação;</w:t>
      </w:r>
    </w:p>
    <w:p w14:paraId="71FDB253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• possibilita padronização mínima de desempenho e </w:t>
      </w:r>
      <w:r w:rsidRPr="00820BD4">
        <w:rPr>
          <w:rFonts w:ascii="Tahoma" w:hAnsi="Tahoma" w:cs="Tahoma"/>
          <w:sz w:val="24"/>
          <w:szCs w:val="24"/>
        </w:rPr>
        <w:t>atualização dos postos de trabalho;</w:t>
      </w:r>
    </w:p>
    <w:p w14:paraId="2CAF138A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reduz a dependência de equipamentos obsoletos ou com falhas recorrentes.</w:t>
      </w:r>
    </w:p>
    <w:p w14:paraId="538D5280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Desvantagens:</w:t>
      </w:r>
    </w:p>
    <w:p w14:paraId="6FA2C945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exige desembolso inicial para aquisição;</w:t>
      </w:r>
    </w:p>
    <w:p w14:paraId="531054ED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a Administração assume a gestão patrimonial e, após o período de garantia, a manutençã</w:t>
      </w:r>
      <w:r w:rsidRPr="00820BD4">
        <w:rPr>
          <w:rFonts w:ascii="Tahoma" w:hAnsi="Tahoma" w:cs="Tahoma"/>
          <w:sz w:val="24"/>
          <w:szCs w:val="24"/>
        </w:rPr>
        <w:t>o dos bens.</w:t>
      </w:r>
    </w:p>
    <w:p w14:paraId="09F4F309" w14:textId="77777777" w:rsidR="003D3537" w:rsidRDefault="003D3537" w:rsidP="003D3537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496E17D" w14:textId="04B0B3F8" w:rsidR="001D6F81" w:rsidRPr="00820BD4" w:rsidRDefault="00A80941" w:rsidP="003D3537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3D3537">
        <w:rPr>
          <w:rFonts w:ascii="Tahoma" w:hAnsi="Tahoma" w:cs="Tahoma"/>
          <w:sz w:val="24"/>
          <w:szCs w:val="24"/>
          <w:u w:val="single"/>
        </w:rPr>
        <w:t>Conclusão</w:t>
      </w:r>
      <w:r w:rsidRPr="00820BD4">
        <w:rPr>
          <w:rFonts w:ascii="Tahoma" w:hAnsi="Tahoma" w:cs="Tahoma"/>
          <w:sz w:val="24"/>
          <w:szCs w:val="24"/>
        </w:rPr>
        <w:t>: Considerando que os quantitativos estão previamente definidos, que a necessidade envolve substituição de equipamentos defeituosos ou obsoletos e atendimento de postos de trabalho, e que os bens possuem vida útil compatível com utili</w:t>
      </w:r>
      <w:r w:rsidRPr="00820BD4">
        <w:rPr>
          <w:rFonts w:ascii="Tahoma" w:hAnsi="Tahoma" w:cs="Tahoma"/>
          <w:sz w:val="24"/>
          <w:szCs w:val="24"/>
        </w:rPr>
        <w:t>zação continuada pela Autarquia, a aquisição mostra-se, em princípio, a solução técnica mais adequada. A vantagem econômica deverá ser confirmada pela pesquisa de preços e pela estimativa do custo da contratação.</w:t>
      </w:r>
    </w:p>
    <w:p w14:paraId="79DFA267" w14:textId="77777777" w:rsidR="003D3537" w:rsidRDefault="003D3537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1B5546A3" w14:textId="151C4DC1" w:rsidR="001D6F81" w:rsidRDefault="00A80941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6 - ESTIMATIVA DO PREÇO DA CONTRATAÇÃO</w:t>
      </w:r>
    </w:p>
    <w:p w14:paraId="53BC062F" w14:textId="77777777" w:rsidR="003D3537" w:rsidRPr="00820BD4" w:rsidRDefault="003D3537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183A6F8" w14:textId="77777777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O </w:t>
      </w:r>
      <w:r w:rsidRPr="00820BD4">
        <w:rPr>
          <w:rFonts w:ascii="Tahoma" w:hAnsi="Tahoma" w:cs="Tahoma"/>
          <w:sz w:val="24"/>
          <w:szCs w:val="24"/>
        </w:rPr>
        <w:t>valor estimado da contratação será apurado mediante pesquisa de preços específica, observando os parâmetros do art. 23 da Lei Federal nº 14.133/2021 e a regulamentação aplicável, com utilização, conforme pertinente, de contratações similares da Administraç</w:t>
      </w:r>
      <w:r w:rsidRPr="00820BD4">
        <w:rPr>
          <w:rFonts w:ascii="Tahoma" w:hAnsi="Tahoma" w:cs="Tahoma"/>
          <w:sz w:val="24"/>
          <w:szCs w:val="24"/>
        </w:rPr>
        <w:t>ão Pública, bases oficiais e preços praticados no mercado. O orçamento estimado consolidado integrará o processo e será refletido no Termo de Referência.</w:t>
      </w:r>
    </w:p>
    <w:p w14:paraId="6F394234" w14:textId="77777777" w:rsidR="003D3537" w:rsidRDefault="003D3537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</w:p>
    <w:p w14:paraId="52A5476C" w14:textId="77777777" w:rsidR="001D6F81" w:rsidRPr="00820BD4" w:rsidRDefault="00A80941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7 - DESCRIÇÃO DA SOLUÇÃO COMO UM TODO, INCLUSIVE DAS EXIGÊNCIAS RELACIONADAS À MANUTENÇÃO E À ASSISTÊ</w:t>
      </w:r>
      <w:r w:rsidRPr="00820BD4">
        <w:rPr>
          <w:rFonts w:ascii="Tahoma" w:hAnsi="Tahoma" w:cs="Tahoma"/>
          <w:b/>
          <w:sz w:val="24"/>
          <w:szCs w:val="24"/>
        </w:rPr>
        <w:t>NCIA TÉCNICA, QUANDO FOR O CASO</w:t>
      </w:r>
    </w:p>
    <w:p w14:paraId="5B58AA8A" w14:textId="77777777" w:rsidR="003D3537" w:rsidRDefault="003D3537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</w:p>
    <w:p w14:paraId="29B1CEC1" w14:textId="02ADA9D3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A solução consiste na aquisição de 7 (sete) monitores, 4 (quatro) microcomputadores, 2 (dois) notebooks, 10 (dez) teclados e 10 (dez) mouses, todos novos e de primeiro uso, conforme especificações técnicas mínimas a serem d</w:t>
      </w:r>
      <w:r w:rsidRPr="00820BD4">
        <w:rPr>
          <w:rFonts w:ascii="Tahoma" w:hAnsi="Tahoma" w:cs="Tahoma"/>
          <w:sz w:val="24"/>
          <w:szCs w:val="24"/>
        </w:rPr>
        <w:t>etalhadas no Termo de Referência.</w:t>
      </w:r>
    </w:p>
    <w:p w14:paraId="76194C27" w14:textId="77777777" w:rsidR="003D3537" w:rsidRDefault="003D3537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</w:p>
    <w:p w14:paraId="255597C2" w14:textId="73935463" w:rsidR="001D6F81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A solução deverá contemplar garantia dos equipamentos, quando aplicável, e condições objetivas para correção de defeitos, reparo ou substituição durante o período de garantia. As exigências de assistência técnica deverão </w:t>
      </w:r>
      <w:r w:rsidRPr="00820BD4">
        <w:rPr>
          <w:rFonts w:ascii="Tahoma" w:hAnsi="Tahoma" w:cs="Tahoma"/>
          <w:sz w:val="24"/>
          <w:szCs w:val="24"/>
        </w:rPr>
        <w:t>ser proporcionais ao objeto e compatíveis com as práticas de mercado, evitando-se restrições territoriais ou operacionais sem justificativa técnica.</w:t>
      </w:r>
    </w:p>
    <w:p w14:paraId="56F3BE28" w14:textId="77777777" w:rsidR="003D3537" w:rsidRPr="00820BD4" w:rsidRDefault="003D3537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</w:p>
    <w:p w14:paraId="5FABB88E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Mapa de Riscos:</w:t>
      </w:r>
    </w:p>
    <w:p w14:paraId="59D3F993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lastRenderedPageBreak/>
        <w:t>• Especificações excessivamente restritivas → adoção de requisitos objetivos, funcionais e</w:t>
      </w:r>
      <w:r w:rsidRPr="00820BD4">
        <w:rPr>
          <w:rFonts w:ascii="Tahoma" w:hAnsi="Tahoma" w:cs="Tahoma"/>
          <w:sz w:val="24"/>
          <w:szCs w:val="24"/>
        </w:rPr>
        <w:t xml:space="preserve"> usuais de mercado, com revisão técnica antes da publicação;</w:t>
      </w:r>
    </w:p>
    <w:p w14:paraId="341A5C03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Aquisição de equipamento incompatível com a infraestrutura/sistemas do SAEMBA → validação prévia das especificações e requisitos de compatibilidade;</w:t>
      </w:r>
    </w:p>
    <w:p w14:paraId="7248B03C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• Entrega de produto inferior ao </w:t>
      </w:r>
      <w:r w:rsidRPr="00820BD4">
        <w:rPr>
          <w:rFonts w:ascii="Tahoma" w:hAnsi="Tahoma" w:cs="Tahoma"/>
          <w:sz w:val="24"/>
          <w:szCs w:val="24"/>
        </w:rPr>
        <w:t>especificado → conferência técnica no recebimento e previsão de recusa/substituição;</w:t>
      </w:r>
    </w:p>
    <w:p w14:paraId="699DE322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Atraso na entrega → definição de prazo, acompanhamento do fornecimento e aplicação das medidas contratuais cabíveis;</w:t>
      </w:r>
    </w:p>
    <w:p w14:paraId="691F7A92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Defeitos durante a garantia → estabelecimento de c</w:t>
      </w:r>
      <w:r w:rsidRPr="00820BD4">
        <w:rPr>
          <w:rFonts w:ascii="Tahoma" w:hAnsi="Tahoma" w:cs="Tahoma"/>
          <w:sz w:val="24"/>
          <w:szCs w:val="24"/>
        </w:rPr>
        <w:t>anal de atendimento e prazos para reparo ou substituição;</w:t>
      </w:r>
    </w:p>
    <w:p w14:paraId="77AE3077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Pesquisa de preços inadequada ou desatualizada → utilização de fontes diversificadas e análise crítica dos valores obtidos;</w:t>
      </w:r>
    </w:p>
    <w:p w14:paraId="708647FA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Descontinuidade de modelo ou indisponibilidade de item → especificaçõe</w:t>
      </w:r>
      <w:r w:rsidRPr="00820BD4">
        <w:rPr>
          <w:rFonts w:ascii="Tahoma" w:hAnsi="Tahoma" w:cs="Tahoma"/>
          <w:sz w:val="24"/>
          <w:szCs w:val="24"/>
        </w:rPr>
        <w:t>s por desempenho e características mínimas, admitindo produtos equivalentes ou superiores que atendam integralmente ao Termo de Referência.</w:t>
      </w:r>
    </w:p>
    <w:p w14:paraId="37F750B1" w14:textId="77777777" w:rsidR="003D3537" w:rsidRDefault="003D3537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6A8440AC" w14:textId="5FD2E064" w:rsidR="001D6F81" w:rsidRDefault="00A80941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8 - JUSTIFICATIVAS PARA O PARCELAMENTO OU NÃO DA CONTRATAÇÃO</w:t>
      </w:r>
    </w:p>
    <w:p w14:paraId="085F40EF" w14:textId="77777777" w:rsidR="003D3537" w:rsidRPr="00820BD4" w:rsidRDefault="003D3537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EB1F440" w14:textId="77777777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Recomenda-se o parcelamento material da contratação p</w:t>
      </w:r>
      <w:r w:rsidRPr="00820BD4">
        <w:rPr>
          <w:rFonts w:ascii="Tahoma" w:hAnsi="Tahoma" w:cs="Tahoma"/>
          <w:sz w:val="24"/>
          <w:szCs w:val="24"/>
        </w:rPr>
        <w:t>or item, com adjudicação individual de monitor, microcomputador, notebook, teclado e mouse, desde que a pesquisa de mercado confirme a viabilidade dessa estrutura. Os itens possuem natureza independente e podem ser fornecidos por empresas distintas sem pre</w:t>
      </w:r>
      <w:r w:rsidRPr="00820BD4">
        <w:rPr>
          <w:rFonts w:ascii="Tahoma" w:hAnsi="Tahoma" w:cs="Tahoma"/>
          <w:sz w:val="24"/>
          <w:szCs w:val="24"/>
        </w:rPr>
        <w:t>juízo da funcionalidade global da solução.</w:t>
      </w:r>
    </w:p>
    <w:p w14:paraId="3BF43F6D" w14:textId="77777777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A adjudicação por item tende a ampliar a competitividade, permitir a participação de fornecedores especializados em diferentes categorias e favorecer a obtenção da proposta mais vantajosa para cada produto. Eventu</w:t>
      </w:r>
      <w:r w:rsidRPr="00820BD4">
        <w:rPr>
          <w:rFonts w:ascii="Tahoma" w:hAnsi="Tahoma" w:cs="Tahoma"/>
          <w:sz w:val="24"/>
          <w:szCs w:val="24"/>
        </w:rPr>
        <w:t>al agrupamento de itens deverá ser tecnicamente justificado no processo, demonstrando que não reduz indevidamente a competição nem ocasiona prejuízo econômico à Administração.</w:t>
      </w:r>
    </w:p>
    <w:p w14:paraId="553CA56D" w14:textId="77777777" w:rsidR="003D3537" w:rsidRDefault="003D3537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2431FBF6" w14:textId="494ACA38" w:rsidR="001D6F81" w:rsidRDefault="00A80941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9 - DEMONSTRATIVO DOS RESULTADOS PRETENDIDOS</w:t>
      </w:r>
    </w:p>
    <w:p w14:paraId="1A02F920" w14:textId="77777777" w:rsidR="003D3537" w:rsidRPr="00820BD4" w:rsidRDefault="003D3537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2C9BCB29" w14:textId="77777777" w:rsidR="001D6F81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Pretende-se alcançar os seguintes</w:t>
      </w:r>
      <w:r w:rsidRPr="00820BD4">
        <w:rPr>
          <w:rFonts w:ascii="Tahoma" w:hAnsi="Tahoma" w:cs="Tahoma"/>
          <w:sz w:val="24"/>
          <w:szCs w:val="24"/>
        </w:rPr>
        <w:t xml:space="preserve"> resultados:</w:t>
      </w:r>
    </w:p>
    <w:p w14:paraId="70A0E1E5" w14:textId="77777777" w:rsidR="003D3537" w:rsidRPr="00820BD4" w:rsidRDefault="003D3537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6FCD9F9C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substituir equipamentos danificados, com defeitos recorrentes ou tecnologicamente obsoletos;</w:t>
      </w:r>
    </w:p>
    <w:p w14:paraId="3E711AF5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assegurar disponibilidade de equipamentos adequados aos postos de trabalho;</w:t>
      </w:r>
    </w:p>
    <w:p w14:paraId="14240971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• atender à necessidade decorrente do ingresso de novos servidores e </w:t>
      </w:r>
      <w:r w:rsidRPr="00820BD4">
        <w:rPr>
          <w:rFonts w:ascii="Tahoma" w:hAnsi="Tahoma" w:cs="Tahoma"/>
          <w:sz w:val="24"/>
          <w:szCs w:val="24"/>
        </w:rPr>
        <w:t>da adequação da estrutura existente;</w:t>
      </w:r>
    </w:p>
    <w:p w14:paraId="458ADEC3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reduzir interrupções, falhas e perda de produtividade relacionadas a equipamentos inadequados;</w:t>
      </w:r>
    </w:p>
    <w:p w14:paraId="7B90A6D8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melhorar o desempenho das atividades administrativas e operacionais;</w:t>
      </w:r>
    </w:p>
    <w:p w14:paraId="775D9BA9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promover maior eficiência, continuidade e qualida</w:t>
      </w:r>
      <w:r w:rsidRPr="00820BD4">
        <w:rPr>
          <w:rFonts w:ascii="Tahoma" w:hAnsi="Tahoma" w:cs="Tahoma"/>
          <w:sz w:val="24"/>
          <w:szCs w:val="24"/>
        </w:rPr>
        <w:t>de dos serviços prestados pela Autarquia;</w:t>
      </w:r>
    </w:p>
    <w:p w14:paraId="5D299183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obter equipamentos com desempenho e vida útil compatíveis com as necessidades institucionais, mediante contratação competitiva e economicamente vantajosa.</w:t>
      </w:r>
    </w:p>
    <w:p w14:paraId="14FF4799" w14:textId="77777777" w:rsidR="003D3537" w:rsidRDefault="003D3537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1EC036D1" w14:textId="6707100A" w:rsidR="001D6F81" w:rsidRDefault="00A80941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10 - PROVIDÊNCIAS A SEREM ADOTADAS PELA ADMINISTRAÇÃO PR</w:t>
      </w:r>
      <w:r w:rsidRPr="00820BD4">
        <w:rPr>
          <w:rFonts w:ascii="Tahoma" w:hAnsi="Tahoma" w:cs="Tahoma"/>
          <w:b/>
          <w:sz w:val="24"/>
          <w:szCs w:val="24"/>
        </w:rPr>
        <w:t>EVIAMENTE À CELEBRAÇÃO DO CONTRATO</w:t>
      </w:r>
    </w:p>
    <w:p w14:paraId="2CA3B9ED" w14:textId="77777777" w:rsidR="003D3537" w:rsidRPr="00820BD4" w:rsidRDefault="003D3537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4F03BCCD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consolidação da memória de cálculo e da destinação dos quantitativos;</w:t>
      </w:r>
    </w:p>
    <w:p w14:paraId="5D6EEC3F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definição e validação das especificações técnicas mínimas dos equipamentos;</w:t>
      </w:r>
    </w:p>
    <w:p w14:paraId="036A1CAF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realização e consolidação da pesquisa de preços;</w:t>
      </w:r>
    </w:p>
    <w:p w14:paraId="18DB195A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• elaboração do </w:t>
      </w:r>
      <w:r w:rsidRPr="00820BD4">
        <w:rPr>
          <w:rFonts w:ascii="Tahoma" w:hAnsi="Tahoma" w:cs="Tahoma"/>
          <w:sz w:val="24"/>
          <w:szCs w:val="24"/>
        </w:rPr>
        <w:t>Termo de Referência;</w:t>
      </w:r>
    </w:p>
    <w:p w14:paraId="286858E1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verificação da disponibilidade orçamentária;</w:t>
      </w:r>
    </w:p>
    <w:p w14:paraId="462678A5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definição dos critérios de recebimento provisório e definitivo, quando aplicáveis;</w:t>
      </w:r>
    </w:p>
    <w:p w14:paraId="4CEF21AA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designação dos responsáveis pela gestão e fiscalização do ajuste ou instrumento equivalente;</w:t>
      </w:r>
    </w:p>
    <w:p w14:paraId="0CEB5ACA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planej</w:t>
      </w:r>
      <w:r w:rsidRPr="00820BD4">
        <w:rPr>
          <w:rFonts w:ascii="Tahoma" w:hAnsi="Tahoma" w:cs="Tahoma"/>
          <w:sz w:val="24"/>
          <w:szCs w:val="24"/>
        </w:rPr>
        <w:t>amento do tombamento, configuração, instalação e distribuição dos equipamentos, conforme aplicável.</w:t>
      </w:r>
    </w:p>
    <w:p w14:paraId="1A870BD2" w14:textId="77777777" w:rsidR="003D3537" w:rsidRDefault="003D3537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3C06BDAB" w14:textId="2020847A" w:rsidR="001D6F81" w:rsidRPr="00820BD4" w:rsidRDefault="00A80941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11 - CONTRATAÇÕES CORRELATAS E/OU INTERDEPENDENTES</w:t>
      </w:r>
    </w:p>
    <w:p w14:paraId="48E32327" w14:textId="77777777" w:rsidR="003D3537" w:rsidRDefault="003D3537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</w:p>
    <w:p w14:paraId="69A70B21" w14:textId="49DD466A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Não foram identificadas, no DFD, contratações correlatas ou interdependentes indispensáveis à execução </w:t>
      </w:r>
      <w:r w:rsidRPr="00820BD4">
        <w:rPr>
          <w:rFonts w:ascii="Tahoma" w:hAnsi="Tahoma" w:cs="Tahoma"/>
          <w:sz w:val="24"/>
          <w:szCs w:val="24"/>
        </w:rPr>
        <w:t>desta aquisição. A implantação dos equipamentos poderá demandar atividades internas de configuração, instalação, inventário e adequação dos postos de trabalho, as quais deverão ser coordenadas pela Administração.</w:t>
      </w:r>
    </w:p>
    <w:p w14:paraId="4862F22A" w14:textId="77777777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Caso, durante o planejamento, seja identifi</w:t>
      </w:r>
      <w:r w:rsidRPr="00820BD4">
        <w:rPr>
          <w:rFonts w:ascii="Tahoma" w:hAnsi="Tahoma" w:cs="Tahoma"/>
          <w:sz w:val="24"/>
          <w:szCs w:val="24"/>
        </w:rPr>
        <w:t>cada necessidade de licenças de software, serviços de rede, acessórios específicos ou outros recursos não compreendidos neste objeto, a Administração deverá avaliar a existência de contratos vigentes ou a necessidade de procedimento próprio, evitando inclu</w:t>
      </w:r>
      <w:r w:rsidRPr="00820BD4">
        <w:rPr>
          <w:rFonts w:ascii="Tahoma" w:hAnsi="Tahoma" w:cs="Tahoma"/>
          <w:sz w:val="24"/>
          <w:szCs w:val="24"/>
        </w:rPr>
        <w:t>são indevida de objetos de natureza distinta sem justificativa.</w:t>
      </w:r>
    </w:p>
    <w:p w14:paraId="4173CC40" w14:textId="77777777" w:rsidR="003D3537" w:rsidRDefault="003D3537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16F114CB" w14:textId="4CC8766B" w:rsidR="001D6F81" w:rsidRDefault="00A80941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12 - DESCRIÇÃO DE POSSÍVEIS IMPACTOS AMBIENTAIS E RESPECTIVAS MEDIDAS MITIGADORAS, INCLUÍDOS REQUISITOS DE BAIXO CONSUMO DE ENERGIA E DE OUTROS RECURSOS, BEM COMO LOGÍSTICA REVERSA PARA DESFA</w:t>
      </w:r>
      <w:r w:rsidRPr="00820BD4">
        <w:rPr>
          <w:rFonts w:ascii="Tahoma" w:hAnsi="Tahoma" w:cs="Tahoma"/>
          <w:b/>
          <w:sz w:val="24"/>
          <w:szCs w:val="24"/>
        </w:rPr>
        <w:t>ZIMENTO E RECICLAGEM DE BENS E REFUGOS, QUANDO APLICÁVEL</w:t>
      </w:r>
    </w:p>
    <w:p w14:paraId="5B22ECEF" w14:textId="77777777" w:rsidR="003D3537" w:rsidRPr="00820BD4" w:rsidRDefault="003D3537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9B779ED" w14:textId="77777777" w:rsidR="001D6F81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A aquisição de equipamentos de informática pode gerar impactos ambientais associados ao consumo de energia elétrica, uso de matérias-primas, embalagens e geração futura de resíduos eletroeletrônicos</w:t>
      </w:r>
      <w:r w:rsidRPr="00820BD4">
        <w:rPr>
          <w:rFonts w:ascii="Tahoma" w:hAnsi="Tahoma" w:cs="Tahoma"/>
          <w:sz w:val="24"/>
          <w:szCs w:val="24"/>
        </w:rPr>
        <w:t>.</w:t>
      </w:r>
    </w:p>
    <w:p w14:paraId="20DF6C1C" w14:textId="77777777" w:rsidR="003D3537" w:rsidRPr="00820BD4" w:rsidRDefault="003D3537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</w:p>
    <w:p w14:paraId="4ECD4C31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Possíveis impactos:</w:t>
      </w:r>
    </w:p>
    <w:p w14:paraId="34F0DE80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consumo de energia durante a vida útil dos equipamentos;</w:t>
      </w:r>
    </w:p>
    <w:p w14:paraId="1794A128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geração de resíduos eletroeletrônicos ao final da vida útil;</w:t>
      </w:r>
    </w:p>
    <w:p w14:paraId="3BF7280A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geração de resíduos de embalagens e acessórios;</w:t>
      </w:r>
    </w:p>
    <w:p w14:paraId="13C7DD6E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substituição prematura de equipamentos em razão de baixa du</w:t>
      </w:r>
      <w:r w:rsidRPr="00820BD4">
        <w:rPr>
          <w:rFonts w:ascii="Tahoma" w:hAnsi="Tahoma" w:cs="Tahoma"/>
          <w:sz w:val="24"/>
          <w:szCs w:val="24"/>
        </w:rPr>
        <w:t>rabilidade.</w:t>
      </w:r>
    </w:p>
    <w:p w14:paraId="7586779C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Medidas mitigadoras:</w:t>
      </w:r>
    </w:p>
    <w:p w14:paraId="42A793C8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adoção, quando tecnicamente aplicável, de requisitos de eficiência energética e baixo consumo compatíveis com o mercado;</w:t>
      </w:r>
    </w:p>
    <w:p w14:paraId="31DD4017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• priorização de equipamentos duráveis, com garantia e especificações adequadas à necessidade </w:t>
      </w:r>
      <w:r w:rsidRPr="00820BD4">
        <w:rPr>
          <w:rFonts w:ascii="Tahoma" w:hAnsi="Tahoma" w:cs="Tahoma"/>
          <w:sz w:val="24"/>
          <w:szCs w:val="24"/>
        </w:rPr>
        <w:t>institucional;</w:t>
      </w:r>
    </w:p>
    <w:p w14:paraId="0FF0836E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destinação ambientalmente adequada de embalagens e dos equipamentos substituídos;</w:t>
      </w:r>
    </w:p>
    <w:p w14:paraId="18EEDAF8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observância da logística reversa e das normas ambientais aplicáveis aos produtos eletroeletrônicos, quando cabível;</w:t>
      </w:r>
    </w:p>
    <w:p w14:paraId="1E5324ED" w14:textId="77777777" w:rsidR="001D6F81" w:rsidRPr="00820BD4" w:rsidRDefault="00A80941" w:rsidP="00820BD4">
      <w:pPr>
        <w:spacing w:after="0" w:line="240" w:lineRule="auto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• reaproveitamento ou remanejamento int</w:t>
      </w:r>
      <w:r w:rsidRPr="00820BD4">
        <w:rPr>
          <w:rFonts w:ascii="Tahoma" w:hAnsi="Tahoma" w:cs="Tahoma"/>
          <w:sz w:val="24"/>
          <w:szCs w:val="24"/>
        </w:rPr>
        <w:t>erno dos equipamentos substituídos que ainda apresentem condições de uso, antes de eventual desfazimento, observadas as normas patrimoniais aplicáveis.</w:t>
      </w:r>
    </w:p>
    <w:p w14:paraId="4DBE51CE" w14:textId="77777777" w:rsidR="003D3537" w:rsidRDefault="003D3537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</w:p>
    <w:p w14:paraId="76BC60DA" w14:textId="36434517" w:rsidR="001D6F81" w:rsidRDefault="00A80941" w:rsidP="00820BD4">
      <w:pPr>
        <w:keepNext/>
        <w:spacing w:after="0" w:line="240" w:lineRule="auto"/>
        <w:jc w:val="both"/>
        <w:rPr>
          <w:rFonts w:ascii="Tahoma" w:hAnsi="Tahoma" w:cs="Tahoma"/>
          <w:b/>
          <w:sz w:val="24"/>
          <w:szCs w:val="24"/>
        </w:rPr>
      </w:pPr>
      <w:r w:rsidRPr="00820BD4">
        <w:rPr>
          <w:rFonts w:ascii="Tahoma" w:hAnsi="Tahoma" w:cs="Tahoma"/>
          <w:b/>
          <w:sz w:val="24"/>
          <w:szCs w:val="24"/>
        </w:rPr>
        <w:t>13 - POSICIONAMENTO CONCLUSIVO SOBRE A ADEQUAÇÃO DA CONTRATAÇÃO PARA O ATENDIMENTO DA NECESSIDADE A QUE</w:t>
      </w:r>
      <w:r w:rsidRPr="00820BD4">
        <w:rPr>
          <w:rFonts w:ascii="Tahoma" w:hAnsi="Tahoma" w:cs="Tahoma"/>
          <w:b/>
          <w:sz w:val="24"/>
          <w:szCs w:val="24"/>
        </w:rPr>
        <w:t xml:space="preserve"> SE DESTINA</w:t>
      </w:r>
    </w:p>
    <w:p w14:paraId="7398C3BF" w14:textId="77777777" w:rsidR="003D3537" w:rsidRPr="00820BD4" w:rsidRDefault="003D3537" w:rsidP="00820BD4">
      <w:pPr>
        <w:keepNext/>
        <w:spacing w:after="0" w:line="240" w:lineRule="auto"/>
        <w:jc w:val="both"/>
        <w:rPr>
          <w:rFonts w:ascii="Tahoma" w:hAnsi="Tahoma" w:cs="Tahoma"/>
          <w:sz w:val="24"/>
          <w:szCs w:val="24"/>
        </w:rPr>
      </w:pPr>
    </w:p>
    <w:p w14:paraId="33DC7359" w14:textId="77777777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>Após a análise da necessidade, dos quantitativos, das alternativas de mercado e dos requisitos da solução, conclui-se que a aquisição dos equipamentos de informática descritos neste Estudo Técnico Preliminar mostra-se tecnicamente adequada e v</w:t>
      </w:r>
      <w:r w:rsidRPr="00820BD4">
        <w:rPr>
          <w:rFonts w:ascii="Tahoma" w:hAnsi="Tahoma" w:cs="Tahoma"/>
          <w:sz w:val="24"/>
          <w:szCs w:val="24"/>
        </w:rPr>
        <w:t>iável para atendimento das necessidades do SAEMBA, condicionada à conclusão da pesquisa de preços, à disponibilidade orçamentária e à consolidação das especificações técnicas no Termo de Referência.</w:t>
      </w:r>
    </w:p>
    <w:p w14:paraId="2B41E364" w14:textId="77777777" w:rsidR="001D6F81" w:rsidRPr="00820BD4" w:rsidRDefault="00A80941" w:rsidP="00820BD4">
      <w:pPr>
        <w:spacing w:after="0" w:line="240" w:lineRule="auto"/>
        <w:ind w:firstLine="454"/>
        <w:jc w:val="both"/>
        <w:rPr>
          <w:rFonts w:ascii="Tahoma" w:hAnsi="Tahoma" w:cs="Tahoma"/>
          <w:sz w:val="24"/>
          <w:szCs w:val="24"/>
        </w:rPr>
      </w:pPr>
      <w:r w:rsidRPr="00820BD4">
        <w:rPr>
          <w:rFonts w:ascii="Tahoma" w:hAnsi="Tahoma" w:cs="Tahoma"/>
          <w:sz w:val="24"/>
          <w:szCs w:val="24"/>
        </w:rPr>
        <w:t xml:space="preserve">A solução contribui para a substituição de equipamentos </w:t>
      </w:r>
      <w:r w:rsidRPr="00820BD4">
        <w:rPr>
          <w:rFonts w:ascii="Tahoma" w:hAnsi="Tahoma" w:cs="Tahoma"/>
          <w:sz w:val="24"/>
          <w:szCs w:val="24"/>
        </w:rPr>
        <w:t>defeituosos ou obsoletos, adequação dos postos de trabalho, atendimento de novos servidores, continuidade das atividades administrativas e operacionais e melhoria da eficiência institucional. Considerando que se trata de bens comuns, com padrões de desempe</w:t>
      </w:r>
      <w:r w:rsidRPr="00820BD4">
        <w:rPr>
          <w:rFonts w:ascii="Tahoma" w:hAnsi="Tahoma" w:cs="Tahoma"/>
          <w:sz w:val="24"/>
          <w:szCs w:val="24"/>
        </w:rPr>
        <w:t>nho e qualidade passíveis de definição objetiva por especificações usuais de mercado, mostra-se adequada, em princípio, a realização de Pregão Eletrônico, observadas as demais etapas da fase preparatória.</w:t>
      </w:r>
    </w:p>
    <w:p w14:paraId="2FFDA26F" w14:textId="77777777" w:rsidR="003D3537" w:rsidRDefault="003D3537" w:rsidP="00820BD4">
      <w:pPr>
        <w:spacing w:after="0" w:line="240" w:lineRule="auto"/>
        <w:jc w:val="right"/>
        <w:rPr>
          <w:rFonts w:ascii="Tahoma" w:hAnsi="Tahoma" w:cs="Tahoma"/>
          <w:sz w:val="24"/>
          <w:szCs w:val="24"/>
        </w:rPr>
      </w:pPr>
    </w:p>
    <w:p w14:paraId="4143B435" w14:textId="75DE9125" w:rsidR="001D6F81" w:rsidRPr="00820BD4" w:rsidRDefault="001D6F81" w:rsidP="00820BD4">
      <w:pPr>
        <w:spacing w:after="0" w:line="240" w:lineRule="auto"/>
        <w:jc w:val="center"/>
        <w:rPr>
          <w:rFonts w:ascii="Tahoma" w:hAnsi="Tahoma" w:cs="Tahoma"/>
          <w:sz w:val="24"/>
          <w:szCs w:val="24"/>
        </w:rPr>
      </w:pPr>
    </w:p>
    <w:sectPr w:rsidR="001D6F81" w:rsidRPr="00820BD4">
      <w:headerReference w:type="default" r:id="rId8"/>
      <w:footerReference w:type="default" r:id="rId9"/>
      <w:pgSz w:w="11906" w:h="16838"/>
      <w:pgMar w:top="1134" w:right="1134" w:bottom="1134" w:left="1701" w:header="269" w:footer="63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B50A77" w14:textId="77777777" w:rsidR="00C34007" w:rsidRDefault="00C34007">
      <w:pPr>
        <w:spacing w:line="240" w:lineRule="auto"/>
      </w:pPr>
      <w:r>
        <w:separator/>
      </w:r>
    </w:p>
  </w:endnote>
  <w:endnote w:type="continuationSeparator" w:id="0">
    <w:p w14:paraId="60B673BD" w14:textId="77777777" w:rsidR="00C34007" w:rsidRDefault="00C3400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2CE022" w14:textId="77777777" w:rsidR="00207468" w:rsidRDefault="00A80941">
    <w:pPr>
      <w:pStyle w:val="Rodap"/>
      <w:tabs>
        <w:tab w:val="clear" w:pos="8504"/>
        <w:tab w:val="right" w:pos="9071"/>
      </w:tabs>
      <w:jc w:val="center"/>
      <w:rPr>
        <w:color w:val="000000" w:themeColor="text1"/>
      </w:rPr>
    </w:pPr>
    <w:r>
      <w:rPr>
        <w:color w:val="000000" w:themeColor="text1"/>
      </w:rPr>
      <w:t xml:space="preserve">Página </w:t>
    </w:r>
    <w:r>
      <w:rPr>
        <w:b/>
        <w:bCs/>
        <w:color w:val="000000" w:themeColor="text1"/>
      </w:rPr>
      <w:fldChar w:fldCharType="begin"/>
    </w:r>
    <w:r>
      <w:rPr>
        <w:b/>
        <w:bCs/>
        <w:color w:val="000000" w:themeColor="text1"/>
      </w:rPr>
      <w:instrText>PAGE  \* Arabic  \* MERGEFORMAT</w:instrText>
    </w:r>
    <w:r>
      <w:rPr>
        <w:b/>
        <w:bCs/>
        <w:color w:val="000000" w:themeColor="text1"/>
      </w:rPr>
      <w:fldChar w:fldCharType="separate"/>
    </w:r>
    <w:r>
      <w:rPr>
        <w:b/>
        <w:bCs/>
        <w:noProof/>
        <w:color w:val="000000" w:themeColor="text1"/>
      </w:rPr>
      <w:t>3</w:t>
    </w:r>
    <w:r>
      <w:rPr>
        <w:b/>
        <w:bCs/>
        <w:color w:val="000000" w:themeColor="text1"/>
      </w:rPr>
      <w:fldChar w:fldCharType="end"/>
    </w:r>
    <w:r>
      <w:rPr>
        <w:color w:val="000000" w:themeColor="text1"/>
      </w:rPr>
      <w:t xml:space="preserve"> de </w:t>
    </w:r>
    <w:r>
      <w:rPr>
        <w:b/>
        <w:bCs/>
        <w:color w:val="000000" w:themeColor="text1"/>
      </w:rPr>
      <w:fldChar w:fldCharType="begin"/>
    </w:r>
    <w:r>
      <w:rPr>
        <w:b/>
        <w:bCs/>
        <w:color w:val="000000" w:themeColor="text1"/>
      </w:rPr>
      <w:instrText>NUMPAGES \ * Arábico \ * MERGEFORMAT</w:instrText>
    </w:r>
    <w:r>
      <w:rPr>
        <w:b/>
        <w:bCs/>
        <w:color w:val="000000" w:themeColor="text1"/>
      </w:rPr>
      <w:fldChar w:fldCharType="separate"/>
    </w:r>
    <w:r>
      <w:rPr>
        <w:b/>
        <w:bCs/>
        <w:noProof/>
        <w:color w:val="000000" w:themeColor="text1"/>
      </w:rPr>
      <w:t>7</w:t>
    </w:r>
    <w:r>
      <w:rPr>
        <w:b/>
        <w:bCs/>
        <w:color w:val="000000" w:themeColor="text1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80F6C84" w14:textId="77777777" w:rsidR="00C34007" w:rsidRDefault="00C34007">
      <w:pPr>
        <w:spacing w:after="0"/>
      </w:pPr>
      <w:r>
        <w:separator/>
      </w:r>
    </w:p>
  </w:footnote>
  <w:footnote w:type="continuationSeparator" w:id="0">
    <w:p w14:paraId="22AAACA5" w14:textId="77777777" w:rsidR="00C34007" w:rsidRDefault="00C34007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231463" w14:textId="77777777" w:rsidR="00207468" w:rsidRDefault="00A80941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0BA495EB" wp14:editId="44180999">
          <wp:extent cx="1209675" cy="668655"/>
          <wp:effectExtent l="0" t="0" r="9525" b="1905"/>
          <wp:docPr id="1933873927" name="Imagem 193387392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33873927" name="Imagem 193387392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9675" cy="6688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6D1FA3F" w14:textId="77777777" w:rsidR="00207468" w:rsidRDefault="00A80941">
    <w:pPr>
      <w:pStyle w:val="Cabealho"/>
      <w:jc w:val="center"/>
      <w:rPr>
        <w:b/>
        <w:bCs/>
      </w:rPr>
    </w:pPr>
    <w:r>
      <w:rPr>
        <w:b/>
        <w:bCs/>
      </w:rPr>
      <w:t>Serviço de Água e Esgoto do Município de Bariri - SAEMBA</w:t>
    </w:r>
  </w:p>
  <w:p w14:paraId="707A2C62" w14:textId="77777777" w:rsidR="00207468" w:rsidRDefault="00207468">
    <w:pPr>
      <w:pStyle w:val="Cabealho"/>
      <w:jc w:val="center"/>
      <w:rPr>
        <w:b/>
        <w:bCs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82BE415D"/>
    <w:multiLevelType w:val="multilevel"/>
    <w:tmpl w:val="82BE415D"/>
    <w:lvl w:ilvl="0">
      <w:start w:val="1"/>
      <w:numFmt w:val="decimal"/>
      <w:suff w:val="space"/>
      <w:lvlText w:val="%1."/>
      <w:lvlJc w:val="left"/>
    </w:lvl>
    <w:lvl w:ilvl="1">
      <w:start w:val="1"/>
      <w:numFmt w:val="lowerLetter"/>
      <w:lvlText w:val="%2)"/>
      <w:lvlJc w:val="left"/>
      <w:pPr>
        <w:tabs>
          <w:tab w:val="left" w:pos="840"/>
        </w:tabs>
        <w:ind w:left="840" w:hanging="420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left" w:pos="1260"/>
        </w:tabs>
        <w:ind w:left="1260" w:hanging="4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left" w:pos="1680"/>
        </w:tabs>
        <w:ind w:left="1680" w:hanging="420"/>
      </w:pPr>
      <w:rPr>
        <w:rFonts w:hint="default"/>
      </w:rPr>
    </w:lvl>
    <w:lvl w:ilvl="4">
      <w:start w:val="1"/>
      <w:numFmt w:val="lowerLetter"/>
      <w:lvlText w:val="%5)"/>
      <w:lvlJc w:val="left"/>
      <w:pPr>
        <w:tabs>
          <w:tab w:val="left" w:pos="2100"/>
        </w:tabs>
        <w:ind w:left="2100" w:hanging="420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left" w:pos="2520"/>
        </w:tabs>
        <w:ind w:left="2520" w:hanging="42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left" w:pos="2940"/>
        </w:tabs>
        <w:ind w:left="2940" w:hanging="420"/>
      </w:pPr>
      <w:rPr>
        <w:rFonts w:hint="default"/>
      </w:rPr>
    </w:lvl>
    <w:lvl w:ilvl="7">
      <w:start w:val="1"/>
      <w:numFmt w:val="lowerLetter"/>
      <w:lvlText w:val="%8)"/>
      <w:lvlJc w:val="left"/>
      <w:pPr>
        <w:tabs>
          <w:tab w:val="left" w:pos="3360"/>
        </w:tabs>
        <w:ind w:left="3360" w:hanging="42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left" w:pos="3780"/>
        </w:tabs>
        <w:ind w:left="3780" w:hanging="42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3D90"/>
    <w:rsid w:val="0000377A"/>
    <w:rsid w:val="00024024"/>
    <w:rsid w:val="00027025"/>
    <w:rsid w:val="000278EA"/>
    <w:rsid w:val="00053AC0"/>
    <w:rsid w:val="0006228D"/>
    <w:rsid w:val="00062CA1"/>
    <w:rsid w:val="0008271A"/>
    <w:rsid w:val="000B1F04"/>
    <w:rsid w:val="000B44CC"/>
    <w:rsid w:val="000C6BFF"/>
    <w:rsid w:val="000D2E41"/>
    <w:rsid w:val="000D774E"/>
    <w:rsid w:val="000E7016"/>
    <w:rsid w:val="0010791E"/>
    <w:rsid w:val="00110BF7"/>
    <w:rsid w:val="00115D81"/>
    <w:rsid w:val="00124998"/>
    <w:rsid w:val="00135190"/>
    <w:rsid w:val="00162ACA"/>
    <w:rsid w:val="0016712A"/>
    <w:rsid w:val="0017408F"/>
    <w:rsid w:val="00177F84"/>
    <w:rsid w:val="001918FB"/>
    <w:rsid w:val="001B5AA8"/>
    <w:rsid w:val="001D092B"/>
    <w:rsid w:val="001D6F81"/>
    <w:rsid w:val="00207468"/>
    <w:rsid w:val="00226E3E"/>
    <w:rsid w:val="002419A9"/>
    <w:rsid w:val="00241D5F"/>
    <w:rsid w:val="00250FA7"/>
    <w:rsid w:val="00264090"/>
    <w:rsid w:val="00282239"/>
    <w:rsid w:val="002861BB"/>
    <w:rsid w:val="002D738F"/>
    <w:rsid w:val="002E1473"/>
    <w:rsid w:val="0030703B"/>
    <w:rsid w:val="00340A8E"/>
    <w:rsid w:val="00341F47"/>
    <w:rsid w:val="00361101"/>
    <w:rsid w:val="003612BE"/>
    <w:rsid w:val="00383D90"/>
    <w:rsid w:val="003C016D"/>
    <w:rsid w:val="003D3537"/>
    <w:rsid w:val="003E445B"/>
    <w:rsid w:val="003E55C0"/>
    <w:rsid w:val="003E76BA"/>
    <w:rsid w:val="004040FE"/>
    <w:rsid w:val="00421297"/>
    <w:rsid w:val="00427BFB"/>
    <w:rsid w:val="00443E44"/>
    <w:rsid w:val="00461D0A"/>
    <w:rsid w:val="00467FDC"/>
    <w:rsid w:val="00492860"/>
    <w:rsid w:val="004D31BE"/>
    <w:rsid w:val="005063DA"/>
    <w:rsid w:val="00541ED0"/>
    <w:rsid w:val="0055209A"/>
    <w:rsid w:val="00573AF0"/>
    <w:rsid w:val="005A3253"/>
    <w:rsid w:val="005A59E8"/>
    <w:rsid w:val="005A7643"/>
    <w:rsid w:val="005B0207"/>
    <w:rsid w:val="005E06C7"/>
    <w:rsid w:val="005E433F"/>
    <w:rsid w:val="005E52B4"/>
    <w:rsid w:val="005E6C2A"/>
    <w:rsid w:val="005F05CA"/>
    <w:rsid w:val="00616B26"/>
    <w:rsid w:val="00635643"/>
    <w:rsid w:val="0064396E"/>
    <w:rsid w:val="00666FF4"/>
    <w:rsid w:val="006A1D21"/>
    <w:rsid w:val="006B49C9"/>
    <w:rsid w:val="006B7E0E"/>
    <w:rsid w:val="00706F99"/>
    <w:rsid w:val="00746AE9"/>
    <w:rsid w:val="00757E6E"/>
    <w:rsid w:val="00766B04"/>
    <w:rsid w:val="007830A0"/>
    <w:rsid w:val="007B0CC1"/>
    <w:rsid w:val="007B3277"/>
    <w:rsid w:val="007B6B6D"/>
    <w:rsid w:val="007D70F5"/>
    <w:rsid w:val="0080200C"/>
    <w:rsid w:val="008036D0"/>
    <w:rsid w:val="00820BD4"/>
    <w:rsid w:val="008460BD"/>
    <w:rsid w:val="008503D4"/>
    <w:rsid w:val="00886B97"/>
    <w:rsid w:val="00902956"/>
    <w:rsid w:val="00921431"/>
    <w:rsid w:val="009225FE"/>
    <w:rsid w:val="00932FF3"/>
    <w:rsid w:val="00957399"/>
    <w:rsid w:val="00962EF4"/>
    <w:rsid w:val="00987189"/>
    <w:rsid w:val="009E50F7"/>
    <w:rsid w:val="00A02261"/>
    <w:rsid w:val="00A31E8D"/>
    <w:rsid w:val="00A3738E"/>
    <w:rsid w:val="00A5604E"/>
    <w:rsid w:val="00A56187"/>
    <w:rsid w:val="00A568CE"/>
    <w:rsid w:val="00A65621"/>
    <w:rsid w:val="00A708C6"/>
    <w:rsid w:val="00A80941"/>
    <w:rsid w:val="00A942FB"/>
    <w:rsid w:val="00AB3AC5"/>
    <w:rsid w:val="00AB5FD5"/>
    <w:rsid w:val="00B47A85"/>
    <w:rsid w:val="00B71B35"/>
    <w:rsid w:val="00BA72AB"/>
    <w:rsid w:val="00BD5A26"/>
    <w:rsid w:val="00BF1736"/>
    <w:rsid w:val="00C34007"/>
    <w:rsid w:val="00C50CFA"/>
    <w:rsid w:val="00CB4259"/>
    <w:rsid w:val="00CE1AFC"/>
    <w:rsid w:val="00D17C09"/>
    <w:rsid w:val="00D221B6"/>
    <w:rsid w:val="00D55DA3"/>
    <w:rsid w:val="00D56F08"/>
    <w:rsid w:val="00D62466"/>
    <w:rsid w:val="00D8471E"/>
    <w:rsid w:val="00DB2892"/>
    <w:rsid w:val="00DC1013"/>
    <w:rsid w:val="00DC5547"/>
    <w:rsid w:val="00DC5FC8"/>
    <w:rsid w:val="00DF72C2"/>
    <w:rsid w:val="00E328E3"/>
    <w:rsid w:val="00E40730"/>
    <w:rsid w:val="00E61BEE"/>
    <w:rsid w:val="00E84592"/>
    <w:rsid w:val="00EB719A"/>
    <w:rsid w:val="00ED4C9A"/>
    <w:rsid w:val="00EE564F"/>
    <w:rsid w:val="00EE67CA"/>
    <w:rsid w:val="00EF4032"/>
    <w:rsid w:val="00F00E49"/>
    <w:rsid w:val="00F016AD"/>
    <w:rsid w:val="00F03795"/>
    <w:rsid w:val="00F43575"/>
    <w:rsid w:val="00FB305A"/>
    <w:rsid w:val="00FD4CFE"/>
    <w:rsid w:val="00FF0D30"/>
    <w:rsid w:val="0686B5EF"/>
    <w:rsid w:val="096A7CE2"/>
    <w:rsid w:val="1935752E"/>
    <w:rsid w:val="396C3D07"/>
    <w:rsid w:val="3C3A86F5"/>
    <w:rsid w:val="4D4940E4"/>
    <w:rsid w:val="4E501014"/>
    <w:rsid w:val="538F1DB2"/>
    <w:rsid w:val="5D58C9EF"/>
    <w:rsid w:val="615E0830"/>
    <w:rsid w:val="61643FB1"/>
    <w:rsid w:val="62E9B779"/>
    <w:rsid w:val="66B16A7C"/>
    <w:rsid w:val="726A138B"/>
    <w:rsid w:val="73B885D8"/>
    <w:rsid w:val="74A66EC6"/>
    <w:rsid w:val="778C31EF"/>
    <w:rsid w:val="79700681"/>
    <w:rsid w:val="79C14B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A214E"/>
  <w15:docId w15:val="{C1BC635E-51C1-4BBD-96DE-ABAE0F811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qFormat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qFormat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Rodap">
    <w:name w:val="footer"/>
    <w:basedOn w:val="Normal"/>
    <w:link w:val="RodapChar"/>
    <w:uiPriority w:val="99"/>
    <w:unhideWhenUsed/>
    <w:qFormat/>
    <w:pPr>
      <w:tabs>
        <w:tab w:val="center" w:pos="4252"/>
        <w:tab w:val="right" w:pos="8504"/>
      </w:tabs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pPr>
      <w:spacing w:after="0" w:line="240" w:lineRule="auto"/>
    </w:pPr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pPr>
      <w:ind w:left="720"/>
      <w:contextualSpacing/>
    </w:pPr>
  </w:style>
  <w:style w:type="character" w:customStyle="1" w:styleId="CabealhoChar">
    <w:name w:val="Cabeçalho Char"/>
    <w:basedOn w:val="Fontepargpadro"/>
    <w:link w:val="Cabealho"/>
    <w:uiPriority w:val="99"/>
    <w:qFormat/>
  </w:style>
  <w:style w:type="character" w:customStyle="1" w:styleId="RodapChar">
    <w:name w:val="Rodapé Char"/>
    <w:basedOn w:val="Fontepargpadro"/>
    <w:link w:val="Rodap"/>
    <w:uiPriority w:val="99"/>
    <w:qFormat/>
  </w:style>
  <w:style w:type="character" w:styleId="TextodoEspaoReservado">
    <w:name w:val="Placeholder Text"/>
    <w:basedOn w:val="Fontepargpadro"/>
    <w:uiPriority w:val="99"/>
    <w:semiHidden/>
    <w:qFormat/>
    <w:rPr>
      <w:color w:val="808080"/>
    </w:rPr>
  </w:style>
  <w:style w:type="paragraph" w:styleId="NormalWeb">
    <w:name w:val="Normal (Web)"/>
    <w:basedOn w:val="Normal"/>
    <w:uiPriority w:val="99"/>
    <w:semiHidden/>
    <w:unhideWhenUsed/>
    <w:rsid w:val="00F03795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DCC2732-D09A-4B12-AADD-4C5AAB71F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2502</Words>
  <Characters>13513</Characters>
  <Application>Microsoft Office Word</Application>
  <DocSecurity>4</DocSecurity>
  <Lines>112</Lines>
  <Paragraphs>31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Administrativo</dc:creator>
  <cp:lastModifiedBy>user</cp:lastModifiedBy>
  <cp:revision>2</cp:revision>
  <cp:lastPrinted>2026-10-01T03:05:00Z</cp:lastPrinted>
  <dcterms:created xsi:type="dcterms:W3CDTF">2026-10-08T13:53:00Z</dcterms:created>
  <dcterms:modified xsi:type="dcterms:W3CDTF">2026-10-08T13:53:00Z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1046-12.1.0.25830</vt:lpwstr>
  </property>
  <property fmtid="{D5CDD505-2E9C-101B-9397-08002B2CF9AE}" pid="3" name="ICV">
    <vt:lpwstr>E7BA8347A14A4F14BEF4C78B80640A55_12</vt:lpwstr>
  </property>
  <property fmtid="{D5CDD505-2E9C-101B-9397-08002B2CF9AE}" pid="4" name="KSOTemplateDocerSaveRecord">
    <vt:lpwstr>eyJoZGlkIjoiOTIzYTQ5NzU5OTY0ZThhM2EzZDNkNjlmNTE0OTM2ODciLCJ1c2VySWQiOiIxMjM2OTUxMDgyODQwIn0=</vt:lpwstr>
  </property>
</Properties>
</file>