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spacing w:after="0"/>
        <w:ind w:left="0"/>
        <w:jc w:val="right"/>
      </w:pP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6"/>
        </w:rPr>
        <w:t>NUP:</w:t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2022/34439/013521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6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TERMO DE REFERÊNCIA Nº. 022/2022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>SC/00009/2022/ADAPEC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OBJETO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Constitui objeto deste pedido aquisição de materiais de consumo (papelaria) necessários para a manutenção das Unidades de Serviço desta Agência.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JUSTIFICATIVA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A aquisição visa suprir as necessidades desta Agência de reposição de materiais de consumo de uso regular.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Conforme inventário do sistema SIGA Almoxarifado, os materiais solicitados estão com estoques zerados e o processo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(NUP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2022/34530/000015)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para reposição dos mesmos estão em trâmite licitatório.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FUNDAMENTAÇÃO LEGAL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LEI Nº 14.133, de 1º de abril de 2021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normas gerais para licitações e contratos da Administração Pública;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LEI COMPLEMENTAR Nº 123/2006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Estatuto Nacional da Microempresa e da Empresa de Pequeno Porte;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DECRETO 6.084, de 14 de abril de 2020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Sistema Integrado de Gestão Administrativa do Estado do Tocantins - SIGA-TO, e adota outras providências;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PORTARIA SEFAZ Nº 507/2020/GABSEC, de 03 de junho de 2020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Institui o CATÁLOGO DE MATERIAIS E SERVIÇOS a ser utilizado pelos órgãos da Administração Pública Direta e Indireta do Poder Executivo do Estado do Tocantins e dá outras providências;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PORTARIA SEFAZ Nº 235/2021/GABSEC, de 09 de abril de 2021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- Define normas e procedimentos para aquisições através do Sistema de Compra Direta através da Cotação Eletrônica nos limites de licitação dispensável e dá outras providências.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ESPECIFICAÇÕES TÉCNICAS E DOS QUANTITATIVOS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00"/>
        <w:gridCol w:w="700"/>
        <w:gridCol w:w="740"/>
        <w:gridCol w:w="10045"/>
        <w:gridCol w:w="749"/>
        <w:gridCol w:w="700"/>
      </w:tblGrid>
      <w:tr>
        <w:tc>
          <w:tcPr>
            <w:tcW w:w="0" w:type="auto"/>
            <w:gridSpan w:val="6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Qtd.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00016460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Aparelho telefônico - Categoria: com fio; Cor: preta; Tensão elétrica: bivolt; Tecnologia: digital; Requisito: com três volumes de campainha, dois tipos de toques e funções flash, rediscar e mudo; Finalidade: para uso em mesa/parede.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002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00015795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Aparelho telefônico - Categoria: sem fio; Tecnologia: digital; Cor: preto; Requisito: alcance de até 50 m em ambientes fechados e até 300 m em ambiente aberto; Tensão elétrica: bivolt.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003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00015688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Grampo para grampeador - Material: metal galvanizado; Tamanho: 26/06.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cx - 5000 -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004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4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00002089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Caneta esferográfica - Cor: azul; Escrita: grossa 1.6 mm; Material: plástico transparente; Ponta: esfera em tungstênio; Tinta: alta qualidade e de secagem rápida; Corpo: sextavado; Tampa/Bocal: ventilada em conformidade com padrão ISO; Requisito: não conter PVC.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800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005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00017100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Pasta catálogo - Material: em PVC; Cor: preta; Medida: 335 x 245 x 20 mm (C x L x E); Modelo: ofício; Requisito: com 50 envelopes; Informações adicionais: com 4 colchetes e visor.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006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6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00017127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Fita adesiva - Categoria: crepe; Material: papel crepe; Medida: 50 m x 48 mm (C x L); Requisito: adesivo à base de borracha e resina, de fácil remoção e isenção de resíduos em até 24 horas após aplicação.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007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00018396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Envelope - Formato: tipo saco; Cor: branca; Material: papel kraft; Gramatura: 75 g/m²; Medida: 340 x 240 mm (C x L).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2.000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008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8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00006214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Envelope - Formato: tipo saco; Material: papel kraft ouro; Gramatura: 110 g/m²; Medida: 410 x 310 mm (C x L).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2.000</w:t>
            </w:r>
          </w:p>
        </w:tc>
      </w:tr>
      <w:tr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Item 009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9</w:t>
            </w:r>
          </w:p>
        </w:tc>
        <w:tc>
          <w:tcPr>
            <w:tcW w:w="74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00016805</w:t>
            </w:r>
          </w:p>
        </w:tc>
        <w:tc>
          <w:tcPr>
            <w:tcW w:w="1004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Tinta para carimbo - Aplicação: em carimbo automático; Cor: preta; Embalagem: frasco com 28 ml.</w:t>
            </w:r>
          </w:p>
        </w:tc>
        <w:tc>
          <w:tcPr>
            <w:tcW w:w="749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1 - Unidade</w:t>
            </w:r>
          </w:p>
        </w:tc>
        <w:tc>
          <w:tcPr>
            <w:tcW w:w="700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50</w:t>
            </w:r>
          </w:p>
        </w:tc>
      </w:tr>
    </w:tbl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5.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LOCAL DE ENTREGA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Materiais deverão ser entregues no Almoxarifado da ADAPEC, no seguinte endereço: Quadra 112 Sul, Conjunto 06, Rua SR 3, Lote 31, CEP 77020-172, Palmas – TO.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6.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PRAZO DE ENTREGA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20 (vinte) dias úteis, contados a partir do recebimento da Nota de Empenho.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7.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CONDIÇÕES DE RECEBIMENTO DO OBJETO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7.1.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materiais deverão ser entregues integralmente, acompanhado de Nota Fiscal, em dias úteis das 08:00 às 14:00 horas. A carga e a descarga serão por conta do(s) fornecedor (es), sem ônus de frete para o órgão solicitante.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7.2.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Para a comprovação do recebimento dos materiais, será confiado a 01 (um) atestador autorizado pela autoridade competente, que observará o recebimento definitivo após a conferência e comprovação de sua quantidade, qualidade e se os mesmos foram entregues de acordo com os termos deste Termo de Referência, sob pena de rejeição dos materiais, atestando-o em 03 (três) dias úteis, a contar da data da apresentação da Nota Fiscal.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8.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CONDIÇÕES DE FORNECIMENTO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empresa vencedora deverá entregar o material que atenda rigorosamente as especificações constante de sua proposta, respeitando o solicitado na Nota de Empenho e isentos de defeitos de fabricação;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Na proposta deverão conter especificações detalhadas do objeto proposto, fazendo constar nome do fabricante, procedência do material, nome de marca e demais características técnicas;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8.3.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Nas operações ou prestações internas, relativas a aquisição de mercadorias ou serviços por órgão da administração pública estadual, suas autarquias e fundações, o licitante deverá apresentar sua proposta deduzido o ICMS incidente na operação ou prestação, nos termos do Decreto 2.912 de 29 de dezembro de 2006.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9.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 CONTRATAÇÃO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contratações oriundas das cotações eletrônicas serão formalizadas pela emissão de Nota de Empenho que será comunicada ao adjudicatário.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obrigações recíprocas entre a Contratada e o Órgão Contratante correspondem ao estabelecido nas Condições Gerais e neste Termo de Referência.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Em caso de manifestação de desistência do fornecedor, fica caracterizado o descumprimento total da obrigação assumida, consoante o estabelecido no Art. 89 da Lei nº 14.133/2021, sujeitando-o às penalidades legalmente estabelecidas.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9.4.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 eventual rescisão do ajuste se dará nas hipóteses previstas na Lei nº 14.133/2021</w:t>
      </w:r>
      <w:r>
        <w:rPr>
          <w:rFonts w:hint="default" w:ascii="Arial" w:hAnsi="Arial"/>
          <w:b w:val="false"/>
          <w:i w:val="false"/>
          <w:color w:val="000000"/>
          <w:sz w:val="24"/>
        </w:rPr>
        <w:t>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10.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A </w:t>
      </w:r>
      <w:r>
        <w:rPr>
          <w:rFonts w:hint="default" w:ascii="Arial" w:hAnsi="Arial"/>
          <w:b/>
          <w:i w:val="false"/>
          <w:color w:val="000000"/>
          <w:sz w:val="24"/>
        </w:rPr>
        <w:t>CONTRATANTE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obriga-se a proporcionar todas as facilidades para que a </w:t>
      </w:r>
      <w:r>
        <w:rPr>
          <w:rFonts w:hint="default" w:ascii="Arial" w:hAnsi="Arial"/>
          <w:b/>
          <w:i w:val="false"/>
          <w:color w:val="000000"/>
          <w:sz w:val="24"/>
        </w:rPr>
        <w:t>CONTRATADA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possa desempenhar os compromissos assumidos, bem como pagar pela aquisição dos materiais adquiridos.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DAS OBRIGAÇÕES DA CONTRATADA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Times New Roman" w:hAnsi="Times New Roman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A </w:t>
      </w:r>
      <w:r>
        <w:rPr>
          <w:rFonts w:hint="default" w:ascii="Arial" w:hAnsi="Arial"/>
          <w:b/>
          <w:i w:val="false"/>
          <w:color w:val="000000"/>
          <w:sz w:val="24"/>
        </w:rPr>
        <w:t>CONTRATADA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obriga-se a: Executar fielmente o objeto solicitado, conforme as especificações, prazos estipulados e exigidos no Termo de Referência;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SANSÕES E INADIMPLEMENTO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12.1.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sanções serão aplicadas cumulativamente, de acordo com a gravidade da infração, sem prejuízo das demais penalidades previstas nos Arts. 162 e 163 da Lei 14.133/2021, em todos os casos, garantindo-se a ampla defesa à CONTRATADA, no prazo de 15 (quinze) dias úteis a contar da intimação do ato, e ainda: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12.2.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Nenhuma parte será responsável perante a outra pelos atrasos ocasionados por motivo de força maior ou caso fortuito.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12.4.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Após a aplicação das sanções previstas no item acima, deverá ser remetido para a Superintendência de Compras e Central de Licitação da SECRETARIA DA FAZENDA E PLANEJAMENTO o extrato de publicação no Diário Oficial do Estado do ato de aplicação das penalidades, de modo a possibilitar a formalização da extensão dos seus efeitos.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12.5.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As penalidades impostas aos licitantes serão registradas pela Superintendência de Compras e Central de Licitações, no fornecedor da Secretaria da Fazenda e Planejamento.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13.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>DO PAGAMENTO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13.1.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Será considerado para efeito de pagamento, o material efetivamente entregue pela Contratada e aprovado pelo setor responsável pelo recebimento do mesmo, respeitando as exigências deste Termo de Referência;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13.2.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 pagamento será efetuado em até 30 dias, após o recebimento e contado a partir da data do atesto na nota fiscal.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/>
          <w:i w:val="false"/>
          <w:color w:val="000000"/>
          <w:sz w:val="24"/>
        </w:rPr>
        <w:t>14.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DOTAÇÃO ORÇAMENTÁRIA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>Os recursos para cobrir as despesas decorrentes da contratação, estão contemplados no Orçamento de 2022, Classificação Orçamentária: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182"/>
        <w:gridCol w:w="3282"/>
        <w:gridCol w:w="3085"/>
        <w:gridCol w:w="3085"/>
      </w:tblGrid>
      <w:tr>
        <w:tc>
          <w:tcPr>
            <w:tcW w:w="0" w:type="auto"/>
            <w:gridSpan w:val="4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Dotação</w:t>
            </w:r>
          </w:p>
        </w:tc>
      </w:tr>
      <w:tr>
        <w:tc>
          <w:tcPr>
            <w:tcW w:w="41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Funcional Programática</w:t>
            </w:r>
          </w:p>
        </w:tc>
        <w:tc>
          <w:tcPr>
            <w:tcW w:w="32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Natureza de Despesa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Fonte de Recurso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left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Exercício.</w:t>
            </w:r>
          </w:p>
        </w:tc>
      </w:tr>
      <w:tr>
        <w:tc>
          <w:tcPr>
            <w:tcW w:w="41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345300 34530 2012211484080</w:t>
            </w:r>
          </w:p>
        </w:tc>
        <w:tc>
          <w:tcPr>
            <w:tcW w:w="32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33903030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7591666666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2022</w:t>
            </w:r>
          </w:p>
        </w:tc>
      </w:tr>
      <w:tr>
        <w:tc>
          <w:tcPr>
            <w:tcW w:w="41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345300 34530 2012211484080</w:t>
            </w:r>
          </w:p>
        </w:tc>
        <w:tc>
          <w:tcPr>
            <w:tcW w:w="3282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33903016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7591666666</w:t>
            </w:r>
          </w:p>
        </w:tc>
        <w:tc>
          <w:tcPr>
            <w:tcW w:w="3085" w:type="dxa"/>
            <w:tcBorders>
              <w:top w:val="single" w:color="#777777" w:sz="8"/>
              <w:left w:val="single" w:color="#777777" w:sz="8"/>
              <w:bottom w:val="single" w:color="#777777" w:sz="8"/>
              <w:right w:val="single" w:color="#777777" w:sz="8"/>
            </w:tcBorders>
          </w:tcPr>
          <w:p>
            <w:pPr>
              <w:spacing w:after="0"/>
              <w:ind w:left="0"/>
              <w:jc w:val="both"/>
            </w:pPr>
            <w:r>
              <w:rPr>
                <w:rFonts w:hint="default" w:ascii="Arial" w:hAnsi="Arial"/>
                <w:b w:val="false"/>
                <w:i w:val="false"/>
                <w:color w:val="000000"/>
                <w:sz w:val="12"/>
              </w:rPr>
              <w:t>2022</w:t>
            </w:r>
          </w:p>
        </w:tc>
      </w:tr>
    </w:tbl>
    <w:p>
      <w:pPr>
        <w:spacing w:after="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ASSINATURAS SGD: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Rejânia Aparecida da Silva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>Solicitante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Divino Rodrigues Barroso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>Diretor de Administração e Finanças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 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18"/>
        </w:rPr>
        <w:t>Paulo Antônio Lima</w:t>
      </w:r>
      <w:r>
        <w:rPr>
          <w:rFonts w:hint="default" w:ascii="Arial" w:hAnsi="Arial"/>
          <w:b w:val="false"/>
          <w:i w:val="false"/>
          <w:color w:val="000000"/>
          <w:sz w:val="18"/>
        </w:rPr>
        <w:t xml:space="preserve">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18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 
    </w:t>
      </w:r>
    </w:p>
    <w:p>
      <w:pPr>
        <w:spacing w:after="0"/>
        <w:ind w:left="0"/>
        <w:jc w:val="both"/>
      </w:pP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1"/>
        </w:rPr>
        <w:t>Palmas/TO, 03 de Maio de 2022</w:t>
      </w:r>
    </w:p>
    <w:p>
      <w:pPr>
        <w:spacing w:after="0"/>
        <w:ind w:left="0"/>
        <w:jc w:val="center"/>
      </w:pP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Termo de Referência aprovado conforme as especificações do objeto e suas características de contratação.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/>
          <w:i w:val="false"/>
          <w:color w:val="000000"/>
          <w:sz w:val="21"/>
        </w:rPr>
        <w:t>Paulo Antônio de Lima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rPr>
          <w:rFonts w:hint="default" w:ascii="Arial" w:hAnsi="Arial"/>
          <w:b w:val="false"/>
          <w:i w:val="false"/>
          <w:color w:val="000000"/>
          <w:sz w:val="21"/>
        </w:rPr>
        <w:t>Presidente</w:t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 </w:t>
      </w:r>
      <w:r>
        <w:br/>
      </w:r>
      <w:r>
        <w:rPr>
          <w:rFonts w:hint="default" w:ascii="Arial" w:hAnsi="Arial"/>
          <w:b w:val="false"/>
          <w:i w:val="false"/>
          <w:color w:val="000000"/>
          <w:sz w:val="20"/>
        </w:rPr>
        <w:t xml:space="preserve">
    </w:t>
      </w:r>
    </w:p>
    <w:p>
      <w:pPr>
        <w:spacing w:after="0"/>
        <w:ind w:left="0"/>
        <w:jc w:val="left"/>
      </w:pPr>
    </w:p>
    <w:sectPr>
      <w:headerReference w:type="default" r:id="rId4"/>
      <w:footerReference w:type="default" r:id="rId5"/>
      <w:pgSz w:w="11907" w:h="16839" w:code="9"/>
      <w:pgMar w:top="3118" w:right="1417" w:bottom="2268" w:left="1701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9367"/>
      <w:gridCol w:w="4227"/>
    </w:tblGrid>
    <w:tr>
      <w:tc>
        <w:tcPr>
          <w:tcW w:w="9367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>Governo do Estado do Tocantins</w:t>
          </w:r>
        </w:p>
      </w:tc>
      <w:tc>
        <w:tcPr>
          <w:tcW w:w="4227" w:type="dxa"/>
          <w:tcBorders/>
        </w:tcPr>
        <w:p>
          <w:pPr>
            <w:spacing w:after="0"/>
            <w:ind w:left="0"/>
            <w:jc w:val="left"/>
          </w:pPr>
          <w:r>
            <w:rPr>
              <w:rFonts w:hint="default" w:ascii="Arial" w:hAnsi="Arial"/>
              <w:b w:val="false"/>
              <w:i w:val="false"/>
              <w:color w:val="000000"/>
              <w:sz w:val="16"/>
            </w:rPr>
            <w:t xml:space="preserve">Pág. </w:t>
            <w:fldChar w:fldCharType="begin"/>
            <w:instrText xml:space="preserve"> PAGE  \\* MERGEFORMAT </w:instrText>
            <w:fldChar w:fldCharType="end"/>
          </w:r>
        </w:p>
      </w:tc>
    </w:tr>
  </w:tbl>
</w:ftr>
</file>

<file path=word/header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p>
    <w:pPr>
      <w:spacing w:after="120"/>
      <w:ind w:left="120"/>
      <w:jc w:val="left"/>
    </w:pPr>
  </w:p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2689"/>
      <w:gridCol w:w="905"/>
    </w:tblGrid>
    <w:tr>
      <w:tc>
        <w:tcPr>
          <w:tcW w:w="12689" w:type="dxa"/>
          <w:tcBorders/>
        </w:tcPr>
        <w:p>
          <w:pPr>
            <w:spacing w:after="0"/>
            <w:ind w:left="0"/>
            <w:jc w:val="right"/>
          </w:pPr>
          <w:r>
            <w:rPr>
              <w:rFonts w:hint="default" w:ascii="Arial" w:hAnsi="Arial"/>
              <w:b/>
              <w:i w:val="false"/>
              <w:color w:val="000000"/>
              <w:sz w:val="18"/>
            </w:rPr>
            <w:t xml:space="preserve">
       Agência de Defesa Agropecuária do Estado do Tocantins
      </w:t>
          </w:r>
        </w:p>
      </w:tc>
      <w:tc>
        <w:tcPr>
          <w:tcW w:w="905" w:type="dxa"/>
          <w:tcBorders/>
        </w:tcPr>
        <w:p>
          <w:r>
            <w:drawing>
              <wp:inline distT="0" distB="0" distL="0" distR="0">
                <wp:extent cx="2149810" cy="889000"/>
                <wp:effectExtent l="0" t="0" r="0" b="0"/>
                <wp:docPr id="0" name="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9810" cy="88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