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spacing w:after="0"/>
        <w:ind w:left="0"/>
        <w:jc w:val="right"/>
      </w:pP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6"/>
        </w:rPr>
        <w:t>NUP:</w:t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2022/34439/013427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TERMO DE REFERÊNCIA Nº. 021/2022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>SC/00007/2022/ADAPEC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OBJETO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Aquisição de material permanente : purificadores de água, carrinho de transporte de carga e apoio para os pés.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JUSTIFICATIVA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A autuação deste processo atende a necessidade de aquisição de material permanentes que visam melhorar as condições de trabalho aos servidores e consequentemente a produtividade e eficiência das atividades desenvolvidas nesta Agência.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A aquisição dos apoios para os pés visa proporcionar aos servidores da Adapec melhores condições de trabalho, consideramos para tal a Norma Regulamentadora 17 (NR 17) que determina que a postura correta para quem trabalha sentado deve ser com ombros e quadris alinhados, assim como a altura dos olhos à tela do computador. Por sua vez, os joelhos devem formar um ângulo reto (90°) e os pés devem estar devidamente apoiados para evitar que os músculos e tendões estejam pressionados e, com isso, evitar a fadiga muscular, dificuldade de circulação e dores nas articulações. A aquisição pretende proporcionar conforto nas atividades laborais e ajudar a aliviar a tensão na parte inferior das costas.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aquisição dos carrinhos se dá pela necessidade de dar condições aos servidores do setor de Almoxarifado e Patrimônio ferramenta que auxilie nos serviços de carga e descarga de materiais e bens, bem como no transporte de equipamentos diversos e mobiliários, proporcionando praticidade e segurança ao patrimônio público e o cuidado a saúde do servidor.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aquisição dos filtros de água visa adquirir um sistema doméstico de tratamento de água, de modo garantir uma água potável com menos impurezas e livres de contaminações que podem acontecer nas redes de abastecimento de água em decorrência de tubulações antigas, vazamentos que contribuem com acúmulo de sujeira ou problemas nas caixas d'águas.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FUNDAMENTAÇÃO LEGAL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LEI Nº 14.133, de 1º de abril de 2021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normas gerais para licitações e contratos da Administração Pública;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LEI COMPLEMENTAR Nº 123/2006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Estatuto Nacional da Microempresa e da Empresa de Pequeno Porte;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DECRETO 6.084, de 14 de abril de 2020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Sistema Integrado de Gestão Administrativa do Estado do Tocantins - SIGA-TO, e adota outras providências;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PORTARIA SEFAZ Nº 507/2020/GABSEC, de 03 de junho de 2020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CATÁLOGO DE MATERIAIS E SERVIÇOS a ser utilizado pelos órgãos da Administração Pública Direta e Indireta do Poder Executivo do Estado do Tocantins e dá outras providências;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PORTARIA SEFAZ Nº 235/2021/GABSEC, de 09 de abril de 2021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Define normas e procedimentos para aquisições através do Sistema de Compra Direta através da Cotação Eletrônica nos limites de licitação dispensável e dá outras providências.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ESPECIFICAÇÕES TÉCNICAS E DOS QUANTITATIVOS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00"/>
        <w:gridCol w:w="700"/>
        <w:gridCol w:w="740"/>
        <w:gridCol w:w="10045"/>
        <w:gridCol w:w="749"/>
        <w:gridCol w:w="700"/>
      </w:tblGrid>
      <w:tr>
        <w:tc>
          <w:tcPr>
            <w:tcW w:w="0" w:type="auto"/>
            <w:gridSpan w:val="6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Qtd.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00022121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Purificador de água - Material: aço inoxidável; Potência: 140 W; Capacidade de armazenamento: 2 L, mínimo; Tensão elétrica: 220 V; Requisito: com filtro e saída de água gelada e natural.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002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00014552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Carrinho - Categoria: transporte de caixa; Material: aço; Capacidade de carga: 300 kg; Informações adicionais: com 02 rodas, pneu 04 lonas.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003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00022358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Apoio ergonômico - Finalidade: para os pés; Material: poliestireno; Medida: 40 x 30 x 10 cm, mínimo; Inclinação: 20º; Pés: antiderrapante; Requisito: com massageador em relevo.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004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4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00014551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Carrinho - Categoria: plataforma; Material: assoalho em chapa de aço; Capacidade de carga: 800 kg; Medida: 150 x 80 cm (C x L); Requisito: haste de manobra sistema A, roda dotada de cabo de tração em forma de T; Roda: aro chapa de aço com rolamento rolete, pneu 4 lonas.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</w:t>
            </w:r>
          </w:p>
        </w:tc>
      </w:tr>
    </w:tbl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5.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LOCAL DE ENTREGA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Os Materiais será entregue no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ALMOXARIFADO – Quadra 112 Sul, Conjunto 06, Rua SR 3, Lote 31, CEP 77020-172, Palmas – TO.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6.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PRAZO DE ENTREGA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15 dias a partir do recebimento da nota de empenho.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7.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CONDIÇÕES DE RECEBIMENTO DO OBJETO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7.1.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materiais deverão ser entregues integralmente, acompanhado de Nota Fiscal, em dias úteis das 08:00 às 14:00 horas. A carga e a descarga serão por conta do(s) fornecedor (es), sem ônus de frete para o órgão solicitante.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7.2.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Para a comprovação do recebimento dos materiais, será confiado a atestador autorizado pela autoridade competente, que observará o recebimento definitivo após a conferência e comprovação de sua quantidade, qualidade e se os mesmos foram entregues de acordo com os termos deste Termo de Referência, sob pena de rejeição dos materiais, atestando-o em 03 (três) dias úteis, a contar da data da apresentação da Nota Fiscal.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8.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CONDIÇÕES DE FORNECIMENTO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empresa vencedora deverá entregar o material que atenda rigorosamente as especificações constante de sua proposta, respeitando o solicitado na Nota de Empenho e isentos de defeitos de fabricação;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8.2.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equipamentos devem obrigatoriamente possuir a Etiqueta Nacional de Conservação de Energia – ENCE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Na proposta deverão conter especificações detalhadas do objeto proposto, fazendo constar nome do fabricante, procedência do material, nome de marca e demais características técnicas;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Nas operações ou prestações internas, relativas a aquisição de mercadorias ou serviços por órgão da administração pública estadual, suas autarquias e fundações, o licitante deverá apresentar sua proposta deduzido o ICMS incidente na operação ou prestação, nos termos do Decreto 2.912 de 29 de dezembro de 2006.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9.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 CONTRATAÇÃO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contratações oriundas das cotações eletrônicas serão formalizadas pela emissão de Nota de Empenho que será comunicada ao adjudicatário.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9.2. Deverá ser emitido Termo de Contrato para a entrega dos materiais em consonância com este Termo de Referência.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9.3. As obrigações recíprocas entre a Contratada e o Órgão Contratante correspondem ao estabelecido nas Condições Gerais e neste Termo de Referência.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9.4. Em caso de manifestação de desistência do fornecedor, fica caracterizado o descumprimento total da obrigação assumida, consoante o estabelecido no Art. 89 da Lei nº 14.133/2021, sujeitando-o às penalidades legalmente estabelecidas.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9.5. A eventual rescisão do ajuste se dará nas hipóteses previstas na Lei nº 14.133/2021</w:t>
      </w:r>
      <w:r>
        <w:rPr>
          <w:rFonts w:hint="default" w:ascii="Arial" w:hAnsi="Arial"/>
          <w:b w:val="false"/>
          <w:i w:val="false"/>
          <w:color w:val="000000"/>
          <w:sz w:val="24"/>
        </w:rPr>
        <w:t>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10.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10.1.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Receber o objeto no prazo e condições estabelecidas neste Termo de Referência;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10.2.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Comunicar à Contratada, por escrito, sobre imperfeições, falhas ou irregularidades verificadas no objeto fornecido, para que seja substituído, reparado ou corrigido;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10.3.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Acompanhar e fiscalizar o cumprimento das obrigações da Contratada, através de servidor especialmente designado;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10.4.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Efetuar o pagamento à Contratada no valor correspondente ao fornecimento do objeto, no prazo e forma estabelecidos neste Termo de Referência.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CONTRATADA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f44336"/>
          <w:sz w:val="24"/>
        </w:rPr>
        <w:t xml:space="preserve"> </w:t>
      </w:r>
      <w:r>
        <w:rPr>
          <w:rFonts w:hint="default" w:ascii="Arial" w:hAnsi="Arial"/>
          <w:b/>
          <w:i w:val="false"/>
          <w:color w:val="f44336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f44336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11.1.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Contratada deverá cumprir todas as obrigações constantes neste Termo de Referência, e sua proposta, assumindo como exclusivamente os riscos e as despesas decorrentes da boa e perfeita execução do objeto;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11.2.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Efetuar a entrega do objeto em perfeitas condições, conforme especificações, prazo e locais designados, acompanhado da respectiva nota fiscal, na qual constarão as indicações referentes a: marca, fabricante, modelo, procedência e prazo de garanta ou validade;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11.3.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Substituir, reparar ou corrigir, às suas expensas, no prazo fixado neste Termo de Referência, o objeto com avarias ou defeitos;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11.4.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Comunicar à Contratante, no prazo máximo de 24 (vinte e quatro) horas que antecede a data da entrega, os motivos que impossibilitem o cumprimento do prazo previsto, com a devida comprovação;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11.5.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Manter, durante toda a execução do contrato, em compatibilidade com as obrigações assumidas, todas as condições de habilitação e qualificação exigidas.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SANSÕES E INADIMPLEMENTO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sanções serão aplicadas cumulativamente, de acordo com a gravidade da infração, sem prejuízo das demais penalidades previstas nos Arts. 162 e 163 da Lei 14.133/2021, em todos os casos, garantindo-se a ampla defesa à CONTRATADA, no prazo de 15 (quinze) dias úteis a contar da intimação do ato, e ainda: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Nenhuma parte será responsável perante a outra pelos atrasos ocasionados por motivo de força maior ou caso fortuito.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Após a aplicação das sanções previstas no item acima, deverá ser remetido para a Superintendência de Compras e Central de Licitação da SECRETARIA DA FAZENDA E PLANEJAMENTO o extrato de publicação no Diário Oficial do Estado do ato de aplicação das penalidades, de modo a possibilitar a formalização da extensão dos seus efeitos.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12.5.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penalidades impostas aos licitantes serão registradas pela Superintendência de Compras e Central de Licitações, no fornecedor da Secretaria da Fazenda e Planejamento.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PAGAMENTO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13.1.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Será considerado para efeito de pagamento, o material efetivamente entregue pela Contratada e aprovado pelo setor responsável pelo recebimento do mesmo, respeitando as exigências deste Termo de Referência;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13.2.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 pagamento será efetuado em até 30 dias, após o recebimento e contado a partir da data do atesto na nota fiscal.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/>
          <w:i w:val="false"/>
          <w:color w:val="000000"/>
          <w:sz w:val="24"/>
        </w:rPr>
        <w:t>14.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DOTAÇÃO ORÇAMENTÁRIA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recursos para cobrir as despesas decorrentes da contratação, estão contemplados no Orçamento de 2022, Classificação Orçamentária: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182"/>
        <w:gridCol w:w="3282"/>
        <w:gridCol w:w="3085"/>
        <w:gridCol w:w="3085"/>
      </w:tblGrid>
      <w:tr>
        <w:tc>
          <w:tcPr>
            <w:tcW w:w="0" w:type="auto"/>
            <w:gridSpan w:val="4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Dotação</w:t>
            </w:r>
          </w:p>
        </w:tc>
      </w:tr>
      <w:tr>
        <w:tc>
          <w:tcPr>
            <w:tcW w:w="41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Funcional Programática</w:t>
            </w:r>
          </w:p>
        </w:tc>
        <w:tc>
          <w:tcPr>
            <w:tcW w:w="32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Natureza de Despesa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Fonte de Recurso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Exercício.</w:t>
            </w:r>
          </w:p>
        </w:tc>
      </w:tr>
      <w:tr>
        <w:tc>
          <w:tcPr>
            <w:tcW w:w="41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345300 34530 2012211484080</w:t>
            </w:r>
          </w:p>
        </w:tc>
        <w:tc>
          <w:tcPr>
            <w:tcW w:w="32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44905212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7591666666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2022</w:t>
            </w:r>
          </w:p>
        </w:tc>
      </w:tr>
    </w:tbl>
    <w:p>
      <w:pPr>
        <w:spacing w:after="0"/>
        <w:ind w:left="0"/>
        <w:jc w:val="both"/>
      </w:pP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Rejânia Aparecida da Silva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>Solicitante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Divino Rodrigues Barroso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>Diretor de Administração e Finanças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Paulo Antônio Lima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1"/>
        </w:rPr>
        <w:t>Palmas/TO, 10 de Maio de 2022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Termo de Referência analisado e aprovado.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/>
          <w:i w:val="false"/>
          <w:color w:val="000000"/>
          <w:sz w:val="21"/>
        </w:rPr>
        <w:t>Paulo Antônio de Lima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</w:t>
      </w:r>
    </w:p>
    <w:p>
      <w:pPr>
        <w:spacing w:after="0"/>
        <w:ind w:left="0"/>
        <w:jc w:val="left"/>
      </w:pPr>
    </w:p>
    <w:sectPr>
      <w:headerReference w:type="default" r:id="rId4"/>
      <w:footerReference w:type="default" r:id="rId5"/>
      <w:pgSz w:w="11907" w:h="16839" w:code="9"/>
      <w:pgMar w:top="3118" w:right="1417" w:bottom="2268" w:left="1701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9367"/>
      <w:gridCol w:w="4227"/>
    </w:tblGrid>
    <w:tr>
      <w:tc>
        <w:tcPr>
          <w:tcW w:w="9367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>Governo do Estado do Tocantins</w:t>
          </w:r>
        </w:p>
      </w:tc>
      <w:tc>
        <w:tcPr>
          <w:tcW w:w="4227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 xml:space="preserve">Pág. </w:t>
            <w:fldChar w:fldCharType="begin"/>
            <w:instrText xml:space="preserve"> PAGE  \\* MERGEFORMAT </w:instrText>
            <w:fldChar w:fldCharType="end"/>
          </w:r>
        </w:p>
      </w:tc>
    </w:tr>
  </w:tbl>
</w:ftr>
</file>

<file path=word/header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2689"/>
      <w:gridCol w:w="905"/>
    </w:tblGrid>
    <w:tr>
      <w:tc>
        <w:tcPr>
          <w:tcW w:w="12689" w:type="dxa"/>
          <w:tcBorders/>
        </w:tcPr>
        <w:p>
          <w:pPr>
            <w:spacing w:after="0"/>
            <w:ind w:left="0"/>
            <w:jc w:val="right"/>
          </w:pPr>
          <w:r>
            <w:rPr>
              <w:rFonts w:hint="default" w:ascii="Arial" w:hAnsi="Arial"/>
              <w:b/>
              <w:i w:val="false"/>
              <w:color w:val="000000"/>
              <w:sz w:val="18"/>
            </w:rPr>
            <w:t xml:space="preserve">
       Agência de Defesa Agropecuária do Estado do Tocantins
      </w:t>
          </w:r>
        </w:p>
      </w:tc>
      <w:tc>
        <w:tcPr>
          <w:tcW w:w="905" w:type="dxa"/>
          <w:tcBorders/>
        </w:tcPr>
        <w:p>
          <w:r>
            <w:drawing>
              <wp:inline distT="0" distB="0" distL="0" distR="0">
                <wp:extent cx="2149810" cy="889000"/>
                <wp:effectExtent l="0" t="0" r="0" b="0"/>
                <wp:docPr id="0" name="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9810" cy="88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