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header+xml" PartName="/word/header.xml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body>
    <w:p>
      <w:pPr>
        <w:spacing w:after="0"/>
        <w:ind w:left="0"/>
        <w:jc w:val="right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</w:t>
      </w:r>
    </w:p>
    <w:p>
      <w:pPr>
        <w:spacing w:after="0"/>
        <w:ind w:left="0"/>
        <w:jc w:val="right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18"/>
        </w:rPr>
        <w:t>NUP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18"/>
        </w:rPr>
        <w:t xml:space="preserve">: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>2023/34439/012969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TERMO DE REFERÊNCIA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/>
          <w:i w:val="false"/>
          <w:color w:val="000000"/>
          <w:sz w:val="24"/>
        </w:rPr>
        <w:t>Nº 12/2023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0"/>
        </w:rPr>
        <w:t>SC/00006/2023/ADAPEC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/>
          <w:i w:val="false"/>
          <w:color w:val="000000"/>
          <w:sz w:val="24"/>
        </w:rPr>
        <w:t>1.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DO OBJETO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Contratação de empresa especializada em serviço de chaveiro.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/>
          <w:i w:val="false"/>
          <w:color w:val="000000"/>
          <w:sz w:val="24"/>
        </w:rPr>
        <w:t>2.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DA JUSTIFICATIVA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A contratação é necessária para manutenção das Unidades de Serviço da Adapec no que se refere a manter portas, portões e armários com o sistema de tranca em perfeito funcionamento.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/>
          <w:i w:val="false"/>
          <w:color w:val="000000"/>
          <w:sz w:val="24"/>
        </w:rPr>
        <w:t>3.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/>
          <w:i w:val="false"/>
          <w:color w:val="000000"/>
          <w:sz w:val="24"/>
        </w:rPr>
        <w:t>DAS ESPECIFICAÇÕES TÉCNICAS E DOS QUANTITATIVOS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56"/>
        <w:gridCol w:w="558"/>
        <w:gridCol w:w="1049"/>
        <w:gridCol w:w="5847"/>
        <w:gridCol w:w="1454"/>
        <w:gridCol w:w="539"/>
        <w:gridCol w:w="1020"/>
        <w:gridCol w:w="1038"/>
        <w:gridCol w:w="1173"/>
      </w:tblGrid>
      <w:tr>
        <w:tc>
          <w:tcPr>
            <w:tcW w:w="0" w:type="auto"/>
            <w:gridSpan w:val="9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Itens</w:t>
            </w:r>
          </w:p>
        </w:tc>
      </w:tr>
      <w:tr>
        <w:tc>
          <w:tcPr>
            <w:tcW w:w="956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Tipo</w:t>
            </w:r>
          </w:p>
        </w:tc>
        <w:tc>
          <w:tcPr>
            <w:tcW w:w="558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</w:t>
            </w:r>
          </w:p>
        </w:tc>
        <w:tc>
          <w:tcPr>
            <w:tcW w:w="10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Código</w:t>
            </w:r>
          </w:p>
        </w:tc>
        <w:tc>
          <w:tcPr>
            <w:tcW w:w="5847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Descrição</w:t>
            </w:r>
          </w:p>
        </w:tc>
        <w:tc>
          <w:tcPr>
            <w:tcW w:w="1454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Un. Aquisição</w:t>
            </w:r>
          </w:p>
        </w:tc>
        <w:tc>
          <w:tcPr>
            <w:tcW w:w="53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Qtd.</w:t>
            </w:r>
          </w:p>
        </w:tc>
        <w:tc>
          <w:tcPr>
            <w:tcW w:w="102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Vlr. Unit.</w:t>
            </w:r>
          </w:p>
        </w:tc>
        <w:tc>
          <w:tcPr>
            <w:tcW w:w="1038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Vlr. Total</w:t>
            </w:r>
          </w:p>
        </w:tc>
        <w:tc>
          <w:tcPr>
            <w:tcW w:w="1173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Vlr. Acum.</w:t>
            </w:r>
          </w:p>
        </w:tc>
      </w:tr>
      <w:tr>
        <w:tc>
          <w:tcPr>
            <w:tcW w:w="956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001</w:t>
            </w:r>
          </w:p>
        </w:tc>
        <w:tc>
          <w:tcPr>
            <w:tcW w:w="558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</w:t>
            </w:r>
          </w:p>
        </w:tc>
        <w:tc>
          <w:tcPr>
            <w:tcW w:w="10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00022452</w:t>
            </w:r>
          </w:p>
        </w:tc>
        <w:tc>
          <w:tcPr>
            <w:tcW w:w="5847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Abertura de porta com fechadura chave yale</w:t>
            </w:r>
          </w:p>
        </w:tc>
        <w:tc>
          <w:tcPr>
            <w:tcW w:w="1454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Serviço</w:t>
            </w:r>
          </w:p>
        </w:tc>
        <w:tc>
          <w:tcPr>
            <w:tcW w:w="53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5</w:t>
            </w:r>
          </w:p>
        </w:tc>
        <w:tc>
          <w:tcPr>
            <w:tcW w:w="102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  <w:tc>
          <w:tcPr>
            <w:tcW w:w="1038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  <w:tc>
          <w:tcPr>
            <w:tcW w:w="1173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</w:tr>
      <w:tr>
        <w:tc>
          <w:tcPr>
            <w:tcW w:w="956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002</w:t>
            </w:r>
          </w:p>
        </w:tc>
        <w:tc>
          <w:tcPr>
            <w:tcW w:w="558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2</w:t>
            </w:r>
          </w:p>
        </w:tc>
        <w:tc>
          <w:tcPr>
            <w:tcW w:w="10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00022451</w:t>
            </w:r>
          </w:p>
        </w:tc>
        <w:tc>
          <w:tcPr>
            <w:tcW w:w="5847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Confecçao de chave yale</w:t>
            </w:r>
          </w:p>
        </w:tc>
        <w:tc>
          <w:tcPr>
            <w:tcW w:w="1454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Serviço</w:t>
            </w:r>
          </w:p>
        </w:tc>
        <w:tc>
          <w:tcPr>
            <w:tcW w:w="53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10</w:t>
            </w:r>
          </w:p>
        </w:tc>
        <w:tc>
          <w:tcPr>
            <w:tcW w:w="102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  <w:tc>
          <w:tcPr>
            <w:tcW w:w="1038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  <w:tc>
          <w:tcPr>
            <w:tcW w:w="1173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</w:tr>
      <w:tr>
        <w:tc>
          <w:tcPr>
            <w:tcW w:w="956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003</w:t>
            </w:r>
          </w:p>
        </w:tc>
        <w:tc>
          <w:tcPr>
            <w:tcW w:w="558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3</w:t>
            </w:r>
          </w:p>
        </w:tc>
        <w:tc>
          <w:tcPr>
            <w:tcW w:w="10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00022495</w:t>
            </w:r>
          </w:p>
        </w:tc>
        <w:tc>
          <w:tcPr>
            <w:tcW w:w="5847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Conserto de fechadura chave yale</w:t>
            </w:r>
          </w:p>
        </w:tc>
        <w:tc>
          <w:tcPr>
            <w:tcW w:w="1454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Serviço</w:t>
            </w:r>
          </w:p>
        </w:tc>
        <w:tc>
          <w:tcPr>
            <w:tcW w:w="53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10</w:t>
            </w:r>
          </w:p>
        </w:tc>
        <w:tc>
          <w:tcPr>
            <w:tcW w:w="102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  <w:tc>
          <w:tcPr>
            <w:tcW w:w="1038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  <w:tc>
          <w:tcPr>
            <w:tcW w:w="1173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</w:tr>
      <w:tr>
        <w:tc>
          <w:tcPr>
            <w:tcW w:w="956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004</w:t>
            </w:r>
          </w:p>
        </w:tc>
        <w:tc>
          <w:tcPr>
            <w:tcW w:w="558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4</w:t>
            </w:r>
          </w:p>
        </w:tc>
        <w:tc>
          <w:tcPr>
            <w:tcW w:w="10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00022450</w:t>
            </w:r>
          </w:p>
        </w:tc>
        <w:tc>
          <w:tcPr>
            <w:tcW w:w="5847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Cópia de chave yale</w:t>
            </w:r>
          </w:p>
        </w:tc>
        <w:tc>
          <w:tcPr>
            <w:tcW w:w="1454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Serviço</w:t>
            </w:r>
          </w:p>
        </w:tc>
        <w:tc>
          <w:tcPr>
            <w:tcW w:w="53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50</w:t>
            </w:r>
          </w:p>
        </w:tc>
        <w:tc>
          <w:tcPr>
            <w:tcW w:w="102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  <w:tc>
          <w:tcPr>
            <w:tcW w:w="1038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  <w:tc>
          <w:tcPr>
            <w:tcW w:w="1173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</w:tr>
      <w:tr>
        <w:tc>
          <w:tcPr>
            <w:tcW w:w="956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005</w:t>
            </w:r>
          </w:p>
        </w:tc>
        <w:tc>
          <w:tcPr>
            <w:tcW w:w="558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5</w:t>
            </w:r>
          </w:p>
        </w:tc>
        <w:tc>
          <w:tcPr>
            <w:tcW w:w="10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00022827</w:t>
            </w:r>
          </w:p>
        </w:tc>
        <w:tc>
          <w:tcPr>
            <w:tcW w:w="5847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Instalação de fechadura yale</w:t>
            </w:r>
          </w:p>
        </w:tc>
        <w:tc>
          <w:tcPr>
            <w:tcW w:w="1454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Serviço</w:t>
            </w:r>
          </w:p>
        </w:tc>
        <w:tc>
          <w:tcPr>
            <w:tcW w:w="53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5</w:t>
            </w:r>
          </w:p>
        </w:tc>
        <w:tc>
          <w:tcPr>
            <w:tcW w:w="102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  <w:tc>
          <w:tcPr>
            <w:tcW w:w="1038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  <w:tc>
          <w:tcPr>
            <w:tcW w:w="1173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</w:tr>
      <w:tr>
        <w:tc>
          <w:tcPr>
            <w:tcW w:w="956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006</w:t>
            </w:r>
          </w:p>
        </w:tc>
        <w:tc>
          <w:tcPr>
            <w:tcW w:w="558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6</w:t>
            </w:r>
          </w:p>
        </w:tc>
        <w:tc>
          <w:tcPr>
            <w:tcW w:w="10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00022460</w:t>
            </w:r>
          </w:p>
        </w:tc>
        <w:tc>
          <w:tcPr>
            <w:tcW w:w="5847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Substituição de cilindro/miolo/tambor de fechadura chave yale</w:t>
            </w:r>
          </w:p>
        </w:tc>
        <w:tc>
          <w:tcPr>
            <w:tcW w:w="1454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Serviço</w:t>
            </w:r>
          </w:p>
        </w:tc>
        <w:tc>
          <w:tcPr>
            <w:tcW w:w="53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10</w:t>
            </w:r>
          </w:p>
        </w:tc>
        <w:tc>
          <w:tcPr>
            <w:tcW w:w="102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  <w:tc>
          <w:tcPr>
            <w:tcW w:w="1038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  <w:tc>
          <w:tcPr>
            <w:tcW w:w="1173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</w:tr>
      <w:tr>
        <w:tc>
          <w:tcPr>
            <w:tcW w:w="956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007</w:t>
            </w:r>
          </w:p>
        </w:tc>
        <w:tc>
          <w:tcPr>
            <w:tcW w:w="558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7</w:t>
            </w:r>
          </w:p>
        </w:tc>
        <w:tc>
          <w:tcPr>
            <w:tcW w:w="10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00022458</w:t>
            </w:r>
          </w:p>
        </w:tc>
        <w:tc>
          <w:tcPr>
            <w:tcW w:w="5847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Substituição de fechadura chave yale</w:t>
            </w:r>
          </w:p>
        </w:tc>
        <w:tc>
          <w:tcPr>
            <w:tcW w:w="1454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Serviço</w:t>
            </w:r>
          </w:p>
        </w:tc>
        <w:tc>
          <w:tcPr>
            <w:tcW w:w="53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10</w:t>
            </w:r>
          </w:p>
        </w:tc>
        <w:tc>
          <w:tcPr>
            <w:tcW w:w="102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  <w:tc>
          <w:tcPr>
            <w:tcW w:w="1038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  <w:tc>
          <w:tcPr>
            <w:tcW w:w="1173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</w:tr>
      <w:tr>
        <w:tc>
          <w:tcPr>
            <w:tcW w:w="956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008</w:t>
            </w:r>
          </w:p>
        </w:tc>
        <w:tc>
          <w:tcPr>
            <w:tcW w:w="558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8</w:t>
            </w:r>
          </w:p>
        </w:tc>
        <w:tc>
          <w:tcPr>
            <w:tcW w:w="10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00022459</w:t>
            </w:r>
          </w:p>
        </w:tc>
        <w:tc>
          <w:tcPr>
            <w:tcW w:w="5847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Troca de segredo de fechadura chave yale</w:t>
            </w:r>
          </w:p>
        </w:tc>
        <w:tc>
          <w:tcPr>
            <w:tcW w:w="1454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Serviço</w:t>
            </w:r>
          </w:p>
        </w:tc>
        <w:tc>
          <w:tcPr>
            <w:tcW w:w="53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10</w:t>
            </w:r>
          </w:p>
        </w:tc>
        <w:tc>
          <w:tcPr>
            <w:tcW w:w="102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  <w:tc>
          <w:tcPr>
            <w:tcW w:w="1038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  <w:tc>
          <w:tcPr>
            <w:tcW w:w="1173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</w:tr>
      <w:tr>
        <w:tc>
          <w:tcPr>
            <w:tcW w:w="0" w:type="auto"/>
            <w:gridSpan w:val="6"/>
            <w:tcBorders/>
          </w:tcPr>
          <w:p>
            <w:pPr>
              <w:spacing w:after="0"/>
              <w:ind w:left="0"/>
              <w:jc w:val="right"/>
            </w:pPr>
            <w:r>
              <w:rPr>
                <w:rFonts w:hint="default" w:ascii="Arial" w:hAnsi="Arial"/>
                <w:b/>
                <w:i w:val="false"/>
                <w:color w:val="000000"/>
                <w:sz w:val="24"/>
              </w:rPr>
              <w:t>Total (R$):</w:t>
            </w:r>
          </w:p>
        </w:tc>
        <w:tc>
          <w:tcPr>
            <w:tcW w:w="1020" w:type="dxa"/>
            <w:tcBorders/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/>
                <w:i w:val="false"/>
                <w:color w:val="000000"/>
                <w:sz w:val="24"/>
              </w:rPr>
              <w:t>0,00</w:t>
            </w:r>
          </w:p>
        </w:tc>
        <w:tc>
          <w:tcPr>
            <w:tcW w:w="1038" w:type="dxa"/>
            <w:tcBorders/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/>
                <w:i w:val="false"/>
                <w:color w:val="000000"/>
                <w:sz w:val="24"/>
              </w:rPr>
              <w:t>0,00</w:t>
            </w:r>
          </w:p>
        </w:tc>
        <w:tc>
          <w:tcPr>
            <w:tcW w:w="1173" w:type="dxa"/>
            <w:tcBorders/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/>
                <w:i w:val="false"/>
                <w:color w:val="000000"/>
                <w:sz w:val="24"/>
              </w:rPr>
              <w:t>0,00</w:t>
            </w:r>
          </w:p>
        </w:tc>
      </w:tr>
    </w:tbl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/>
          <w:i w:val="false"/>
          <w:color w:val="000000"/>
          <w:sz w:val="24"/>
        </w:rPr>
        <w:t>4.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DO LOCAL DE EXECUÇÃO DO SERVIÇO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4.1.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O serviço e/ou material deverá ser realizado/entregue nos endereços das Unidades da Adapec no município de Palmas.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/>
          <w:i w:val="false"/>
          <w:color w:val="000000"/>
          <w:sz w:val="24"/>
        </w:rPr>
        <w:t>Sede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da Adapec na Quadra 104 Sul, Rua Se-11 - Conj. 03– Lote 23 – Palmas-TO.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Almoxarifado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- Quadra ARSE 15 (Antiga 112 Sul), Rua SR 03, Lote 31 – Palmas – TO.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Ceasa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- Qd. APE-01, lote 01, Av. São Paulo - St. Industrial Sul, Palmas - TO, 77060-706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/>
          <w:i w:val="false"/>
          <w:color w:val="000000"/>
          <w:sz w:val="24"/>
        </w:rPr>
        <w:t>5.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DO PRAZO DE PRESTAÇÃO DO SERVIÇO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5.1.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Prazo de entrega máximo será de 01 (um) dia, contado do recebimento da solicitação.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5.2.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A empresa vencedora do item deverá entregar o serviço que atenda, rigorosamente, as especificações constante de sua proposta, respeitando o solicitado no Termo de Referência.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5.3.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O serviço deverá ser prestado por um período de 12 (doze) meses ou até o fim do quantitativo solicitado, o que ocorrer primeiramente.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/>
          <w:i w:val="false"/>
          <w:color w:val="000000"/>
          <w:sz w:val="24"/>
        </w:rPr>
        <w:t>6.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/>
          <w:i w:val="false"/>
          <w:color w:val="000000"/>
          <w:sz w:val="24"/>
        </w:rPr>
        <w:t>DAS OBRIGAÇÕES DA CONTRATANTE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6.1.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Proporcionar todas as facilidades para que a CONTRATADA possa desempenhar os compromissos assumidos, bem como pagar pelos serviços prestados;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6.2.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Acompanhar e fiscalizar o cumprimento das obrigações da contratada, através de servidor designado, bem como atestar a nota fiscal a efetiva entrega do objeto contratado e seu aceite;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/>
          <w:i w:val="false"/>
          <w:color w:val="000000"/>
          <w:sz w:val="24"/>
        </w:rPr>
        <w:t>7.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DAS OBRIGAÇÕES DA CONTRATADA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7.1.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Executar fielmente o objeto contratado, conforme as especificações, prazos estipulados e exigidos neste Termo;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7.2.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Dar plena garantia e qualidade do serviço prestado;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7.3.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Arcar com todos os encargos decorrentes da prestação de serviços, especialmente os referente a frete, taxas, seguros, encargos sociais e trabalhistas;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7.4.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A eventual rescisão do ajuste se dará nas hipóteses previstas na Lei nº 14.133/2021, não cabendo, à Contratada, direito a qualquer indenização.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/>
          <w:i w:val="false"/>
          <w:color w:val="000000"/>
          <w:sz w:val="24"/>
        </w:rPr>
        <w:t>8.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DA FISCALIZAÇÃO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8.1.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O acompanhamento e fiscalização se dará pelo demandante, e caso haja instrumento contratual, se dará por servidor (es) designado (os) pelo Titular da Pasta, na condição de representante do órgão requisitante, o qual deverá atestar os documentos da despesa, quando comprovada a fiel e correta execução do objeto para fins de pagamento;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8.2.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A presença da fiscalização não elide nem diminui a responsabilidade da empresa contratada;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8.3.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Caberá ao demandante ou servidor designado rejeitar totalmente ou em parte, qualquer o fornecimento que não estiver de acordo com as exigências do Contrato.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/>
          <w:i w:val="false"/>
          <w:color w:val="000000"/>
          <w:sz w:val="24"/>
        </w:rPr>
        <w:t>9.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DO PAGAMENTO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9.1.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Será considerado para efeito de pagamento,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o material/serviço efetivamente entregue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pela Contratada, e aprovado pelo setor responsável pelo recebimento do mesmo, respeitando as exigências deste Termo de Referência;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9.2.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O pagamento será efetuado em até 30 dias, após o recebimento e contado a partir da data do atesto na nota fiscal.
 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  <w:r>
        <w:rPr>
          <w:rFonts w:hint="default" w:ascii="Arial" w:hAnsi="Arial"/>
          <w:b/>
          <w:i w:val="false"/>
          <w:color w:val="000000"/>
          <w:sz w:val="24"/>
        </w:rPr>
        <w:t>10.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DOTAÇÃO ORÇAMENTÁRIA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4783"/>
        <w:gridCol w:w="3289"/>
        <w:gridCol w:w="2784"/>
        <w:gridCol w:w="1059"/>
        <w:gridCol w:w="1719"/>
      </w:tblGrid>
      <w:tr>
        <w:tc>
          <w:tcPr>
            <w:tcW w:w="0" w:type="auto"/>
            <w:gridSpan w:val="5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Dotação</w:t>
            </w:r>
          </w:p>
        </w:tc>
      </w:tr>
      <w:tr>
        <w:tc>
          <w:tcPr>
            <w:tcW w:w="4783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Funcional Programática</w:t>
            </w:r>
          </w:p>
        </w:tc>
        <w:tc>
          <w:tcPr>
            <w:tcW w:w="328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Natureza de Despesa</w:t>
            </w:r>
          </w:p>
        </w:tc>
        <w:tc>
          <w:tcPr>
            <w:tcW w:w="2784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Fonte de Recurso</w:t>
            </w:r>
          </w:p>
        </w:tc>
        <w:tc>
          <w:tcPr>
            <w:tcW w:w="105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Valor</w:t>
            </w:r>
          </w:p>
        </w:tc>
        <w:tc>
          <w:tcPr>
            <w:tcW w:w="171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Exercício.</w:t>
            </w:r>
          </w:p>
        </w:tc>
      </w:tr>
      <w:tr>
        <w:tc>
          <w:tcPr>
            <w:tcW w:w="4783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345300 34530 2012211484080</w:t>
            </w:r>
          </w:p>
        </w:tc>
        <w:tc>
          <w:tcPr>
            <w:tcW w:w="328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33903999</w:t>
            </w:r>
          </w:p>
        </w:tc>
        <w:tc>
          <w:tcPr>
            <w:tcW w:w="2784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7591666666</w:t>
            </w:r>
          </w:p>
        </w:tc>
        <w:tc>
          <w:tcPr>
            <w:tcW w:w="105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0,00</w:t>
            </w:r>
          </w:p>
        </w:tc>
        <w:tc>
          <w:tcPr>
            <w:tcW w:w="171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2023</w:t>
            </w:r>
          </w:p>
        </w:tc>
      </w:tr>
      <w:tr>
        <w:tc>
          <w:tcPr>
            <w:tcW w:w="0" w:type="auto"/>
            <w:gridSpan w:val="3"/>
            <w:tcBorders/>
          </w:tcPr>
          <w:p>
            <w:pPr>
              <w:spacing w:after="0"/>
              <w:ind w:left="0"/>
              <w:jc w:val="right"/>
            </w:pPr>
            <w:r>
              <w:rPr>
                <w:rFonts w:hint="default" w:ascii="Arial" w:hAnsi="Arial"/>
                <w:b/>
                <w:i w:val="false"/>
                <w:color w:val="000000"/>
                <w:sz w:val="24"/>
              </w:rPr>
              <w:t>Custo total estimado (R$):</w:t>
            </w:r>
          </w:p>
        </w:tc>
        <w:tc>
          <w:tcPr>
            <w:tcW w:w="0" w:type="auto"/>
            <w:gridSpan w:val="2"/>
            <w:tcBorders/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/>
                <w:i w:val="false"/>
                <w:color w:val="000000"/>
                <w:sz w:val="24"/>
              </w:rPr>
              <w:t>0,00</w:t>
            </w:r>
          </w:p>
        </w:tc>
      </w:tr>
    </w:tbl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Rejânia Aparecida da Silva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Gerente da Ação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Divino Rodrigues Barroso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Diretor de Administração e Finanças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Autorizo, observados os aspectos legais, formais e éticos.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Paulo Antônio Lima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Presidente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</w:t>
      </w:r>
    </w:p>
    <w:p>
      <w:pPr>
        <w:spacing w:after="0"/>
        <w:ind w:left="0"/>
        <w:jc w:val="center"/>
      </w:pP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
 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1"/>
        </w:rPr>
        <w:t>Palmas/TO, 15 de Março de 2023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rPr>
          <w:rFonts w:hint="default" w:ascii="Arial" w:hAnsi="Arial"/>
          <w:b w:val="false"/>
          <w:i w:val="false"/>
          <w:color w:val="000000"/>
          <w:sz w:val="21"/>
        </w:rPr>
        <w:t>Termo de Referência aprovado conforme as especificações do objeto.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rPr>
          <w:rFonts w:hint="default" w:ascii="Arial" w:hAnsi="Arial"/>
          <w:b/>
          <w:i w:val="false"/>
          <w:color w:val="000000"/>
          <w:sz w:val="21"/>
        </w:rPr>
        <w:t>Paulo Antônio de Lima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rPr>
          <w:rFonts w:hint="default" w:ascii="Arial" w:hAnsi="Arial"/>
          <w:b w:val="false"/>
          <w:i w:val="false"/>
          <w:color w:val="000000"/>
          <w:sz w:val="21"/>
        </w:rPr>
        <w:t>Presidente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</w:t>
      </w:r>
    </w:p>
    <w:p>
      <w:pPr>
        <w:spacing w:after="0"/>
        <w:ind w:left="0"/>
        <w:jc w:val="left"/>
      </w:pPr>
    </w:p>
    <w:sectPr>
      <w:headerReference w:type="default" r:id="rId4"/>
      <w:footerReference w:type="default" r:id="rId5"/>
      <w:pgSz w:w="11907" w:h="16839" w:code="9"/>
      <w:pgMar w:top="3685" w:right="1134" w:bottom="1984" w:left="1134"/>
    </w:sectPr>
  </w:body>
</w:document>
</file>

<file path=word/footer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p>
    <w:pPr>
      <w:spacing w:after="120"/>
      <w:ind w:left="120"/>
      <w:jc w:val="left"/>
    </w:pPr>
  </w:p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2977"/>
      <w:gridCol w:w="1358"/>
    </w:tblGrid>
    <w:tr>
      <w:tc>
        <w:tcPr>
          <w:tcW w:w="2977" w:type="dxa"/>
          <w:tcBorders/>
        </w:tcPr>
        <w:p>
          <w:pPr>
            <w:spacing w:after="0"/>
            <w:ind w:left="0"/>
            <w:jc w:val="left"/>
          </w:pPr>
          <w:r>
            <w:rPr>
              <w:rFonts w:hint="default" w:ascii="Arial" w:hAnsi="Arial"/>
              <w:b w:val="false"/>
              <w:i w:val="false"/>
              <w:color w:val="000000"/>
              <w:sz w:val="16"/>
            </w:rPr>
            <w:t>Governo do Estado do Tocantins</w:t>
          </w:r>
        </w:p>
      </w:tc>
      <w:tc>
        <w:tcPr>
          <w:tcW w:w="1358" w:type="dxa"/>
          <w:tcBorders/>
        </w:tcPr>
        <w:p>
          <w:pPr>
            <w:spacing w:after="0"/>
            <w:ind w:left="0"/>
            <w:jc w:val="left"/>
          </w:pPr>
          <w:r>
            <w:rPr>
              <w:rFonts w:hint="default" w:ascii="Arial" w:hAnsi="Arial"/>
              <w:b w:val="false"/>
              <w:i w:val="false"/>
              <w:color w:val="000000"/>
              <w:sz w:val="16"/>
            </w:rPr>
            <w:t xml:space="preserve">Pág. </w:t>
            <w:fldChar w:fldCharType="begin"/>
            <w:instrText xml:space="preserve"> PAGE  \\* MERGEFORMAT </w:instrText>
            <w:fldChar w:fldCharType="end"/>
          </w:r>
        </w:p>
      </w:tc>
    </w:tr>
  </w:tbl>
</w:ftr>
</file>

<file path=word/header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p>
    <w:pPr>
      <w:spacing w:after="120"/>
      <w:ind w:left="120"/>
      <w:jc w:val="left"/>
    </w:pPr>
  </w:p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890"/>
      <w:gridCol w:w="440"/>
    </w:tblGrid>
    <w:tr>
      <w:tc>
        <w:tcPr>
          <w:tcW w:w="5890" w:type="dxa"/>
          <w:tcBorders/>
        </w:tcPr>
        <w:p>
          <w:pPr>
            <w:spacing w:after="0"/>
            <w:ind w:left="0"/>
            <w:jc w:val="right"/>
          </w:pPr>
          <w:r>
            <w:rPr>
              <w:rFonts w:hint="default" w:ascii="Arial" w:hAnsi="Arial"/>
              <w:b/>
              <w:i w:val="false"/>
              <w:color w:val="000000"/>
              <w:sz w:val="18"/>
            </w:rPr>
            <w:t xml:space="preserve">
       Agência de Defesa Agropecuária do Estado do Tocantins
      </w:t>
          </w:r>
        </w:p>
      </w:tc>
      <w:tc>
        <w:tcPr>
          <w:tcW w:w="440" w:type="dxa"/>
          <w:tcBorders/>
        </w:tcPr>
        <w:p>
          <w:r>
            <w:drawing>
              <wp:inline distT="0" distB="0" distL="0" distR="0">
                <wp:extent cx="2149810" cy="889000"/>
                <wp:effectExtent l="0" t="0" r="0" b="0"/>
                <wp:docPr id="0" name="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49810" cy="889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header.xml" Type="http://schemas.openxmlformats.org/officeDocument/2006/relationships/header" Id="rId4"/>
    <Relationship Target="footer.xml" Type="http://schemas.openxmlformats.org/officeDocument/2006/relationships/footer" Id="rId5"/>
</Relationships>

</file>

<file path=word/_rels/header.xml.rels><?xml version="1.0" encoding="UTF-8" standalone="yes"?>
<Relationships xmlns="http://schemas.openxmlformats.org/package/2006/relationships">
    <Relationship Target="media/header_image_rId1.png" Type="http://schemas.openxmlformats.org/officeDocument/2006/relationships/image" Id="rId1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